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160655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85"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113030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9"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2019</w:t>
      </w:r>
    </w:p>
    <w:p>
      <w:pPr>
        <w:sectPr>
          <w:pgSz w:w="11900" w:h="16838" w:orient="portrait"/>
          <w:cols w:equalWidth="0" w:num="1">
            <w:col w:w="11420"/>
          </w:cols>
          <w:pgMar w:left="240" w:top="1097" w:right="239" w:bottom="1440" w:gutter="0" w:footer="0" w:header="0"/>
        </w:sectPr>
      </w:pPr>
    </w:p>
    <w:p>
      <w:pPr>
        <w:spacing w:after="0" w:line="140" w:lineRule="exact"/>
        <w:rPr>
          <w:sz w:val="24"/>
          <w:szCs w:val="24"/>
          <w:color w:val="auto"/>
        </w:rPr>
      </w:pPr>
    </w:p>
    <w:p>
      <w:pPr>
        <w:ind w:left="4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6" w:lineRule="exact"/>
        <w:rPr>
          <w:sz w:val="24"/>
          <w:szCs w:val="24"/>
          <w:color w:val="auto"/>
        </w:rPr>
      </w:pPr>
    </w:p>
    <w:p>
      <w:pPr>
        <w:sectPr>
          <w:pgSz w:w="11900" w:h="16838" w:orient="portrait"/>
          <w:cols w:equalWidth="0" w:num="2">
            <w:col w:w="160" w:space="560"/>
            <w:col w:w="10700"/>
          </w:cols>
          <w:pgMar w:left="240" w:top="1097" w:right="239" w:bottom="1440" w:gutter="0" w:footer="0" w:header="0"/>
          <w:type w:val="continuous"/>
        </w:sect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55"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Commission file number 1-8400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416" w:lineRule="exact"/>
        <w:rPr>
          <w:sz w:val="24"/>
          <w:szCs w:val="24"/>
          <w:color w:val="auto"/>
        </w:rPr>
      </w:pPr>
    </w:p>
    <w:p>
      <w:pPr>
        <w:sectPr>
          <w:pgSz w:w="11900" w:h="16838" w:orient="portrait"/>
          <w:cols w:equalWidth="0" w:num="2">
            <w:col w:w="6800" w:space="320"/>
            <w:col w:w="4300"/>
          </w:cols>
          <w:pgMar w:left="240" w:top="1097"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-153670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93345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tbl>
      <w:tblPr>
        <w:tblLayout w:type="fixed"/>
        <w:tblInd w:w="980" w:type="dxa"/>
        <w:tblCellMar>
          <w:top w:w="0" w:type="dxa"/>
          <w:left w:w="0" w:type="dxa"/>
          <w:bottom w:w="0" w:type="dxa"/>
          <w:right w:w="0" w:type="dxa"/>
        </w:tblCellMar>
      </w:tblPr>
      <w:tr>
        <w:trPr>
          <w:trHeight w:val="202"/>
        </w:trPr>
        <w:tc>
          <w:tcPr>
            <w:tcW w:w="3500" w:type="dxa"/>
            <w:vAlign w:val="bottom"/>
          </w:tcPr>
          <w:p>
            <w:pPr>
              <w:jc w:val="center"/>
              <w:ind w:right="77"/>
              <w:spacing w:after="0"/>
              <w:rPr>
                <w:sz w:val="20"/>
                <w:szCs w:val="20"/>
                <w:color w:val="auto"/>
              </w:rPr>
            </w:pPr>
            <w:r>
              <w:rPr>
                <w:rFonts w:ascii="Arial" w:cs="Arial" w:eastAsia="Arial" w:hAnsi="Arial"/>
                <w:sz w:val="14"/>
                <w:szCs w:val="14"/>
                <w:b w:val="1"/>
                <w:bCs w:val="1"/>
                <w:color w:val="auto"/>
              </w:rPr>
              <w:t>Delaware</w:t>
            </w:r>
          </w:p>
        </w:tc>
        <w:tc>
          <w:tcPr>
            <w:tcW w:w="5020" w:type="dxa"/>
            <w:vAlign w:val="bottom"/>
          </w:tcPr>
          <w:p>
            <w:pPr>
              <w:jc w:val="right"/>
              <w:ind w:right="815"/>
              <w:spacing w:after="0"/>
              <w:rPr>
                <w:sz w:val="20"/>
                <w:szCs w:val="20"/>
                <w:color w:val="auto"/>
              </w:rPr>
            </w:pPr>
            <w:r>
              <w:rPr>
                <w:rFonts w:ascii="Arial" w:cs="Arial" w:eastAsia="Arial" w:hAnsi="Arial"/>
                <w:sz w:val="14"/>
                <w:szCs w:val="14"/>
                <w:b w:val="1"/>
                <w:bCs w:val="1"/>
                <w:color w:val="auto"/>
              </w:rPr>
              <w:t>75-1825172</w:t>
            </w:r>
          </w:p>
        </w:tc>
      </w:tr>
      <w:tr>
        <w:trPr>
          <w:trHeight w:val="158"/>
        </w:trPr>
        <w:tc>
          <w:tcPr>
            <w:tcW w:w="3500" w:type="dxa"/>
            <w:vAlign w:val="bottom"/>
          </w:tcPr>
          <w:p>
            <w:pPr>
              <w:jc w:val="center"/>
              <w:ind w:right="77"/>
              <w:spacing w:after="0"/>
              <w:rPr>
                <w:sz w:val="20"/>
                <w:szCs w:val="20"/>
                <w:color w:val="auto"/>
              </w:rPr>
            </w:pPr>
            <w:r>
              <w:rPr>
                <w:rFonts w:ascii="Arial" w:cs="Arial" w:eastAsia="Arial" w:hAnsi="Arial"/>
                <w:sz w:val="11"/>
                <w:szCs w:val="11"/>
                <w:color w:val="auto"/>
                <w:w w:val="98"/>
              </w:rPr>
              <w:t>(State or other jurisdiction of incorporation or organization)</w:t>
            </w:r>
          </w:p>
        </w:tc>
        <w:tc>
          <w:tcPr>
            <w:tcW w:w="5020" w:type="dxa"/>
            <w:vAlign w:val="bottom"/>
          </w:tcPr>
          <w:p>
            <w:pPr>
              <w:jc w:val="center"/>
              <w:ind w:left="2415"/>
              <w:spacing w:after="0"/>
              <w:rPr>
                <w:sz w:val="20"/>
                <w:szCs w:val="20"/>
                <w:color w:val="auto"/>
              </w:rPr>
            </w:pPr>
            <w:r>
              <w:rPr>
                <w:rFonts w:ascii="Arial" w:cs="Arial" w:eastAsia="Arial" w:hAnsi="Arial"/>
                <w:sz w:val="11"/>
                <w:szCs w:val="11"/>
                <w:color w:val="auto"/>
                <w:w w:val="98"/>
              </w:rPr>
              <w:t>(I.R.S. Employer Identification No.)</w:t>
            </w:r>
          </w:p>
        </w:tc>
      </w:tr>
      <w:tr>
        <w:trPr>
          <w:trHeight w:val="234"/>
        </w:trPr>
        <w:tc>
          <w:tcPr>
            <w:tcW w:w="3500" w:type="dxa"/>
            <w:vAlign w:val="bottom"/>
          </w:tcPr>
          <w:p>
            <w:pPr>
              <w:jc w:val="center"/>
              <w:ind w:right="77"/>
              <w:spacing w:after="0"/>
              <w:rPr>
                <w:sz w:val="20"/>
                <w:szCs w:val="20"/>
                <w:color w:val="auto"/>
              </w:rPr>
            </w:pPr>
            <w:r>
              <w:rPr>
                <w:rFonts w:ascii="Arial" w:cs="Arial" w:eastAsia="Arial" w:hAnsi="Arial"/>
                <w:sz w:val="14"/>
                <w:szCs w:val="14"/>
                <w:b w:val="1"/>
                <w:bCs w:val="1"/>
                <w:color w:val="auto"/>
              </w:rPr>
              <w:t>4333 Amon Carter Blvd., Fort Worth, Texas 76155</w:t>
            </w:r>
          </w:p>
        </w:tc>
        <w:tc>
          <w:tcPr>
            <w:tcW w:w="5020" w:type="dxa"/>
            <w:vAlign w:val="bottom"/>
          </w:tcPr>
          <w:p>
            <w:pPr>
              <w:jc w:val="right"/>
              <w:ind w:right="715"/>
              <w:spacing w:after="0"/>
              <w:rPr>
                <w:sz w:val="20"/>
                <w:szCs w:val="20"/>
                <w:color w:val="auto"/>
              </w:rPr>
            </w:pPr>
            <w:r>
              <w:rPr>
                <w:rFonts w:ascii="Arial" w:cs="Arial" w:eastAsia="Arial" w:hAnsi="Arial"/>
                <w:sz w:val="14"/>
                <w:szCs w:val="14"/>
                <w:b w:val="1"/>
                <w:bCs w:val="1"/>
                <w:color w:val="auto"/>
              </w:rPr>
              <w:t>(817) 963-1234</w:t>
            </w:r>
          </w:p>
        </w:tc>
      </w:tr>
      <w:tr>
        <w:trPr>
          <w:trHeight w:val="158"/>
        </w:trPr>
        <w:tc>
          <w:tcPr>
            <w:tcW w:w="3500" w:type="dxa"/>
            <w:vAlign w:val="bottom"/>
          </w:tcPr>
          <w:p>
            <w:pPr>
              <w:jc w:val="center"/>
              <w:ind w:right="77"/>
              <w:spacing w:after="0"/>
              <w:rPr>
                <w:sz w:val="20"/>
                <w:szCs w:val="20"/>
                <w:color w:val="auto"/>
              </w:rPr>
            </w:pPr>
            <w:r>
              <w:rPr>
                <w:rFonts w:ascii="Arial" w:cs="Arial" w:eastAsia="Arial" w:hAnsi="Arial"/>
                <w:sz w:val="11"/>
                <w:szCs w:val="11"/>
                <w:color w:val="auto"/>
                <w:w w:val="97"/>
              </w:rPr>
              <w:t>(Address of principal executive offices, including zip code)</w:t>
            </w:r>
          </w:p>
        </w:tc>
        <w:tc>
          <w:tcPr>
            <w:tcW w:w="5020" w:type="dxa"/>
            <w:vAlign w:val="bottom"/>
          </w:tcPr>
          <w:p>
            <w:pPr>
              <w:jc w:val="center"/>
              <w:ind w:left="2415"/>
              <w:spacing w:after="0"/>
              <w:rPr>
                <w:sz w:val="20"/>
                <w:szCs w:val="20"/>
                <w:color w:val="auto"/>
              </w:rPr>
            </w:pPr>
            <w:r>
              <w:rPr>
                <w:rFonts w:ascii="Arial" w:cs="Arial" w:eastAsia="Arial" w:hAnsi="Arial"/>
                <w:sz w:val="11"/>
                <w:szCs w:val="11"/>
                <w:color w:val="auto"/>
                <w:w w:val="98"/>
              </w:rPr>
              <w:t>(Registrant’s telephone number, including area code)</w:t>
            </w:r>
          </w:p>
        </w:tc>
      </w:tr>
      <w:tr>
        <w:trPr>
          <w:trHeight w:val="261"/>
        </w:trPr>
        <w:tc>
          <w:tcPr>
            <w:tcW w:w="350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Arial" w:cs="Arial" w:eastAsia="Arial" w:hAnsi="Arial"/>
                <w:sz w:val="14"/>
                <w:szCs w:val="14"/>
                <w:b w:val="1"/>
                <w:bCs w:val="1"/>
                <w:color w:val="auto"/>
              </w:rPr>
              <w:t>Commission file number 1-2691</w:t>
            </w:r>
          </w:p>
        </w:tc>
      </w:tr>
    </w:tbl>
    <w:p>
      <w:pPr>
        <w:spacing w:after="0" w:line="232" w:lineRule="exact"/>
        <w:rPr>
          <w:sz w:val="24"/>
          <w:szCs w:val="24"/>
          <w:color w:val="auto"/>
        </w:rPr>
      </w:pPr>
    </w:p>
    <w:tbl>
      <w:tblPr>
        <w:tblLayout w:type="fixed"/>
        <w:tblInd w:w="980" w:type="dxa"/>
        <w:tblCellMar>
          <w:top w:w="0" w:type="dxa"/>
          <w:left w:w="0" w:type="dxa"/>
          <w:bottom w:w="0" w:type="dxa"/>
          <w:right w:w="0" w:type="dxa"/>
        </w:tblCellMar>
      </w:tblPr>
      <w:tr>
        <w:trPr>
          <w:trHeight w:val="20"/>
        </w:trPr>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33"/>
        </w:trPr>
        <w:tc>
          <w:tcPr>
            <w:tcW w:w="3440" w:type="dxa"/>
            <w:vAlign w:val="bottom"/>
          </w:tcPr>
          <w:p>
            <w:pPr>
              <w:spacing w:after="0"/>
              <w:rPr>
                <w:sz w:val="20"/>
                <w:szCs w:val="20"/>
                <w:color w:val="auto"/>
              </w:rPr>
            </w:pPr>
          </w:p>
        </w:tc>
        <w:tc>
          <w:tcPr>
            <w:tcW w:w="5080" w:type="dxa"/>
            <w:vAlign w:val="bottom"/>
            <w:gridSpan w:val="3"/>
          </w:tcPr>
          <w:p>
            <w:pPr>
              <w:jc w:val="center"/>
              <w:ind w:right="2446"/>
              <w:spacing w:after="0" w:line="232" w:lineRule="exact"/>
              <w:rPr>
                <w:sz w:val="20"/>
                <w:szCs w:val="20"/>
                <w:color w:val="auto"/>
              </w:rPr>
            </w:pPr>
            <w:r>
              <w:rPr>
                <w:rFonts w:ascii="Arial" w:cs="Arial" w:eastAsia="Arial" w:hAnsi="Arial"/>
                <w:sz w:val="22"/>
                <w:szCs w:val="22"/>
                <w:b w:val="1"/>
                <w:bCs w:val="1"/>
                <w:color w:val="auto"/>
                <w:w w:val="98"/>
              </w:rPr>
              <w:t>American Airlines, Inc.</w:t>
            </w:r>
          </w:p>
        </w:tc>
      </w:tr>
      <w:tr>
        <w:trPr>
          <w:trHeight w:val="146"/>
        </w:trPr>
        <w:tc>
          <w:tcPr>
            <w:tcW w:w="3440" w:type="dxa"/>
            <w:vAlign w:val="bottom"/>
          </w:tcPr>
          <w:p>
            <w:pPr>
              <w:spacing w:after="0"/>
              <w:rPr>
                <w:sz w:val="12"/>
                <w:szCs w:val="12"/>
                <w:color w:val="auto"/>
              </w:rPr>
            </w:pPr>
          </w:p>
        </w:tc>
        <w:tc>
          <w:tcPr>
            <w:tcW w:w="5080" w:type="dxa"/>
            <w:vAlign w:val="bottom"/>
            <w:gridSpan w:val="3"/>
          </w:tcPr>
          <w:p>
            <w:pPr>
              <w:jc w:val="center"/>
              <w:ind w:right="2446"/>
              <w:spacing w:after="0"/>
              <w:rPr>
                <w:sz w:val="20"/>
                <w:szCs w:val="20"/>
                <w:color w:val="auto"/>
              </w:rPr>
            </w:pPr>
            <w:r>
              <w:rPr>
                <w:rFonts w:ascii="Arial" w:cs="Arial" w:eastAsia="Arial" w:hAnsi="Arial"/>
                <w:sz w:val="11"/>
                <w:szCs w:val="11"/>
                <w:color w:val="auto"/>
                <w:w w:val="98"/>
              </w:rPr>
              <w:t>(Exact name of registrant as specified in its charter)</w:t>
            </w:r>
          </w:p>
        </w:tc>
      </w:tr>
      <w:tr>
        <w:trPr>
          <w:trHeight w:val="142"/>
        </w:trPr>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2700" w:type="dxa"/>
            <w:vAlign w:val="bottom"/>
          </w:tcPr>
          <w:p>
            <w:pPr>
              <w:spacing w:after="0"/>
              <w:rPr>
                <w:sz w:val="12"/>
                <w:szCs w:val="12"/>
                <w:color w:val="auto"/>
              </w:rPr>
            </w:pPr>
          </w:p>
        </w:tc>
      </w:tr>
      <w:tr>
        <w:trPr>
          <w:trHeight w:val="599"/>
        </w:trPr>
        <w:tc>
          <w:tcPr>
            <w:tcW w:w="3440" w:type="dxa"/>
            <w:vAlign w:val="bottom"/>
          </w:tcPr>
          <w:p>
            <w:pPr>
              <w:jc w:val="center"/>
              <w:ind w:right="17"/>
              <w:spacing w:after="0"/>
              <w:rPr>
                <w:sz w:val="20"/>
                <w:szCs w:val="20"/>
                <w:color w:val="auto"/>
              </w:rPr>
            </w:pPr>
            <w:r>
              <w:rPr>
                <w:rFonts w:ascii="Arial" w:cs="Arial" w:eastAsia="Arial" w:hAnsi="Arial"/>
                <w:sz w:val="14"/>
                <w:szCs w:val="14"/>
                <w:b w:val="1"/>
                <w:bCs w:val="1"/>
                <w:color w:val="auto"/>
              </w:rPr>
              <w:t>Delaware</w:t>
            </w:r>
          </w:p>
        </w:tc>
        <w:tc>
          <w:tcPr>
            <w:tcW w:w="5080" w:type="dxa"/>
            <w:vAlign w:val="bottom"/>
            <w:gridSpan w:val="3"/>
          </w:tcPr>
          <w:p>
            <w:pPr>
              <w:jc w:val="right"/>
              <w:ind w:right="826"/>
              <w:spacing w:after="0"/>
              <w:rPr>
                <w:sz w:val="20"/>
                <w:szCs w:val="20"/>
                <w:color w:val="auto"/>
              </w:rPr>
            </w:pPr>
            <w:r>
              <w:rPr>
                <w:rFonts w:ascii="Arial" w:cs="Arial" w:eastAsia="Arial" w:hAnsi="Arial"/>
                <w:sz w:val="14"/>
                <w:szCs w:val="14"/>
                <w:b w:val="1"/>
                <w:bCs w:val="1"/>
                <w:color w:val="auto"/>
              </w:rPr>
              <w:t>13-1502798</w:t>
            </w:r>
          </w:p>
        </w:tc>
      </w:tr>
      <w:tr>
        <w:trPr>
          <w:trHeight w:val="158"/>
        </w:trPr>
        <w:tc>
          <w:tcPr>
            <w:tcW w:w="3440" w:type="dxa"/>
            <w:vAlign w:val="bottom"/>
          </w:tcPr>
          <w:p>
            <w:pPr>
              <w:jc w:val="center"/>
              <w:ind w:right="17"/>
              <w:spacing w:after="0"/>
              <w:rPr>
                <w:sz w:val="20"/>
                <w:szCs w:val="20"/>
                <w:color w:val="auto"/>
              </w:rPr>
            </w:pPr>
            <w:r>
              <w:rPr>
                <w:rFonts w:ascii="Arial" w:cs="Arial" w:eastAsia="Arial" w:hAnsi="Arial"/>
                <w:sz w:val="11"/>
                <w:szCs w:val="11"/>
                <w:color w:val="auto"/>
                <w:w w:val="98"/>
              </w:rPr>
              <w:t>(State or other jurisdiction of incorporation or organization)</w:t>
            </w:r>
          </w:p>
        </w:tc>
        <w:tc>
          <w:tcPr>
            <w:tcW w:w="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700" w:type="dxa"/>
            <w:vAlign w:val="bottom"/>
          </w:tcPr>
          <w:p>
            <w:pPr>
              <w:jc w:val="center"/>
              <w:ind w:left="106"/>
              <w:spacing w:after="0"/>
              <w:rPr>
                <w:sz w:val="20"/>
                <w:szCs w:val="20"/>
                <w:color w:val="auto"/>
              </w:rPr>
            </w:pPr>
            <w:r>
              <w:rPr>
                <w:rFonts w:ascii="Arial" w:cs="Arial" w:eastAsia="Arial" w:hAnsi="Arial"/>
                <w:sz w:val="11"/>
                <w:szCs w:val="11"/>
                <w:color w:val="auto"/>
                <w:w w:val="98"/>
              </w:rPr>
              <w:t>(I.R.S. Employer Identification No.)</w:t>
            </w:r>
          </w:p>
        </w:tc>
      </w:tr>
      <w:tr>
        <w:trPr>
          <w:trHeight w:val="234"/>
        </w:trPr>
        <w:tc>
          <w:tcPr>
            <w:tcW w:w="3440" w:type="dxa"/>
            <w:vAlign w:val="bottom"/>
          </w:tcPr>
          <w:p>
            <w:pPr>
              <w:jc w:val="center"/>
              <w:ind w:right="17"/>
              <w:spacing w:after="0"/>
              <w:rPr>
                <w:sz w:val="20"/>
                <w:szCs w:val="20"/>
                <w:color w:val="auto"/>
              </w:rPr>
            </w:pPr>
            <w:r>
              <w:rPr>
                <w:rFonts w:ascii="Arial" w:cs="Arial" w:eastAsia="Arial" w:hAnsi="Arial"/>
                <w:sz w:val="14"/>
                <w:szCs w:val="14"/>
                <w:b w:val="1"/>
                <w:bCs w:val="1"/>
                <w:color w:val="auto"/>
              </w:rPr>
              <w:t>4333 Amon Carter Blvd., Fort Worth, Texas 76155</w:t>
            </w:r>
          </w:p>
        </w:tc>
        <w:tc>
          <w:tcPr>
            <w:tcW w:w="5080" w:type="dxa"/>
            <w:vAlign w:val="bottom"/>
            <w:gridSpan w:val="3"/>
          </w:tcPr>
          <w:p>
            <w:pPr>
              <w:jc w:val="right"/>
              <w:ind w:right="726"/>
              <w:spacing w:after="0"/>
              <w:rPr>
                <w:sz w:val="20"/>
                <w:szCs w:val="20"/>
                <w:color w:val="auto"/>
              </w:rPr>
            </w:pPr>
            <w:r>
              <w:rPr>
                <w:rFonts w:ascii="Arial" w:cs="Arial" w:eastAsia="Arial" w:hAnsi="Arial"/>
                <w:sz w:val="14"/>
                <w:szCs w:val="14"/>
                <w:b w:val="1"/>
                <w:bCs w:val="1"/>
                <w:color w:val="auto"/>
              </w:rPr>
              <w:t>(817) 963-1234</w:t>
            </w:r>
          </w:p>
        </w:tc>
      </w:tr>
      <w:tr>
        <w:trPr>
          <w:trHeight w:val="158"/>
        </w:trPr>
        <w:tc>
          <w:tcPr>
            <w:tcW w:w="3440" w:type="dxa"/>
            <w:vAlign w:val="bottom"/>
          </w:tcPr>
          <w:p>
            <w:pPr>
              <w:jc w:val="center"/>
              <w:ind w:right="17"/>
              <w:spacing w:after="0"/>
              <w:rPr>
                <w:sz w:val="20"/>
                <w:szCs w:val="20"/>
                <w:color w:val="auto"/>
              </w:rPr>
            </w:pPr>
            <w:r>
              <w:rPr>
                <w:rFonts w:ascii="Arial" w:cs="Arial" w:eastAsia="Arial" w:hAnsi="Arial"/>
                <w:sz w:val="11"/>
                <w:szCs w:val="11"/>
                <w:color w:val="auto"/>
                <w:w w:val="97"/>
              </w:rPr>
              <w:t>(Address of principal executive offices, including zip code)</w:t>
            </w:r>
          </w:p>
        </w:tc>
        <w:tc>
          <w:tcPr>
            <w:tcW w:w="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700" w:type="dxa"/>
            <w:vAlign w:val="bottom"/>
          </w:tcPr>
          <w:p>
            <w:pPr>
              <w:jc w:val="center"/>
              <w:ind w:left="106"/>
              <w:spacing w:after="0"/>
              <w:rPr>
                <w:sz w:val="20"/>
                <w:szCs w:val="20"/>
                <w:color w:val="auto"/>
              </w:rPr>
            </w:pPr>
            <w:r>
              <w:rPr>
                <w:rFonts w:ascii="Arial" w:cs="Arial" w:eastAsia="Arial" w:hAnsi="Arial"/>
                <w:sz w:val="11"/>
                <w:szCs w:val="11"/>
                <w:color w:val="auto"/>
                <w:w w:val="98"/>
              </w:rPr>
              <w:t>(Registrant’s telephone number, including area code)</w:t>
            </w:r>
          </w:p>
        </w:tc>
      </w:tr>
    </w:tbl>
    <w:p>
      <w:pPr>
        <w:spacing w:after="0" w:line="57" w:lineRule="exact"/>
        <w:rPr>
          <w:sz w:val="24"/>
          <w:szCs w:val="24"/>
          <w:color w:val="auto"/>
        </w:rPr>
      </w:pPr>
    </w:p>
    <w:p>
      <w:pPr>
        <w:ind w:left="260" w:right="20"/>
        <w:spacing w:after="0" w:line="267"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1097" w:right="239" w:bottom="1440" w:gutter="0" w:footer="0" w:header="0"/>
          <w:type w:val="continuous"/>
        </w:sectPr>
      </w:pPr>
    </w:p>
    <w:p>
      <w:pPr>
        <w:spacing w:after="0" w:line="124"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Group Inc.</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48" w:lineRule="exact"/>
        <w:rPr>
          <w:sz w:val="24"/>
          <w:szCs w:val="24"/>
          <w:color w:val="auto"/>
        </w:rPr>
      </w:pPr>
    </w:p>
    <w:p>
      <w:pPr>
        <w:sectPr>
          <w:pgSz w:w="11900" w:h="16838" w:orient="portrait"/>
          <w:cols w:equalWidth="0" w:num="5">
            <w:col w:w="9140" w:space="720"/>
            <w:col w:w="100" w:space="480"/>
            <w:col w:w="160" w:space="180"/>
            <w:col w:w="80" w:space="400"/>
            <w:col w:w="160"/>
          </w:cols>
          <w:pgMar w:left="240" w:top="1097" w:right="239" w:bottom="1440" w:gutter="0" w:footer="0" w:header="0"/>
          <w:type w:val="continuous"/>
        </w:sectPr>
      </w:pPr>
    </w:p>
    <w:p>
      <w:pPr>
        <w:spacing w:after="0" w:line="13"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Inc.</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No</w:t>
      </w:r>
    </w:p>
    <w:p>
      <w:pPr>
        <w:spacing w:after="0" w:line="88" w:lineRule="exact"/>
        <w:rPr>
          <w:sz w:val="24"/>
          <w:szCs w:val="24"/>
          <w:color w:val="auto"/>
        </w:rPr>
      </w:pPr>
    </w:p>
    <w:p>
      <w:pPr>
        <w:sectPr>
          <w:pgSz w:w="11900" w:h="16838" w:orient="portrait"/>
          <w:cols w:equalWidth="0" w:num="5">
            <w:col w:w="9140" w:space="720"/>
            <w:col w:w="100" w:space="480"/>
            <w:col w:w="160" w:space="180"/>
            <w:col w:w="80" w:space="400"/>
            <w:col w:w="160"/>
          </w:cols>
          <w:pgMar w:left="240" w:top="1097" w:right="239" w:bottom="1440" w:gutter="0" w:footer="0" w:header="0"/>
          <w:type w:val="continuous"/>
        </w:sectPr>
      </w:pPr>
    </w:p>
    <w:p>
      <w:pPr>
        <w:ind w:left="260" w:right="20"/>
        <w:spacing w:after="0" w:line="267"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11420"/>
          </w:cols>
          <w:pgMar w:left="240" w:top="1097" w:right="239" w:bottom="1440" w:gutter="0" w:footer="0" w:header="0"/>
          <w:type w:val="continuous"/>
        </w:sectPr>
      </w:pPr>
    </w:p>
    <w:p>
      <w:pPr>
        <w:spacing w:after="0" w:line="124"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Group Inc.</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48" w:lineRule="exact"/>
        <w:rPr>
          <w:sz w:val="24"/>
          <w:szCs w:val="24"/>
          <w:color w:val="auto"/>
        </w:rPr>
      </w:pPr>
    </w:p>
    <w:p>
      <w:pPr>
        <w:sectPr>
          <w:pgSz w:w="11900" w:h="16838" w:orient="portrait"/>
          <w:cols w:equalWidth="0" w:num="5">
            <w:col w:w="9140" w:space="720"/>
            <w:col w:w="100" w:space="480"/>
            <w:col w:w="160" w:space="180"/>
            <w:col w:w="80" w:space="400"/>
            <w:col w:w="160"/>
          </w:cols>
          <w:pgMar w:left="240" w:top="1097" w:right="239" w:bottom="1440" w:gutter="0" w:footer="0" w:header="0"/>
          <w:type w:val="continuous"/>
        </w:sectPr>
      </w:pPr>
    </w:p>
    <w:p>
      <w:pPr>
        <w:spacing w:after="0" w:line="13"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Inc.</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No</w:t>
      </w:r>
    </w:p>
    <w:p>
      <w:pPr>
        <w:spacing w:after="0" w:line="88" w:lineRule="exact"/>
        <w:rPr>
          <w:sz w:val="24"/>
          <w:szCs w:val="24"/>
          <w:color w:val="auto"/>
        </w:rPr>
      </w:pPr>
    </w:p>
    <w:p>
      <w:pPr>
        <w:sectPr>
          <w:pgSz w:w="11900" w:h="16838" w:orient="portrait"/>
          <w:cols w:equalWidth="0" w:num="5">
            <w:col w:w="9140" w:space="720"/>
            <w:col w:w="100" w:space="480"/>
            <w:col w:w="160" w:space="180"/>
            <w:col w:w="80" w:space="400"/>
            <w:col w:w="160"/>
          </w:cols>
          <w:pgMar w:left="240" w:top="1097" w:right="239" w:bottom="1440" w:gutter="0" w:footer="0" w:header="0"/>
          <w:type w:val="continuous"/>
        </w:sectPr>
      </w:pPr>
    </w:p>
    <w:p>
      <w:pPr>
        <w:ind w:left="260"/>
        <w:spacing w:after="0" w:line="26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1097" w:right="239" w:bottom="1440" w:gutter="0" w:footer="0" w:header="0"/>
          <w:type w:val="continuous"/>
        </w:sectPr>
      </w:pPr>
    </w:p>
    <w:p>
      <w:pPr>
        <w:spacing w:after="0" w:line="178"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Group Inc.</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w:t>
      </w:r>
    </w:p>
    <w:p>
      <w:pPr>
        <w:spacing w:after="0" w:line="60" w:lineRule="exact"/>
        <w:rPr>
          <w:sz w:val="24"/>
          <w:szCs w:val="24"/>
          <w:color w:val="auto"/>
        </w:rPr>
      </w:pPr>
    </w:p>
    <w:p>
      <w:pPr>
        <w:sectPr>
          <w:pgSz w:w="11900" w:h="16838" w:orient="portrait"/>
          <w:cols w:equalWidth="0" w:num="6">
            <w:col w:w="1420" w:space="340"/>
            <w:col w:w="1240" w:space="580"/>
            <w:col w:w="940" w:space="560"/>
            <w:col w:w="1140" w:space="560"/>
            <w:col w:w="1480" w:space="680"/>
            <w:col w:w="2480"/>
          </w:cols>
          <w:pgMar w:left="240" w:top="1097" w:right="239" w:bottom="1440" w:gutter="0" w:footer="0" w:header="0"/>
          <w:type w:val="continuous"/>
        </w:sectPr>
      </w:pPr>
    </w:p>
    <w:p>
      <w:pPr>
        <w:spacing w:after="0" w:line="13"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Inc.</w:t>
      </w:r>
    </w:p>
    <w:p>
      <w:pPr>
        <w:spacing w:after="0" w:line="20" w:lineRule="exact"/>
        <w:rPr>
          <w:sz w:val="24"/>
          <w:szCs w:val="24"/>
          <w:color w:val="auto"/>
        </w:rPr>
      </w:pPr>
      <w:r>
        <w:rPr>
          <w:sz w:val="24"/>
          <w:szCs w:val="24"/>
          <w:color w:val="auto"/>
        </w:rPr>
        <w:br w:type="column"/>
      </w:r>
    </w:p>
    <w:p>
      <w:pPr>
        <w:jc w:val="cente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Large Accelerated Filer</w:t>
      </w:r>
    </w:p>
    <w:p>
      <w:pPr>
        <w:spacing w:after="0" w:line="20" w:lineRule="exact"/>
        <w:rPr>
          <w:sz w:val="24"/>
          <w:szCs w:val="24"/>
          <w:color w:val="auto"/>
        </w:rPr>
      </w:pPr>
      <w:r>
        <w:rPr>
          <w:sz w:val="24"/>
          <w:szCs w:val="24"/>
          <w:color w:val="auto"/>
        </w:rPr>
        <w:br w:type="column"/>
      </w:r>
    </w:p>
    <w:p>
      <w:pPr>
        <w:jc w:val="cente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Accelerated Filer</w:t>
      </w:r>
    </w:p>
    <w:p>
      <w:pPr>
        <w:spacing w:after="0" w:line="20" w:lineRule="exact"/>
        <w:rPr>
          <w:sz w:val="24"/>
          <w:szCs w:val="24"/>
          <w:color w:val="auto"/>
        </w:rPr>
      </w:pPr>
      <w:r>
        <w:rPr>
          <w:sz w:val="24"/>
          <w:szCs w:val="24"/>
          <w:color w:val="auto"/>
        </w:rPr>
        <w:br w:type="column"/>
      </w:r>
    </w:p>
    <w:p>
      <w:pPr>
        <w:jc w:val="cente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Non-accelerated Filer</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w:t>
      </w:r>
    </w:p>
    <w:p>
      <w:pPr>
        <w:spacing w:after="0" w:line="100" w:lineRule="exact"/>
        <w:rPr>
          <w:sz w:val="24"/>
          <w:szCs w:val="24"/>
          <w:color w:val="auto"/>
        </w:rPr>
      </w:pPr>
    </w:p>
    <w:p>
      <w:pPr>
        <w:sectPr>
          <w:pgSz w:w="11900" w:h="16838" w:orient="portrait"/>
          <w:cols w:equalWidth="0" w:num="6">
            <w:col w:w="1100" w:space="660"/>
            <w:col w:w="1240" w:space="580"/>
            <w:col w:w="940" w:space="560"/>
            <w:col w:w="1140" w:space="560"/>
            <w:col w:w="1480" w:space="680"/>
            <w:col w:w="2480"/>
          </w:cols>
          <w:pgMar w:left="240" w:top="1097" w:right="239" w:bottom="1440" w:gutter="0" w:footer="0" w:header="0"/>
          <w:type w:val="continuous"/>
        </w:sectPr>
      </w:pPr>
    </w:p>
    <w:p>
      <w:pPr>
        <w:ind w:left="260"/>
        <w:spacing w:after="0" w:line="267" w:lineRule="auto"/>
        <w:rPr>
          <w:sz w:val="20"/>
          <w:szCs w:val="20"/>
          <w:color w:val="auto"/>
        </w:rPr>
      </w:pPr>
      <w:r>
        <w:rPr>
          <w:rFonts w:ascii="Arial" w:cs="Arial" w:eastAsia="Arial" w:hAnsi="Arial"/>
          <w:sz w:val="11"/>
          <w:szCs w:val="11"/>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146"/>
        </w:trPr>
        <w:tc>
          <w:tcPr>
            <w:tcW w:w="7760" w:type="dxa"/>
            <w:vAlign w:val="bottom"/>
          </w:tcPr>
          <w:p>
            <w:pPr>
              <w:ind w:left="40"/>
              <w:spacing w:after="0"/>
              <w:rPr>
                <w:sz w:val="20"/>
                <w:szCs w:val="20"/>
                <w:color w:val="auto"/>
              </w:rPr>
            </w:pPr>
            <w:r>
              <w:rPr>
                <w:rFonts w:ascii="Arial" w:cs="Arial" w:eastAsia="Arial" w:hAnsi="Arial"/>
                <w:sz w:val="11"/>
                <w:szCs w:val="11"/>
                <w:color w:val="auto"/>
              </w:rPr>
              <w:t>American Airlines Group Inc.</w:t>
            </w:r>
          </w:p>
        </w:tc>
        <w:tc>
          <w:tcPr>
            <w:tcW w:w="2200" w:type="dxa"/>
            <w:vAlign w:val="bottom"/>
          </w:tcPr>
          <w:p>
            <w:pPr>
              <w:spacing w:after="0"/>
              <w:rPr>
                <w:sz w:val="12"/>
                <w:szCs w:val="12"/>
                <w:color w:val="auto"/>
              </w:rPr>
            </w:pPr>
          </w:p>
        </w:tc>
        <w:tc>
          <w:tcPr>
            <w:tcW w:w="74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7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760" w:type="dxa"/>
            <w:vAlign w:val="bottom"/>
          </w:tcPr>
          <w:p>
            <w:pPr>
              <w:ind w:left="40"/>
              <w:spacing w:after="0"/>
              <w:rPr>
                <w:sz w:val="20"/>
                <w:szCs w:val="20"/>
                <w:color w:val="auto"/>
              </w:rPr>
            </w:pPr>
            <w:r>
              <w:rPr>
                <w:rFonts w:ascii="Arial" w:cs="Arial" w:eastAsia="Arial" w:hAnsi="Arial"/>
                <w:sz w:val="11"/>
                <w:szCs w:val="11"/>
                <w:color w:val="auto"/>
              </w:rPr>
              <w:t>American Airlines, Inc.</w:t>
            </w:r>
          </w:p>
        </w:tc>
        <w:tc>
          <w:tcPr>
            <w:tcW w:w="2200" w:type="dxa"/>
            <w:vAlign w:val="bottom"/>
          </w:tcPr>
          <w:p>
            <w:pPr>
              <w:spacing w:after="0"/>
              <w:rPr>
                <w:sz w:val="14"/>
                <w:szCs w:val="14"/>
                <w:color w:val="auto"/>
              </w:rPr>
            </w:pPr>
          </w:p>
        </w:tc>
        <w:tc>
          <w:tcPr>
            <w:tcW w:w="74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7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760" w:type="dxa"/>
            <w:vAlign w:val="bottom"/>
          </w:tcPr>
          <w:p>
            <w:pPr>
              <w:ind w:left="26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p>
        </w:tc>
        <w:tc>
          <w:tcPr>
            <w:tcW w:w="2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7760" w:type="dxa"/>
            <w:vAlign w:val="bottom"/>
          </w:tcPr>
          <w:p>
            <w:pPr>
              <w:ind w:left="40"/>
              <w:spacing w:after="0"/>
              <w:rPr>
                <w:sz w:val="20"/>
                <w:szCs w:val="20"/>
                <w:color w:val="auto"/>
              </w:rPr>
            </w:pPr>
            <w:r>
              <w:rPr>
                <w:rFonts w:ascii="Arial" w:cs="Arial" w:eastAsia="Arial" w:hAnsi="Arial"/>
                <w:sz w:val="11"/>
                <w:szCs w:val="11"/>
                <w:color w:val="auto"/>
              </w:rPr>
              <w:t>American Airlines Group Inc.</w:t>
            </w:r>
          </w:p>
        </w:tc>
        <w:tc>
          <w:tcPr>
            <w:tcW w:w="2200" w:type="dxa"/>
            <w:vAlign w:val="bottom"/>
          </w:tcPr>
          <w:p>
            <w:pPr>
              <w:ind w:left="2100"/>
              <w:spacing w:after="0" w:line="111" w:lineRule="exact"/>
              <w:rPr>
                <w:sz w:val="20"/>
                <w:szCs w:val="20"/>
                <w:color w:val="auto"/>
              </w:rPr>
            </w:pPr>
            <w:r>
              <w:rPr>
                <w:rFonts w:ascii="MS PGothic" w:cs="MS PGothic" w:eastAsia="MS PGothic" w:hAnsi="MS PGothic"/>
                <w:sz w:val="11"/>
                <w:szCs w:val="11"/>
                <w:color w:val="auto"/>
                <w:w w:val="72"/>
              </w:rPr>
              <w:t>☐</w:t>
            </w:r>
          </w:p>
        </w:tc>
        <w:tc>
          <w:tcPr>
            <w:tcW w:w="740" w:type="dxa"/>
            <w:vAlign w:val="bottom"/>
          </w:tcPr>
          <w:p>
            <w:pPr>
              <w:ind w:left="480"/>
              <w:spacing w:after="0"/>
              <w:rPr>
                <w:sz w:val="20"/>
                <w:szCs w:val="20"/>
                <w:color w:val="auto"/>
              </w:rPr>
            </w:pPr>
            <w:r>
              <w:rPr>
                <w:rFonts w:ascii="Arial" w:cs="Arial" w:eastAsia="Arial" w:hAnsi="Arial"/>
                <w:sz w:val="11"/>
                <w:szCs w:val="11"/>
                <w:color w:val="auto"/>
              </w:rPr>
              <w:t>Yes</w:t>
            </w:r>
          </w:p>
        </w:tc>
        <w:tc>
          <w:tcPr>
            <w:tcW w:w="36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40" w:type="dxa"/>
            <w:vAlign w:val="bottom"/>
          </w:tcPr>
          <w:p>
            <w:pPr>
              <w:ind w:left="200"/>
              <w:spacing w:after="0"/>
              <w:rPr>
                <w:sz w:val="20"/>
                <w:szCs w:val="20"/>
                <w:color w:val="auto"/>
              </w:rPr>
            </w:pPr>
            <w:r>
              <w:rPr>
                <w:rFonts w:ascii="Arial" w:cs="Arial" w:eastAsia="Arial" w:hAnsi="Arial"/>
                <w:sz w:val="11"/>
                <w:szCs w:val="11"/>
                <w:color w:val="auto"/>
                <w:w w:val="85"/>
              </w:rPr>
              <w:t>No</w:t>
            </w:r>
          </w:p>
        </w:tc>
        <w:tc>
          <w:tcPr>
            <w:tcW w:w="0" w:type="dxa"/>
            <w:vAlign w:val="bottom"/>
          </w:tcPr>
          <w:p>
            <w:pPr>
              <w:spacing w:after="0"/>
              <w:rPr>
                <w:sz w:val="1"/>
                <w:szCs w:val="1"/>
                <w:color w:val="auto"/>
              </w:rPr>
            </w:pPr>
          </w:p>
        </w:tc>
      </w:tr>
      <w:tr>
        <w:trPr>
          <w:trHeight w:val="166"/>
        </w:trPr>
        <w:tc>
          <w:tcPr>
            <w:tcW w:w="7760" w:type="dxa"/>
            <w:vAlign w:val="bottom"/>
          </w:tcPr>
          <w:p>
            <w:pPr>
              <w:ind w:left="40"/>
              <w:spacing w:after="0"/>
              <w:rPr>
                <w:sz w:val="20"/>
                <w:szCs w:val="20"/>
                <w:color w:val="auto"/>
              </w:rPr>
            </w:pPr>
            <w:r>
              <w:rPr>
                <w:rFonts w:ascii="Arial" w:cs="Arial" w:eastAsia="Arial" w:hAnsi="Arial"/>
                <w:sz w:val="11"/>
                <w:szCs w:val="11"/>
                <w:color w:val="auto"/>
              </w:rPr>
              <w:t>American Airlines, Inc.</w:t>
            </w:r>
          </w:p>
        </w:tc>
        <w:tc>
          <w:tcPr>
            <w:tcW w:w="2200" w:type="dxa"/>
            <w:vAlign w:val="bottom"/>
            <w:vMerge w:val="restart"/>
          </w:tcPr>
          <w:p>
            <w:pPr>
              <w:ind w:left="2100"/>
              <w:spacing w:after="0" w:line="111" w:lineRule="exact"/>
              <w:rPr>
                <w:sz w:val="20"/>
                <w:szCs w:val="20"/>
                <w:color w:val="auto"/>
              </w:rPr>
            </w:pPr>
            <w:r>
              <w:rPr>
                <w:rFonts w:ascii="MS PGothic" w:cs="MS PGothic" w:eastAsia="MS PGothic" w:hAnsi="MS PGothic"/>
                <w:sz w:val="11"/>
                <w:szCs w:val="11"/>
                <w:color w:val="auto"/>
                <w:w w:val="72"/>
              </w:rPr>
              <w:t>☐</w:t>
            </w:r>
          </w:p>
        </w:tc>
        <w:tc>
          <w:tcPr>
            <w:tcW w:w="740" w:type="dxa"/>
            <w:vAlign w:val="bottom"/>
            <w:vMerge w:val="restart"/>
          </w:tcPr>
          <w:p>
            <w:pPr>
              <w:ind w:left="480"/>
              <w:spacing w:after="0"/>
              <w:rPr>
                <w:sz w:val="20"/>
                <w:szCs w:val="20"/>
                <w:color w:val="auto"/>
              </w:rPr>
            </w:pPr>
            <w:r>
              <w:rPr>
                <w:rFonts w:ascii="Arial" w:cs="Arial" w:eastAsia="Arial" w:hAnsi="Arial"/>
                <w:sz w:val="11"/>
                <w:szCs w:val="11"/>
                <w:color w:val="auto"/>
              </w:rPr>
              <w:t>Yes</w:t>
            </w:r>
          </w:p>
        </w:tc>
        <w:tc>
          <w:tcPr>
            <w:tcW w:w="36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40" w:type="dxa"/>
            <w:vAlign w:val="bottom"/>
            <w:vMerge w:val="restart"/>
          </w:tcPr>
          <w:p>
            <w:pPr>
              <w:ind w:left="200"/>
              <w:spacing w:after="0"/>
              <w:rPr>
                <w:sz w:val="20"/>
                <w:szCs w:val="20"/>
                <w:color w:val="auto"/>
              </w:rPr>
            </w:pPr>
            <w:r>
              <w:rPr>
                <w:rFonts w:ascii="Arial" w:cs="Arial" w:eastAsia="Arial" w:hAnsi="Arial"/>
                <w:sz w:val="11"/>
                <w:szCs w:val="11"/>
                <w:color w:val="auto"/>
                <w:w w:val="85"/>
              </w:rPr>
              <w:t>No</w:t>
            </w:r>
          </w:p>
        </w:tc>
        <w:tc>
          <w:tcPr>
            <w:tcW w:w="0" w:type="dxa"/>
            <w:vAlign w:val="bottom"/>
          </w:tcPr>
          <w:p>
            <w:pPr>
              <w:spacing w:after="0"/>
              <w:rPr>
                <w:sz w:val="1"/>
                <w:szCs w:val="1"/>
                <w:color w:val="auto"/>
              </w:rPr>
            </w:pPr>
          </w:p>
        </w:tc>
      </w:tr>
      <w:tr>
        <w:trPr>
          <w:trHeight w:val="105"/>
        </w:trPr>
        <w:tc>
          <w:tcPr>
            <w:tcW w:w="776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Arial" w:cs="Arial" w:eastAsia="Arial" w:hAnsi="Arial"/>
                <w:sz w:val="11"/>
                <w:szCs w:val="11"/>
                <w:color w:val="auto"/>
              </w:rPr>
              <w:t>As of April 22, 2019, there were 444,835,115 shares of American Airlines Group Inc. common stock outstanding.</w:t>
            </w:r>
          </w:p>
        </w:tc>
        <w:tc>
          <w:tcPr>
            <w:tcW w:w="2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spacing w:after="0"/>
        <w:rPr>
          <w:sz w:val="20"/>
          <w:szCs w:val="20"/>
          <w:color w:val="auto"/>
        </w:rPr>
      </w:pPr>
      <w:r>
        <w:rPr>
          <w:rFonts w:ascii="Arial" w:cs="Arial" w:eastAsia="Arial" w:hAnsi="Arial"/>
          <w:sz w:val="11"/>
          <w:szCs w:val="11"/>
          <w:color w:val="auto"/>
        </w:rPr>
        <w:t>As of April 22, 2019,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Quarterly Period Ended March 31, 2019</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57"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6866255</wp:posOffset>
            </wp:positionH>
            <wp:positionV relativeFrom="paragraph">
              <wp:posOffset>27305</wp:posOffset>
            </wp:positionV>
            <wp:extent cx="360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 FINANCIAL INFORMATION</w:t>
      </w:r>
    </w:p>
    <w:p>
      <w:pPr>
        <w:sectPr>
          <w:pgSz w:w="11900" w:h="16838" w:orient="portrait"/>
          <w:cols w:equalWidth="0" w:num="1">
            <w:col w:w="11360"/>
          </w:cols>
          <w:pgMar w:left="280" w:top="574" w:right="259" w:bottom="1440" w:gutter="0" w:footer="0" w:header="0"/>
        </w:sectPr>
      </w:pPr>
    </w:p>
    <w:p>
      <w:pPr>
        <w:spacing w:after="0" w:line="52"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1A.</w:t>
      </w:r>
      <w:r>
        <w:rPr>
          <w:sz w:val="20"/>
          <w:szCs w:val="20"/>
          <w:color w:val="auto"/>
        </w:rPr>
        <w:tab/>
      </w:r>
      <w:hyperlink w:anchor="page5">
        <w:r>
          <w:rPr>
            <w:rFonts w:ascii="Arial" w:cs="Arial" w:eastAsia="Arial" w:hAnsi="Arial"/>
            <w:sz w:val="17"/>
            <w:szCs w:val="17"/>
            <w:u w:val="single" w:color="auto"/>
            <w:color w:val="0000EE"/>
          </w:rPr>
          <w:t>Condensed Consolidated Financial Statements of American Airlines Group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Income</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Stockholders' Equity</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1B.</w:t>
      </w:r>
      <w:r>
        <w:rPr>
          <w:sz w:val="20"/>
          <w:szCs w:val="20"/>
          <w:color w:val="auto"/>
        </w:rPr>
        <w:tab/>
      </w:r>
      <w:hyperlink w:anchor="page20">
        <w:r>
          <w:rPr>
            <w:rFonts w:ascii="Arial" w:cs="Arial" w:eastAsia="Arial" w:hAnsi="Arial"/>
            <w:sz w:val="17"/>
            <w:szCs w:val="17"/>
            <w:u w:val="single" w:color="auto"/>
            <w:color w:val="0000EE"/>
          </w:rPr>
          <w:t>Condensed Consolidated Financial Statements of American Airlines,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Condensed Consolidated Statements of Comprehensive Income</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Condensed Consolidated Statements of Stockholder's Equity</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34">
        <w:r>
          <w:rPr>
            <w:rFonts w:ascii="Arial" w:cs="Arial" w:eastAsia="Arial" w:hAnsi="Arial"/>
            <w:sz w:val="17"/>
            <w:szCs w:val="17"/>
            <w:u w:val="single" w:color="auto"/>
            <w:color w:val="0000EE"/>
          </w:rPr>
          <w:t>Management’s Discussion and Analysis of Financial Condition and Results of Operations</w:t>
        </w:r>
      </w:hyperlink>
    </w:p>
    <w:p>
      <w:pPr>
        <w:spacing w:after="0" w:line="50"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50">
        <w:r>
          <w:rPr>
            <w:rFonts w:ascii="Arial" w:cs="Arial" w:eastAsia="Arial" w:hAnsi="Arial"/>
            <w:sz w:val="17"/>
            <w:szCs w:val="17"/>
            <w:u w:val="single" w:color="auto"/>
            <w:color w:val="0000EE"/>
          </w:rPr>
          <w:t>Quantitative and Qualitative Disclosures About Market Risk</w:t>
        </w:r>
      </w:hyperlink>
    </w:p>
    <w:p>
      <w:pPr>
        <w:spacing w:after="0" w:line="50"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51">
        <w:r>
          <w:rPr>
            <w:rFonts w:ascii="Arial" w:cs="Arial" w:eastAsia="Arial" w:hAnsi="Arial"/>
            <w:sz w:val="17"/>
            <w:szCs w:val="17"/>
            <w:u w:val="single" w:color="auto"/>
            <w:color w:val="0000EE"/>
          </w:rPr>
          <w:t>Controls and Procedures</w:t>
        </w:r>
      </w:hyperlink>
    </w:p>
    <w:p>
      <w:pPr>
        <w:spacing w:after="0" w:line="48"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7</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9</w:t>
        </w:r>
      </w:hyperlink>
    </w:p>
    <w:p>
      <w:pPr>
        <w:spacing w:after="0" w:line="50" w:lineRule="exact"/>
        <w:rPr>
          <w:sz w:val="20"/>
          <w:szCs w:val="20"/>
          <w:color w:val="auto"/>
        </w:rPr>
      </w:pPr>
    </w:p>
    <w:p>
      <w:pPr>
        <w:jc w:val="right"/>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19</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19</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20</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21</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22</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23</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24</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33</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50">
        <w:r>
          <w:rPr>
            <w:rFonts w:ascii="Arial" w:cs="Arial" w:eastAsia="Arial" w:hAnsi="Arial"/>
            <w:sz w:val="17"/>
            <w:szCs w:val="17"/>
            <w:u w:val="single" w:color="auto"/>
            <w:color w:val="0000EE"/>
          </w:rPr>
          <w:t>49</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50</w:t>
        </w:r>
      </w:hyperlink>
    </w:p>
    <w:p>
      <w:pPr>
        <w:spacing w:after="0" w:line="309" w:lineRule="exact"/>
        <w:rPr>
          <w:sz w:val="20"/>
          <w:szCs w:val="20"/>
          <w:color w:val="auto"/>
        </w:rPr>
      </w:pPr>
    </w:p>
    <w:p>
      <w:pPr>
        <w:sectPr>
          <w:pgSz w:w="11900" w:h="16838" w:orient="portrait"/>
          <w:cols w:equalWidth="0" w:num="2">
            <w:col w:w="10440" w:space="720"/>
            <w:col w:w="200"/>
          </w:cols>
          <w:pgMar w:left="280" w:top="57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200" w:type="dxa"/>
            <w:vAlign w:val="bottom"/>
          </w:tcPr>
          <w:p>
            <w:pPr>
              <w:jc w:val="right"/>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20"/>
                <w:szCs w:val="20"/>
                <w:color w:val="auto"/>
              </w:rPr>
            </w:pPr>
          </w:p>
        </w:tc>
        <w:tc>
          <w:tcPr>
            <w:tcW w:w="7960" w:type="dxa"/>
            <w:vAlign w:val="bottom"/>
            <w:gridSpan w:val="2"/>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Unregistered Sales of Equity Securities and Use of Proceeds</w:t>
              </w:r>
            </w:hyperlink>
          </w:p>
        </w:tc>
        <w:tc>
          <w:tcPr>
            <w:tcW w:w="200" w:type="dxa"/>
            <w:vAlign w:val="bottom"/>
          </w:tcPr>
          <w:p>
            <w:pPr>
              <w:jc w:val="right"/>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72</w:t>
              </w:r>
            </w:hyperlink>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Exhibits</w:t>
              </w:r>
            </w:hyperlink>
          </w:p>
        </w:tc>
        <w:tc>
          <w:tcPr>
            <w:tcW w:w="460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73</w:t>
              </w:r>
            </w:hyperlink>
          </w:p>
        </w:tc>
      </w:tr>
      <w:tr>
        <w:trPr>
          <w:trHeight w:val="237"/>
        </w:trPr>
        <w:tc>
          <w:tcPr>
            <w:tcW w:w="1720" w:type="dxa"/>
            <w:vAlign w:val="bottom"/>
            <w:gridSpan w:val="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r>
      <w:tr>
        <w:trPr>
          <w:trHeight w:val="713"/>
        </w:trPr>
        <w:tc>
          <w:tcPr>
            <w:tcW w:w="11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gridSpan w:val="4"/>
          </w:tcPr>
          <w:p>
            <w:pPr>
              <w:ind w:left="3900"/>
              <w:spacing w:after="0"/>
              <w:rPr>
                <w:sz w:val="20"/>
                <w:szCs w:val="20"/>
                <w:color w:val="auto"/>
              </w:rPr>
            </w:pPr>
            <w:r>
              <w:rPr>
                <w:rFonts w:ascii="Arial" w:cs="Arial" w:eastAsia="Arial" w:hAnsi="Arial"/>
                <w:sz w:val="18"/>
                <w:szCs w:val="18"/>
                <w:color w:val="auto"/>
              </w:rPr>
              <w:t>1</w:t>
            </w:r>
          </w:p>
        </w:tc>
        <w:tc>
          <w:tcPr>
            <w:tcW w:w="46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74" w:right="2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92"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29"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2"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 millions, except shares and per share amounts)(Unaudited)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45"/>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9,480</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65"/>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694</w:t>
            </w:r>
          </w:p>
        </w:tc>
      </w:tr>
      <w:tr>
        <w:trPr>
          <w:trHeight w:val="255"/>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10,584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10,401</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42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3,017</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1,698</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42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469</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42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309</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440</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65"/>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1,261</w:t>
            </w:r>
          </w:p>
        </w:tc>
      </w:tr>
      <w:tr>
        <w:trPr>
          <w:trHeight w:val="255"/>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10,209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10,005</w:t>
            </w:r>
          </w:p>
        </w:tc>
      </w:tr>
      <w:tr>
        <w:trPr>
          <w:trHeight w:val="245"/>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396</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65"/>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r>
      <w:tr>
        <w:trPr>
          <w:trHeight w:val="255"/>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nonoperating expense, net</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5"/>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238</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85"/>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w:t>
            </w:r>
          </w:p>
        </w:tc>
      </w:tr>
      <w:tr>
        <w:trPr>
          <w:trHeight w:val="282"/>
        </w:trPr>
        <w:tc>
          <w:tcPr>
            <w:tcW w:w="7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0.34</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451,951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472,297</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453,429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474,598</w:t>
            </w:r>
          </w:p>
        </w:tc>
      </w:tr>
      <w:tr>
        <w:trPr>
          <w:trHeight w:val="261"/>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-5876290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millions)(Unaudited)</w:t>
      </w:r>
    </w:p>
    <w:p>
      <w:pPr>
        <w:spacing w:after="0" w:line="356"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27305</wp:posOffset>
            </wp:positionV>
            <wp:extent cx="2246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1"/>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5"/>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Investments</w:t>
            </w:r>
          </w:p>
        </w:tc>
        <w:tc>
          <w:tcPr>
            <w:tcW w:w="1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5"/>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loss, net of tax</w:t>
            </w:r>
          </w:p>
        </w:tc>
        <w:tc>
          <w:tcPr>
            <w:tcW w:w="11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5"/>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141</w:t>
            </w:r>
          </w:p>
        </w:tc>
      </w:tr>
      <w:tr>
        <w:trPr>
          <w:trHeight w:val="20"/>
        </w:trPr>
        <w:tc>
          <w:tcPr>
            <w:tcW w:w="7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w:t>
            </w:r>
          </w:p>
        </w:tc>
        <w:tc>
          <w:tcPr>
            <w:tcW w:w="2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337</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4,012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4,485</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 and short-term investments</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1,876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1,706</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Aircraft fuel, spare parts and supplies, net</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1,666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1,522</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Prepaid expenses and other</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607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495</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current assets</w:t>
            </w:r>
          </w:p>
        </w:tc>
        <w:tc>
          <w:tcPr>
            <w:tcW w:w="26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8,654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8,637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Operating property and equipment</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Flight equipment</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42,013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41,499</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Ground property and equipment</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8,932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8,764</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Equipment purchase deposits</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property and equipment, at cost</w:t>
            </w:r>
          </w:p>
        </w:tc>
        <w:tc>
          <w:tcPr>
            <w:tcW w:w="260" w:type="dxa"/>
            <w:vAlign w:val="bottom"/>
          </w:tcPr>
          <w:p>
            <w:pPr>
              <w:spacing w:after="0"/>
              <w:rPr>
                <w:sz w:val="16"/>
                <w:szCs w:val="16"/>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52,156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51,541</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(17,746)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(17,443)</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property and equipment, net</w:t>
            </w:r>
          </w:p>
        </w:tc>
        <w:tc>
          <w:tcPr>
            <w:tcW w:w="260" w:type="dxa"/>
            <w:vAlign w:val="bottom"/>
          </w:tcPr>
          <w:p>
            <w:pPr>
              <w:spacing w:after="0"/>
              <w:rPr>
                <w:sz w:val="16"/>
                <w:szCs w:val="16"/>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34,410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34,098</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Operating lease right-of-use assets</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9,124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9,151</w:t>
            </w: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Other assets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4,091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Intangibles, net of accumulated amortization of $673 and $663, respectively</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2,115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2,137</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Deferred tax asset</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1,007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1,145</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1,386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1,321</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other assets</w:t>
            </w:r>
          </w:p>
        </w:tc>
        <w:tc>
          <w:tcPr>
            <w:tcW w:w="26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8,599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8,694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7660" w:type="dxa"/>
            <w:vAlign w:val="bottom"/>
            <w:tcBorders>
              <w:bottom w:val="single" w:sz="8" w:color="CCEEFF"/>
            </w:tcBorders>
          </w:tcPr>
          <w:p>
            <w:pPr>
              <w:ind w:left="104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60,787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60,580</w:t>
            </w:r>
          </w:p>
        </w:tc>
        <w:tc>
          <w:tcPr>
            <w:tcW w:w="0" w:type="dxa"/>
            <w:vAlign w:val="bottom"/>
          </w:tcPr>
          <w:p>
            <w:pPr>
              <w:spacing w:after="0"/>
              <w:rPr>
                <w:sz w:val="1"/>
                <w:szCs w:val="1"/>
                <w:color w:val="auto"/>
              </w:rPr>
            </w:pPr>
          </w:p>
        </w:tc>
      </w:tr>
      <w:tr>
        <w:trPr>
          <w:trHeight w:val="254"/>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LIABILITIES AND STOCKHOLDERS’ EQUITY (DEFICIT)</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maturities of long-term debt and finance leases</w:t>
            </w:r>
          </w:p>
        </w:tc>
        <w:tc>
          <w:tcPr>
            <w:tcW w:w="2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3,370</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3,294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Accounts payable</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2,139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1,773</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salaries and wages</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1,427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Air traffic liability</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5,930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4,339</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Loyalty program liability</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3,267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Operating lease liabilities</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1,629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1,654</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accrued liabilities</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2,210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2,342</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6"/>
                <w:szCs w:val="16"/>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19,849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18,096</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Long-term debt and finance leases, net of current maturities</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20,660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21,179</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Pension and postretirement benefits</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6,519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6,907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Loyalty program liability</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5,214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5,272</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lease liabilities</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7,785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7,902</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Other liabilities</w:t>
            </w:r>
          </w:p>
        </w:tc>
        <w:tc>
          <w:tcPr>
            <w:tcW w:w="260" w:type="dxa"/>
            <w:vAlign w:val="bottom"/>
          </w:tcPr>
          <w:p>
            <w:pPr>
              <w:spacing w:after="0"/>
              <w:rPr>
                <w:sz w:val="18"/>
                <w:szCs w:val="18"/>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1,396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1,393</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noncurrent liabilities</w:t>
            </w:r>
          </w:p>
        </w:tc>
        <w:tc>
          <w:tcPr>
            <w:tcW w:w="26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41,574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42,653</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Stockholders’ equity (deficit)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7660" w:type="dxa"/>
            <w:vAlign w:val="bottom"/>
          </w:tcPr>
          <w:p>
            <w:pPr>
              <w:ind w:left="380"/>
              <w:spacing w:after="0" w:line="166" w:lineRule="exact"/>
              <w:rPr>
                <w:sz w:val="20"/>
                <w:szCs w:val="20"/>
                <w:color w:val="auto"/>
              </w:rPr>
            </w:pPr>
            <w:r>
              <w:rPr>
                <w:rFonts w:ascii="Arial" w:cs="Arial" w:eastAsia="Arial" w:hAnsi="Arial"/>
                <w:sz w:val="15"/>
                <w:szCs w:val="15"/>
                <w:color w:val="auto"/>
              </w:rPr>
              <w:t>Common stock, $0.01 par value; 1,750,000,000 shares authorized, 444,216,229 shares issued and</w:t>
            </w:r>
          </w:p>
        </w:tc>
        <w:tc>
          <w:tcPr>
            <w:tcW w:w="260" w:type="dxa"/>
            <w:vAlign w:val="bottom"/>
          </w:tcPr>
          <w:p>
            <w:pPr>
              <w:spacing w:after="0"/>
              <w:rPr>
                <w:sz w:val="14"/>
                <w:szCs w:val="14"/>
                <w:color w:val="auto"/>
              </w:rPr>
            </w:pPr>
          </w:p>
        </w:tc>
        <w:tc>
          <w:tcPr>
            <w:tcW w:w="1560" w:type="dxa"/>
            <w:vAlign w:val="bottom"/>
            <w:vMerge w:val="restart"/>
          </w:tcPr>
          <w:p>
            <w:pPr>
              <w:jc w:val="right"/>
              <w:ind w:right="24"/>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9"/>
        </w:trPr>
        <w:tc>
          <w:tcPr>
            <w:tcW w:w="7660" w:type="dxa"/>
            <w:vAlign w:val="bottom"/>
          </w:tcPr>
          <w:p>
            <w:pPr>
              <w:ind w:left="380"/>
              <w:spacing w:after="0"/>
              <w:rPr>
                <w:sz w:val="20"/>
                <w:szCs w:val="20"/>
                <w:color w:val="auto"/>
              </w:rPr>
            </w:pPr>
            <w:r>
              <w:rPr>
                <w:rFonts w:ascii="Arial" w:cs="Arial" w:eastAsia="Arial" w:hAnsi="Arial"/>
                <w:sz w:val="15"/>
                <w:szCs w:val="15"/>
                <w:color w:val="auto"/>
              </w:rPr>
              <w:t>outstanding at March 31, 2019; 460,610,870 shares issued and outstanding at December 31, 2018</w:t>
            </w:r>
          </w:p>
        </w:tc>
        <w:tc>
          <w:tcPr>
            <w:tcW w:w="2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4,371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4,964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(5,909)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(5,896)</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26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758</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stockholders’ deficit</w:t>
            </w:r>
          </w:p>
        </w:tc>
        <w:tc>
          <w:tcPr>
            <w:tcW w:w="26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(636)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60,787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60,580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74"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4"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51"/>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8"/>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Sales of short-term investments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1,029</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 in restricted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65"/>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investing activities</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7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8"/>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Payments on long-term debt and finance leases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Treasury stock repurchases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Dividend payments</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5"/>
        </w:trPr>
        <w:tc>
          <w:tcPr>
            <w:tcW w:w="788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r>
      <w:tr>
        <w:trPr>
          <w:trHeight w:val="25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and restricted cash</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65"/>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w:t>
            </w:r>
          </w:p>
        </w:tc>
      </w:tr>
      <w:tr>
        <w:trPr>
          <w:trHeight w:val="255"/>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4"/>
        </w:trPr>
        <w:tc>
          <w:tcPr>
            <w:tcW w:w="21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7"/>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Right-of-use assets obtained in exchange for lease liabilities: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3"/>
        </w:trPr>
        <w:tc>
          <w:tcPr>
            <w:tcW w:w="2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Operating leases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65"/>
        </w:trPr>
        <w:tc>
          <w:tcPr>
            <w:tcW w:w="7880" w:type="dxa"/>
            <w:vAlign w:val="bottom"/>
            <w:gridSpan w:val="2"/>
          </w:tcPr>
          <w:p>
            <w:pPr>
              <w:ind w:left="720"/>
              <w:spacing w:after="0"/>
              <w:rPr>
                <w:sz w:val="20"/>
                <w:szCs w:val="20"/>
                <w:color w:val="auto"/>
              </w:rPr>
            </w:pPr>
            <w:r>
              <w:rPr>
                <w:rFonts w:ascii="Arial" w:cs="Arial" w:eastAsia="Arial" w:hAnsi="Arial"/>
                <w:sz w:val="18"/>
                <w:szCs w:val="18"/>
                <w:color w:val="auto"/>
              </w:rPr>
              <w:t>Finance leases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Interest paid, net</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2120" w:type="dxa"/>
            <w:vAlign w:val="bottom"/>
            <w:tcBorders>
              <w:bottom w:val="single" w:sz="8" w:color="auto"/>
            </w:tcBorders>
          </w:tcPr>
          <w:p>
            <w:pPr>
              <w:spacing w:after="0"/>
              <w:rPr>
                <w:sz w:val="22"/>
                <w:szCs w:val="22"/>
                <w:color w:val="auto"/>
              </w:rPr>
            </w:pPr>
          </w:p>
        </w:tc>
        <w:tc>
          <w:tcPr>
            <w:tcW w:w="5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274" w:lineRule="exact"/>
        <w:rPr>
          <w:sz w:val="20"/>
          <w:szCs w:val="20"/>
          <w:color w:val="auto"/>
        </w:rPr>
      </w:pPr>
    </w:p>
    <w:p>
      <w:pPr>
        <w:ind w:left="180" w:hanging="172"/>
        <w:spacing w:after="0" w:line="239" w:lineRule="auto"/>
        <w:tabs>
          <w:tab w:leader="none" w:pos="193" w:val="left"/>
        </w:tabs>
        <w:numPr>
          <w:ilvl w:val="0"/>
          <w:numId w:val="2"/>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r>
      <w:tr>
        <w:trPr>
          <w:trHeight w:val="265"/>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55"/>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0"/>
        </w:trPr>
        <w:tc>
          <w:tcPr>
            <w:tcW w:w="7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54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51"/>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61"/>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62"/>
        </w:trPr>
        <w:tc>
          <w:tcPr>
            <w:tcW w:w="5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185</w:t>
            </w:r>
          </w:p>
        </w:tc>
      </w:tr>
      <w:tr>
        <w:trPr>
          <w:trHeight w:val="278"/>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62"/>
        </w:trPr>
        <w:tc>
          <w:tcPr>
            <w:tcW w:w="5460" w:type="dxa"/>
            <w:vAlign w:val="bottom"/>
          </w:tcPr>
          <w:p>
            <w:pPr>
              <w:ind w:left="40"/>
              <w:spacing w:after="0"/>
              <w:rPr>
                <w:sz w:val="20"/>
                <w:szCs w:val="20"/>
                <w:color w:val="auto"/>
              </w:rPr>
            </w:pPr>
            <w:r>
              <w:rPr>
                <w:rFonts w:ascii="Arial" w:cs="Arial" w:eastAsia="Arial" w:hAnsi="Arial"/>
                <w:sz w:val="16"/>
                <w:szCs w:val="16"/>
                <w:color w:val="auto"/>
              </w:rPr>
              <w:t>Purchase and retirement of 16,947,393 shares of AAG common stock</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78"/>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198"/>
        </w:trPr>
        <w:tc>
          <w:tcPr>
            <w:tcW w:w="5460" w:type="dxa"/>
            <w:vAlign w:val="bottom"/>
          </w:tcPr>
          <w:p>
            <w:pPr>
              <w:ind w:left="40"/>
              <w:spacing w:after="0"/>
              <w:rPr>
                <w:sz w:val="20"/>
                <w:szCs w:val="20"/>
                <w:color w:val="auto"/>
              </w:rPr>
            </w:pPr>
            <w:r>
              <w:rPr>
                <w:rFonts w:ascii="Arial" w:cs="Arial" w:eastAsia="Arial" w:hAnsi="Arial"/>
                <w:sz w:val="16"/>
                <w:szCs w:val="16"/>
                <w:color w:val="auto"/>
              </w:rPr>
              <w:t>Issuance of 552,752 shares of AAG common stock pursuant to employee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46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8"/>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30"/>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40" w:type="dxa"/>
            <w:vAlign w:val="bottom"/>
          </w:tcPr>
          <w:p>
            <w:pPr>
              <w:spacing w:after="0"/>
              <w:rPr>
                <w:sz w:val="20"/>
                <w:szCs w:val="20"/>
                <w:color w:val="auto"/>
              </w:rPr>
            </w:pPr>
          </w:p>
        </w:tc>
        <w:tc>
          <w:tcPr>
            <w:tcW w:w="660" w:type="dxa"/>
            <w:vAlign w:val="bottom"/>
            <w:gridSpan w:val="2"/>
          </w:tcPr>
          <w:p>
            <w:pPr>
              <w:jc w:val="right"/>
              <w:ind w:right="461"/>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4,371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(5,909)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(636)</w:t>
            </w:r>
          </w:p>
        </w:tc>
      </w:tr>
      <w:tr>
        <w:trPr>
          <w:trHeight w:val="20"/>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512"/>
        </w:trPr>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ind w:right="61"/>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51"/>
        </w:trPr>
        <w:tc>
          <w:tcPr>
            <w:tcW w:w="5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w:t>
            </w:r>
          </w:p>
        </w:tc>
      </w:tr>
      <w:tr>
        <w:trPr>
          <w:trHeight w:val="262"/>
        </w:trPr>
        <w:tc>
          <w:tcPr>
            <w:tcW w:w="5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159</w:t>
            </w:r>
          </w:p>
        </w:tc>
      </w:tr>
      <w:tr>
        <w:trPr>
          <w:trHeight w:val="278"/>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2"/>
        </w:trPr>
        <w:tc>
          <w:tcPr>
            <w:tcW w:w="5460" w:type="dxa"/>
            <w:vAlign w:val="bottom"/>
          </w:tcPr>
          <w:p>
            <w:pPr>
              <w:ind w:left="40"/>
              <w:spacing w:after="0"/>
              <w:rPr>
                <w:sz w:val="20"/>
                <w:szCs w:val="20"/>
                <w:color w:val="auto"/>
              </w:rPr>
            </w:pPr>
            <w:r>
              <w:rPr>
                <w:rFonts w:ascii="Arial" w:cs="Arial" w:eastAsia="Arial" w:hAnsi="Arial"/>
                <w:sz w:val="16"/>
                <w:szCs w:val="16"/>
                <w:color w:val="auto"/>
              </w:rPr>
              <w:t>Purchase and retirement of 8,431,150 shares of AAG common stock</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78"/>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198"/>
        </w:trPr>
        <w:tc>
          <w:tcPr>
            <w:tcW w:w="5460" w:type="dxa"/>
            <w:vAlign w:val="bottom"/>
          </w:tcPr>
          <w:p>
            <w:pPr>
              <w:ind w:left="40"/>
              <w:spacing w:after="0"/>
              <w:rPr>
                <w:sz w:val="20"/>
                <w:szCs w:val="20"/>
                <w:color w:val="auto"/>
              </w:rPr>
            </w:pPr>
            <w:r>
              <w:rPr>
                <w:rFonts w:ascii="Arial" w:cs="Arial" w:eastAsia="Arial" w:hAnsi="Arial"/>
                <w:sz w:val="16"/>
                <w:szCs w:val="16"/>
                <w:color w:val="auto"/>
              </w:rPr>
              <w:t>Issuance of 313,744 shares of AAG common stock pursuant to employee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46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8"/>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198"/>
        </w:trPr>
        <w:tc>
          <w:tcPr>
            <w:tcW w:w="5460" w:type="dxa"/>
            <w:vAlign w:val="bottom"/>
          </w:tcPr>
          <w:p>
            <w:pPr>
              <w:ind w:left="40"/>
              <w:spacing w:after="0"/>
              <w:rPr>
                <w:sz w:val="20"/>
                <w:szCs w:val="20"/>
                <w:color w:val="auto"/>
              </w:rPr>
            </w:pPr>
            <w:r>
              <w:rPr>
                <w:rFonts w:ascii="Arial" w:cs="Arial" w:eastAsia="Arial" w:hAnsi="Arial"/>
                <w:sz w:val="16"/>
                <w:szCs w:val="16"/>
                <w:color w:val="auto"/>
              </w:rPr>
              <w:t>Impact of adoption of Accounting Standards Update (ASU) 2016-01 related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460" w:type="dxa"/>
            <w:vAlign w:val="bottom"/>
          </w:tcPr>
          <w:p>
            <w:pPr>
              <w:ind w:left="200"/>
              <w:spacing w:after="0"/>
              <w:rPr>
                <w:sz w:val="20"/>
                <w:szCs w:val="20"/>
                <w:color w:val="auto"/>
              </w:rPr>
            </w:pPr>
            <w:r>
              <w:rPr>
                <w:rFonts w:ascii="Arial" w:cs="Arial" w:eastAsia="Arial" w:hAnsi="Arial"/>
                <w:sz w:val="16"/>
                <w:szCs w:val="16"/>
                <w:color w:val="auto"/>
              </w:rPr>
              <w:t>to financial instruments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60</w:t>
            </w:r>
          </w:p>
        </w:tc>
      </w:tr>
      <w:tr>
        <w:trPr>
          <w:trHeight w:val="278"/>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Impact of adoption of ASU 2016-02 related to leases</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r>
      <w:tr>
        <w:trPr>
          <w:trHeight w:val="230"/>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5,279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(865)</w:t>
            </w: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4" w:right="239" w:bottom="1440" w:gutter="0" w:footer="0" w:header="0"/>
        </w:sectPr>
      </w:pPr>
    </w:p>
    <w:bookmarkStart w:id="9" w:name="page10"/>
    <w:bookmarkEnd w:id="9"/>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Recent Accounting Pronouncements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Basis of Presentation</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2018.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2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123"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In the fourth quarter of 2018, we adopted ASU 2016-02: Leases (Topic 842) (the New Lease Standard) as of January 1, 2018. In accordance with the New Lease Standard, 2018 periods have been recast to reflect the effects of this adoption. As a result of the adoption of the New Lease Standard, our first quarter of 2018 net income decreased by $27 million.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Recent Accounting Pronouncements</w:t>
      </w:r>
    </w:p>
    <w:p>
      <w:pPr>
        <w:spacing w:after="0" w:line="92" w:lineRule="exact"/>
        <w:rPr>
          <w:sz w:val="20"/>
          <w:szCs w:val="20"/>
          <w:color w:val="auto"/>
        </w:rPr>
      </w:pPr>
    </w:p>
    <w:p>
      <w:pPr>
        <w:jc w:val="both"/>
        <w:ind w:right="20" w:firstLine="216"/>
        <w:spacing w:after="0" w:line="29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This ASU provides the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In the first quarter of 2019, we adopted this standard retrospectively as of December 22, 2017, the date the 2017 Tax Act was enacted, which resulted in the recast of prior reporting periods. As a result of the adoption, we reclassified $622 million of stranded tax effects principally related to our pension plans from accumulated other comprehensive loss to retained earnings.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74" w:right="239" w:bottom="1440" w:gutter="0" w:footer="0" w:header="0"/>
        </w:sectPr>
      </w:pPr>
    </w:p>
    <w:bookmarkStart w:id="10" w:name="page11"/>
    <w:bookmarkEnd w:id="10"/>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51"/>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5"/>
        </w:trPr>
        <w:tc>
          <w:tcPr>
            <w:tcW w:w="7880" w:type="dxa"/>
            <w:vAlign w:val="bottom"/>
          </w:tcPr>
          <w:p>
            <w:pPr>
              <w:ind w:left="28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88"/>
        </w:trPr>
        <w:tc>
          <w:tcPr>
            <w:tcW w:w="78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1"/>
                <w:szCs w:val="21"/>
                <w:color w:val="auto"/>
                <w:vertAlign w:val="superscript"/>
              </w:rPr>
              <w:t>(3)</w:t>
            </w:r>
          </w:p>
        </w:tc>
        <w:tc>
          <w:tcPr>
            <w:tcW w:w="1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5"/>
        </w:trPr>
        <w:tc>
          <w:tcPr>
            <w:tcW w:w="7880" w:type="dxa"/>
            <w:vAlign w:val="bottom"/>
          </w:tcPr>
          <w:p>
            <w:pPr>
              <w:ind w:left="280"/>
              <w:spacing w:after="0"/>
              <w:rPr>
                <w:sz w:val="20"/>
                <w:szCs w:val="20"/>
                <w:color w:val="auto"/>
              </w:rPr>
            </w:pPr>
            <w:r>
              <w:rPr>
                <w:rFonts w:ascii="Arial" w:cs="Arial" w:eastAsia="Arial" w:hAnsi="Arial"/>
                <w:sz w:val="18"/>
                <w:szCs w:val="18"/>
                <w:color w:val="auto"/>
              </w:rPr>
              <w:t>Nonoperating special items, net</w:t>
            </w:r>
          </w:p>
        </w:tc>
        <w:tc>
          <w:tcPr>
            <w:tcW w:w="1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29"/>
        </w:trPr>
        <w:tc>
          <w:tcPr>
            <w:tcW w:w="78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316"/>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1"/>
                <w:szCs w:val="21"/>
                <w:color w:val="auto"/>
                <w:vertAlign w:val="superscript"/>
              </w:rPr>
              <w:t>(4)</w:t>
            </w:r>
          </w:p>
        </w:tc>
        <w:tc>
          <w:tcPr>
            <w:tcW w:w="11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337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0" w:right="20" w:hanging="330"/>
        <w:spacing w:after="0" w:line="239" w:lineRule="auto"/>
        <w:tabs>
          <w:tab w:leader="none" w:pos="50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our technical operations, flight attendant, human resources and payroll systems.</w:t>
      </w:r>
    </w:p>
    <w:p>
      <w:pPr>
        <w:spacing w:after="0" w:line="136"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investments relate to net unrealized gains primarily associated with our equity investment in China Southern Airlines Company Limited (China Southern Airlines).</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for the three months ended March 31, 2018 included a $22 million charge to income tax expense to establish a required valuation allowance related to our estimated refund for Alternative Minimum Tax (AMT) credits.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1" w:right="239" w:bottom="1440" w:gutter="0" w:footer="0" w:header="0"/>
        </w:sectPr>
      </w:pPr>
    </w:p>
    <w:bookmarkStart w:id="11" w:name="page12"/>
    <w:bookmarkEnd w:id="11"/>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92"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following table sets forth the computation of basic and diluted earnings per common share (EPS) (in millions, except share and per share amounts):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45"/>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159</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451,951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472,297</w:t>
            </w:r>
          </w:p>
        </w:tc>
      </w:tr>
      <w:tr>
        <w:trPr>
          <w:trHeight w:val="285"/>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EPS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0.34</w:t>
            </w:r>
          </w:p>
        </w:tc>
      </w:tr>
      <w:tr>
        <w:trPr>
          <w:trHeight w:val="269"/>
        </w:trPr>
        <w:tc>
          <w:tcPr>
            <w:tcW w:w="7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for purposes of computing diluted EPS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r>
      <w:tr>
        <w:trPr>
          <w:trHeight w:val="247"/>
        </w:trPr>
        <w:tc>
          <w:tcPr>
            <w:tcW w:w="7880" w:type="dxa"/>
            <w:vAlign w:val="bottom"/>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
        </w:trPr>
        <w:tc>
          <w:tcPr>
            <w:tcW w:w="7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shares outstanding</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451,951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472,297</w:t>
            </w:r>
          </w:p>
        </w:tc>
      </w:tr>
      <w:tr>
        <w:trPr>
          <w:trHeight w:val="265"/>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Dilutive effect of stock awards</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2,301</w:t>
            </w:r>
          </w:p>
        </w:tc>
      </w:tr>
      <w:tr>
        <w:trPr>
          <w:trHeight w:val="255"/>
        </w:trPr>
        <w:tc>
          <w:tcPr>
            <w:tcW w:w="7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453,429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474,598</w:t>
            </w:r>
          </w:p>
        </w:tc>
      </w:tr>
      <w:tr>
        <w:trPr>
          <w:trHeight w:val="285"/>
        </w:trPr>
        <w:tc>
          <w:tcPr>
            <w:tcW w:w="788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Diluted EPS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0.34</w:t>
            </w:r>
          </w:p>
        </w:tc>
      </w:tr>
      <w:tr>
        <w:trPr>
          <w:trHeight w:val="269"/>
        </w:trPr>
        <w:tc>
          <w:tcPr>
            <w:tcW w:w="7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07"/>
        </w:trPr>
        <w:tc>
          <w:tcPr>
            <w:tcW w:w="7880" w:type="dxa"/>
            <w:vAlign w:val="bottom"/>
          </w:tcPr>
          <w:p>
            <w:pPr>
              <w:ind w:left="40"/>
              <w:spacing w:after="0"/>
              <w:rPr>
                <w:sz w:val="20"/>
                <w:szCs w:val="20"/>
                <w:color w:val="auto"/>
              </w:rPr>
            </w:pPr>
            <w:r>
              <w:rPr>
                <w:rFonts w:ascii="Arial" w:cs="Arial" w:eastAsia="Arial" w:hAnsi="Arial"/>
                <w:sz w:val="18"/>
                <w:szCs w:val="18"/>
                <w:color w:val="auto"/>
              </w:rPr>
              <w:t>Restricted stock unit awards excluded from the calculation of diluted EPS because inclusion</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would be antidilutive (in thousands)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9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April 2018, we announced that our Board of Directors authorized a $2.0 billion share repurchase program that expires on December 31, 2020. Since July 2014, our Board of Directors has approved seven share repurchase programs aggregating $13.0 billion of authority. As of March 31, 2019, there was $1.1 billion of remaining authority to repurchase shares under our current $ 2.0 billion share repurchase program. 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124"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During the three months ended March 31, 2019, we repurchased 16.7 million shares of AAG common stock for $600 million at a weighted average cost per share of $36.02. Since the inception of our share repurchase programs in July 2014 through March 31, 2019, we repurchased 295.6 million shares of AAG common stock for $11.9 billion at a weighted average cost per share of $40.43.</w:t>
      </w:r>
    </w:p>
    <w:p>
      <w:pPr>
        <w:spacing w:after="0" w:line="109"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In January 2019, our Board of Directors declared a cash dividend of $0.10 per share for stockholders of record as of February 6, 2019 and paid on February 20, 2019, totaling $46 million for the first three months of 2019.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1" w:right="239" w:bottom="1440" w:gutter="0" w:footer="0" w:header="0"/>
        </w:sectPr>
      </w:pPr>
    </w:p>
    <w:bookmarkStart w:id="12" w:name="page13"/>
    <w:bookmarkEnd w:id="12"/>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0" w:right="9380" w:hanging="232"/>
        <w:spacing w:after="0" w:line="415" w:lineRule="auto"/>
        <w:tabs>
          <w:tab w:leader="none" w:pos="211"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i w:val="1"/>
          <w:iCs w:val="1"/>
          <w:u w:val="single" w:color="auto"/>
          <w:color w:val="auto"/>
        </w:rPr>
        <w:t>Revenue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the significant categories comprising our reported operating revenues (in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r>
      <w:tr>
        <w:trPr>
          <w:trHeight w:val="26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5"/>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23"/>
                <w:szCs w:val="23"/>
                <w:color w:val="auto"/>
              </w:rPr>
            </w:pPr>
          </w:p>
        </w:tc>
        <w:tc>
          <w:tcPr>
            <w:tcW w:w="1040" w:type="dxa"/>
            <w:vAlign w:val="bottom"/>
          </w:tcPr>
          <w:p>
            <w:pPr>
              <w:jc w:val="right"/>
              <w:ind w:right="816"/>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8,630</w:t>
            </w:r>
          </w:p>
        </w:tc>
      </w:tr>
      <w:tr>
        <w:trPr>
          <w:trHeight w:val="275"/>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45"/>
        </w:trPr>
        <w:tc>
          <w:tcPr>
            <w:tcW w:w="788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9,480</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6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5"/>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65"/>
        </w:trPr>
        <w:tc>
          <w:tcPr>
            <w:tcW w:w="78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r>
      <w:tr>
        <w:trPr>
          <w:trHeight w:val="250"/>
        </w:trPr>
        <w:tc>
          <w:tcPr>
            <w:tcW w:w="7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r>
      <w:tr>
        <w:trPr>
          <w:trHeight w:val="255"/>
        </w:trPr>
        <w:tc>
          <w:tcPr>
            <w:tcW w:w="788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10,584</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10,401</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5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74" w:lineRule="exact"/>
        <w:rPr>
          <w:sz w:val="20"/>
          <w:szCs w:val="20"/>
          <w:color w:val="auto"/>
        </w:rPr>
      </w:pPr>
    </w:p>
    <w:p>
      <w:pPr>
        <w:ind w:left="500" w:right="20" w:hanging="330"/>
        <w:spacing w:after="0" w:line="239"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 xml:space="preserve">Loyalty revenue included in passenger revenue is principally comprised of mileage credit redemptions earned through travel and mileage credits sold to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xml:space="preserve"> below for further discussion on these mileage credits.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51"/>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6,963</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1,445</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r>
      <w:tr>
        <w:trPr>
          <w:trHeight w:val="265"/>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10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9,658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9,480</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8,568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8,539</w:t>
            </w:r>
          </w:p>
        </w:tc>
      </w:tr>
      <w:tr>
        <w:trPr>
          <w:trHeight w:val="265"/>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5,930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4,339</w:t>
            </w:r>
          </w:p>
        </w:tc>
      </w:tr>
      <w:tr>
        <w:trPr>
          <w:trHeight w:val="255"/>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14,498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12,878</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-711200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331" w:right="239" w:bottom="1440" w:gutter="0" w:footer="0" w:header="0"/>
          <w:type w:val="continuous"/>
        </w:sectPr>
      </w:pPr>
    </w:p>
    <w:bookmarkStart w:id="13" w:name="page14"/>
    <w:bookmarkEnd w:id="13"/>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8,539</w:t>
            </w:r>
          </w:p>
        </w:tc>
      </w:tr>
      <w:tr>
        <w:trPr>
          <w:trHeight w:val="252"/>
        </w:trPr>
        <w:tc>
          <w:tcPr>
            <w:tcW w:w="9700" w:type="dxa"/>
            <w:vAlign w:val="bottom"/>
          </w:tcPr>
          <w:p>
            <w:pPr>
              <w:ind w:left="28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61"/>
        </w:trPr>
        <w:tc>
          <w:tcPr>
            <w:tcW w:w="9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50"/>
        </w:trPr>
        <w:tc>
          <w:tcPr>
            <w:tcW w:w="9700" w:type="dxa"/>
            <w:vAlign w:val="bottom"/>
          </w:tcPr>
          <w:p>
            <w:pPr>
              <w:ind w:left="40"/>
              <w:spacing w:after="0"/>
              <w:rPr>
                <w:sz w:val="20"/>
                <w:szCs w:val="20"/>
                <w:color w:val="auto"/>
              </w:rPr>
            </w:pPr>
            <w:r>
              <w:rPr>
                <w:rFonts w:ascii="Arial" w:cs="Arial" w:eastAsia="Arial" w:hAnsi="Arial"/>
                <w:sz w:val="18"/>
                <w:szCs w:val="18"/>
                <w:color w:val="auto"/>
              </w:rPr>
              <w:t xml:space="preserve">Balance at March 31, 2019 </w:t>
            </w:r>
            <w:r>
              <w:rPr>
                <w:rFonts w:ascii="Arial" w:cs="Arial" w:eastAsia="Arial" w:hAnsi="Arial"/>
                <w:sz w:val="21"/>
                <w:szCs w:val="21"/>
                <w:color w:val="auto"/>
                <w:vertAlign w:val="superscript"/>
              </w:rPr>
              <w:t>(2)</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8,568</w:t>
            </w:r>
          </w:p>
        </w:tc>
      </w:tr>
      <w:tr>
        <w:trPr>
          <w:trHeight w:val="20"/>
        </w:trPr>
        <w:tc>
          <w:tcPr>
            <w:tcW w:w="9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8" w:lineRule="exact"/>
        <w:rPr>
          <w:sz w:val="20"/>
          <w:szCs w:val="20"/>
          <w:color w:val="auto"/>
        </w:rPr>
      </w:pPr>
    </w:p>
    <w:p>
      <w:pPr>
        <w:jc w:val="both"/>
        <w:ind w:left="500" w:hanging="330"/>
        <w:spacing w:after="0" w:line="244"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32"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March 31, 2019, our current loyalty program liability was $3.4 billion and represents our current estimate of revenue expected to be recognized in the next twelve months based on historical trends, with the balance reflected in long-term loyalty program liability expected to be recognized as revenue in periods thereafter.</w:t>
      </w:r>
    </w:p>
    <w:p>
      <w:pPr>
        <w:spacing w:after="0" w:line="131"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one year. Accordingly, any revenue associated with tickets sold for future travel will be recognized within twelve months. For the three months ended March 31, 2019, $2.6 billion of revenue was recognized in passenger revenue that was included in our air traffic liability at December 31, 2018.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1" w:right="239" w:bottom="1440" w:gutter="0" w:footer="0" w:header="0"/>
        </w:sectPr>
      </w:pPr>
    </w:p>
    <w:bookmarkStart w:id="14" w:name="page15"/>
    <w:bookmarkEnd w:id="14"/>
    <w:p>
      <w:pPr>
        <w:jc w:val="center"/>
        <w:ind w:left="440" w:right="920"/>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Long-term debt included in the condensed consolidated balance sheets consisted of (in millions):</w:t>
      </w:r>
    </w:p>
    <w:p>
      <w:pPr>
        <w:spacing w:after="0" w:line="395" w:lineRule="exact"/>
        <w:rPr>
          <w:sz w:val="20"/>
          <w:szCs w:val="20"/>
          <w:color w:val="auto"/>
        </w:rPr>
      </w:pPr>
    </w:p>
    <w:p>
      <w:pPr>
        <w:jc w:val="right"/>
        <w:ind w:right="200"/>
        <w:spacing w:after="0"/>
        <w:tabs>
          <w:tab w:leader="none" w:pos="1280" w:val="left"/>
        </w:tabs>
        <w:rPr>
          <w:sz w:val="20"/>
          <w:szCs w:val="20"/>
          <w:color w:val="auto"/>
        </w:rPr>
      </w:pPr>
      <w:r>
        <w:rPr>
          <w:rFonts w:ascii="Arial" w:cs="Arial" w:eastAsia="Arial" w:hAnsi="Arial"/>
          <w:sz w:val="14"/>
          <w:szCs w:val="14"/>
          <w:b w:val="1"/>
          <w:bCs w:val="1"/>
          <w:color w:val="auto"/>
        </w:rPr>
        <w:t>March 31, 2019</w:t>
      </w:r>
      <w:r>
        <w:rPr>
          <w:sz w:val="20"/>
          <w:szCs w:val="20"/>
          <w:color w:val="auto"/>
        </w:rPr>
        <w:tab/>
      </w: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Secured</w:t>
      </w:r>
    </w:p>
    <w:p>
      <w:pPr>
        <w:spacing w:after="0" w:line="75" w:lineRule="exact"/>
        <w:rPr>
          <w:sz w:val="20"/>
          <w:szCs w:val="20"/>
          <w:color w:val="auto"/>
        </w:rPr>
      </w:pPr>
    </w:p>
    <w:p>
      <w:pPr>
        <w:ind w:left="180"/>
        <w:spacing w:after="0"/>
        <w:tabs>
          <w:tab w:leader="none" w:pos="7880" w:val="left"/>
        </w:tabs>
        <w:rPr>
          <w:sz w:val="20"/>
          <w:szCs w:val="20"/>
          <w:color w:val="auto"/>
        </w:rPr>
      </w:pPr>
      <w:r>
        <w:rPr>
          <w:rFonts w:ascii="Arial" w:cs="Arial" w:eastAsia="Arial" w:hAnsi="Arial"/>
          <w:sz w:val="18"/>
          <w:szCs w:val="18"/>
          <w:color w:val="auto"/>
        </w:rPr>
        <w:t>2013 Credit Facilities, variable interest rate of 4.24%, installments through 2025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right="840"/>
        <w:spacing w:after="0" w:line="313" w:lineRule="auto"/>
        <w:rPr>
          <w:sz w:val="20"/>
          <w:szCs w:val="20"/>
          <w:color w:val="auto"/>
        </w:rPr>
      </w:pPr>
      <w:r>
        <w:rPr>
          <w:rFonts w:ascii="Arial" w:cs="Arial" w:eastAsia="Arial" w:hAnsi="Arial"/>
          <w:sz w:val="18"/>
          <w:szCs w:val="18"/>
          <w:color w:val="auto"/>
        </w:rPr>
        <w:t>2014 Credit Facilities, variable interest rate of 4.49%, installments through 2021 April 2016 Credit Facilities, variable interest rate of 4.50%, installments through 2023 December 2016 Credit Facilities, variable interest rate of 4.48%,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right="500" w:hanging="161"/>
        <w:spacing w:after="0" w:line="266" w:lineRule="auto"/>
        <w:rPr>
          <w:sz w:val="20"/>
          <w:szCs w:val="20"/>
          <w:color w:val="auto"/>
        </w:rPr>
      </w:pPr>
      <w:r>
        <w:rPr>
          <w:rFonts w:ascii="Arial" w:cs="Arial" w:eastAsia="Arial" w:hAnsi="Arial"/>
          <w:sz w:val="18"/>
          <w:szCs w:val="18"/>
          <w:color w:val="auto"/>
        </w:rPr>
        <w:t>Aircraft enhanced equipment trust certificates (EETCs), fixed interest rates ranging from 3.00% to 8.39%, averaging 4.17%, maturing from 2019 to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40" w:right="500" w:hanging="161"/>
        <w:spacing w:after="0" w:line="266" w:lineRule="auto"/>
        <w:rPr>
          <w:sz w:val="20"/>
          <w:szCs w:val="20"/>
          <w:color w:val="auto"/>
        </w:rPr>
      </w:pPr>
      <w:r>
        <w:rPr>
          <w:rFonts w:ascii="Arial" w:cs="Arial" w:eastAsia="Arial" w:hAnsi="Arial"/>
          <w:sz w:val="18"/>
          <w:szCs w:val="18"/>
          <w:color w:val="auto"/>
        </w:rPr>
        <w:t>Equipment loans and other notes payable, fixed and variable interest rates ranging from 2.34% to 7.89%, averaging 4.27%, maturing from 2019 to 2031</w:t>
      </w:r>
    </w:p>
    <w:p>
      <w:pPr>
        <w:ind w:left="340" w:right="500" w:hanging="161"/>
        <w:spacing w:after="0" w:line="276" w:lineRule="auto"/>
        <w:rPr>
          <w:sz w:val="20"/>
          <w:szCs w:val="20"/>
          <w:color w:val="auto"/>
        </w:rPr>
      </w:pPr>
      <w:r>
        <w:rPr>
          <w:rFonts w:ascii="Arial" w:cs="Arial" w:eastAsia="Arial" w:hAnsi="Arial"/>
          <w:sz w:val="18"/>
          <w:szCs w:val="18"/>
          <w:color w:val="auto"/>
        </w:rPr>
        <w:t>Special facility revenue bonds, fixed interest rates ranging from 5.00% to 8.00%, maturing from 2019 to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5.50% senior notes, interest only payments until due in October 2019</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4.625% senior notes, interest only payments until due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Total unamortized debt discount, premium and issuance costs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tabs>
          <w:tab w:leader="none" w:pos="7880" w:val="left"/>
        </w:tabs>
        <w:rPr>
          <w:sz w:val="20"/>
          <w:szCs w:val="20"/>
          <w:color w:val="auto"/>
        </w:rPr>
      </w:pPr>
      <w:r>
        <w:rPr>
          <w:rFonts w:ascii="Arial" w:cs="Arial" w:eastAsia="Arial" w:hAnsi="Arial"/>
          <w:sz w:val="18"/>
          <w:szCs w:val="18"/>
          <w:color w:val="auto"/>
        </w:rPr>
        <w:t>Long-term debt, net of current maturities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00"/>
        <w:spacing w:after="0"/>
        <w:tabs>
          <w:tab w:leader="none" w:pos="780" w:val="left"/>
          <w:tab w:leader="none" w:pos="1900" w:val="left"/>
        </w:tabs>
        <w:rPr>
          <w:sz w:val="20"/>
          <w:szCs w:val="20"/>
          <w:color w:val="auto"/>
        </w:rPr>
      </w:pPr>
      <w:r>
        <w:rPr>
          <w:rFonts w:ascii="Arial" w:cs="Arial" w:eastAsia="Arial" w:hAnsi="Arial"/>
          <w:sz w:val="18"/>
          <w:szCs w:val="18"/>
          <w:color w:val="auto"/>
        </w:rPr>
        <w:t>1,825</w:t>
        <w:tab/>
        <w:t>$</w:t>
      </w:r>
      <w:r>
        <w:rPr>
          <w:sz w:val="20"/>
          <w:szCs w:val="20"/>
          <w:color w:val="auto"/>
        </w:rPr>
        <w:tab/>
      </w:r>
      <w:r>
        <w:rPr>
          <w:rFonts w:ascii="Arial" w:cs="Arial" w:eastAsia="Arial" w:hAnsi="Arial"/>
          <w:sz w:val="18"/>
          <w:szCs w:val="18"/>
          <w:color w:val="auto"/>
        </w:rPr>
        <w:t>1,825</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8"/>
          <w:szCs w:val="18"/>
          <w:color w:val="auto"/>
        </w:rPr>
        <w:t>1,215</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980</w:t>
      </w:r>
      <w:r>
        <w:rPr>
          <w:sz w:val="20"/>
          <w:szCs w:val="20"/>
          <w:color w:val="auto"/>
        </w:rPr>
        <w:tab/>
      </w:r>
      <w:r>
        <w:rPr>
          <w:rFonts w:ascii="Arial" w:cs="Arial" w:eastAsia="Arial" w:hAnsi="Arial"/>
          <w:sz w:val="17"/>
          <w:szCs w:val="17"/>
          <w:color w:val="auto"/>
        </w:rPr>
        <w:t>980</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1,225</w:t>
      </w:r>
      <w:r>
        <w:rPr>
          <w:sz w:val="20"/>
          <w:szCs w:val="20"/>
          <w:color w:val="auto"/>
        </w:rPr>
        <w:tab/>
      </w:r>
      <w:r>
        <w:rPr>
          <w:rFonts w:ascii="Arial" w:cs="Arial" w:eastAsia="Arial" w:hAnsi="Arial"/>
          <w:sz w:val="18"/>
          <w:szCs w:val="18"/>
          <w:color w:val="auto"/>
        </w:rPr>
        <w:t>1,225</w:t>
      </w:r>
    </w:p>
    <w:p>
      <w:pPr>
        <w:spacing w:after="0" w:line="252"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7"/>
          <w:szCs w:val="17"/>
          <w:color w:val="auto"/>
        </w:rPr>
        <w:t>11,059</w:t>
      </w:r>
      <w:r>
        <w:rPr>
          <w:sz w:val="20"/>
          <w:szCs w:val="20"/>
          <w:color w:val="auto"/>
        </w:rPr>
        <w:tab/>
      </w:r>
      <w:r>
        <w:rPr>
          <w:rFonts w:ascii="Arial" w:cs="Arial" w:eastAsia="Arial" w:hAnsi="Arial"/>
          <w:sz w:val="17"/>
          <w:szCs w:val="17"/>
          <w:color w:val="auto"/>
        </w:rPr>
        <w:t>11,648</w:t>
      </w:r>
    </w:p>
    <w:p>
      <w:pPr>
        <w:spacing w:after="0" w:line="264"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5,217</w:t>
      </w:r>
      <w:r>
        <w:rPr>
          <w:sz w:val="20"/>
          <w:szCs w:val="20"/>
          <w:color w:val="auto"/>
        </w:rPr>
        <w:tab/>
      </w:r>
      <w:r>
        <w:rPr>
          <w:rFonts w:ascii="Arial" w:cs="Arial" w:eastAsia="Arial" w:hAnsi="Arial"/>
          <w:sz w:val="18"/>
          <w:szCs w:val="18"/>
          <w:color w:val="auto"/>
        </w:rPr>
        <w:t>5,060</w:t>
      </w:r>
    </w:p>
    <w:p>
      <w:pPr>
        <w:spacing w:after="0" w:line="252"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798</w:t>
      </w:r>
      <w:r>
        <w:rPr>
          <w:sz w:val="20"/>
          <w:szCs w:val="20"/>
          <w:color w:val="auto"/>
        </w:rPr>
        <w:tab/>
      </w:r>
      <w:r>
        <w:rPr>
          <w:rFonts w:ascii="Arial" w:cs="Arial" w:eastAsia="Arial" w:hAnsi="Arial"/>
          <w:sz w:val="17"/>
          <w:szCs w:val="17"/>
          <w:color w:val="auto"/>
        </w:rPr>
        <w:t>798</w:t>
      </w:r>
    </w:p>
    <w:p>
      <w:pPr>
        <w:spacing w:after="0" w:line="75"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22,319</w:t>
      </w:r>
      <w:r>
        <w:rPr>
          <w:sz w:val="20"/>
          <w:szCs w:val="20"/>
          <w:color w:val="auto"/>
        </w:rPr>
        <w:tab/>
      </w:r>
      <w:r>
        <w:rPr>
          <w:rFonts w:ascii="Arial" w:cs="Arial" w:eastAsia="Arial" w:hAnsi="Arial"/>
          <w:sz w:val="18"/>
          <w:szCs w:val="18"/>
          <w:color w:val="auto"/>
        </w:rPr>
        <w:t>22,751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27"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750</w:t>
      </w:r>
      <w:r>
        <w:rPr>
          <w:sz w:val="20"/>
          <w:szCs w:val="20"/>
          <w:color w:val="auto"/>
        </w:rPr>
        <w:tab/>
      </w:r>
      <w:r>
        <w:rPr>
          <w:rFonts w:ascii="Arial" w:cs="Arial" w:eastAsia="Arial" w:hAnsi="Arial"/>
          <w:sz w:val="17"/>
          <w:szCs w:val="17"/>
          <w:color w:val="auto"/>
        </w:rPr>
        <w:t>750</w:t>
      </w:r>
    </w:p>
    <w:p>
      <w:pPr>
        <w:spacing w:after="0" w:line="75"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500</w:t>
      </w:r>
      <w:r>
        <w:rPr>
          <w:sz w:val="20"/>
          <w:szCs w:val="20"/>
          <w:color w:val="auto"/>
        </w:rPr>
        <w:tab/>
      </w:r>
      <w:r>
        <w:rPr>
          <w:rFonts w:ascii="Arial" w:cs="Arial" w:eastAsia="Arial" w:hAnsi="Arial"/>
          <w:sz w:val="17"/>
          <w:szCs w:val="17"/>
          <w:color w:val="auto"/>
        </w:rPr>
        <w:t>500</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1,250</w:t>
      </w:r>
      <w:r>
        <w:rPr>
          <w:sz w:val="20"/>
          <w:szCs w:val="20"/>
          <w:color w:val="auto"/>
        </w:rPr>
        <w:tab/>
      </w:r>
      <w:r>
        <w:rPr>
          <w:rFonts w:ascii="Arial" w:cs="Arial" w:eastAsia="Arial" w:hAnsi="Arial"/>
          <w:sz w:val="18"/>
          <w:szCs w:val="18"/>
          <w:color w:val="auto"/>
        </w:rPr>
        <w:t>1,250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23,569</w:t>
      </w:r>
      <w:r>
        <w:rPr>
          <w:sz w:val="20"/>
          <w:szCs w:val="20"/>
          <w:color w:val="auto"/>
        </w:rPr>
        <w:tab/>
      </w:r>
      <w:r>
        <w:rPr>
          <w:rFonts w:ascii="Arial" w:cs="Arial" w:eastAsia="Arial" w:hAnsi="Arial"/>
          <w:sz w:val="18"/>
          <w:szCs w:val="18"/>
          <w:color w:val="auto"/>
        </w:rPr>
        <w:t>24,001</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218</w:t>
      </w:r>
      <w:r>
        <w:rPr>
          <w:sz w:val="20"/>
          <w:szCs w:val="20"/>
          <w:color w:val="auto"/>
        </w:rPr>
        <w:tab/>
      </w:r>
      <w:r>
        <w:rPr>
          <w:rFonts w:ascii="Arial" w:cs="Arial" w:eastAsia="Arial" w:hAnsi="Arial"/>
          <w:sz w:val="17"/>
          <w:szCs w:val="17"/>
          <w:color w:val="auto"/>
        </w:rPr>
        <w:t>222</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3,286</w:t>
      </w:r>
      <w:r>
        <w:rPr>
          <w:sz w:val="20"/>
          <w:szCs w:val="20"/>
          <w:color w:val="auto"/>
        </w:rPr>
        <w:tab/>
      </w:r>
      <w:r>
        <w:rPr>
          <w:rFonts w:ascii="Arial" w:cs="Arial" w:eastAsia="Arial" w:hAnsi="Arial"/>
          <w:sz w:val="18"/>
          <w:szCs w:val="18"/>
          <w:color w:val="auto"/>
        </w:rPr>
        <w:t>3,213</w:t>
      </w:r>
    </w:p>
    <w:p>
      <w:pPr>
        <w:spacing w:after="0" w:line="63" w:lineRule="exact"/>
        <w:rPr>
          <w:sz w:val="20"/>
          <w:szCs w:val="20"/>
          <w:color w:val="auto"/>
        </w:rPr>
      </w:pPr>
    </w:p>
    <w:p>
      <w:pPr>
        <w:spacing w:after="0"/>
        <w:tabs>
          <w:tab w:leader="none" w:pos="780" w:val="left"/>
          <w:tab w:leader="none" w:pos="1800" w:val="left"/>
        </w:tabs>
        <w:rPr>
          <w:sz w:val="20"/>
          <w:szCs w:val="20"/>
          <w:color w:val="auto"/>
        </w:rPr>
      </w:pPr>
      <w:r>
        <w:rPr>
          <w:rFonts w:ascii="Arial" w:cs="Arial" w:eastAsia="Arial" w:hAnsi="Arial"/>
          <w:sz w:val="18"/>
          <w:szCs w:val="18"/>
          <w:color w:val="auto"/>
        </w:rPr>
        <w:t>20,065</w:t>
        <w:tab/>
        <w:t>$</w:t>
      </w:r>
      <w:r>
        <w:rPr>
          <w:sz w:val="20"/>
          <w:szCs w:val="20"/>
          <w:color w:val="auto"/>
        </w:rPr>
        <w:tab/>
      </w:r>
      <w:r>
        <w:rPr>
          <w:rFonts w:ascii="Arial" w:cs="Arial" w:eastAsia="Arial" w:hAnsi="Arial"/>
          <w:sz w:val="18"/>
          <w:szCs w:val="18"/>
          <w:color w:val="auto"/>
        </w:rPr>
        <w:t>20,566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45720</wp:posOffset>
            </wp:positionV>
            <wp:extent cx="2246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20" w:space="720"/>
            <w:col w:w="2480"/>
          </w:cols>
          <w:pgMar w:left="240" w:top="331" w:right="239" w:bottom="1440" w:gutter="0" w:footer="0" w:header="0"/>
          <w:type w:val="continuous"/>
        </w:sectPr>
      </w:pPr>
    </w:p>
    <w:p>
      <w:pPr>
        <w:spacing w:after="0" w:line="106"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March 31, 2019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52"/>
        </w:trPr>
        <w:tc>
          <w:tcPr>
            <w:tcW w:w="970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1,543</w:t>
            </w:r>
          </w:p>
        </w:tc>
      </w:tr>
      <w:tr>
        <w:trPr>
          <w:trHeight w:val="261"/>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5"/>
        </w:trPr>
        <w:tc>
          <w:tcPr>
            <w:tcW w:w="9700" w:type="dxa"/>
            <w:vAlign w:val="bottom"/>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2,843</w:t>
            </w:r>
          </w:p>
        </w:tc>
      </w:tr>
      <w:tr>
        <w:trPr>
          <w:trHeight w:val="20"/>
        </w:trPr>
        <w:tc>
          <w:tcPr>
            <w:tcW w:w="9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in the future.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2019 Aircraft Financing Activities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 Notes Issued in 2019</w:t>
      </w:r>
    </w:p>
    <w:p>
      <w:pPr>
        <w:spacing w:after="0" w:line="8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8"/>
          <w:szCs w:val="18"/>
          <w:color w:val="auto"/>
        </w:rPr>
        <w:t>In the first three months of 2019, American entered into agreements under which it borrowed $400 million in connection with the financing of certain aircraft. Debt incurred under these agreements matures in 2031 and bears interest at variable rates (comprised of LIBOR plus an applicable margin) averaging 4.07% at March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At December 31, 2018, we had approximately $10.2 billion of federal net operating losses (NOLs) carried over from prior taxable years (NOL Carryforwards) to reduce future federal taxable income, substantially all of which we expect to be available for use in 2019. The federal NOL Carryforwards will expire beginning in 2022 if unused. We also had approximately $3.2 billion of NOL Carryforwards to reduce future state taxable income at December 31, 2018, which will expire in years 2019 through 2038 if unused.</w:t>
      </w:r>
    </w:p>
    <w:p>
      <w:pPr>
        <w:sectPr>
          <w:pgSz w:w="11900" w:h="16838" w:orient="portrait"/>
          <w:cols w:equalWidth="0" w:num="1">
            <w:col w:w="11420"/>
          </w:cols>
          <w:pgMar w:left="240" w:top="331" w:right="239" w:bottom="1440" w:gutter="0" w:footer="0" w:header="0"/>
          <w:type w:val="continuous"/>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331" w:right="239" w:bottom="1440" w:gutter="0" w:footer="0" w:header="0"/>
          <w:type w:val="continuous"/>
        </w:sectPr>
      </w:pPr>
    </w:p>
    <w:bookmarkStart w:id="15" w:name="page16"/>
    <w:bookmarkEnd w:id="15"/>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3"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At December 31, 2018, we had an AMT credit carryforward of approximately $339 million available for federal income tax purposes, which is expected to be fully refundable over the next several years as a result of the repeal of corporate AMT.</w:t>
      </w:r>
    </w:p>
    <w:p>
      <w:pPr>
        <w:spacing w:after="0" w:line="91"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During the three months ended March 31, 2019, we recorded an income tax provision of $60 million, which was substantially non-cash as we utilized our NOLs as described above.</w:t>
      </w:r>
    </w:p>
    <w:p>
      <w:pPr>
        <w:spacing w:after="0" w:line="170"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three months ended March 31, 2019.</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March 31, 2019</w:t>
            </w:r>
          </w:p>
        </w:tc>
        <w:tc>
          <w:tcPr>
            <w:tcW w:w="110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65"/>
        </w:trPr>
        <w:tc>
          <w:tcPr>
            <w:tcW w:w="57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5"/>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5"/>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65"/>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75"/>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55"/>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3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64" w:lineRule="exact"/>
        <w:rPr>
          <w:sz w:val="20"/>
          <w:szCs w:val="20"/>
          <w:color w:val="auto"/>
        </w:rPr>
      </w:pPr>
    </w:p>
    <w:p>
      <w:pPr>
        <w:ind w:left="500" w:hanging="330"/>
        <w:spacing w:after="0"/>
        <w:tabs>
          <w:tab w:leader="none" w:pos="50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are recorded in accumulated other comprehensive loss at each measurement date.</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Our short-term investments mature in one year or less except for $1.2 billion of bank notes/certificates of deposit/time deposits and $188 million of corporate obligations.</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our equity investment in China Southern Airlines, in which we presently own a 2.2% equity interest, and are classified in other assets on the condensed consolidated balance sheets.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2019</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December 31, 2018</w:t>
            </w:r>
          </w:p>
        </w:tc>
      </w:tr>
      <w:tr>
        <w:trPr>
          <w:trHeight w:val="168"/>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4"/>
                <w:szCs w:val="14"/>
                <w:color w:val="auto"/>
              </w:rPr>
            </w:pPr>
          </w:p>
        </w:tc>
        <w:tc>
          <w:tcPr>
            <w:tcW w:w="10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4"/>
                <w:szCs w:val="14"/>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r>
      <w:tr>
        <w:trPr>
          <w:trHeight w:val="203"/>
        </w:trPr>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7"/>
                <w:szCs w:val="17"/>
                <w:color w:val="auto"/>
              </w:rPr>
            </w:pPr>
          </w:p>
        </w:tc>
        <w:tc>
          <w:tcPr>
            <w:tcW w:w="10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6"/>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3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23,351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23,634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23,779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23,775</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8"/>
        </w:trPr>
        <w:tc>
          <w:tcPr>
            <w:tcW w:w="55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15</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31" w:right="239" w:bottom="1440" w:gutter="0" w:footer="0" w:header="0"/>
        </w:sectPr>
      </w:pPr>
    </w:p>
    <w:bookmarkStart w:id="16" w:name="page17"/>
    <w:bookmarkEnd w:id="16"/>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Retiree Medical and Other</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5"/>
          </w:tcPr>
          <w:p>
            <w:pPr>
              <w:ind w:left="520"/>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Pr>
          <w:p>
            <w:pPr>
              <w:spacing w:after="0"/>
              <w:rPr>
                <w:sz w:val="17"/>
                <w:szCs w:val="17"/>
                <w:color w:val="auto"/>
              </w:rPr>
            </w:pPr>
          </w:p>
        </w:tc>
        <w:tc>
          <w:tcPr>
            <w:tcW w:w="25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51"/>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65"/>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7"/>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5"/>
        </w:trPr>
        <w:tc>
          <w:tcPr>
            <w:tcW w:w="5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Unrecognized net loss (gain)</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components of net periodic benefit income other than the service cost component are included in nonoperating other income, net in the condensed consolidated statements of operations.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three months of 2019, we made contributions of $364 million to our defined benefit pension plans.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on</w:t>
            </w: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21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r>
      <w:tr>
        <w:trPr>
          <w:trHeight w:val="265"/>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5"/>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1"/>
                <w:szCs w:val="11"/>
                <w:color w:val="auto"/>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187"/>
        </w:trPr>
        <w:tc>
          <w:tcPr>
            <w:tcW w:w="4920" w:type="dxa"/>
            <w:vAlign w:val="bottom"/>
            <w:gridSpan w:val="2"/>
          </w:tcPr>
          <w:p>
            <w:pPr>
              <w:ind w:left="600"/>
              <w:spacing w:after="0" w:line="187" w:lineRule="exact"/>
              <w:rPr>
                <w:sz w:val="20"/>
                <w:szCs w:val="20"/>
                <w:color w:val="auto"/>
              </w:rPr>
            </w:pPr>
            <w:r>
              <w:rPr>
                <w:rFonts w:ascii="Arial" w:cs="Arial" w:eastAsia="Arial" w:hAnsi="Arial"/>
                <w:sz w:val="18"/>
                <w:szCs w:val="18"/>
                <w:color w:val="auto"/>
              </w:rPr>
              <w:t>Net current-period other comprehensive income</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48"/>
        </w:trPr>
        <w:tc>
          <w:tcPr>
            <w:tcW w:w="49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2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355" w:lineRule="exact"/>
        <w:rPr>
          <w:sz w:val="20"/>
          <w:szCs w:val="20"/>
          <w:color w:val="auto"/>
        </w:rPr>
      </w:pPr>
    </w:p>
    <w:p>
      <w:pPr>
        <w:ind w:left="540" w:hanging="316"/>
        <w:spacing w:after="0" w:line="239" w:lineRule="auto"/>
        <w:tabs>
          <w:tab w:leader="none" w:pos="54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36" w:lineRule="exact"/>
        <w:rPr>
          <w:rFonts w:ascii="Arial" w:cs="Arial" w:eastAsia="Arial" w:hAnsi="Arial"/>
          <w:sz w:val="22"/>
          <w:szCs w:val="22"/>
          <w:color w:val="auto"/>
          <w:vertAlign w:val="superscript"/>
        </w:rPr>
      </w:pPr>
    </w:p>
    <w:p>
      <w:pPr>
        <w:ind w:left="540" w:hanging="316"/>
        <w:spacing w:after="0" w:line="239" w:lineRule="auto"/>
        <w:tabs>
          <w:tab w:leader="none" w:pos="54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ectPr>
          <w:pgSz w:w="11900" w:h="16838" w:orient="portrait"/>
          <w:cols w:equalWidth="0" w:num="1">
            <w:col w:w="11420"/>
          </w:cols>
          <w:pgMar w:left="240" w:top="331" w:right="239" w:bottom="1440" w:gutter="0" w:footer="0" w:header="0"/>
        </w:sectPr>
      </w:pP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00" w:lineRule="exact"/>
        <w:rPr>
          <w:sz w:val="20"/>
          <w:szCs w:val="20"/>
          <w:color w:val="auto"/>
        </w:rPr>
      </w:pPr>
    </w:p>
    <w:p>
      <w:pPr>
        <w:spacing w:after="0" w:line="357" w:lineRule="exact"/>
        <w:rPr>
          <w:sz w:val="20"/>
          <w:szCs w:val="20"/>
          <w:color w:val="auto"/>
        </w:rPr>
      </w:pPr>
    </w:p>
    <w:p>
      <w:pPr>
        <w:jc w:val="right"/>
        <w:ind w:right="600"/>
        <w:spacing w:after="0"/>
        <w:rPr>
          <w:sz w:val="20"/>
          <w:szCs w:val="20"/>
          <w:color w:val="auto"/>
        </w:rPr>
      </w:pPr>
      <w:r>
        <w:rPr>
          <w:rFonts w:ascii="Arial" w:cs="Arial" w:eastAsia="Arial" w:hAnsi="Arial"/>
          <w:sz w:val="14"/>
          <w:szCs w:val="14"/>
          <w:b w:val="1"/>
          <w:bCs w:val="1"/>
          <w:color w:val="auto"/>
        </w:rPr>
        <w:t>Amounts reclassified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27305</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27305</wp:posOffset>
            </wp:positionV>
            <wp:extent cx="1955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38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304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30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Affected line items on the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statements of operations</w:t>
      </w:r>
    </w:p>
    <w:p>
      <w:pPr>
        <w:spacing w:after="0" w:line="41" w:lineRule="exact"/>
        <w:rPr>
          <w:sz w:val="20"/>
          <w:szCs w:val="20"/>
          <w:color w:val="auto"/>
        </w:rPr>
      </w:pPr>
    </w:p>
    <w:p>
      <w:pPr>
        <w:sectPr>
          <w:pgSz w:w="11900" w:h="16838" w:orient="portrait"/>
          <w:cols w:equalWidth="0" w:num="2">
            <w:col w:w="8180" w:space="720"/>
            <w:col w:w="2520"/>
          </w:cols>
          <w:pgMar w:left="240" w:top="331"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 medical and other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postretirement benefits: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20" w:type="dxa"/>
            <w:vAlign w:val="bottom"/>
          </w:tcPr>
          <w:p>
            <w:pPr>
              <w:ind w:left="380"/>
              <w:spacing w:after="0"/>
              <w:rPr>
                <w:sz w:val="20"/>
                <w:szCs w:val="20"/>
                <w:color w:val="auto"/>
              </w:rPr>
            </w:pPr>
            <w:r>
              <w:rPr>
                <w:rFonts w:ascii="Arial" w:cs="Arial" w:eastAsia="Arial" w:hAnsi="Arial"/>
                <w:sz w:val="18"/>
                <w:szCs w:val="18"/>
                <w:color w:val="auto"/>
              </w:rPr>
              <w:t>Prior service benefit</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3420" w:type="dxa"/>
            <w:vAlign w:val="bottom"/>
          </w:tcPr>
          <w:p>
            <w:pPr>
              <w:jc w:val="right"/>
              <w:ind w:right="670"/>
              <w:spacing w:after="0"/>
              <w:rPr>
                <w:sz w:val="20"/>
                <w:szCs w:val="20"/>
                <w:color w:val="auto"/>
              </w:rPr>
            </w:pPr>
            <w:r>
              <w:rPr>
                <w:rFonts w:ascii="Arial" w:cs="Arial" w:eastAsia="Arial" w:hAnsi="Arial"/>
                <w:sz w:val="18"/>
                <w:szCs w:val="18"/>
                <w:color w:val="auto"/>
              </w:rPr>
              <w:t>Nonoperating other income, net</w:t>
            </w:r>
          </w:p>
        </w:tc>
      </w:tr>
      <w:tr>
        <w:trPr>
          <w:trHeight w:val="275"/>
        </w:trPr>
        <w:tc>
          <w:tcPr>
            <w:tcW w:w="4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6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24   Nonoperating other income, net</w:t>
            </w:r>
          </w:p>
        </w:tc>
      </w:tr>
      <w:tr>
        <w:trPr>
          <w:trHeight w:val="245"/>
        </w:trPr>
        <w:tc>
          <w:tcPr>
            <w:tcW w:w="4920" w:type="dxa"/>
            <w:vAlign w:val="bottom"/>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6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20" w:type="dxa"/>
            <w:vAlign w:val="bottom"/>
          </w:tcPr>
          <w:p>
            <w:pPr>
              <w:spacing w:after="0"/>
              <w:rPr>
                <w:sz w:val="21"/>
                <w:szCs w:val="21"/>
                <w:color w:val="auto"/>
              </w:rPr>
            </w:pPr>
          </w:p>
        </w:tc>
      </w:tr>
      <w:tr>
        <w:trPr>
          <w:trHeight w:val="20"/>
        </w:trPr>
        <w:tc>
          <w:tcPr>
            <w:tcW w:w="4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1" w:right="239"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331" w:right="239" w:bottom="1440" w:gutter="0" w:footer="0" w:header="0"/>
          <w:type w:val="continuous"/>
        </w:sectPr>
      </w:pPr>
    </w:p>
    <w:bookmarkStart w:id="17" w:name="page18"/>
    <w:bookmarkEnd w:id="17"/>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92" w:lineRule="exact"/>
        <w:rPr>
          <w:sz w:val="20"/>
          <w:szCs w:val="20"/>
          <w:color w:val="auto"/>
        </w:rPr>
      </w:pPr>
    </w:p>
    <w:p>
      <w:pPr>
        <w:ind w:right="20" w:firstLine="216"/>
        <w:spacing w:after="0" w:line="292"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51"/>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6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Salaries, wages and benefits</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6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Maintenance, materials and repairs</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6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Aircraft rent</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6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5"/>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Total regional expenses</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1,698</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5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pacing w:after="0" w:line="274" w:lineRule="exact"/>
        <w:rPr>
          <w:sz w:val="20"/>
          <w:szCs w:val="20"/>
          <w:color w:val="auto"/>
        </w:rPr>
      </w:pPr>
    </w:p>
    <w:p>
      <w:pPr>
        <w:jc w:val="both"/>
        <w:ind w:left="500" w:hanging="330"/>
        <w:spacing w:after="0" w:line="244" w:lineRule="auto"/>
        <w:tabs>
          <w:tab w:leader="none" w:pos="500" w:val="left"/>
        </w:tabs>
        <w:numPr>
          <w:ilvl w:val="1"/>
          <w:numId w:val="12"/>
        </w:numPr>
        <w:rPr>
          <w:rFonts w:ascii="Arial" w:cs="Arial" w:eastAsia="Arial" w:hAnsi="Arial"/>
          <w:sz w:val="22"/>
          <w:szCs w:val="22"/>
          <w:color w:val="auto"/>
          <w:vertAlign w:val="superscript"/>
        </w:rPr>
      </w:pPr>
      <w:r>
        <w:rPr>
          <w:rFonts w:ascii="Arial" w:cs="Arial" w:eastAsia="Arial" w:hAnsi="Arial"/>
          <w:sz w:val="18"/>
          <w:szCs w:val="18"/>
          <w:color w:val="auto"/>
        </w:rPr>
        <w:t>During the three months ended March 31, 2019 and 2018, we recognized $143 million and $138 million, respectively, of expense under our capacity purchase agreement with Republic Airline Inc. (Republic). We hold a 25% equity interest in Republic Airways Holdings Inc., the parent company of Republic.</w:t>
      </w:r>
    </w:p>
    <w:p>
      <w:pPr>
        <w:spacing w:after="0" w:line="211"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2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purposes of calculating earnings per common share. As disputed claims are resolved, the claimants will receive distributions of shares from the Disputed Claims Reserve. However, we are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 million shares of AAG common stock.</w:t>
      </w:r>
    </w:p>
    <w:p>
      <w:pPr>
        <w:spacing w:after="0" w:line="12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we reached a preliminary settlement agreement with the plaintiffs in the amount of $45 million that, once approved, will resolve all class claims in the U.S. lawsuits. That settlement received preliminary approval from the DC Court on June 18,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1" w:right="239" w:bottom="1440" w:gutter="0" w:footer="0" w:header="0"/>
        </w:sectPr>
      </w:pPr>
    </w:p>
    <w:bookmarkStart w:id="18" w:name="page19"/>
    <w:bookmarkEnd w:id="18"/>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United States Bankruptcy Court for the Southern District of New York.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on April 15, 2019 and closing arguments are scheduled to be heard on April 26, 2019. We believe this lawsuit is without merit and intend to vigorously defend against the allegations.</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us of an inquiry</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American’s 2009 and 2011 contracts with the United States Postal Service for the international transportation of mail by air. In October 2015, we received a Civil Investigative Demand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2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otherwise, which could affect our financial position and liquidity” </w:t>
      </w:r>
      <w:r>
        <w:rPr>
          <w:rFonts w:ascii="Arial" w:cs="Arial" w:eastAsia="Arial" w:hAnsi="Arial"/>
          <w:sz w:val="18"/>
          <w:szCs w:val="18"/>
          <w:color w:val="auto"/>
        </w:rPr>
        <w:t>for additional discussion.</w:t>
      </w:r>
    </w:p>
    <w:p>
      <w:pPr>
        <w:spacing w:after="0" w:line="203" w:lineRule="exact"/>
        <w:rPr>
          <w:sz w:val="20"/>
          <w:szCs w:val="20"/>
          <w:color w:val="auto"/>
        </w:rPr>
      </w:pPr>
    </w:p>
    <w:p>
      <w:pPr>
        <w:ind w:left="220" w:right="9440" w:hanging="212"/>
        <w:spacing w:after="0" w:line="345" w:lineRule="auto"/>
        <w:tabs>
          <w:tab w:leader="none" w:pos="30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u w:val="single" w:color="auto"/>
          <w:color w:val="auto"/>
        </w:rPr>
        <w:t>Dividend Declaration</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April 2019, we announced that our Board of Directors declared a $0.10 per share dividend for stockholders of record as of May 8, 2019, and payable on May 22, 2019.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r>
      <w:tr>
        <w:trPr>
          <w:trHeight w:val="245"/>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1040" w:type="dxa"/>
            <w:vAlign w:val="bottom"/>
          </w:tcPr>
          <w:p>
            <w:pPr>
              <w:jc w:val="right"/>
              <w:ind w:right="84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23"/>
                <w:szCs w:val="23"/>
                <w:color w:val="auto"/>
              </w:rPr>
            </w:pPr>
          </w:p>
        </w:tc>
        <w:tc>
          <w:tcPr>
            <w:tcW w:w="1040" w:type="dxa"/>
            <w:vAlign w:val="bottom"/>
          </w:tcPr>
          <w:p>
            <w:pPr>
              <w:jc w:val="right"/>
              <w:ind w:right="819"/>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9,480</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65"/>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691</w:t>
            </w:r>
          </w:p>
        </w:tc>
      </w:tr>
      <w:tr>
        <w:trPr>
          <w:trHeight w:val="255"/>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10,581</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10,398</w:t>
            </w:r>
          </w:p>
        </w:tc>
      </w:tr>
      <w:tr>
        <w:trPr>
          <w:trHeight w:val="255"/>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p>
      <w:pPr>
        <w:spacing w:after="0" w:line="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Regional expenses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Maintenance, materials and repairs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rent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operating expenses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Nonoperating income (expense):</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net</w:t>
      </w:r>
    </w:p>
    <w:p>
      <w:pPr>
        <w:spacing w:after="0" w:line="63" w:lineRule="exact"/>
        <w:rPr>
          <w:sz w:val="20"/>
          <w:szCs w:val="20"/>
          <w:color w:val="auto"/>
        </w:rPr>
      </w:pPr>
    </w:p>
    <w:p>
      <w:pPr>
        <w:jc w:val="right"/>
        <w:ind w:right="3880"/>
        <w:spacing w:after="0"/>
        <w:rPr>
          <w:sz w:val="20"/>
          <w:szCs w:val="20"/>
          <w:color w:val="auto"/>
        </w:rPr>
      </w:pPr>
      <w:r>
        <w:rPr>
          <w:rFonts w:ascii="Arial" w:cs="Arial" w:eastAsia="Arial" w:hAnsi="Arial"/>
          <w:sz w:val="18"/>
          <w:szCs w:val="18"/>
          <w:color w:val="auto"/>
        </w:rPr>
        <w:t>Total nonoperating expense, net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before income taxes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provision</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1,763</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3,014</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1,682</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469</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440</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5"/>
        </w:trPr>
        <w:tc>
          <w:tcPr>
            <w:tcW w:w="6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1,261</w:t>
            </w:r>
          </w:p>
        </w:tc>
      </w:tr>
      <w:tr>
        <w:trPr>
          <w:trHeight w:val="250"/>
        </w:trPr>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10,236</w:t>
            </w:r>
          </w:p>
        </w:tc>
        <w:tc>
          <w:tcPr>
            <w:tcW w:w="1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9,986</w:t>
            </w:r>
          </w:p>
        </w:tc>
      </w:tr>
      <w:tr>
        <w:trPr>
          <w:trHeight w:val="245"/>
        </w:trPr>
        <w:tc>
          <w:tcPr>
            <w:tcW w:w="6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412</w:t>
            </w:r>
          </w:p>
        </w:tc>
      </w:tr>
      <w:tr>
        <w:trPr>
          <w:trHeight w:val="540"/>
        </w:trPr>
        <w:tc>
          <w:tcPr>
            <w:tcW w:w="6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0"/>
        </w:trPr>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5"/>
        </w:trPr>
        <w:tc>
          <w:tcPr>
            <w:tcW w:w="6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r>
      <w:tr>
        <w:trPr>
          <w:trHeight w:val="250"/>
        </w:trPr>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45"/>
        </w:trPr>
        <w:tc>
          <w:tcPr>
            <w:tcW w:w="6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5"/>
        </w:trPr>
        <w:tc>
          <w:tcPr>
            <w:tcW w:w="6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50"/>
        </w:trPr>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-3112135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-2769235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-2426335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-2083435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-1740535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-1397000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-1054100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-711200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-368300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540"/>
          </w:cols>
          <w:pgMar w:left="240" w:top="574" w:right="239" w:bottom="1440" w:gutter="0" w:footer="0" w:header="0"/>
          <w:type w:val="continuous"/>
        </w:sectPr>
      </w:pP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74"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19"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27305</wp:posOffset>
            </wp:positionV>
            <wp:extent cx="22466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1"/>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5"/>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Investments</w:t>
            </w:r>
          </w:p>
        </w:tc>
        <w:tc>
          <w:tcPr>
            <w:tcW w:w="1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5"/>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loss, net of tax</w:t>
            </w:r>
          </w:p>
        </w:tc>
        <w:tc>
          <w:tcPr>
            <w:tcW w:w="11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5"/>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191</w:t>
            </w:r>
          </w:p>
        </w:tc>
      </w:tr>
      <w:tr>
        <w:trPr>
          <w:trHeight w:val="20"/>
        </w:trPr>
        <w:tc>
          <w:tcPr>
            <w:tcW w:w="7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Short-term investments</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4,010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4,482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cash and short-term investments</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1,953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Receivables from related parties, net</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10,666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Aircraft fuel, spare parts and supplies, net</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1,584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20,054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19,257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property and equipment</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Flight equipment</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41,678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41,180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Ground property and equipment</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8,466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Equipment purchase deposits</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1,211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at cost</w:t>
            </w:r>
          </w:p>
        </w:tc>
        <w:tc>
          <w:tcPr>
            <w:tcW w:w="22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51,501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50,923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Pr>
          <w:p>
            <w:pPr>
              <w:spacing w:after="0"/>
              <w:rPr>
                <w:sz w:val="18"/>
                <w:szCs w:val="18"/>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(17,418)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(17,123)</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net</w:t>
            </w:r>
          </w:p>
        </w:tc>
        <w:tc>
          <w:tcPr>
            <w:tcW w:w="22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34,083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33,800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Operating lease right-of-use assets</w:t>
            </w:r>
          </w:p>
        </w:tc>
        <w:tc>
          <w:tcPr>
            <w:tcW w:w="22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9,070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9,094</w:t>
            </w: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4,091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Intangibles, net of accumulated amortization of $673 and $663, respectively</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Deferred tax asset</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20"/>
              <w:spacing w:after="0"/>
              <w:rPr>
                <w:sz w:val="20"/>
                <w:szCs w:val="20"/>
                <w:color w:val="auto"/>
              </w:rPr>
            </w:pPr>
            <w:r>
              <w:rPr>
                <w:rFonts w:ascii="Arial" w:cs="Arial" w:eastAsia="Arial" w:hAnsi="Arial"/>
                <w:sz w:val="14"/>
                <w:szCs w:val="14"/>
                <w:color w:val="auto"/>
              </w:rPr>
              <w:t>Total other assets</w:t>
            </w:r>
          </w:p>
        </w:tc>
        <w:tc>
          <w:tcPr>
            <w:tcW w:w="2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8,590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8,727</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71,797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70,878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Current maturities of long-term debt and finance leases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2,122</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Accrued salaries and wages</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1,165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Air traffic liability</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4,339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Loyalty program liability</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3,354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Other accrued liabilities</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2,119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2,259</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18,375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17,121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debt and finance leases, net of current maturities</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20,631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20,650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Pension and postretirement benefits</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6,475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6,863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Loyalty program liability</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5,272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Operating lease liabilities</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7,743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7,857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20"/>
              <w:spacing w:after="0"/>
              <w:rPr>
                <w:sz w:val="20"/>
                <w:szCs w:val="20"/>
                <w:color w:val="auto"/>
              </w:rPr>
            </w:pPr>
            <w:r>
              <w:rPr>
                <w:rFonts w:ascii="Arial" w:cs="Arial" w:eastAsia="Arial" w:hAnsi="Arial"/>
                <w:sz w:val="14"/>
                <w:szCs w:val="14"/>
                <w:color w:val="auto"/>
              </w:rPr>
              <w:t>Total noncurrent liabilities</w:t>
            </w:r>
          </w:p>
        </w:tc>
        <w:tc>
          <w:tcPr>
            <w:tcW w:w="2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41,410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41,987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Commitments and contingencies</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Common stock, $1.00 par value; 1,000 shares authorized, issued and outstanding</w:t>
            </w:r>
          </w:p>
        </w:tc>
        <w:tc>
          <w:tcPr>
            <w:tcW w:w="220" w:type="dxa"/>
            <w:vAlign w:val="bottom"/>
            <w:shd w:val="clear" w:color="auto" w:fill="CCEEFF"/>
          </w:tcPr>
          <w:p>
            <w:pPr>
              <w:spacing w:after="0"/>
              <w:rPr>
                <w:sz w:val="18"/>
                <w:szCs w:val="18"/>
                <w:color w:val="auto"/>
              </w:rPr>
            </w:pPr>
          </w:p>
        </w:tc>
        <w:tc>
          <w:tcPr>
            <w:tcW w:w="1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16,827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16,802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(5,992)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8"/>
                <w:szCs w:val="18"/>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22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11,770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900" w:type="dxa"/>
            <w:vAlign w:val="bottom"/>
          </w:tcPr>
          <w:p>
            <w:pPr>
              <w:ind w:left="104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71,797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70,878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74" w:right="239" w:bottom="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74" w:right="239" w:bottom="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51"/>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8"/>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Sales of short-term investments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1,029</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 in restricted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65"/>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investing activities</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7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8"/>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Payments on long-term debt and finance leases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788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5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restricted cash</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5"/>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r>
      <w:tr>
        <w:trPr>
          <w:trHeight w:val="255"/>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78"/>
        </w:trPr>
        <w:tc>
          <w:tcPr>
            <w:tcW w:w="21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7"/>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Right-of-use assets obtained in exchange for lease liabilities: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3"/>
        </w:trPr>
        <w:tc>
          <w:tcPr>
            <w:tcW w:w="2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Operating leases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65"/>
        </w:trPr>
        <w:tc>
          <w:tcPr>
            <w:tcW w:w="7880" w:type="dxa"/>
            <w:vAlign w:val="bottom"/>
            <w:gridSpan w:val="2"/>
          </w:tcPr>
          <w:p>
            <w:pPr>
              <w:ind w:left="720"/>
              <w:spacing w:after="0"/>
              <w:rPr>
                <w:sz w:val="20"/>
                <w:szCs w:val="20"/>
                <w:color w:val="auto"/>
              </w:rPr>
            </w:pPr>
            <w:r>
              <w:rPr>
                <w:rFonts w:ascii="Arial" w:cs="Arial" w:eastAsia="Arial" w:hAnsi="Arial"/>
                <w:sz w:val="18"/>
                <w:szCs w:val="18"/>
                <w:color w:val="auto"/>
              </w:rPr>
              <w:t>Finance leases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Interest paid, net</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2120" w:type="dxa"/>
            <w:vAlign w:val="bottom"/>
            <w:tcBorders>
              <w:bottom w:val="single" w:sz="8" w:color="auto"/>
            </w:tcBorders>
          </w:tcPr>
          <w:p>
            <w:pPr>
              <w:spacing w:after="0"/>
              <w:rPr>
                <w:sz w:val="22"/>
                <w:szCs w:val="22"/>
                <w:color w:val="auto"/>
              </w:rPr>
            </w:pPr>
          </w:p>
        </w:tc>
        <w:tc>
          <w:tcPr>
            <w:tcW w:w="5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274" w:lineRule="exact"/>
        <w:rPr>
          <w:sz w:val="20"/>
          <w:szCs w:val="20"/>
          <w:color w:val="auto"/>
        </w:rPr>
      </w:pPr>
    </w:p>
    <w:p>
      <w:pPr>
        <w:ind w:left="180" w:hanging="172"/>
        <w:spacing w:after="0" w:line="239" w:lineRule="auto"/>
        <w:tabs>
          <w:tab w:leader="none" w:pos="193"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65"/>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55"/>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0"/>
        </w:trPr>
        <w:tc>
          <w:tcPr>
            <w:tcW w:w="7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3"/>
        </w:trPr>
        <w:tc>
          <w:tcPr>
            <w:tcW w:w="5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5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16,802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11,770</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230</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16,827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12,012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510"/>
        </w:trPr>
        <w:tc>
          <w:tcPr>
            <w:tcW w:w="5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3"/>
        </w:trPr>
        <w:tc>
          <w:tcPr>
            <w:tcW w:w="5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5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16,716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9,888</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209</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1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Accounting Standards Update (ASU) 2016-01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52"/>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financial instruments</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of adoption of ASU 2016-02 related to leases</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197</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16,740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10,360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90" w:lineRule="exact"/>
        <w:rPr>
          <w:rFonts w:ascii="Arial" w:cs="Arial" w:eastAsia="Arial" w:hAnsi="Arial"/>
          <w:sz w:val="18"/>
          <w:szCs w:val="18"/>
          <w:b w:val="1"/>
          <w:bCs w:val="1"/>
          <w:color w:val="auto"/>
        </w:rPr>
      </w:pPr>
    </w:p>
    <w:p>
      <w:pPr>
        <w:ind w:left="520" w:hanging="269"/>
        <w:spacing w:after="0"/>
        <w:tabs>
          <w:tab w:leader="none" w:pos="52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2018. American is the principal wholly-owned subsidiary of American Airlines Group Inc. (AAG). All significant intercompany transactions have been eliminated.</w:t>
      </w:r>
    </w:p>
    <w:p>
      <w:pPr>
        <w:spacing w:after="0" w:line="11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123" w:lineRule="exact"/>
        <w:rPr>
          <w:sz w:val="20"/>
          <w:szCs w:val="20"/>
          <w:color w:val="auto"/>
        </w:rPr>
      </w:pPr>
    </w:p>
    <w:p>
      <w:pPr>
        <w:jc w:val="both"/>
        <w:ind w:right="20" w:firstLine="216"/>
        <w:spacing w:after="0" w:line="271" w:lineRule="auto"/>
        <w:rPr>
          <w:sz w:val="20"/>
          <w:szCs w:val="20"/>
          <w:color w:val="auto"/>
        </w:rPr>
      </w:pPr>
      <w:r>
        <w:rPr>
          <w:rFonts w:ascii="Arial" w:cs="Arial" w:eastAsia="Arial" w:hAnsi="Arial"/>
          <w:sz w:val="18"/>
          <w:szCs w:val="18"/>
          <w:color w:val="auto"/>
        </w:rPr>
        <w:t>In the fourth quarter of 2018, American adopted ASU 2016-02: Leases (Topic 842) (the New Lease Standard) as of January 1, 2018. In accordance with the New Lease Standard, 2018 periods have been recast to reflect the effects of this adoption. As a result of the adoption of the New Lease Standard, American's first quarter of 2018 net income decreased by $27 million.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Recent Accounting Pronouncements</w:t>
      </w:r>
    </w:p>
    <w:p>
      <w:pPr>
        <w:spacing w:after="0" w:line="92" w:lineRule="exact"/>
        <w:rPr>
          <w:sz w:val="20"/>
          <w:szCs w:val="20"/>
          <w:color w:val="auto"/>
        </w:rPr>
      </w:pPr>
    </w:p>
    <w:p>
      <w:pPr>
        <w:ind w:right="540" w:firstLine="216"/>
        <w:spacing w:after="0" w:line="29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This ASU provides the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In the first quarter of 2019, American adopted this standard retrospectively as of December 22, 2017, the date the 2017 Tax Act was enacted, which resulted in the recast of prior reporting periods. As a result of the adoption, American reclassified $622 million of stranded tax effects principally related to its pension plans from accumulated other comprehensive loss to retained earnings.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51"/>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5"/>
        </w:trPr>
        <w:tc>
          <w:tcPr>
            <w:tcW w:w="7880" w:type="dxa"/>
            <w:vAlign w:val="bottom"/>
          </w:tcPr>
          <w:p>
            <w:pPr>
              <w:ind w:left="18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88"/>
        </w:trPr>
        <w:tc>
          <w:tcPr>
            <w:tcW w:w="78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1"/>
                <w:szCs w:val="21"/>
                <w:color w:val="auto"/>
                <w:vertAlign w:val="superscript"/>
              </w:rPr>
              <w:t>(3)</w:t>
            </w:r>
          </w:p>
        </w:tc>
        <w:tc>
          <w:tcPr>
            <w:tcW w:w="1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5"/>
        </w:trPr>
        <w:tc>
          <w:tcPr>
            <w:tcW w:w="7880" w:type="dxa"/>
            <w:vAlign w:val="bottom"/>
          </w:tcPr>
          <w:p>
            <w:pPr>
              <w:ind w:left="280"/>
              <w:spacing w:after="0"/>
              <w:rPr>
                <w:sz w:val="20"/>
                <w:szCs w:val="20"/>
                <w:color w:val="auto"/>
              </w:rPr>
            </w:pPr>
            <w:r>
              <w:rPr>
                <w:rFonts w:ascii="Arial" w:cs="Arial" w:eastAsia="Arial" w:hAnsi="Arial"/>
                <w:sz w:val="18"/>
                <w:szCs w:val="18"/>
                <w:color w:val="auto"/>
              </w:rPr>
              <w:t>Nonoperating special items, net</w:t>
            </w:r>
          </w:p>
        </w:tc>
        <w:tc>
          <w:tcPr>
            <w:tcW w:w="1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29"/>
        </w:trPr>
        <w:tc>
          <w:tcPr>
            <w:tcW w:w="78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316"/>
        </w:trPr>
        <w:tc>
          <w:tcPr>
            <w:tcW w:w="7880" w:type="dxa"/>
            <w:vAlign w:val="bottom"/>
          </w:tcPr>
          <w:p>
            <w:pPr>
              <w:ind w:left="28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1"/>
                <w:szCs w:val="21"/>
                <w:color w:val="auto"/>
                <w:vertAlign w:val="superscript"/>
              </w:rPr>
              <w:t>(4)</w:t>
            </w:r>
          </w:p>
        </w:tc>
        <w:tc>
          <w:tcPr>
            <w:tcW w:w="11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3379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00" w:right="20" w:hanging="330"/>
        <w:spacing w:after="0" w:line="239" w:lineRule="auto"/>
        <w:tabs>
          <w:tab w:leader="none" w:pos="50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technical operations, flight attendant, human resources and payroll systems.</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investments relate to net unrealized gains primarily associated with American's equity investment in China Southern Airlines Company Limited (China Southern Airlines).</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for the three months ended March 31, 2018 included a $30 million charge to income tax expense to establish a required valuation allowance related to American's estimated refund for Alternative Minimum Tax (AMT) credits.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right="9380" w:hanging="232"/>
        <w:spacing w:after="0" w:line="415" w:lineRule="auto"/>
        <w:tabs>
          <w:tab w:leader="none" w:pos="211"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i w:val="1"/>
          <w:iCs w:val="1"/>
          <w:u w:val="single" w:color="auto"/>
          <w:color w:val="auto"/>
        </w:rPr>
        <w:t>Revenue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r>
      <w:tr>
        <w:trPr>
          <w:trHeight w:val="251"/>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65"/>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23"/>
                <w:szCs w:val="23"/>
                <w:color w:val="auto"/>
              </w:rPr>
            </w:pPr>
          </w:p>
        </w:tc>
        <w:tc>
          <w:tcPr>
            <w:tcW w:w="1040" w:type="dxa"/>
            <w:vAlign w:val="bottom"/>
          </w:tcPr>
          <w:p>
            <w:pPr>
              <w:jc w:val="right"/>
              <w:ind w:right="816"/>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8,630</w:t>
            </w:r>
          </w:p>
        </w:tc>
      </w:tr>
      <w:tr>
        <w:trPr>
          <w:trHeight w:val="275"/>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45"/>
        </w:trPr>
        <w:tc>
          <w:tcPr>
            <w:tcW w:w="788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9,480</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6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5"/>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65"/>
        </w:trPr>
        <w:tc>
          <w:tcPr>
            <w:tcW w:w="78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r>
      <w:tr>
        <w:trPr>
          <w:trHeight w:val="250"/>
        </w:trPr>
        <w:tc>
          <w:tcPr>
            <w:tcW w:w="7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55"/>
        </w:trPr>
        <w:tc>
          <w:tcPr>
            <w:tcW w:w="788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10,581</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10,398</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5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74" w:lineRule="exact"/>
        <w:rPr>
          <w:sz w:val="20"/>
          <w:szCs w:val="20"/>
          <w:color w:val="auto"/>
        </w:rPr>
      </w:pPr>
    </w:p>
    <w:p>
      <w:pPr>
        <w:ind w:left="500" w:right="20" w:hanging="330"/>
        <w:spacing w:after="0" w:line="239" w:lineRule="auto"/>
        <w:tabs>
          <w:tab w:leader="none" w:pos="50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 xml:space="preserve">Loyalty revenue included in passenger revenue is principally comprised of mileage credit redemptions earned through travel and mileage credits sold to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xml:space="preserve"> below for further discussion on these mileage credits.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51"/>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6,963</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1,445</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r>
      <w:tr>
        <w:trPr>
          <w:trHeight w:val="265"/>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10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9,658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9,480</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8,568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8,539</w:t>
            </w:r>
          </w:p>
        </w:tc>
      </w:tr>
      <w:tr>
        <w:trPr>
          <w:trHeight w:val="265"/>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5,930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4,339</w:t>
            </w:r>
          </w:p>
        </w:tc>
      </w:tr>
      <w:tr>
        <w:trPr>
          <w:trHeight w:val="255"/>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14,498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12,878</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-711200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331"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8,539</w:t>
            </w:r>
          </w:p>
        </w:tc>
      </w:tr>
      <w:tr>
        <w:trPr>
          <w:trHeight w:val="252"/>
        </w:trPr>
        <w:tc>
          <w:tcPr>
            <w:tcW w:w="9700" w:type="dxa"/>
            <w:vAlign w:val="bottom"/>
            <w:gridSpan w:val="2"/>
          </w:tcPr>
          <w:p>
            <w:pPr>
              <w:ind w:left="28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61"/>
        </w:trPr>
        <w:tc>
          <w:tcPr>
            <w:tcW w:w="9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50"/>
        </w:trPr>
        <w:tc>
          <w:tcPr>
            <w:tcW w:w="9700" w:type="dxa"/>
            <w:vAlign w:val="bottom"/>
            <w:gridSpan w:val="2"/>
          </w:tcPr>
          <w:p>
            <w:pPr>
              <w:ind w:left="40"/>
              <w:spacing w:after="0"/>
              <w:rPr>
                <w:sz w:val="20"/>
                <w:szCs w:val="20"/>
                <w:color w:val="auto"/>
              </w:rPr>
            </w:pPr>
            <w:r>
              <w:rPr>
                <w:rFonts w:ascii="Arial" w:cs="Arial" w:eastAsia="Arial" w:hAnsi="Arial"/>
                <w:sz w:val="18"/>
                <w:szCs w:val="18"/>
                <w:color w:val="auto"/>
              </w:rPr>
              <w:t xml:space="preserve">Balance at March 31, 2019 </w:t>
            </w:r>
            <w:r>
              <w:rPr>
                <w:rFonts w:ascii="Arial" w:cs="Arial" w:eastAsia="Arial" w:hAnsi="Arial"/>
                <w:sz w:val="21"/>
                <w:szCs w:val="21"/>
                <w:color w:val="auto"/>
                <w:vertAlign w:val="superscript"/>
              </w:rPr>
              <w:t>(2)</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8,568</w:t>
            </w:r>
          </w:p>
        </w:tc>
      </w:tr>
      <w:tr>
        <w:trPr>
          <w:trHeight w:val="20"/>
        </w:trPr>
        <w:tc>
          <w:tcPr>
            <w:tcW w:w="21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7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39" w:lineRule="exact"/>
        <w:rPr>
          <w:sz w:val="20"/>
          <w:szCs w:val="20"/>
          <w:color w:val="auto"/>
        </w:rPr>
      </w:pPr>
    </w:p>
    <w:p>
      <w:pPr>
        <w:jc w:val="both"/>
        <w:ind w:left="500" w:hanging="330"/>
        <w:spacing w:after="0" w:line="244"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32"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March 31, 2019, American's current loyalty program liability was $3.4 billion and represents American's current estimate of revenue expected to be recognized in the next twelve months based on historical trends, with the balance reflected in long-term loyalty program liability expected to be recognized as revenue in periods thereafter.</w:t>
      </w:r>
    </w:p>
    <w:p>
      <w:pPr>
        <w:spacing w:after="0" w:line="131"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one year. Accordingly, any revenue associated with tickets sold for future travel will be recognized within twelve months. For the three months ended March 31, 2019, $2.6 billion of revenue was recognized in passenger revenue that was included in American's air traffic liability at December 31, 2018.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395" w:lineRule="exact"/>
        <w:rPr>
          <w:sz w:val="20"/>
          <w:szCs w:val="20"/>
          <w:color w:val="auto"/>
        </w:rPr>
      </w:pPr>
    </w:p>
    <w:p>
      <w:pPr>
        <w:ind w:left="8220"/>
        <w:spacing w:after="0"/>
        <w:tabs>
          <w:tab w:leader="none" w:pos="9900" w:val="left"/>
        </w:tabs>
        <w:rPr>
          <w:sz w:val="20"/>
          <w:szCs w:val="20"/>
          <w:color w:val="auto"/>
        </w:rPr>
      </w:pPr>
      <w:r>
        <w:rPr>
          <w:rFonts w:ascii="Arial" w:cs="Arial" w:eastAsia="Arial" w:hAnsi="Arial"/>
          <w:sz w:val="14"/>
          <w:szCs w:val="14"/>
          <w:b w:val="1"/>
          <w:bCs w:val="1"/>
          <w:color w:val="auto"/>
        </w:rPr>
        <w:t>March 31, 2019</w:t>
      </w:r>
      <w:r>
        <w:rPr>
          <w:sz w:val="20"/>
          <w:szCs w:val="20"/>
          <w:color w:val="auto"/>
        </w:rPr>
        <w:tab/>
      </w: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Secured</w:t>
      </w:r>
    </w:p>
    <w:p>
      <w:pPr>
        <w:spacing w:after="0" w:line="75" w:lineRule="exact"/>
        <w:rPr>
          <w:sz w:val="20"/>
          <w:szCs w:val="20"/>
          <w:color w:val="auto"/>
        </w:rPr>
      </w:pPr>
    </w:p>
    <w:p>
      <w:pPr>
        <w:ind w:left="180"/>
        <w:spacing w:after="0"/>
        <w:tabs>
          <w:tab w:leader="none" w:pos="7880" w:val="left"/>
        </w:tabs>
        <w:rPr>
          <w:sz w:val="20"/>
          <w:szCs w:val="20"/>
          <w:color w:val="auto"/>
        </w:rPr>
      </w:pPr>
      <w:r>
        <w:rPr>
          <w:rFonts w:ascii="Arial" w:cs="Arial" w:eastAsia="Arial" w:hAnsi="Arial"/>
          <w:sz w:val="18"/>
          <w:szCs w:val="18"/>
          <w:color w:val="auto"/>
        </w:rPr>
        <w:t>2013 Credit Facilities, variable interest rate of 4.24%, installments through 2025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right="840"/>
        <w:spacing w:after="0" w:line="313" w:lineRule="auto"/>
        <w:rPr>
          <w:sz w:val="20"/>
          <w:szCs w:val="20"/>
          <w:color w:val="auto"/>
        </w:rPr>
      </w:pPr>
      <w:r>
        <w:rPr>
          <w:rFonts w:ascii="Arial" w:cs="Arial" w:eastAsia="Arial" w:hAnsi="Arial"/>
          <w:sz w:val="18"/>
          <w:szCs w:val="18"/>
          <w:color w:val="auto"/>
        </w:rPr>
        <w:t>2014 Credit Facilities, variable interest rate of 4.49%, installments through 2021 April 2016 Credit Facilities, variable interest rate of 4.50%, installments through 2023 December 2016 Credit Facilities, variable interest rate of 4.48%,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right="500" w:hanging="161"/>
        <w:spacing w:after="0" w:line="266" w:lineRule="auto"/>
        <w:rPr>
          <w:sz w:val="20"/>
          <w:szCs w:val="20"/>
          <w:color w:val="auto"/>
        </w:rPr>
      </w:pPr>
      <w:r>
        <w:rPr>
          <w:rFonts w:ascii="Arial" w:cs="Arial" w:eastAsia="Arial" w:hAnsi="Arial"/>
          <w:sz w:val="18"/>
          <w:szCs w:val="18"/>
          <w:color w:val="auto"/>
        </w:rPr>
        <w:t>Aircraft enhanced equipment trust certificates (EETCs), fixed interest rates ranging from 3.00% to 8.39%, averaging 4.17%, maturing from 2019 to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40" w:right="500" w:hanging="161"/>
        <w:spacing w:after="0" w:line="266" w:lineRule="auto"/>
        <w:rPr>
          <w:sz w:val="20"/>
          <w:szCs w:val="20"/>
          <w:color w:val="auto"/>
        </w:rPr>
      </w:pPr>
      <w:r>
        <w:rPr>
          <w:rFonts w:ascii="Arial" w:cs="Arial" w:eastAsia="Arial" w:hAnsi="Arial"/>
          <w:sz w:val="18"/>
          <w:szCs w:val="18"/>
          <w:color w:val="auto"/>
        </w:rPr>
        <w:t>Equipment loans and other notes payable, fixed and variable interest rates ranging from 2.34% to 7.89%, averaging 4.27%, maturing from 2019 to 2031</w:t>
      </w:r>
    </w:p>
    <w:p>
      <w:pPr>
        <w:ind w:left="180"/>
        <w:spacing w:after="0"/>
        <w:rPr>
          <w:sz w:val="20"/>
          <w:szCs w:val="20"/>
          <w:color w:val="auto"/>
        </w:rPr>
      </w:pPr>
      <w:r>
        <w:rPr>
          <w:rFonts w:ascii="Arial" w:cs="Arial" w:eastAsia="Arial" w:hAnsi="Arial"/>
          <w:sz w:val="18"/>
          <w:szCs w:val="18"/>
          <w:color w:val="auto"/>
        </w:rPr>
        <w:t>Special facility revenue bonds, fixed interest rates of 5.00%, maturing from 2019 to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long-term debt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Total unamortized debt discount, premium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Current maturities</w:t>
      </w:r>
    </w:p>
    <w:p>
      <w:pPr>
        <w:spacing w:after="0" w:line="63" w:lineRule="exact"/>
        <w:rPr>
          <w:sz w:val="20"/>
          <w:szCs w:val="20"/>
          <w:color w:val="auto"/>
        </w:rPr>
      </w:pPr>
    </w:p>
    <w:p>
      <w:pPr>
        <w:ind w:left="380"/>
        <w:spacing w:after="0"/>
        <w:tabs>
          <w:tab w:leader="none" w:pos="7880" w:val="left"/>
        </w:tabs>
        <w:rPr>
          <w:sz w:val="20"/>
          <w:szCs w:val="20"/>
          <w:color w:val="auto"/>
        </w:rPr>
      </w:pPr>
      <w:r>
        <w:rPr>
          <w:rFonts w:ascii="Arial" w:cs="Arial" w:eastAsia="Arial" w:hAnsi="Arial"/>
          <w:sz w:val="18"/>
          <w:szCs w:val="18"/>
          <w:color w:val="auto"/>
        </w:rPr>
        <w:t>Long-term debt, net of current maturities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00"/>
        <w:spacing w:after="0"/>
        <w:tabs>
          <w:tab w:leader="none" w:pos="780" w:val="left"/>
          <w:tab w:leader="none" w:pos="1900" w:val="left"/>
        </w:tabs>
        <w:rPr>
          <w:sz w:val="20"/>
          <w:szCs w:val="20"/>
          <w:color w:val="auto"/>
        </w:rPr>
      </w:pPr>
      <w:r>
        <w:rPr>
          <w:rFonts w:ascii="Arial" w:cs="Arial" w:eastAsia="Arial" w:hAnsi="Arial"/>
          <w:sz w:val="18"/>
          <w:szCs w:val="18"/>
          <w:color w:val="auto"/>
        </w:rPr>
        <w:t>1,825</w:t>
        <w:tab/>
        <w:t>$</w:t>
      </w:r>
      <w:r>
        <w:rPr>
          <w:sz w:val="20"/>
          <w:szCs w:val="20"/>
          <w:color w:val="auto"/>
        </w:rPr>
        <w:tab/>
      </w:r>
      <w:r>
        <w:rPr>
          <w:rFonts w:ascii="Arial" w:cs="Arial" w:eastAsia="Arial" w:hAnsi="Arial"/>
          <w:sz w:val="18"/>
          <w:szCs w:val="18"/>
          <w:color w:val="auto"/>
        </w:rPr>
        <w:t>1,825</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8"/>
          <w:szCs w:val="18"/>
          <w:color w:val="auto"/>
        </w:rPr>
        <w:t>1,215</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980</w:t>
      </w:r>
      <w:r>
        <w:rPr>
          <w:sz w:val="20"/>
          <w:szCs w:val="20"/>
          <w:color w:val="auto"/>
        </w:rPr>
        <w:tab/>
      </w:r>
      <w:r>
        <w:rPr>
          <w:rFonts w:ascii="Arial" w:cs="Arial" w:eastAsia="Arial" w:hAnsi="Arial"/>
          <w:sz w:val="17"/>
          <w:szCs w:val="17"/>
          <w:color w:val="auto"/>
        </w:rPr>
        <w:t>980</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1,225</w:t>
      </w:r>
      <w:r>
        <w:rPr>
          <w:sz w:val="20"/>
          <w:szCs w:val="20"/>
          <w:color w:val="auto"/>
        </w:rPr>
        <w:tab/>
      </w:r>
      <w:r>
        <w:rPr>
          <w:rFonts w:ascii="Arial" w:cs="Arial" w:eastAsia="Arial" w:hAnsi="Arial"/>
          <w:sz w:val="18"/>
          <w:szCs w:val="18"/>
          <w:color w:val="auto"/>
        </w:rPr>
        <w:t>1,225</w:t>
      </w:r>
    </w:p>
    <w:p>
      <w:pPr>
        <w:spacing w:after="0" w:line="252"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7"/>
          <w:szCs w:val="17"/>
          <w:color w:val="auto"/>
        </w:rPr>
        <w:t>11,059</w:t>
      </w:r>
      <w:r>
        <w:rPr>
          <w:sz w:val="20"/>
          <w:szCs w:val="20"/>
          <w:color w:val="auto"/>
        </w:rPr>
        <w:tab/>
      </w:r>
      <w:r>
        <w:rPr>
          <w:rFonts w:ascii="Arial" w:cs="Arial" w:eastAsia="Arial" w:hAnsi="Arial"/>
          <w:sz w:val="17"/>
          <w:szCs w:val="17"/>
          <w:color w:val="auto"/>
        </w:rPr>
        <w:t>11,648</w:t>
      </w:r>
    </w:p>
    <w:p>
      <w:pPr>
        <w:spacing w:after="0" w:line="264"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5,217</w:t>
      </w:r>
      <w:r>
        <w:rPr>
          <w:sz w:val="20"/>
          <w:szCs w:val="20"/>
          <w:color w:val="auto"/>
        </w:rPr>
        <w:tab/>
      </w:r>
      <w:r>
        <w:rPr>
          <w:rFonts w:ascii="Arial" w:cs="Arial" w:eastAsia="Arial" w:hAnsi="Arial"/>
          <w:sz w:val="18"/>
          <w:szCs w:val="18"/>
          <w:color w:val="auto"/>
        </w:rPr>
        <w:t>5,060</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769</w:t>
      </w:r>
      <w:r>
        <w:rPr>
          <w:sz w:val="20"/>
          <w:szCs w:val="20"/>
          <w:color w:val="auto"/>
        </w:rPr>
        <w:tab/>
      </w:r>
      <w:r>
        <w:rPr>
          <w:rFonts w:ascii="Arial" w:cs="Arial" w:eastAsia="Arial" w:hAnsi="Arial"/>
          <w:sz w:val="17"/>
          <w:szCs w:val="17"/>
          <w:color w:val="auto"/>
        </w:rPr>
        <w:t>769</w:t>
      </w:r>
    </w:p>
    <w:p>
      <w:pPr>
        <w:spacing w:after="0" w:line="75"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22,290</w:t>
      </w:r>
      <w:r>
        <w:rPr>
          <w:sz w:val="20"/>
          <w:szCs w:val="20"/>
          <w:color w:val="auto"/>
        </w:rPr>
        <w:tab/>
      </w:r>
      <w:r>
        <w:rPr>
          <w:rFonts w:ascii="Arial" w:cs="Arial" w:eastAsia="Arial" w:hAnsi="Arial"/>
          <w:sz w:val="18"/>
          <w:szCs w:val="18"/>
          <w:color w:val="auto"/>
        </w:rPr>
        <w:t>22,722</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7"/>
          <w:szCs w:val="17"/>
          <w:color w:val="auto"/>
        </w:rPr>
        <w:t>219</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2,038</w:t>
      </w:r>
      <w:r>
        <w:rPr>
          <w:sz w:val="20"/>
          <w:szCs w:val="20"/>
          <w:color w:val="auto"/>
        </w:rPr>
        <w:tab/>
      </w:r>
      <w:r>
        <w:rPr>
          <w:rFonts w:ascii="Arial" w:cs="Arial" w:eastAsia="Arial" w:hAnsi="Arial"/>
          <w:sz w:val="18"/>
          <w:szCs w:val="18"/>
          <w:color w:val="auto"/>
        </w:rPr>
        <w:t>2,466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spacing w:after="0"/>
        <w:tabs>
          <w:tab w:leader="none" w:pos="780" w:val="left"/>
          <w:tab w:leader="none" w:pos="1800" w:val="left"/>
        </w:tabs>
        <w:rPr>
          <w:sz w:val="20"/>
          <w:szCs w:val="20"/>
          <w:color w:val="auto"/>
        </w:rPr>
      </w:pPr>
      <w:r>
        <w:rPr>
          <w:rFonts w:ascii="Arial" w:cs="Arial" w:eastAsia="Arial" w:hAnsi="Arial"/>
          <w:sz w:val="18"/>
          <w:szCs w:val="18"/>
          <w:color w:val="auto"/>
        </w:rPr>
        <w:t>20,037</w:t>
        <w:tab/>
        <w:t>$</w:t>
      </w:r>
      <w:r>
        <w:rPr>
          <w:sz w:val="20"/>
          <w:szCs w:val="20"/>
          <w:color w:val="auto"/>
        </w:rPr>
        <w:tab/>
      </w:r>
      <w:r>
        <w:rPr>
          <w:rFonts w:ascii="Arial" w:cs="Arial" w:eastAsia="Arial" w:hAnsi="Arial"/>
          <w:sz w:val="18"/>
          <w:szCs w:val="18"/>
          <w:color w:val="auto"/>
        </w:rPr>
        <w:t>20,037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4663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20" w:space="720"/>
            <w:col w:w="2480"/>
          </w:cols>
          <w:pgMar w:left="240" w:top="331" w:right="2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331"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March 31, 2019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52"/>
        </w:trPr>
        <w:tc>
          <w:tcPr>
            <w:tcW w:w="970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1,543</w:t>
            </w:r>
          </w:p>
        </w:tc>
      </w:tr>
      <w:tr>
        <w:trPr>
          <w:trHeight w:val="261"/>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5"/>
        </w:trPr>
        <w:tc>
          <w:tcPr>
            <w:tcW w:w="9700" w:type="dxa"/>
            <w:vAlign w:val="bottom"/>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2,843</w:t>
            </w:r>
          </w:p>
        </w:tc>
      </w:tr>
      <w:tr>
        <w:trPr>
          <w:trHeight w:val="20"/>
        </w:trPr>
        <w:tc>
          <w:tcPr>
            <w:tcW w:w="9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in the future.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2019 Aircraft Financing Activities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 Notes Issued in 2019</w:t>
      </w:r>
    </w:p>
    <w:p>
      <w:pPr>
        <w:spacing w:after="0" w:line="8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8"/>
          <w:szCs w:val="18"/>
          <w:color w:val="auto"/>
        </w:rPr>
        <w:t>In the first three months of 2019, American entered into agreements under which it borrowed $400 million in connection with the financing of certain aircraft. Debt incurred under these agreements matures in 2031 and bears interest at variable rates (comprised of LIBOR plus an applicable margin) averaging 4.07% at March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At December 31, 2018, American had approximately $10.6 billion of federal net operating losses (NOLs) carried over from prior taxable years (NOL Carryforwards) to reduce future federal taxable income, substantially all of which American expects to be available for use in 2019. American is a member of AAG’s consolidated federal and certain state income tax returns. The amount of federal NOL Carryforwards available in those returns is $10.2 billion, substantially all of which is expected to be available for use in 2019. The federal NOL Carryforwards will expire beginning in 2022 if unused. American also had approximately $3.1 billion of NOL Carryforwards to reduce future state taxable income at December 31, 2018, which will expire in years 2019 through 2038 if unused.</w:t>
      </w:r>
    </w:p>
    <w:p>
      <w:pPr>
        <w:spacing w:after="0" w:line="124"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At December 31, 2018, American had an AMT credit carryforward of approximately $452 million available for federal income tax purposes, which is expected to be fully refundable over the next several years as a result of the repeal of corporate AMT.</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During the three months ended March 31, 2019, American recorded an income tax provision of $74 million, which was substantially non-cash as American utilized its NOLs as described above.</w:t>
      </w:r>
    </w:p>
    <w:p>
      <w:pPr>
        <w:spacing w:after="0" w:line="170"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three months ended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Fair Value Measurements as of March 31, 2019</w:t>
            </w:r>
          </w:p>
        </w:tc>
        <w:tc>
          <w:tcPr>
            <w:tcW w:w="110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65"/>
        </w:trPr>
        <w:tc>
          <w:tcPr>
            <w:tcW w:w="55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5"/>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5"/>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65"/>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7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4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264"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are recorded in accumulated other comprehensive loss at each measurement date.</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American’s short-term investments mature in one year or less except for $1.2 billion of bank notes/certificates of deposit/time deposits and $188 million of corporate obligations.</w:t>
      </w:r>
    </w:p>
    <w:p>
      <w:pPr>
        <w:spacing w:after="0" w:line="136"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American's equity investment in China Southern Airlines, in which American presently owns a 2.2% equity interest, and are classified in other assets on the condensed consolidated balance sheets.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2019</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2018</w:t>
            </w:r>
          </w:p>
        </w:tc>
      </w:tr>
      <w:tr>
        <w:trPr>
          <w:trHeight w:val="168"/>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4"/>
                <w:szCs w:val="14"/>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203"/>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7"/>
                <w:szCs w:val="17"/>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Value</w:t>
            </w:r>
          </w:p>
        </w:tc>
      </w:tr>
      <w:tr>
        <w:trPr>
          <w:trHeight w:val="24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22,347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22,497</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the components of net periodic benefit cost (income)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Retiree Medical and Other</w:t>
            </w:r>
          </w:p>
        </w:tc>
      </w:tr>
      <w:tr>
        <w:trPr>
          <w:trHeight w:val="203"/>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1"/>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65"/>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5"/>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7"/>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5"/>
        </w:trPr>
        <w:tc>
          <w:tcPr>
            <w:tcW w:w="5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Unrecognized net loss (gain)</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1" w:right="239" w:bottom="1440" w:gutter="0" w:footer="0" w:header="0"/>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331"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The components of net periodic benefit income other than the service cost component are included in nonoperating other income, net in the condensed consolidated statements of operations.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three months of 2019, American made contributions of $364 million to its defined benefit pension plans.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on</w:t>
            </w: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21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r>
      <w:tr>
        <w:trPr>
          <w:trHeight w:val="265"/>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5"/>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1"/>
                <w:szCs w:val="11"/>
                <w:color w:val="auto"/>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187"/>
        </w:trPr>
        <w:tc>
          <w:tcPr>
            <w:tcW w:w="4920" w:type="dxa"/>
            <w:vAlign w:val="bottom"/>
            <w:gridSpan w:val="2"/>
          </w:tcPr>
          <w:p>
            <w:pPr>
              <w:ind w:left="600"/>
              <w:spacing w:after="0" w:line="187" w:lineRule="exact"/>
              <w:rPr>
                <w:sz w:val="20"/>
                <w:szCs w:val="20"/>
                <w:color w:val="auto"/>
              </w:rPr>
            </w:pPr>
            <w:r>
              <w:rPr>
                <w:rFonts w:ascii="Arial" w:cs="Arial" w:eastAsia="Arial" w:hAnsi="Arial"/>
                <w:sz w:val="18"/>
                <w:szCs w:val="18"/>
                <w:color w:val="auto"/>
              </w:rPr>
              <w:t>Net current-period other comprehensive income</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48"/>
        </w:trPr>
        <w:tc>
          <w:tcPr>
            <w:tcW w:w="49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2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74" w:lineRule="exact"/>
        <w:rPr>
          <w:sz w:val="20"/>
          <w:szCs w:val="20"/>
          <w:color w:val="auto"/>
        </w:rPr>
      </w:pPr>
    </w:p>
    <w:p>
      <w:pPr>
        <w:ind w:left="500" w:hanging="330"/>
        <w:spacing w:after="0" w:line="239" w:lineRule="auto"/>
        <w:tabs>
          <w:tab w:leader="none" w:pos="50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36"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ectPr>
          <w:pgSz w:w="11900" w:h="16838" w:orient="portrait"/>
          <w:cols w:equalWidth="0" w:num="1">
            <w:col w:w="11420"/>
          </w:cols>
          <w:pgMar w:left="240" w:top="331" w:right="239" w:bottom="1440" w:gutter="0" w:footer="0" w:header="0"/>
        </w:sectPr>
      </w:pP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00" w:lineRule="exact"/>
        <w:rPr>
          <w:sz w:val="20"/>
          <w:szCs w:val="20"/>
          <w:color w:val="auto"/>
        </w:rPr>
      </w:pPr>
    </w:p>
    <w:p>
      <w:pPr>
        <w:spacing w:after="0" w:line="384" w:lineRule="exact"/>
        <w:rPr>
          <w:sz w:val="20"/>
          <w:szCs w:val="20"/>
          <w:color w:val="auto"/>
        </w:rPr>
      </w:pPr>
    </w:p>
    <w:p>
      <w:pPr>
        <w:jc w:val="right"/>
        <w:ind w:right="600"/>
        <w:spacing w:after="0"/>
        <w:rPr>
          <w:sz w:val="20"/>
          <w:szCs w:val="20"/>
          <w:color w:val="auto"/>
        </w:rPr>
      </w:pPr>
      <w:r>
        <w:rPr>
          <w:rFonts w:ascii="Arial" w:cs="Arial" w:eastAsia="Arial" w:hAnsi="Arial"/>
          <w:sz w:val="14"/>
          <w:szCs w:val="14"/>
          <w:b w:val="1"/>
          <w:bCs w:val="1"/>
          <w:color w:val="auto"/>
        </w:rPr>
        <w:t>Amounts reclassified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27305</wp:posOffset>
            </wp:positionV>
            <wp:extent cx="1955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27305</wp:posOffset>
            </wp:positionV>
            <wp:extent cx="19551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38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304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Affected line items on the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statements of operations</w:t>
      </w:r>
    </w:p>
    <w:p>
      <w:pPr>
        <w:spacing w:after="0" w:line="41" w:lineRule="exact"/>
        <w:rPr>
          <w:sz w:val="20"/>
          <w:szCs w:val="20"/>
          <w:color w:val="auto"/>
        </w:rPr>
      </w:pPr>
    </w:p>
    <w:p>
      <w:pPr>
        <w:sectPr>
          <w:pgSz w:w="11900" w:h="16838" w:orient="portrait"/>
          <w:cols w:equalWidth="0" w:num="2">
            <w:col w:w="8180" w:space="720"/>
            <w:col w:w="2520"/>
          </w:cols>
          <w:pgMar w:left="240" w:top="331"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 medical and other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postretirement benefits: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20" w:type="dxa"/>
            <w:vAlign w:val="bottom"/>
          </w:tcPr>
          <w:p>
            <w:pPr>
              <w:ind w:left="380"/>
              <w:spacing w:after="0"/>
              <w:rPr>
                <w:sz w:val="20"/>
                <w:szCs w:val="20"/>
                <w:color w:val="auto"/>
              </w:rPr>
            </w:pPr>
            <w:r>
              <w:rPr>
                <w:rFonts w:ascii="Arial" w:cs="Arial" w:eastAsia="Arial" w:hAnsi="Arial"/>
                <w:sz w:val="18"/>
                <w:szCs w:val="18"/>
                <w:color w:val="auto"/>
              </w:rPr>
              <w:t>Prior service benefit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3420" w:type="dxa"/>
            <w:vAlign w:val="bottom"/>
          </w:tcPr>
          <w:p>
            <w:pPr>
              <w:jc w:val="right"/>
              <w:ind w:right="670"/>
              <w:spacing w:after="0"/>
              <w:rPr>
                <w:sz w:val="20"/>
                <w:szCs w:val="20"/>
                <w:color w:val="auto"/>
              </w:rPr>
            </w:pPr>
            <w:r>
              <w:rPr>
                <w:rFonts w:ascii="Arial" w:cs="Arial" w:eastAsia="Arial" w:hAnsi="Arial"/>
                <w:sz w:val="18"/>
                <w:szCs w:val="18"/>
                <w:color w:val="auto"/>
              </w:rPr>
              <w:t>Nonoperating other income, net</w:t>
            </w:r>
          </w:p>
        </w:tc>
      </w:tr>
      <w:tr>
        <w:trPr>
          <w:trHeight w:val="275"/>
        </w:trPr>
        <w:tc>
          <w:tcPr>
            <w:tcW w:w="4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24   Nonoperating other income, net</w:t>
            </w:r>
          </w:p>
        </w:tc>
      </w:tr>
      <w:tr>
        <w:trPr>
          <w:trHeight w:val="245"/>
        </w:trPr>
        <w:tc>
          <w:tcPr>
            <w:tcW w:w="4920" w:type="dxa"/>
            <w:vAlign w:val="bottom"/>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20" w:type="dxa"/>
            <w:vAlign w:val="bottom"/>
          </w:tcPr>
          <w:p>
            <w:pPr>
              <w:spacing w:after="0"/>
              <w:rPr>
                <w:sz w:val="21"/>
                <w:szCs w:val="21"/>
                <w:color w:val="auto"/>
              </w:rPr>
            </w:pPr>
          </w:p>
        </w:tc>
      </w:tr>
      <w:tr>
        <w:trPr>
          <w:trHeight w:val="20"/>
        </w:trPr>
        <w:tc>
          <w:tcPr>
            <w:tcW w:w="4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48"/>
        </w:trPr>
        <w:tc>
          <w:tcPr>
            <w:tcW w:w="4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331"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92" w:lineRule="exact"/>
        <w:rPr>
          <w:sz w:val="20"/>
          <w:szCs w:val="20"/>
          <w:color w:val="auto"/>
        </w:rPr>
      </w:pPr>
    </w:p>
    <w:p>
      <w:pPr>
        <w:ind w:right="20" w:firstLine="216"/>
        <w:spacing w:after="0" w:line="292"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51"/>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6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Salaries, wages and benefits</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r>
      <w:tr>
        <w:trPr>
          <w:trHeight w:val="26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Maintenance, materials and repairs</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6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Aircraft rent</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6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5"/>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Total regional expenses</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1,682</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5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pacing w:after="0" w:line="274" w:lineRule="exact"/>
        <w:rPr>
          <w:sz w:val="20"/>
          <w:szCs w:val="20"/>
          <w:color w:val="auto"/>
        </w:rPr>
      </w:pPr>
    </w:p>
    <w:p>
      <w:pPr>
        <w:jc w:val="both"/>
        <w:ind w:left="500" w:hanging="330"/>
        <w:spacing w:after="0" w:line="244" w:lineRule="auto"/>
        <w:tabs>
          <w:tab w:leader="none" w:pos="50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During the three months ended March 31, 2019 and 2018, American recognized $143 million and $138 million, respectively, of expense under its capacity purchase agreement with Republic Airline Inc. (Republic). American holds a 25% equity interest in Republic Airways Holdings Inc., the parent company of Republic.</w:t>
      </w:r>
    </w:p>
    <w:p>
      <w:pPr>
        <w:spacing w:after="0" w:line="211"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76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AAG </w:t>
            </w:r>
            <w:r>
              <w:rPr>
                <w:rFonts w:ascii="Arial" w:cs="Arial" w:eastAsia="Arial" w:hAnsi="Arial"/>
                <w:sz w:val="21"/>
                <w:szCs w:val="21"/>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13,587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12,808</w:t>
            </w:r>
          </w:p>
        </w:tc>
      </w:tr>
      <w:tr>
        <w:trPr>
          <w:trHeight w:val="270"/>
        </w:trPr>
        <w:tc>
          <w:tcPr>
            <w:tcW w:w="7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r>
      <w:tr>
        <w:trPr>
          <w:trHeight w:val="245"/>
        </w:trPr>
        <w:tc>
          <w:tcPr>
            <w:tcW w:w="7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11,422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10,666</w:t>
            </w:r>
          </w:p>
        </w:tc>
      </w:tr>
      <w:tr>
        <w:trPr>
          <w:trHeight w:val="20"/>
        </w:trPr>
        <w:tc>
          <w:tcPr>
            <w:tcW w:w="21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5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bl>
    <w:p>
      <w:pPr>
        <w:spacing w:after="0" w:line="274" w:lineRule="exact"/>
        <w:rPr>
          <w:sz w:val="20"/>
          <w:szCs w:val="20"/>
          <w:color w:val="auto"/>
        </w:rPr>
      </w:pPr>
    </w:p>
    <w:p>
      <w:pPr>
        <w:ind w:left="500" w:right="20" w:hanging="330"/>
        <w:spacing w:after="0" w:line="239" w:lineRule="auto"/>
        <w:tabs>
          <w:tab w:leader="none" w:pos="500" w:val="left"/>
        </w:tabs>
        <w:numPr>
          <w:ilvl w:val="1"/>
          <w:numId w:val="28"/>
        </w:numPr>
        <w:rPr>
          <w:rFonts w:ascii="Arial" w:cs="Arial" w:eastAsia="Arial" w:hAnsi="Arial"/>
          <w:sz w:val="22"/>
          <w:szCs w:val="22"/>
          <w:color w:val="auto"/>
          <w:vertAlign w:val="superscript"/>
        </w:rPr>
      </w:pPr>
      <w:r>
        <w:rPr>
          <w:rFonts w:ascii="Arial" w:cs="Arial" w:eastAsia="Arial" w:hAnsi="Arial"/>
          <w:sz w:val="18"/>
          <w:szCs w:val="18"/>
          <w:color w:val="auto"/>
        </w:rPr>
        <w:t>The increase in American’s net related party receivable from AAG is primarily due to American providing the cash funding for AAG’s dividend and share repurchase programs.</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1"/>
          <w:numId w:val="28"/>
        </w:numPr>
        <w:rPr>
          <w:rFonts w:ascii="Arial" w:cs="Arial" w:eastAsia="Arial" w:hAnsi="Arial"/>
          <w:sz w:val="22"/>
          <w:szCs w:val="22"/>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15"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2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by AAG from time to time in its quarterly and annual reports, including for purposes of calculating earnings per common share. As disputed claims are resolved, the claimants will receive distributions of shares from the Disputed Claims Reserve. However, American is not required to distribute additional shares above the limits contemplated by the Plan, even if the shares remaining for distribution in the Disputed Claims Reserve are not sufficient to fully pay any additional allowed unsecured claims. To the</w:t>
      </w:r>
    </w:p>
    <w:p>
      <w:pPr>
        <w:sectPr>
          <w:pgSz w:w="11900" w:h="16838" w:orient="portrait"/>
          <w:cols w:equalWidth="0" w:num="1">
            <w:col w:w="11420"/>
          </w:cols>
          <w:pgMar w:left="240" w:top="331"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331"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extent that any of the reserved shares remain undistributed upon resolution of all remaining disputed claims, such shares will not be returned to AAG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 million shares of AAG common stock.</w:t>
      </w:r>
    </w:p>
    <w:p>
      <w:pPr>
        <w:spacing w:after="0" w:line="12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American reached a preliminary settlement agreement with the plaintiffs in the amount of $45 million that, once approved, will resolve all class claims in the U.S. lawsuits. That settlement received preliminary approval from the DC Court on June 18, 2018.</w:t>
      </w:r>
    </w:p>
    <w:p>
      <w:pPr>
        <w:spacing w:after="0" w:line="12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United States Bankruptcy Court for the Southern District of New York.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on April 15, 2019 and closing arguments are scheduled to be heard on April 26, 2019. American believes this lawsuit is without merit and intends to vigorously defend against the allegations.</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American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inquiry regarding American’s 2009 and 2011 contracts with the United States Postal Service for the international transportation of mail by air. In October 2015, American received a Civil Investigative Demand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with regard to its investigation.</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II, Item 1A. Risk Factors – </w:t>
      </w:r>
      <w:r>
        <w:rPr>
          <w:rFonts w:ascii="Arial" w:cs="Arial" w:eastAsia="Arial" w:hAnsi="Arial"/>
          <w:sz w:val="18"/>
          <w:szCs w:val="18"/>
          <w:i w:val="1"/>
          <w:iCs w:val="1"/>
          <w:color w:val="auto"/>
        </w:rPr>
        <w:t>“We may be a party to litigation in the normal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course of business or otherwise, which could affect our financial position and liquidity” </w:t>
      </w:r>
      <w:r>
        <w:rPr>
          <w:rFonts w:ascii="Arial" w:cs="Arial" w:eastAsia="Arial" w:hAnsi="Arial"/>
          <w:sz w:val="18"/>
          <w:szCs w:val="18"/>
          <w:color w:val="auto"/>
        </w:rPr>
        <w:t>for additional discussion.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2"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2018 (the 2018 Form 10-K). The information contained herein is not a comprehensive discussion and analysis of the financial condition and results of operations of AAG and American, but rather updates disclosures made in the 2018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we operate an average of nearly 6,700 flights per day to nearly 350 destinations in more than 50 countries through hubs and gateways in Charlotte, Chicago, Dallas/Fort Worth, London Heathrow, Los Angeles, Miami, New York, Philadelphia, Phoenix and Washington, D.C. In the first quarter of 2019, approximately 50 million passengers boarded our flights.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AAG’s First Quarter 2019 Results</w:t>
      </w:r>
    </w:p>
    <w:p>
      <w:pPr>
        <w:spacing w:after="0" w:line="88"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253"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In the fourth quarter of 2018, we adopted Accounting Standards Update (ASU) 2016-02: Leases (Topic 842) (the New Lease Standard) as of January 1, 2018. In accordance with the New Lease Standard, we have recast our 2018 financial information presented within this Item 2. Management's Discussion and Analysis of Financial Condition and Results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vMerge w:val="restart"/>
          </w:tcPr>
          <w:p>
            <w:pPr>
              <w:jc w:val="right"/>
              <w:ind w:right="252"/>
              <w:spacing w:after="0" w:line="133" w:lineRule="exact"/>
              <w:rPr>
                <w:sz w:val="20"/>
                <w:szCs w:val="20"/>
                <w:color w:val="auto"/>
              </w:rPr>
            </w:pPr>
            <w:r>
              <w:rPr>
                <w:rFonts w:ascii="Arial" w:cs="Arial" w:eastAsia="Arial" w:hAnsi="Arial"/>
                <w:sz w:val="14"/>
                <w:szCs w:val="14"/>
                <w:b w:val="1"/>
                <w:bCs w:val="1"/>
                <w:color w:val="auto"/>
              </w:rPr>
              <w:t>Increase</w:t>
            </w:r>
          </w:p>
        </w:tc>
        <w:tc>
          <w:tcPr>
            <w:tcW w:w="1360" w:type="dxa"/>
            <w:vAlign w:val="bottom"/>
            <w:vMerge w:val="restart"/>
          </w:tcPr>
          <w:p>
            <w:pPr>
              <w:jc w:val="center"/>
              <w:ind w:left="33"/>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(Decrease)</w:t>
            </w:r>
          </w:p>
        </w:tc>
        <w:tc>
          <w:tcPr>
            <w:tcW w:w="136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80" w:type="dxa"/>
            <w:vAlign w:val="bottom"/>
            <w:gridSpan w:val="6"/>
          </w:tcPr>
          <w:p>
            <w:pPr>
              <w:jc w:val="right"/>
              <w:ind w:right="172"/>
              <w:spacing w:after="0"/>
              <w:rPr>
                <w:sz w:val="20"/>
                <w:szCs w:val="20"/>
                <w:color w:val="auto"/>
              </w:rPr>
            </w:pPr>
            <w:r>
              <w:rPr>
                <w:rFonts w:ascii="Arial" w:cs="Arial" w:eastAsia="Arial" w:hAnsi="Arial"/>
                <w:sz w:val="14"/>
                <w:szCs w:val="14"/>
                <w:b w:val="1"/>
                <w:bCs w:val="1"/>
                <w:color w:val="auto"/>
              </w:rPr>
              <w:t>(In millions, except percentage changes)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9,658</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9,480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5"/>
        </w:trPr>
        <w:tc>
          <w:tcPr>
            <w:tcW w:w="5360" w:type="dxa"/>
            <w:vAlign w:val="bottom"/>
          </w:tcPr>
          <w:p>
            <w:pPr>
              <w:ind w:left="40"/>
              <w:spacing w:after="0"/>
              <w:rPr>
                <w:sz w:val="20"/>
                <w:szCs w:val="20"/>
                <w:color w:val="auto"/>
              </w:rPr>
            </w:pPr>
            <w:r>
              <w:rPr>
                <w:rFonts w:ascii="Arial" w:cs="Arial" w:eastAsia="Arial" w:hAnsi="Arial"/>
                <w:sz w:val="18"/>
                <w:szCs w:val="18"/>
                <w:color w:val="auto"/>
              </w:rPr>
              <w:t>Cargo revenue</w:t>
            </w:r>
          </w:p>
        </w:tc>
        <w:tc>
          <w:tcPr>
            <w:tcW w:w="3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5"/>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revenue</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5"/>
        </w:trPr>
        <w:tc>
          <w:tcPr>
            <w:tcW w:w="5360" w:type="dxa"/>
            <w:vAlign w:val="bottom"/>
          </w:tcPr>
          <w:p>
            <w:pPr>
              <w:ind w:left="40"/>
              <w:spacing w:after="0"/>
              <w:rPr>
                <w:sz w:val="20"/>
                <w:szCs w:val="20"/>
                <w:color w:val="auto"/>
              </w:rPr>
            </w:pPr>
            <w:r>
              <w:rPr>
                <w:rFonts w:ascii="Arial" w:cs="Arial" w:eastAsia="Arial" w:hAnsi="Arial"/>
                <w:sz w:val="18"/>
                <w:szCs w:val="18"/>
                <w:color w:val="auto"/>
              </w:rPr>
              <w:t>Total operating revenues</w:t>
            </w:r>
          </w:p>
        </w:tc>
        <w:tc>
          <w:tcPr>
            <w:tcW w:w="3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10,584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10,401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5"/>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and regional aircraft fuel and related taxes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65"/>
        </w:trPr>
        <w:tc>
          <w:tcPr>
            <w:tcW w:w="53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5"/>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10,209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5"/>
        </w:trPr>
        <w:tc>
          <w:tcPr>
            <w:tcW w:w="5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5"/>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5"/>
        </w:trPr>
        <w:tc>
          <w:tcPr>
            <w:tcW w:w="53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36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5"/>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84"/>
        </w:trPr>
        <w:tc>
          <w:tcPr>
            <w:tcW w:w="5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Adjusted for: Total pre-tax special items, net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excluding special items</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-2752090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-2752090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-2752090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13722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00" w:hanging="330"/>
        <w:spacing w:after="0" w:line="239" w:lineRule="auto"/>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of this report for details on the components of special items.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Pre-Tax Income and Net Income</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Pre-tax income and net income were $245 million and $185 million, respectively, in the first quarter of 2019. This compares to first quarter 2018 pre-tax income and net income of $238 million and $159 million, respectively. The quarter-over-quarter increase in our pre-tax income was principally driven by higher revenues and a decrease in our pre-tax net special items, offset in part by increases in maintenance expenses and salaries, wages and benefits. See Note 2 to AAG’s Condensed Consolidated Financial Statements in Part I, Item 1A for further information on special items.</w:t>
      </w:r>
    </w:p>
    <w:p>
      <w:pPr>
        <w:sectPr>
          <w:pgSz w:w="11900" w:h="16838" w:orient="portrait"/>
          <w:cols w:equalWidth="0" w:num="1">
            <w:col w:w="11420"/>
          </w:cols>
          <w:pgMar w:left="240" w:top="817"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817" w:right="239" w:bottom="1440" w:gutter="0" w:footer="0" w:header="0"/>
          <w:type w:val="continuous"/>
        </w:sectPr>
      </w:pPr>
    </w:p>
    <w:bookmarkStart w:id="34" w:name="page35"/>
    <w:bookmarkEnd w:id="34"/>
    <w:p>
      <w:pPr>
        <w:jc w:val="both"/>
        <w:ind w:firstLine="216"/>
        <w:spacing w:after="0" w:line="271" w:lineRule="auto"/>
        <w:rPr>
          <w:sz w:val="20"/>
          <w:szCs w:val="20"/>
          <w:color w:val="auto"/>
        </w:rPr>
      </w:pPr>
      <w:r>
        <w:rPr>
          <w:rFonts w:ascii="Arial" w:cs="Arial" w:eastAsia="Arial" w:hAnsi="Arial"/>
          <w:sz w:val="18"/>
          <w:szCs w:val="18"/>
          <w:color w:val="auto"/>
        </w:rPr>
        <w:t>Excluding the effects of pre-tax net special items, we recognized pre-tax income of $314 million in the first quarter of 2019 as compared to $463 million in the first quarter of 2018. The quarter-over-quarter decrease in our pre-tax income excluding pre-tax net special items was principally driven by increases in maintenance expenses and salaries, wages and benefits, offset in part by higher revenues.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w:t>
      </w:r>
    </w:p>
    <w:p>
      <w:pPr>
        <w:spacing w:after="0" w:line="63" w:lineRule="exact"/>
        <w:rPr>
          <w:sz w:val="20"/>
          <w:szCs w:val="20"/>
          <w:color w:val="auto"/>
        </w:rPr>
      </w:pPr>
    </w:p>
    <w:p>
      <w:pPr>
        <w:jc w:val="both"/>
        <w:ind w:right="20" w:firstLine="162"/>
        <w:spacing w:after="0" w:line="271" w:lineRule="auto"/>
        <w:rPr>
          <w:sz w:val="20"/>
          <w:szCs w:val="20"/>
          <w:color w:val="auto"/>
        </w:rPr>
      </w:pPr>
      <w:r>
        <w:rPr>
          <w:rFonts w:ascii="Arial" w:cs="Arial" w:eastAsia="Arial" w:hAnsi="Arial"/>
          <w:sz w:val="18"/>
          <w:szCs w:val="18"/>
          <w:color w:val="auto"/>
        </w:rPr>
        <w:t>On March 7, 2019, we announced the unplanned removal of 14 Boeing 737-800 aircraft from service for remediation work following the installation of new aircraft interiors. This resulted in the cancellation of approximately 940 flights in the first quarter of 2019. Work on these aircraft has been completed and all aircraft have been returned to service.</w:t>
      </w:r>
    </w:p>
    <w:p>
      <w:pPr>
        <w:spacing w:after="0" w:line="10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In addition, on March 13, 2019, the Federal Aviation Administration (FAA) grounded all U.S.-registered Boeing 737 MAX aircraft. Our fleet currently includes 24 Boeing 737 MAX aircraft with an additional 76 aircraft on order. As a result, we canceled approximately 1,200 flights in the first quarter of 2019.</w:t>
      </w:r>
    </w:p>
    <w:p>
      <w:pPr>
        <w:spacing w:after="0" w:line="109" w:lineRule="exact"/>
        <w:rPr>
          <w:sz w:val="20"/>
          <w:szCs w:val="20"/>
          <w:color w:val="auto"/>
        </w:rPr>
      </w:pPr>
    </w:p>
    <w:p>
      <w:pPr>
        <w:jc w:val="both"/>
        <w:ind w:right="20" w:firstLine="162"/>
        <w:spacing w:after="0" w:line="292" w:lineRule="auto"/>
        <w:rPr>
          <w:sz w:val="20"/>
          <w:szCs w:val="20"/>
          <w:color w:val="auto"/>
        </w:rPr>
      </w:pPr>
      <w:r>
        <w:rPr>
          <w:rFonts w:ascii="Arial" w:cs="Arial" w:eastAsia="Arial" w:hAnsi="Arial"/>
          <w:sz w:val="18"/>
          <w:szCs w:val="18"/>
          <w:color w:val="auto"/>
        </w:rPr>
        <w:t>In aggregate, we estimate that these grounded aircraft and associated flight cancellations decreased our first quarter 2019 pre-tax income by approximately $80 million.</w:t>
      </w:r>
    </w:p>
    <w:p>
      <w:pPr>
        <w:spacing w:after="0" w:line="91" w:lineRule="exact"/>
        <w:rPr>
          <w:sz w:val="20"/>
          <w:szCs w:val="20"/>
          <w:color w:val="auto"/>
        </w:rPr>
      </w:pPr>
    </w:p>
    <w:p>
      <w:pPr>
        <w:jc w:val="both"/>
        <w:ind w:firstLine="162"/>
        <w:spacing w:after="0" w:line="260" w:lineRule="auto"/>
        <w:rPr>
          <w:sz w:val="20"/>
          <w:szCs w:val="20"/>
          <w:color w:val="auto"/>
        </w:rPr>
      </w:pPr>
      <w:r>
        <w:rPr>
          <w:rFonts w:ascii="Arial" w:cs="Arial" w:eastAsia="Arial" w:hAnsi="Arial"/>
          <w:sz w:val="18"/>
          <w:szCs w:val="18"/>
          <w:color w:val="auto"/>
        </w:rPr>
        <w:t>We have removed all Boeing 737 MAX flying from our flight schedule through August 19, 2019, which is approximately 115 flights per day. These flights represent approximately 2% of our total capacity each day this summer. Although these aircraft represent a small portion of our total fleet, its financial impact is disproportionate as most of the revenue from the cancellations is lost while the vast majority of the costs remain in place. In total, we currently estimate the Boeing 737 MAX cancellations, which are assumed to extend through August 19, 2019, to decrease our 2019 pre-tax income by approximately $350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first quarter of 2019, we reported total operating revenues of $10.6 billion, an increase of $183 million, or 1.8%, as compared to the first quarter of 2018. Passenger revenue was $9.7 billion in the first quarter of 2019, an increase of $178 million, or 1.9%, as compared to the first quarter of 2018. The increase in passenger revenue in the first quarter of 2019 was due to strong demand and higher passenger load factor.</w:t>
      </w:r>
    </w:p>
    <w:p>
      <w:pPr>
        <w:spacing w:after="0" w:line="116"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Cargo revenue decreased $9 million, or 4.0%, primarily driven by declines in international freight volumes, offset in part by increases in freight yields. Other revenue increased $14 million, or 1.9%, as compared to the first quarter of 2018, driven by higher loyalty revenue.</w:t>
      </w:r>
    </w:p>
    <w:p>
      <w:pPr>
        <w:spacing w:after="0" w:line="9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Our total revenue per available seat mile (TRASM) was 15.87 cents in the first quarter of 2019, a 0.5% increase as compared to 15.80 cents in the first quarter of 2018. This marks our tenth consecutive quarter of positive TRASM growth.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Our mainline and regional fuel expense totaled $2.1 billion in the first quarter of 2019, which was $12 million, or 0.6%, lower as compared to the first quarter of 2018. This decrease was primarily driven by a 2.7% decrease in the average price per gallon of fuel to $2.04 in the first quarter of 2019 from $2.10 in the first quarter of 2018, offset in part by a 2.2% increase in gallons of fuel consumed principally due to increased capacity.</w:t>
      </w:r>
    </w:p>
    <w:p>
      <w:pPr>
        <w:spacing w:after="0" w:line="11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As of March 31, 2019,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w:t>
      </w:r>
    </w:p>
    <w:p>
      <w:pPr>
        <w:spacing w:after="0" w:line="90"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w:t>
      </w:r>
    </w:p>
    <w:p>
      <w:pPr>
        <w:spacing w:after="0" w:line="9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Our 2019 first quarter total cost per available seat mile (CASM) was 15.31 cents, an increase of 0.7%, from 15.20 cents in the first quarter of 2018.</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Our 2019 first quarter CASM excluding special items and fuel was 11.88 cents, an increase of 2.7%, as compared to the first quarter of 2018. The increase was primarily driven by higher maintenance expenses and salaries, wages and benefits.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38" w:right="239" w:bottom="1440" w:gutter="0" w:footer="0" w:header="0"/>
        </w:sectPr>
      </w:pPr>
    </w:p>
    <w:bookmarkStart w:id="35" w:name="page36"/>
    <w:bookmarkEnd w:id="35"/>
    <w:p>
      <w:pPr>
        <w:ind w:left="220"/>
        <w:spacing w:after="0"/>
        <w:rPr>
          <w:sz w:val="20"/>
          <w:szCs w:val="20"/>
          <w:color w:val="auto"/>
        </w:rPr>
      </w:pPr>
      <w:r>
        <w:rPr>
          <w:rFonts w:ascii="Arial" w:cs="Arial" w:eastAsia="Arial" w:hAnsi="Arial"/>
          <w:sz w:val="18"/>
          <w:szCs w:val="18"/>
          <w:color w:val="auto"/>
        </w:rPr>
        <w:t xml:space="preserve">For a reconciliation of total CASM excluding special items and fuel, see below </w:t>
      </w:r>
      <w:r>
        <w:rPr>
          <w:rFonts w:ascii="Arial" w:cs="Arial" w:eastAsia="Arial" w:hAnsi="Arial"/>
          <w:sz w:val="18"/>
          <w:szCs w:val="18"/>
          <w:i w:val="1"/>
          <w:iCs w:val="1"/>
          <w:color w:val="auto"/>
        </w:rPr>
        <w:t>“Reconciliation of GAAP to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As of March 31, 2019, we had approximately $7.2 billion in total available liquidity, consisting of $4.4 billion in unrestricted cash and short-term investments and $2.8 billion in undrawn revolving credit facilities. We also had restricted cash and short-term investments of $156 million.</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quarter of 2019, we completed the following financing transactions:</w:t>
      </w:r>
    </w:p>
    <w:p>
      <w:pPr>
        <w:spacing w:after="0" w:line="198" w:lineRule="exact"/>
        <w:rPr>
          <w:sz w:val="20"/>
          <w:szCs w:val="20"/>
          <w:color w:val="auto"/>
        </w:rPr>
      </w:pPr>
    </w:p>
    <w:p>
      <w:pPr>
        <w:ind w:left="720" w:hanging="49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raised $400 million from aircraft debt financings; and</w:t>
      </w:r>
    </w:p>
    <w:p>
      <w:pPr>
        <w:spacing w:after="0" w:line="211" w:lineRule="exact"/>
        <w:rPr>
          <w:rFonts w:ascii="Arial" w:cs="Arial" w:eastAsia="Arial" w:hAnsi="Arial"/>
          <w:sz w:val="18"/>
          <w:szCs w:val="18"/>
          <w:color w:val="auto"/>
        </w:rPr>
      </w:pPr>
    </w:p>
    <w:p>
      <w:pPr>
        <w:ind w:left="720" w:hanging="49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raised $352 million in proceeds from aircraft sale-leaseback transactions.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our debt obligations.</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Additionally during the first quarter of 2019, we returned $646 million to our stockholders, including quarterly dividend payments of $46 million and the repurchase of $600 million of our common stock, or 16.7 million shares. Since our capital return program commenced in mid-2014, we have returned $13.0 billion to stockholders, including $1.1 billion in quarterly dividend payments and $11.9 billion in share repurchases, or 295.6 million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9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presents the reconciliation of pre-tax income (GAAP measure) to pre-tax income excluding special items (non-GAAP measure). Management uses this non-GAAP financial measure to evaluate our current operating performance and to allow for period-to-period comparisons. As special items may vary from period-to-period in nature and amount, the adjustment to exclude special items allows management an additional tool to understand our core operating performance.</w:t>
      </w:r>
    </w:p>
    <w:p>
      <w:pPr>
        <w:spacing w:after="0" w:line="204"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27305</wp:posOffset>
            </wp:positionV>
            <wp:extent cx="22466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03" w:lineRule="exact"/>
        <w:rPr>
          <w:sz w:val="20"/>
          <w:szCs w:val="20"/>
          <w:color w:val="auto"/>
        </w:rPr>
      </w:pPr>
    </w:p>
    <w:p>
      <w:pPr>
        <w:ind w:left="8580"/>
        <w:spacing w:after="0"/>
        <w:tabs>
          <w:tab w:leader="none" w:pos="103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27305</wp:posOffset>
            </wp:positionV>
            <wp:extent cx="22466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89"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Reconciliation of Pre-Tax Income Excluding Special Items: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880" w:type="dxa"/>
            <w:vAlign w:val="bottom"/>
          </w:tcPr>
          <w:p>
            <w:pPr>
              <w:ind w:left="40"/>
              <w:spacing w:after="0"/>
              <w:rPr>
                <w:sz w:val="20"/>
                <w:szCs w:val="20"/>
                <w:color w:val="auto"/>
              </w:rPr>
            </w:pPr>
            <w:r>
              <w:rPr>
                <w:rFonts w:ascii="Arial" w:cs="Arial" w:eastAsia="Arial" w:hAnsi="Arial"/>
                <w:sz w:val="18"/>
                <w:szCs w:val="18"/>
                <w:color w:val="auto"/>
              </w:rPr>
              <w:t>Pre-tax income - GAAP</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2"/>
                <w:szCs w:val="22"/>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238</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Pre-tax special items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7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Operating special items, net</w:t>
            </w:r>
          </w:p>
        </w:tc>
        <w:tc>
          <w:tcPr>
            <w:tcW w:w="7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Nonoperating special items, net</w:t>
            </w:r>
          </w:p>
        </w:tc>
        <w:tc>
          <w:tcPr>
            <w:tcW w:w="7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5"/>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pre-tax special items, net</w:t>
            </w:r>
          </w:p>
        </w:tc>
        <w:tc>
          <w:tcPr>
            <w:tcW w:w="7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Pre-tax income excluding special items</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r>
      <w:tr>
        <w:trPr>
          <w:trHeight w:val="20"/>
        </w:trPr>
        <w:tc>
          <w:tcPr>
            <w:tcW w:w="7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8" w:lineRule="exact"/>
        <w:rPr>
          <w:sz w:val="20"/>
          <w:szCs w:val="20"/>
          <w:color w:val="auto"/>
        </w:rPr>
      </w:pPr>
    </w:p>
    <w:p>
      <w:pPr>
        <w:jc w:val="center"/>
        <w:ind w:left="5620" w:right="840" w:hanging="5369"/>
        <w:spacing w:after="0" w:line="771" w:lineRule="auto"/>
        <w:tabs>
          <w:tab w:leader="none" w:pos="581"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special items. 35</w:t>
      </w:r>
    </w:p>
    <w:p>
      <w:pPr>
        <w:sectPr>
          <w:pgSz w:w="11900" w:h="16838" w:orient="portrait"/>
          <w:cols w:equalWidth="0" w:num="1">
            <w:col w:w="11420"/>
          </w:cols>
          <w:pgMar w:left="240" w:top="738" w:right="239" w:bottom="1440" w:gutter="0" w:footer="0" w:header="0"/>
        </w:sectPr>
      </w:pPr>
    </w:p>
    <w:bookmarkStart w:id="36" w:name="page37"/>
    <w:bookmarkEnd w:id="36"/>
    <w:p>
      <w:pPr>
        <w:jc w:val="both"/>
        <w:ind w:firstLine="216"/>
        <w:spacing w:after="0" w:line="260"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understand and analyze our non-fuel costs and core operating performance. Amounts may not recalculate due to rounding.</w:t>
      </w:r>
    </w:p>
    <w:p>
      <w:pPr>
        <w:spacing w:after="0" w:line="210"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27305</wp:posOffset>
            </wp:positionV>
            <wp:extent cx="22466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Borders>
              <w:bottom w:val="single" w:sz="8" w:color="CCEEFF"/>
            </w:tcBorders>
          </w:tcPr>
          <w:p>
            <w:pPr>
              <w:spacing w:after="0"/>
              <w:rPr>
                <w:sz w:val="17"/>
                <w:szCs w:val="17"/>
                <w:color w:val="auto"/>
              </w:rPr>
            </w:pPr>
          </w:p>
        </w:tc>
        <w:tc>
          <w:tcPr>
            <w:tcW w:w="4000" w:type="dxa"/>
            <w:vAlign w:val="bottom"/>
            <w:tcBorders>
              <w:bottom w:val="single" w:sz="8" w:color="CCEEFF"/>
            </w:tcBorders>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6"/>
        </w:trPr>
        <w:tc>
          <w:tcPr>
            <w:tcW w:w="7880" w:type="dxa"/>
            <w:vAlign w:val="bottom"/>
            <w:gridSpan w:val="3"/>
            <w:shd w:val="clear" w:color="auto" w:fill="CCEEFF"/>
          </w:tcPr>
          <w:p>
            <w:pPr>
              <w:ind w:left="40"/>
              <w:spacing w:after="0" w:line="186" w:lineRule="exact"/>
              <w:rPr>
                <w:sz w:val="20"/>
                <w:szCs w:val="20"/>
                <w:color w:val="auto"/>
              </w:rPr>
            </w:pPr>
            <w:r>
              <w:rPr>
                <w:rFonts w:ascii="Arial" w:cs="Arial" w:eastAsia="Arial" w:hAnsi="Arial"/>
                <w:sz w:val="18"/>
                <w:szCs w:val="18"/>
                <w:b w:val="1"/>
                <w:bCs w:val="1"/>
                <w:color w:val="auto"/>
              </w:rPr>
              <w:t>Reconciliation of Total Operating Costs per Available Seat</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88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b w:val="1"/>
                <w:bCs w:val="1"/>
                <w:color w:val="auto"/>
              </w:rPr>
              <w:t>Mile (CASM) Excluding Special Items and Fuel:</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000" w:type="dxa"/>
            <w:vAlign w:val="bottom"/>
            <w:tcBorders>
              <w:top w:val="single" w:sz="8" w:color="auto"/>
            </w:tcBorders>
            <w:shd w:val="clear" w:color="auto" w:fill="CCEEFF"/>
          </w:tcPr>
          <w:p>
            <w:pPr>
              <w:spacing w:after="0"/>
              <w:rPr>
                <w:sz w:val="2"/>
                <w:szCs w:val="2"/>
                <w:color w:val="auto"/>
              </w:rPr>
            </w:pPr>
          </w:p>
        </w:tc>
        <w:tc>
          <w:tcPr>
            <w:tcW w:w="38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8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4000" w:type="dxa"/>
            <w:vAlign w:val="bottom"/>
          </w:tcPr>
          <w:p>
            <w:pPr>
              <w:spacing w:after="0"/>
              <w:rPr>
                <w:sz w:val="4"/>
                <w:szCs w:val="4"/>
                <w:color w:val="auto"/>
              </w:rPr>
            </w:pPr>
          </w:p>
        </w:tc>
        <w:tc>
          <w:tcPr>
            <w:tcW w:w="3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 - GAAP</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10,209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47"/>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Special items: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1"/>
                <w:szCs w:val="21"/>
                <w:color w:val="auto"/>
                <w:vertAlign w:val="superscript"/>
              </w:rPr>
              <w:t>(1)</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7"/>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Fuel:</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 - mainline</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78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Aircraft fuel and related taxes - regional</w:t>
            </w: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 excluding special items and fuel</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880" w:type="dxa"/>
            <w:vAlign w:val="bottom"/>
            <w:gridSpan w:val="3"/>
            <w:vMerge w:val="continue"/>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Available Seat Miles (ASM)</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66,674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65,823</w:t>
            </w:r>
          </w:p>
        </w:tc>
        <w:tc>
          <w:tcPr>
            <w:tcW w:w="0" w:type="dxa"/>
            <w:vAlign w:val="bottom"/>
          </w:tcPr>
          <w:p>
            <w:pPr>
              <w:spacing w:after="0"/>
              <w:rPr>
                <w:sz w:val="1"/>
                <w:szCs w:val="1"/>
                <w:color w:val="auto"/>
              </w:rPr>
            </w:pPr>
          </w:p>
        </w:tc>
      </w:tr>
      <w:tr>
        <w:trPr>
          <w:trHeight w:val="269"/>
        </w:trPr>
        <w:tc>
          <w:tcPr>
            <w:tcW w:w="78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cents)</w:t>
            </w: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CASM</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47"/>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Special items per ASM:</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1"/>
                <w:szCs w:val="21"/>
                <w:color w:val="auto"/>
                <w:vertAlign w:val="superscript"/>
              </w:rPr>
              <w:t>(1)</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47"/>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Fuel per ASM:</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 - mainline</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78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Aircraft fuel and related taxes - regional</w:t>
            </w: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CASM, excluding special items and fuel</w:t>
            </w: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-3429635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8" w:lineRule="exact"/>
        <w:rPr>
          <w:sz w:val="20"/>
          <w:szCs w:val="20"/>
          <w:color w:val="auto"/>
        </w:rPr>
      </w:pPr>
    </w:p>
    <w:p>
      <w:pPr>
        <w:jc w:val="center"/>
        <w:ind w:left="5620" w:right="840" w:hanging="5369"/>
        <w:spacing w:after="0" w:line="520" w:lineRule="auto"/>
        <w:tabs>
          <w:tab w:leader="none" w:pos="581"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special items. 36</w:t>
      </w:r>
    </w:p>
    <w:p>
      <w:pPr>
        <w:sectPr>
          <w:pgSz w:w="11900" w:h="16838" w:orient="portrait"/>
          <w:cols w:equalWidth="0" w:num="1">
            <w:col w:w="11420"/>
          </w:cols>
          <w:pgMar w:left="240" w:top="73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sets forth selected operating data for the three months ended March 31, 2019 and 2018.</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17"/>
                <w:szCs w:val="17"/>
                <w:color w:val="auto"/>
              </w:rPr>
            </w:pPr>
          </w:p>
        </w:tc>
        <w:tc>
          <w:tcPr>
            <w:tcW w:w="1860" w:type="dxa"/>
            <w:vAlign w:val="bottom"/>
            <w:tcBorders>
              <w:bottom w:val="single" w:sz="8" w:color="auto"/>
            </w:tcBorders>
            <w:gridSpan w:val="3"/>
          </w:tcPr>
          <w:p>
            <w:pPr>
              <w:jc w:val="center"/>
              <w:ind w:left="894"/>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0"/>
        </w:trPr>
        <w:tc>
          <w:tcPr>
            <w:tcW w:w="69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9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1"/>
        </w:trPr>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54,802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52,945</w:t>
            </w:r>
          </w:p>
        </w:tc>
        <w:tc>
          <w:tcPr>
            <w:tcW w:w="1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66,674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65,823</w:t>
            </w:r>
          </w:p>
        </w:tc>
        <w:tc>
          <w:tcPr>
            <w:tcW w:w="1620" w:type="dxa"/>
            <w:vAlign w:val="bottom"/>
            <w:gridSpan w:val="2"/>
          </w:tcPr>
          <w:p>
            <w:pPr>
              <w:jc w:val="right"/>
              <w:ind w:right="4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1.8pts</w:t>
            </w:r>
          </w:p>
        </w:tc>
        <w:tc>
          <w:tcPr>
            <w:tcW w:w="0" w:type="dxa"/>
            <w:vAlign w:val="bottom"/>
          </w:tcPr>
          <w:p>
            <w:pPr>
              <w:spacing w:after="0"/>
              <w:rPr>
                <w:sz w:val="1"/>
                <w:szCs w:val="1"/>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17.90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1"/>
                <w:szCs w:val="21"/>
                <w:color w:val="auto"/>
                <w:vertAlign w:val="superscript"/>
              </w:rPr>
              <w:t>(e)</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14.40</w:t>
            </w:r>
          </w:p>
        </w:tc>
        <w:tc>
          <w:tcPr>
            <w:tcW w:w="1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6960" w:type="dxa"/>
            <w:vAlign w:val="bottom"/>
          </w:tcPr>
          <w:p>
            <w:pPr>
              <w:ind w:left="20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1"/>
                <w:szCs w:val="21"/>
                <w:color w:val="auto"/>
                <w:vertAlign w:val="superscript"/>
              </w:rPr>
              <w:t>(f)</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15.80</w:t>
            </w:r>
          </w:p>
        </w:tc>
        <w:tc>
          <w:tcPr>
            <w:tcW w:w="1620" w:type="dxa"/>
            <w:vAlign w:val="bottom"/>
            <w:gridSpan w:val="2"/>
          </w:tcPr>
          <w:p>
            <w:pPr>
              <w:jc w:val="right"/>
              <w:ind w:right="4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 at end of period</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1,539</w:t>
            </w:r>
          </w:p>
        </w:tc>
        <w:tc>
          <w:tcPr>
            <w:tcW w:w="1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5"/>
        </w:trPr>
        <w:tc>
          <w:tcPr>
            <w:tcW w:w="6960" w:type="dxa"/>
            <w:vAlign w:val="bottom"/>
          </w:tcPr>
          <w:p>
            <w:pPr>
              <w:ind w:left="200"/>
              <w:spacing w:after="0"/>
              <w:rPr>
                <w:sz w:val="20"/>
                <w:szCs w:val="20"/>
                <w:color w:val="auto"/>
              </w:rPr>
            </w:pPr>
            <w:r>
              <w:rPr>
                <w:rFonts w:ascii="Arial" w:cs="Arial" w:eastAsia="Arial" w:hAnsi="Arial"/>
                <w:sz w:val="18"/>
                <w:szCs w:val="18"/>
                <w:color w:val="auto"/>
              </w:rPr>
              <w:t>Fuel consumption (gallons in millions)</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1,030</w:t>
            </w:r>
          </w:p>
        </w:tc>
        <w:tc>
          <w:tcPr>
            <w:tcW w:w="1620" w:type="dxa"/>
            <w:vAlign w:val="bottom"/>
            <w:gridSpan w:val="2"/>
          </w:tcPr>
          <w:p>
            <w:pPr>
              <w:jc w:val="right"/>
              <w:ind w:right="4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5"/>
        </w:trPr>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5"/>
        </w:trPr>
        <w:tc>
          <w:tcPr>
            <w:tcW w:w="6960" w:type="dxa"/>
            <w:vAlign w:val="bottom"/>
          </w:tcPr>
          <w:p>
            <w:pPr>
              <w:ind w:left="200"/>
              <w:spacing w:after="0"/>
              <w:rPr>
                <w:sz w:val="20"/>
                <w:szCs w:val="20"/>
                <w:color w:val="auto"/>
              </w:rPr>
            </w:pPr>
            <w:r>
              <w:rPr>
                <w:rFonts w:ascii="Arial" w:cs="Arial" w:eastAsia="Arial" w:hAnsi="Arial"/>
                <w:sz w:val="18"/>
                <w:szCs w:val="18"/>
                <w:color w:val="auto"/>
              </w:rPr>
              <w:t>Full-time equivalent employees at end of period</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129,800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128,600</w:t>
            </w:r>
          </w:p>
        </w:tc>
        <w:tc>
          <w:tcPr>
            <w:tcW w:w="1620" w:type="dxa"/>
            <w:vAlign w:val="bottom"/>
            <w:gridSpan w:val="2"/>
          </w:tcPr>
          <w:p>
            <w:pPr>
              <w:jc w:val="right"/>
              <w:ind w:right="4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5"/>
        </w:trPr>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21"/>
                <w:szCs w:val="21"/>
                <w:color w:val="auto"/>
                <w:vertAlign w:val="superscript"/>
              </w:rPr>
              <w:t>(g)</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15.20</w:t>
            </w:r>
          </w:p>
        </w:tc>
        <w:tc>
          <w:tcPr>
            <w:tcW w:w="1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98"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Operating cost per available seat mile (CASM) – Operating expenses divided by ASMs.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to Three Months Ended March 31, 2018</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Pre-tax income and net income were $245 million and $185 million, respectively, in the first quarter of 2019. This compares to first quarter 2018 pre-tax income and net income of $238 million and $159 million, respectively. The quarter-over-quarter increase in our pre-tax income was principally driven by higher revenues and a decrease in our pre-tax net special items, offset in part by increases in maintenance expenses and salaries, wages and benefits.</w:t>
      </w:r>
    </w:p>
    <w:p>
      <w:pPr>
        <w:spacing w:after="0" w:line="11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Excluding the effects of pre-tax net special items, pre-tax income was $314 million and $463 million in the first quarters of 2019 and 2018, respectively. The quarter-over-quarter decrease in our pre-tax income excluding pre-tax net special items was principally driven by increases in maintenance expenses and salaries, wages and benefits, offset in part by higher revenues.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17" w:right="239" w:bottom="1440" w:gutter="0" w:footer="0" w:header="0"/>
        </w:sectPr>
      </w:pPr>
    </w:p>
    <w:bookmarkStart w:id="38" w:name="page39"/>
    <w:bookmarkEnd w:id="38"/>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3"/>
          </w:tcPr>
          <w:p>
            <w:pPr>
              <w:jc w:val="center"/>
              <w:ind w:left="578"/>
              <w:spacing w:after="0" w:line="151" w:lineRule="exact"/>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9,658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178</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3"/>
                <w:szCs w:val="23"/>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10,584</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10,401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183</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-857250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-857250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-857250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rPr>
              <w:t>Increase (Decrease)</w:t>
            </w:r>
          </w:p>
        </w:tc>
        <w:tc>
          <w:tcPr>
            <w:tcW w:w="980" w:type="dxa"/>
            <w:vAlign w:val="bottom"/>
          </w:tcPr>
          <w:p>
            <w:pPr>
              <w:spacing w:after="0"/>
              <w:rPr>
                <w:sz w:val="14"/>
                <w:szCs w:val="14"/>
                <w:color w:val="auto"/>
              </w:rPr>
            </w:pPr>
          </w:p>
        </w:tc>
      </w:tr>
      <w:tr>
        <w:trPr>
          <w:trHeight w:val="203"/>
        </w:trPr>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vs. Three Months Ended March 31, 2018</w:t>
            </w:r>
          </w:p>
        </w:tc>
        <w:tc>
          <w:tcPr>
            <w:tcW w:w="980" w:type="dxa"/>
            <w:vAlign w:val="bottom"/>
            <w:tcBorders>
              <w:bottom w:val="single" w:sz="8" w:color="auto"/>
            </w:tcBorders>
          </w:tcPr>
          <w:p>
            <w:pPr>
              <w:spacing w:after="0"/>
              <w:rPr>
                <w:sz w:val="17"/>
                <w:szCs w:val="17"/>
                <w:color w:val="auto"/>
              </w:rPr>
            </w:pPr>
          </w:p>
        </w:tc>
      </w:tr>
      <w:tr>
        <w:trPr>
          <w:trHeight w:val="168"/>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Load</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980" w:type="dxa"/>
            <w:vAlign w:val="bottom"/>
          </w:tcPr>
          <w:p>
            <w:pPr>
              <w:spacing w:after="0"/>
              <w:rPr>
                <w:sz w:val="14"/>
                <w:szCs w:val="14"/>
                <w:color w:val="auto"/>
              </w:rPr>
            </w:pPr>
          </w:p>
        </w:tc>
      </w:tr>
      <w:tr>
        <w:trPr>
          <w:trHeight w:val="203"/>
        </w:trPr>
        <w:tc>
          <w:tcPr>
            <w:tcW w:w="4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ASMs</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PRASM</w:t>
            </w:r>
          </w:p>
        </w:tc>
      </w:tr>
      <w:tr>
        <w:trPr>
          <w:trHeight w:val="250"/>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1"/>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9,658</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1.8pts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bl>
    <w:p>
      <w:pPr>
        <w:spacing w:after="0" w:line="13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Passenger revenue increased $178 million, or 1.9%, in the first quarter of 2019 from the first quarter of 2018 due to a 3.5% quarter-over-quarter increase in RPMs driven by strong demand and higher load factor.</w:t>
      </w:r>
    </w:p>
    <w:p>
      <w:pPr>
        <w:spacing w:after="0" w:line="9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Cargo revenue decreased $9 million, or 4.0%, in the first quarter of 2019 from the first quarter of 2018 primarily driven by declines in international freight volume, offset in part by increases in freight yields.</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Other revenue increased $14 million, or 1.9%, in the first quarter of 2019 from the first quarter of 2018 due in part to higher revenue associated with our loyalty program. For the three months ended March 31, 2019 and 2018, loyalty revenue included in other revenue was $578 million and $570 million, respectively.</w:t>
      </w:r>
    </w:p>
    <w:p>
      <w:pPr>
        <w:spacing w:after="0" w:line="10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Total operating revenues in the first quarter of 2019 increased $183 million, or 1.8%, from the first quarter of 2018 driven principally by a 1.9% increase in passenger revenue as described above.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3"/>
          </w:tcPr>
          <w:p>
            <w:pPr>
              <w:jc w:val="center"/>
              <w:ind w:left="574"/>
              <w:spacing w:after="0" w:line="151" w:lineRule="exact"/>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3"/>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4"/>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146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7"/>
        </w:trPr>
        <w:tc>
          <w:tcPr>
            <w:tcW w:w="562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5"/>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4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10,209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-2400300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-2400300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-2400300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821" w:right="239" w:bottom="1440" w:gutter="0" w:footer="0" w:header="0"/>
          <w:type w:val="continuous"/>
        </w:sectPr>
      </w:pPr>
    </w:p>
    <w:bookmarkStart w:id="39" w:name="page40"/>
    <w:bookmarkEnd w:id="39"/>
    <w:p>
      <w:pPr>
        <w:jc w:val="both"/>
        <w:ind w:firstLine="216"/>
        <w:spacing w:after="0" w:line="292" w:lineRule="auto"/>
        <w:rPr>
          <w:sz w:val="20"/>
          <w:szCs w:val="20"/>
          <w:color w:val="auto"/>
        </w:rPr>
      </w:pPr>
      <w:r>
        <w:rPr>
          <w:rFonts w:ascii="Arial" w:cs="Arial" w:eastAsia="Arial" w:hAnsi="Arial"/>
          <w:sz w:val="18"/>
          <w:szCs w:val="18"/>
          <w:color w:val="auto"/>
        </w:rPr>
        <w:t>Total operating expenses increased $204 million, or 2.0%, in the first quarter of 2019 from the first quarter of 2018. See detailed explanations below relating to changes in total CASM.</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Total CASM</w:t>
      </w:r>
    </w:p>
    <w:p>
      <w:pPr>
        <w:spacing w:after="0" w:line="88"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The table below presents the reconciliation of total operating expenses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understand and analyze our non-fuel costs and core operating performance.</w:t>
      </w:r>
    </w:p>
    <w:p>
      <w:pPr>
        <w:spacing w:after="0" w:line="12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The major components of our total CASM and our total CASM excluding special items and fuel for the three months ended March 31, 2019 and 2018 are as follows (amounts may not recalculate due to rounding):</w:t>
      </w: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wages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Maintenance, materials and repairs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rent and landing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rent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mainline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regional</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 excluding special items and fuel</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2100" w:type="dxa"/>
            <w:vAlign w:val="bottom"/>
            <w:gridSpan w:val="3"/>
          </w:tcPr>
          <w:p>
            <w:pPr>
              <w:jc w:val="center"/>
              <w:ind w:left="1054"/>
              <w:spacing w:after="0" w:line="151" w:lineRule="exact"/>
              <w:rPr>
                <w:sz w:val="20"/>
                <w:szCs w:val="20"/>
                <w:color w:val="auto"/>
              </w:rPr>
            </w:pPr>
            <w:r>
              <w:rPr>
                <w:rFonts w:ascii="Arial" w:cs="Arial" w:eastAsia="Arial" w:hAnsi="Arial"/>
                <w:sz w:val="14"/>
                <w:szCs w:val="14"/>
                <w:b w:val="1"/>
                <w:bCs w:val="1"/>
                <w:color w:val="auto"/>
              </w:rPr>
              <w:t>March 31,</w:t>
            </w:r>
          </w:p>
        </w:tc>
        <w:tc>
          <w:tcPr>
            <w:tcW w:w="112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80" w:type="dxa"/>
            <w:vAlign w:val="bottom"/>
            <w:vMerge w:val="restart"/>
          </w:tcPr>
          <w:p>
            <w:pPr>
              <w:jc w:val="center"/>
              <w:ind w:left="13"/>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900" w:type="dxa"/>
            <w:vAlign w:val="bottom"/>
            <w:gridSpan w:val="5"/>
          </w:tcPr>
          <w:p>
            <w:pPr>
              <w:jc w:val="right"/>
              <w:ind w:right="1053"/>
              <w:spacing w:after="0"/>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533"/>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4.58</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0.71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0.71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0.47</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0.54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0.67</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0.34</w:t>
            </w:r>
          </w:p>
        </w:tc>
        <w:tc>
          <w:tcPr>
            <w:tcW w:w="168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54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3"/>
        </w:trPr>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1.97</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7"/>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15.20</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(0.34)</w:t>
            </w:r>
          </w:p>
        </w:tc>
        <w:tc>
          <w:tcPr>
            <w:tcW w:w="168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5"/>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5"/>
        </w:trPr>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11.57</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4" w:lineRule="exact"/>
        <w:rPr>
          <w:sz w:val="20"/>
          <w:szCs w:val="20"/>
          <w:color w:val="auto"/>
        </w:rPr>
      </w:pPr>
    </w:p>
    <w:p>
      <w:pPr>
        <w:sectPr>
          <w:pgSz w:w="11900" w:h="16838" w:orient="portrait"/>
          <w:cols w:equalWidth="0" w:num="2">
            <w:col w:w="5800" w:space="720"/>
            <w:col w:w="4900"/>
          </w:cols>
          <w:pgMar w:left="240" w:top="738" w:right="239" w:bottom="1440" w:gutter="0" w:footer="0" w:header="0"/>
          <w:type w:val="continuous"/>
        </w:sectPr>
      </w:pPr>
    </w:p>
    <w:p>
      <w:pPr>
        <w:spacing w:after="0" w:line="10" w:lineRule="exact"/>
        <w:rPr>
          <w:sz w:val="20"/>
          <w:szCs w:val="20"/>
          <w:color w:val="auto"/>
        </w:rPr>
      </w:pPr>
    </w:p>
    <w:p>
      <w:pPr>
        <w:ind w:left="540" w:hanging="316"/>
        <w:spacing w:after="0" w:line="292"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Mainline aircraft fuel and related taxes per ASM decreased 3.3% primarily due to a 3.0% decrease in the average price per gallon of fuel to $2.02 in the first quarter of 2019 from $2.09 in the first quarter of 2018.</w:t>
      </w:r>
    </w:p>
    <w:p>
      <w:pPr>
        <w:spacing w:after="0" w:line="90"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18.1% in the first three months of 2019 as compared to the same period in 2018, primarily due to an increase in the volume of airframe overhauls performed under time and material contracts where expense is incurred and recognized as maintenance is performed. An increase in the volume of component part repairs also drove higher maintenance expenses in the first quarter of 2019.</w:t>
      </w:r>
    </w:p>
    <w:p>
      <w:pPr>
        <w:sectPr>
          <w:pgSz w:w="11900" w:h="16838" w:orient="portrait"/>
          <w:cols w:equalWidth="0" w:num="1">
            <w:col w:w="11420"/>
          </w:cols>
          <w:pgMar w:left="240" w:top="738" w:right="239" w:bottom="1440" w:gutter="0" w:footer="0" w:header="0"/>
          <w:type w:val="continuous"/>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738" w:right="239" w:bottom="1440" w:gutter="0" w:footer="0" w:header="0"/>
          <w:type w:val="continuous"/>
        </w:sectPr>
      </w:pPr>
    </w:p>
    <w:bookmarkStart w:id="40" w:name="page41"/>
    <w:bookmarkEnd w:id="40"/>
    <w:p>
      <w:pPr>
        <w:ind w:left="540" w:hanging="316"/>
        <w:spacing w:after="0" w:line="292"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rent and landing fees per ASM increased 6.4% primarily due to rate increases at certain hub airports in the first quarter of 2019 as compared to the first quarter of 2018.</w:t>
      </w:r>
    </w:p>
    <w:p>
      <w:pPr>
        <w:spacing w:after="0" w:line="90"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Depreciation and amortization per ASM increased 7.7% due in part to information technology and software development projects associated with our merger integration as well as the continued rollout of Premium Economy and harmonization of seating configurations across our fleet. Depreciation associated with our fleet renewal program also contributed to the increase as subsequent to the first quarter of 2018, we took delivery of five owned mainline aircraft.</w:t>
      </w:r>
    </w:p>
    <w:p>
      <w:pPr>
        <w:spacing w:after="0" w:line="115" w:lineRule="exact"/>
        <w:rPr>
          <w:rFonts w:ascii="Arial" w:cs="Arial" w:eastAsia="Arial" w:hAnsi="Arial"/>
          <w:sz w:val="18"/>
          <w:szCs w:val="18"/>
          <w:color w:val="auto"/>
        </w:rPr>
      </w:pPr>
    </w:p>
    <w:p>
      <w:pPr>
        <w:jc w:val="both"/>
        <w:ind w:left="540" w:hanging="316"/>
        <w:spacing w:after="0" w:line="271"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Regional aircraft fuel and related taxes per ASM increased 4.8% primarily due to a 7.7% increase in gallons of fuel consumed, principally due to increased capacity. This increase was offset in part by a 1.4% decrease in the average price per gallon of fuel to $2.12 in the first quarter of 2019 from $2.15 in the first quarter of 2018.</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10"/>
        </w:trPr>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8"/>
                <w:szCs w:val="18"/>
                <w:color w:val="auto"/>
              </w:rPr>
            </w:pP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65"/>
        </w:trPr>
        <w:tc>
          <w:tcPr>
            <w:tcW w:w="776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5"/>
        </w:trPr>
        <w:tc>
          <w:tcPr>
            <w:tcW w:w="7760" w:type="dxa"/>
            <w:vAlign w:val="bottom"/>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-1200150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8" w:lineRule="exact"/>
        <w:rPr>
          <w:sz w:val="20"/>
          <w:szCs w:val="20"/>
          <w:color w:val="auto"/>
        </w:rPr>
      </w:pPr>
    </w:p>
    <w:p>
      <w:pPr>
        <w:ind w:left="500" w:right="20" w:hanging="330"/>
        <w:spacing w:after="0" w:line="239" w:lineRule="auto"/>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our technical operations, flight attendant, human resources and payroll systems.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0" w:type="dxa"/>
            <w:vAlign w:val="bottom"/>
            <w:gridSpan w:val="3"/>
          </w:tcPr>
          <w:p>
            <w:pPr>
              <w:jc w:val="center"/>
              <w:ind w:right="339"/>
              <w:spacing w:after="0" w:line="151" w:lineRule="exact"/>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5"/>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28</w:t>
            </w:r>
          </w:p>
        </w:tc>
        <w:tc>
          <w:tcPr>
            <w:tcW w:w="14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-857250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-857250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-857250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In the first quarter of 2019, other nonoperating income, net included $ 46 million of non-service related pension and other postretirement benefit plan income and $69 million of net special credits principally due to mark-to-market unrealized gains associated with certain of our equity investments.</w:t>
      </w:r>
    </w:p>
    <w:p>
      <w:pPr>
        <w:spacing w:after="0" w:line="10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the first quarter of 2018, other nonoperating income, net principally included $75 million of non-service related pension and other postretirement benefit plan income.</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decrease in non-service related pension and other postretirement benefit plan income in the first quarter of 2019 as compared to the first quarter of 2018 is principally due to a decrease in the expected return on pension plan assets.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38" w:right="239" w:bottom="1440" w:gutter="0" w:footer="0" w:header="0"/>
        </w:sectPr>
      </w:pPr>
    </w:p>
    <w:bookmarkStart w:id="41" w:name="page42"/>
    <w:bookmarkEnd w:id="41"/>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first quarter of 2019, we recorded an income tax provision of $60 million, which was substantially non-cash due to utilization of our net operating losses (NOLs). Substantially all of our income before income taxes is attributable to the United States. At December 31, 2018, we had approximately $10.2 billion of federal NOLs and $3.2 billion of state NOLs, substantially all of which are expected to be available in 2019 to reduce federal and state taxable income.</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to Three Months Ended March 31, 2018</w:t>
      </w:r>
    </w:p>
    <w:p>
      <w:pPr>
        <w:spacing w:after="0" w:line="90"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American realized pre-tax income of $304 million and net income of $230 million in the first quarter of 2019. This compares to first quarter 2018 pre-tax income of $314 million and net income of $209 million.</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quarter-over-quarter decrease in American's pre-tax income was principally driven by increases in maintenance expenses and salaries, wages and benefits, offset in part by higher revenues and a decrease in net special items.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20"/>
              <w:spacing w:after="0" w:line="151"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3"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9,658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9,480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178</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23"/>
                <w:szCs w:val="23"/>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5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10,581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10,398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183</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-857250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-857250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-857250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Passenger revenue increased $ 178 million, or 1.9%, in the first quarter of 2019 from the first quarter of 2018 due to a quarter-over-quarter increase in RPMs driven by strong demand and higher load factor.</w:t>
      </w:r>
    </w:p>
    <w:p>
      <w:pPr>
        <w:spacing w:after="0" w:line="9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Cargo revenue decreased $9 million, or 4.0%, in the first quarter of 2019 from the first quarter of 2018 primarily driven by declines in international freight volume, offset in part by increases in freight yields.</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Other revenue increased $14 million, or 1.9%, in the first quarter of 2019 from the first quarter of 2018 due in part to higher revenue associated with American's loyalty program. For the three months ended March 31, 2019 and 2018, loyalty revenue included in other revenue was $578 million and $570 million, respectively.</w:t>
      </w:r>
    </w:p>
    <w:p>
      <w:pPr>
        <w:spacing w:after="0" w:line="10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Total operating revenues in the first quarter of 2019 increased $183 million, or 1.8%, from the first quarter of 2018 driven principally by a 1.9% increase in passenger revenue as described above.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21" w:right="239"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20"/>
              <w:spacing w:after="0" w:line="151"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3"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158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7"/>
        </w:trPr>
        <w:tc>
          <w:tcPr>
            <w:tcW w:w="52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5"/>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w:t>
            </w:r>
          </w:p>
        </w:tc>
        <w:tc>
          <w:tcPr>
            <w:tcW w:w="15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10,236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-2400300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-2400300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-2400300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operating expenses increased $250 million, or 2.5%, in the first quarter of 2019 from the first quarter of 2018.</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171" w:lineRule="exact"/>
        <w:rPr>
          <w:sz w:val="20"/>
          <w:szCs w:val="20"/>
          <w:color w:val="auto"/>
        </w:rPr>
      </w:pPr>
    </w:p>
    <w:p>
      <w:pPr>
        <w:ind w:left="580" w:hanging="329"/>
        <w:spacing w:after="0" w:line="292"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Mainline aircraft fuel and related taxes decreased 2.1% primarily due to a 3.0% decrease in the average price per gallon of fuel to $2.02 in the first quarter of 2019 from $2.09 in the first quarter of 2018.</w:t>
      </w:r>
    </w:p>
    <w:p>
      <w:pPr>
        <w:spacing w:after="0" w:line="90" w:lineRule="exact"/>
        <w:rPr>
          <w:rFonts w:ascii="Arial" w:cs="Arial" w:eastAsia="Arial" w:hAnsi="Arial"/>
          <w:sz w:val="18"/>
          <w:szCs w:val="18"/>
          <w:color w:val="auto"/>
        </w:rPr>
      </w:pPr>
    </w:p>
    <w:p>
      <w:pPr>
        <w:jc w:val="both"/>
        <w:ind w:left="580" w:hanging="329"/>
        <w:spacing w:after="0" w:line="264"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Maintenance, materials and repairs increased 19.7% in the first three months of 2019 as compared to the same period in 2018, primarily due to an increase in the volume of airframe overhauls performed under time and material contracts where expense is incurred and recognized as maintenance is performed. An increase in the volume of component part repairs also drove higher maintenance expenses in the first quarter of 2019.</w:t>
      </w:r>
    </w:p>
    <w:p>
      <w:pPr>
        <w:spacing w:after="0" w:line="115" w:lineRule="exact"/>
        <w:rPr>
          <w:rFonts w:ascii="Arial" w:cs="Arial" w:eastAsia="Arial" w:hAnsi="Arial"/>
          <w:sz w:val="18"/>
          <w:szCs w:val="18"/>
          <w:color w:val="auto"/>
        </w:rPr>
      </w:pPr>
    </w:p>
    <w:p>
      <w:pPr>
        <w:ind w:left="580" w:hanging="329"/>
        <w:spacing w:after="0" w:line="292"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rent and landing fees increased 7.8% primarily due to rate increases at certain hub airports in the first quarter of 2019 as compared to the first quarter of 2018.</w:t>
      </w:r>
    </w:p>
    <w:p>
      <w:pPr>
        <w:spacing w:after="0" w:line="90" w:lineRule="exact"/>
        <w:rPr>
          <w:rFonts w:ascii="Arial" w:cs="Arial" w:eastAsia="Arial" w:hAnsi="Arial"/>
          <w:sz w:val="18"/>
          <w:szCs w:val="18"/>
          <w:color w:val="auto"/>
        </w:rPr>
      </w:pPr>
    </w:p>
    <w:p>
      <w:pPr>
        <w:jc w:val="both"/>
        <w:ind w:left="580" w:hanging="329"/>
        <w:spacing w:after="0" w:line="264"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Depreciation and amortization increased 9.1% due in part to information technology and software development projects associated with American's merger integration as well as the continued rollout of Premium Economy and harmonization of seating configurations across its fleet. Depreciation associated with American's fleet renewal program also contributed to the increase as subsequent to the first quarter of 2018, American took delivery of five owned mainline aircraft.</w:t>
      </w:r>
    </w:p>
    <w:p>
      <w:pPr>
        <w:spacing w:after="0" w:line="115" w:lineRule="exact"/>
        <w:rPr>
          <w:rFonts w:ascii="Arial" w:cs="Arial" w:eastAsia="Arial" w:hAnsi="Arial"/>
          <w:sz w:val="18"/>
          <w:szCs w:val="18"/>
          <w:color w:val="auto"/>
        </w:rPr>
      </w:pPr>
    </w:p>
    <w:p>
      <w:pPr>
        <w:jc w:val="both"/>
        <w:ind w:left="580" w:hanging="329"/>
        <w:spacing w:after="0" w:line="271"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Regional aircraft fuel and related taxes increased 6.1% primarily due to a 7.7% increase in gallons of fuel consumed, principally due to increased capacity. This increase was offset in part by a 1.4% decrease in the average price per gallon of fuel to $2.12 in the first quarter of 2019 from $2.15 in the first quarter of 2018.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21" w:right="239" w:bottom="1440" w:gutter="0" w:footer="0" w:header="0"/>
        </w:sectPr>
      </w:pPr>
    </w:p>
    <w:bookmarkStart w:id="43" w:name="page44"/>
    <w:bookmarkEnd w:id="43"/>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10"/>
        </w:trPr>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8"/>
                <w:szCs w:val="18"/>
                <w:color w:val="auto"/>
              </w:rPr>
            </w:pP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65"/>
        </w:trPr>
        <w:tc>
          <w:tcPr>
            <w:tcW w:w="776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5"/>
        </w:trPr>
        <w:tc>
          <w:tcPr>
            <w:tcW w:w="7760" w:type="dxa"/>
            <w:vAlign w:val="bottom"/>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-1200150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8" w:lineRule="exact"/>
        <w:rPr>
          <w:sz w:val="20"/>
          <w:szCs w:val="20"/>
          <w:color w:val="auto"/>
        </w:rPr>
      </w:pPr>
    </w:p>
    <w:p>
      <w:pPr>
        <w:ind w:left="500" w:right="20" w:hanging="330"/>
        <w:spacing w:after="0" w:line="239" w:lineRule="auto"/>
        <w:tabs>
          <w:tab w:leader="none" w:pos="50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technical operations, flight attendant, human resources and payroll systems.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0" w:type="dxa"/>
            <w:vAlign w:val="bottom"/>
            <w:gridSpan w:val="3"/>
          </w:tcPr>
          <w:p>
            <w:pPr>
              <w:jc w:val="center"/>
              <w:ind w:right="339"/>
              <w:spacing w:after="0" w:line="151" w:lineRule="exact"/>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5"/>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57</w:t>
            </w:r>
          </w:p>
        </w:tc>
        <w:tc>
          <w:tcPr>
            <w:tcW w:w="146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-857250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-857250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-857250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Interest income increased $54 million in the first quarter of 2019 as compared to the first quarter of 2018, primarily due to higher interest-bearing related party receivables from American's parent company, AAG.</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In the first quarter of 2019, other nonoperating income, net included $46 million of non-service related pension and other postretirement benefit plan income and $69 million of net special credits principally due to mark-to-market unrealized gains associated with certain of American's equity investments.</w:t>
      </w:r>
    </w:p>
    <w:p>
      <w:pPr>
        <w:spacing w:after="0" w:line="10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the first quarter of 2018, other nonoperating income, net principally included $75 million of non-service related pension and other postretirement benefit plan income.</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decrease in non-service related pension and other postretirement benefit plan income in the first quarter of 2019 as compared to the first quarter of 2018 is principally due to a decrease in the expected return on pension plan assets.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first quarter of 2019, American recorded an income tax provision of $74 million, which was substantially non-cash due to utilization of its net operating losses (NOLs). Substantially all of American’s income before income taxes is attributable to the United States. At December 31, 2018, American had approximately $10.6 billion of federal NOLs and $3.1 billion of state NOLs, substantially all of which are expected to be available in 2019 to reduce federal and state taxable income.</w:t>
      </w:r>
    </w:p>
    <w:p>
      <w:pPr>
        <w:spacing w:after="0" w:line="11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As of March 31, 2019, AAG had approximately $ 7.2 billion in total available liquidity and $156 million in restricted cash and short-term investments. Additional detail of our available liquidity is provided in the table below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AAG</w:t>
            </w:r>
          </w:p>
        </w:tc>
        <w:tc>
          <w:tcPr>
            <w:tcW w:w="1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264"/>
        </w:trPr>
        <w:tc>
          <w:tcPr>
            <w:tcW w:w="4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r>
      <w:tr>
        <w:trPr>
          <w:trHeight w:val="265"/>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4,482</w:t>
            </w:r>
          </w:p>
        </w:tc>
      </w:tr>
      <w:tr>
        <w:trPr>
          <w:trHeight w:val="27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Undrawn revolving credit facilities</w:t>
            </w: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2,843</w:t>
            </w:r>
          </w:p>
        </w:tc>
      </w:tr>
      <w:tr>
        <w:trPr>
          <w:trHeight w:val="245"/>
        </w:trPr>
        <w:tc>
          <w:tcPr>
            <w:tcW w:w="4240" w:type="dxa"/>
            <w:vAlign w:val="bottom"/>
          </w:tcPr>
          <w:p>
            <w:pPr>
              <w:ind w:left="200"/>
              <w:spacing w:after="0"/>
              <w:rPr>
                <w:sz w:val="20"/>
                <w:szCs w:val="20"/>
                <w:color w:val="auto"/>
              </w:rPr>
            </w:pPr>
            <w:r>
              <w:rPr>
                <w:rFonts w:ascii="Arial" w:cs="Arial" w:eastAsia="Arial" w:hAnsi="Arial"/>
                <w:sz w:val="18"/>
                <w:szCs w:val="18"/>
                <w:color w:val="auto"/>
              </w:rPr>
              <w:t>Total available liquidity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7,192</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7,603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7,590</w:t>
            </w:r>
          </w:p>
        </w:tc>
      </w:tr>
      <w:tr>
        <w:trPr>
          <w:trHeight w:val="20"/>
        </w:trPr>
        <w:tc>
          <w:tcPr>
            <w:tcW w:w="4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April 2018, we announced that our Board of Directors authorized a $2.0 billion share repurchase program that expires on December 31, 2020. Since July 2014, our Board of Directors has approved seven share repurchase programs aggregating $13.0 billion of authority. As of March 31, 2019, there was $1.1 billion of remaining authority to repurchase shares under our current $ 2.0 billion share repurchase program. 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124"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During the three months ended March 31, 2019, we repurchased 16.7 million shares of AAG common stock for $600 million at a weighted average cost per share of $36.02. Since the inception of our share repurchase programs in July 2014 through March 31, 2019, we repurchased 295.6 million shares of AAG common stock for $11.9 billion at a weighted average cost per share of $40.43.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90"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In January 2019, our Board of Directors declared a cash dividend of $0.10 per share for stockholders of record as of February 6, 2019 and paid on February 20, 2019, totaling $46 million for the first three months of 2019.</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April 2019, we announced that our Board of Directors declared a $0.10 per share dividend for stockholders of record as of May 8, 2019, and payable on May 22, 2019.</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Certain of our debt financing agreements contain loan to value ratio covenants and require us to appraise the related collateral annually. Pursuant to such agreements, if the loan to value ratio exceeds a specified threshold, we are required, as applicable, to pledge additional qualifying collateral (which in some cases may include cash collateral), or pay down such financing, in whole or in part. As of March 31, 2019, we were in compliance with the collateral coverage tests for our term loans and revolving credit facilities as of the most recent measurement dates.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1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net cash provided by operating activities was $1.7 billion and $ 1.8 billion for the first three months of 2019 and 2018, respectively, a period-over-period decrease of $149 million. This decrease in operating cash flows from the 2018 to the 2019 period was primarily due to lower profitability in the first three months of 2019 driven by higher maintenance expenses and salaries, wages and benefits, offset in part by higher revenues. In addition, we contributed $364 million to our defined benefit pension plans in the first quarter of 2019 as compared to $155 million in the first quarter of 2018.</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$480 million and $956 million for the first three months of 2019 and 2018, respectively.</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Our principal investing activities in the first quarter of 2019 included expenditures of $1.3 billion for property and equipment, including seven Embraer E175 aircraft, four Boeing 737-8 MAX aircraft, two Boeing 787 Family aircraft and two Airbus A321neo aircraft. These cash outflows were offset in part by $359 million of net proceeds primarily from aircraft sale-leaseback transactions and $481 million in net sales of short-term investments.</w:t>
      </w:r>
    </w:p>
    <w:p>
      <w:pPr>
        <w:spacing w:after="0" w:line="116"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Our principal investing activities in the first quarter of 2018 included expenditures of $779 million for property and equipment, including three Boeing 737-8 MAX aircraft and one Boeing 787 Family aircraft and $223 million in net purchases of short-term investments.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financing activities was $1.1 billion and $842 million for the first three months of 2019 and 2018, respectively.</w:t>
      </w:r>
    </w:p>
    <w:p>
      <w:pPr>
        <w:spacing w:after="0" w:line="17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Our principal financing activities in the first quarter of 2019 included $849 million in scheduled debt repayments, $608 million in share repurchases and $46 million in dividend payments. These cash outflows were offset in part by net proceeds of $400 million from the issuance of debt for the financing of certain aircraft.</w:t>
      </w:r>
    </w:p>
    <w:p>
      <w:pPr>
        <w:spacing w:after="0" w:line="109"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Our principal financing activities in the first quarter of 2018 included $568 million in scheduled debt repayments, $461 million in share repurchases and $48 million in dividend payments. These cash outflows were offset in part by net proceeds of $236 million from the issuance of debt, including the issuance of equipment notes related to EETCs.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American’s net cash provided by operating activities was $956 million and $1.3 billion for the first three months of 2019 and 2018, respectively, a period-over-period decrease of $307 million. This decrease in operating cash flows for the first three months of 2019 as compared to the same period in 2018 was primarily due to higher intercompany transfers of cash from American to AAG to fund share repurchases and lower profitability in the first three months of 2019 driven by higher maintenance expenses and salaries, wages and benefits, offset in part by higher revenues. In addition, American contributed $364 million to its defined benefit pension plans in the first quarter of 2019 as compared to $155 million in the first quarter of 2018.</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$438 million and $934 million for the first three months of 2019 and 2018, respectively.</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American’s principal investing activities in the first quarter of 2019 included expenditures of $1.3 billion for property and equipment, including seven Embraer E175 aircraft, four Boeing 737-8 MAX aircraft, two Boeing 787 Family aircraft and two Airbus A321neo aircraft. These cash outflows were offset in part by $359 million of net proceeds primarily from aircraft sale-leaseback transactions and $481 million in net sales of short-term investments.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19" w:right="239" w:bottom="1440" w:gutter="0" w:footer="0" w:header="0"/>
        </w:sectPr>
      </w:pPr>
    </w:p>
    <w:bookmarkStart w:id="46" w:name="page47"/>
    <w:bookmarkEnd w:id="46"/>
    <w:p>
      <w:pPr>
        <w:jc w:val="both"/>
        <w:ind w:right="20" w:firstLine="216"/>
        <w:spacing w:after="0" w:line="292" w:lineRule="auto"/>
        <w:rPr>
          <w:sz w:val="20"/>
          <w:szCs w:val="20"/>
          <w:color w:val="auto"/>
        </w:rPr>
      </w:pPr>
      <w:r>
        <w:rPr>
          <w:rFonts w:ascii="Arial" w:cs="Arial" w:eastAsia="Arial" w:hAnsi="Arial"/>
          <w:sz w:val="18"/>
          <w:szCs w:val="18"/>
          <w:color w:val="auto"/>
        </w:rPr>
        <w:t>American’s principal investing activities in the first quarter of 2018 included expenditures of $762 million for property and equipment, including three Boeing 737-8 MAX aircraft and one Boeing 787 Family aircraft and $215 million in net purchases of short-term investments.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financing activities was $455 million and $333 million for the first three months of 2019 and 2018, respectively.</w:t>
      </w:r>
    </w:p>
    <w:p>
      <w:pPr>
        <w:spacing w:after="0" w:line="17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American’s principal financing activities in the first quarter of 2019 included $ 849 million in scheduled debt repayments. These cash outflows were offset in part by net proceeds of $400 million from the issuance of debt for the financing of certain aircraft.</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American’s principal financing activities in the first quarter of 2018 included $568 million in scheduled debt repayments, offset in part by net proceeds of $236 million from the issuance of debt, including the issuance of equipment notes related to EETCs.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9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As of March 31, 2019, AAG had $23.6 billion in long-term debt, including current maturities of $3.3 billion (of which $750 million in aggregate principal amount relates to the 5.50% senior notes is due in October 2019 and $500 million in aggregate principal amount relates to the 4.625% senior notes due March 2020). As of March 31, 2019, American had $22.3 billion in long-term debt, including current maturities of $2.0 billion. During the three months ended March 31, 2019, there have been no material changes in our significant indebtedness as discussed in our 2018 Form 10-K, except as discussed in Note 6 to AAG’s Condensed Consolidated Financial Statements in Part I, Item 1A and Note 4 to American’s Condensed Consolidated Financial Statements in Part I, Item 1B.</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90"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As of March 31, 2019, we had definitive purchase agreements with Airbus, Boeing, Embraer and Bombardier for the acquisition of the following mainline and regional aircraft: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Remainder</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2024 and</w:t>
            </w:r>
          </w:p>
        </w:tc>
        <w:tc>
          <w:tcPr>
            <w:tcW w:w="1020" w:type="dxa"/>
            <w:vAlign w:val="bottom"/>
          </w:tcPr>
          <w:p>
            <w:pPr>
              <w:spacing w:after="0"/>
              <w:rPr>
                <w:sz w:val="14"/>
                <w:szCs w:val="14"/>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2019</w:t>
            </w: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84"/>
        </w:trPr>
        <w:tc>
          <w:tcPr>
            <w:tcW w:w="3200" w:type="dxa"/>
            <w:vAlign w:val="bottom"/>
            <w:tcBorders>
              <w:top w:val="single" w:sz="8" w:color="CCEEFF"/>
            </w:tcBorders>
            <w:gridSpan w:val="6"/>
            <w:shd w:val="clear" w:color="auto" w:fill="CCEEFF"/>
          </w:tcPr>
          <w:p>
            <w:pPr>
              <w:ind w:left="40"/>
              <w:spacing w:after="0" w:line="183" w:lineRule="exact"/>
              <w:rPr>
                <w:sz w:val="20"/>
                <w:szCs w:val="20"/>
                <w:color w:val="auto"/>
              </w:rPr>
            </w:pPr>
            <w:r>
              <w:rPr>
                <w:rFonts w:ascii="Arial" w:cs="Arial" w:eastAsia="Arial" w:hAnsi="Arial"/>
                <w:sz w:val="18"/>
                <w:szCs w:val="18"/>
                <w:b w:val="1"/>
                <w:bCs w:val="1"/>
                <w:color w:val="auto"/>
              </w:rPr>
              <w:t>Airbus</w:t>
            </w: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65"/>
        </w:trPr>
        <w:tc>
          <w:tcPr>
            <w:tcW w:w="3200" w:type="dxa"/>
            <w:vAlign w:val="bottom"/>
            <w:gridSpan w:val="6"/>
          </w:tcPr>
          <w:p>
            <w:pPr>
              <w:ind w:left="40"/>
              <w:spacing w:after="0"/>
              <w:rPr>
                <w:sz w:val="20"/>
                <w:szCs w:val="20"/>
                <w:color w:val="auto"/>
              </w:rPr>
            </w:pPr>
            <w:r>
              <w:rPr>
                <w:rFonts w:ascii="Arial" w:cs="Arial" w:eastAsia="Arial" w:hAnsi="Arial"/>
                <w:sz w:val="18"/>
                <w:szCs w:val="18"/>
                <w:color w:val="auto"/>
              </w:rPr>
              <w:t>A320neo Family</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98</w:t>
            </w:r>
          </w:p>
        </w:tc>
      </w:tr>
      <w:tr>
        <w:trPr>
          <w:trHeight w:val="207"/>
        </w:trPr>
        <w:tc>
          <w:tcPr>
            <w:tcW w:w="3200" w:type="dxa"/>
            <w:vAlign w:val="bottom"/>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Boeing</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70"/>
        </w:trPr>
        <w:tc>
          <w:tcPr>
            <w:tcW w:w="3200" w:type="dxa"/>
            <w:vAlign w:val="bottom"/>
            <w:gridSpan w:val="6"/>
          </w:tcPr>
          <w:p>
            <w:pPr>
              <w:ind w:left="40"/>
              <w:spacing w:after="0"/>
              <w:rPr>
                <w:sz w:val="20"/>
                <w:szCs w:val="20"/>
                <w:color w:val="auto"/>
              </w:rPr>
            </w:pPr>
            <w:r>
              <w:rPr>
                <w:rFonts w:ascii="Arial" w:cs="Arial" w:eastAsia="Arial" w:hAnsi="Arial"/>
                <w:sz w:val="18"/>
                <w:szCs w:val="18"/>
                <w:color w:val="auto"/>
              </w:rPr>
              <w:t xml:space="preserve">737 MAX Family </w:t>
            </w:r>
            <w:r>
              <w:rPr>
                <w:rFonts w:ascii="Arial" w:cs="Arial" w:eastAsia="Arial" w:hAnsi="Arial"/>
                <w:sz w:val="21"/>
                <w:szCs w:val="21"/>
                <w:color w:val="auto"/>
                <w:vertAlign w:val="superscript"/>
              </w:rPr>
              <w:t>(1)</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70"/>
        </w:trPr>
        <w:tc>
          <w:tcPr>
            <w:tcW w:w="32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787 Family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r>
      <w:tr>
        <w:trPr>
          <w:trHeight w:val="203"/>
        </w:trPr>
        <w:tc>
          <w:tcPr>
            <w:tcW w:w="320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Embraer</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32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E175</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r>
      <w:tr>
        <w:trPr>
          <w:trHeight w:val="203"/>
        </w:trPr>
        <w:tc>
          <w:tcPr>
            <w:tcW w:w="320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Bombardier</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32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CRJ900</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41"/>
        </w:trPr>
        <w:tc>
          <w:tcPr>
            <w:tcW w:w="40" w:type="dxa"/>
            <w:vAlign w:val="bottom"/>
          </w:tcPr>
          <w:p>
            <w:pPr>
              <w:spacing w:after="0"/>
              <w:rPr>
                <w:sz w:val="20"/>
                <w:szCs w:val="20"/>
                <w:color w:val="auto"/>
              </w:rPr>
            </w:pPr>
          </w:p>
        </w:tc>
        <w:tc>
          <w:tcPr>
            <w:tcW w:w="3160" w:type="dxa"/>
            <w:vAlign w:val="bottom"/>
            <w:gridSpan w:val="5"/>
          </w:tcPr>
          <w:p>
            <w:pPr>
              <w:ind w:left="1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379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18" w:lineRule="exact"/>
        <w:rPr>
          <w:sz w:val="20"/>
          <w:szCs w:val="20"/>
          <w:color w:val="auto"/>
        </w:rPr>
      </w:pPr>
    </w:p>
    <w:p>
      <w:pPr>
        <w:jc w:val="both"/>
        <w:ind w:left="580" w:right="20" w:hanging="329"/>
        <w:spacing w:after="0" w:line="244" w:lineRule="auto"/>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On March 13, 2019, the FAA grounded all U.S.-registered Boeing 737 MAX aircraft. We currently have 76 Boeing 737 MAX Family aircraft on order. We have not taken delivery of any Boeing 737 MAX Family aircraft since the grounding, and the timing of future deliveries cannot presently be forecasted.</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also have agreements for 35 spare engines to be delivered in 2019 and beyond.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38" w:right="239" w:bottom="1440" w:gutter="0" w:footer="0" w:header="0"/>
        </w:sectPr>
      </w:pPr>
    </w:p>
    <w:bookmarkStart w:id="47" w:name="page48"/>
    <w:bookmarkEnd w:id="47"/>
    <w:p>
      <w:pPr>
        <w:jc w:val="both"/>
        <w:ind w:firstLine="216"/>
        <w:spacing w:after="0" w:line="258" w:lineRule="auto"/>
        <w:rPr>
          <w:sz w:val="20"/>
          <w:szCs w:val="20"/>
          <w:color w:val="auto"/>
        </w:rPr>
      </w:pPr>
      <w:r>
        <w:rPr>
          <w:rFonts w:ascii="Arial" w:cs="Arial" w:eastAsia="Arial" w:hAnsi="Arial"/>
          <w:sz w:val="18"/>
          <w:szCs w:val="18"/>
          <w:color w:val="auto"/>
        </w:rPr>
        <w:t xml:space="preserve">We currently have financing commitments for all aircraft on order and scheduled to be delivered through December 2019, with the exception of three Embraer E175 aircraft. Additionally, we have financing commitments for 25 aircraft scheduled to be delivered in 2020: 12 Boeing 787 Family aircraft, seven Airbus A320neo Family aircraft, four Bombardier CRJ900 aircraft, and two Boeing 737 MAX Family aircraft. We do not have financing commitments in place for the remaining 36 aircraft to be delivered in 2020 and any of the aircraft to be delivered beyond 2020, except for 10 Boeing 787 Family aircraft to be delivered in 2021. See Part II, Item 1A. Risk Factors – </w:t>
      </w:r>
      <w:r>
        <w:rPr>
          <w:rFonts w:ascii="Arial" w:cs="Arial" w:eastAsia="Arial" w:hAnsi="Arial"/>
          <w:sz w:val="18"/>
          <w:szCs w:val="18"/>
          <w:i w:val="1"/>
          <w:iCs w:val="1"/>
          <w:color w:val="auto"/>
        </w:rPr>
        <w:t>“We will need to obtain sufficient 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 other capital to operate successfully” </w:t>
      </w:r>
      <w:r>
        <w:rPr>
          <w:rFonts w:ascii="Arial" w:cs="Arial" w:eastAsia="Arial" w:hAnsi="Arial"/>
          <w:sz w:val="18"/>
          <w:szCs w:val="18"/>
          <w:color w:val="auto"/>
        </w:rPr>
        <w:t>for additional discussion.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2018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9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table provides details of our future cash contractual obligations as of March 31, 2019 (in millions). The table does not include commitments that are contingent on events or other factors that are uncertain or unknown at this time.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68"/>
        </w:trPr>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Remainder</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2024 and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3"/>
        </w:trPr>
        <w:tc>
          <w:tcPr>
            <w:tcW w:w="2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of 2019</w:t>
            </w: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211"/>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45"/>
        </w:trPr>
        <w:tc>
          <w:tcPr>
            <w:tcW w:w="41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American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5"/>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5"/>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(a), (c)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22,290</w:t>
            </w: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 (c)</w:t>
            </w:r>
          </w:p>
        </w:tc>
        <w:tc>
          <w:tcPr>
            <w:tcW w:w="1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4,638</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r>
      <w:tr>
        <w:trPr>
          <w:trHeight w:val="207"/>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Aircraft and engine purchase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2"/>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 xml:space="preserve">commitments </w:t>
            </w:r>
            <w:r>
              <w:rPr>
                <w:rFonts w:ascii="Arial" w:cs="Arial" w:eastAsia="Arial" w:hAnsi="Arial"/>
                <w:sz w:val="21"/>
                <w:szCs w:val="21"/>
                <w:color w:val="auto"/>
                <w:vertAlign w:val="superscript"/>
              </w:rPr>
              <w:t>(d)</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13,678</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1"/>
                <w:szCs w:val="21"/>
                <w:color w:val="auto"/>
                <w:vertAlign w:val="superscript"/>
              </w:rPr>
              <w:t>(e)</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13,606</w:t>
            </w:r>
          </w:p>
        </w:tc>
      </w:tr>
      <w:tr>
        <w:trPr>
          <w:trHeight w:val="270"/>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1"/>
                <w:szCs w:val="21"/>
                <w:color w:val="auto"/>
                <w:vertAlign w:val="superscript"/>
              </w:rPr>
              <w:t>(f)</w:t>
            </w:r>
          </w:p>
        </w:tc>
        <w:tc>
          <w:tcPr>
            <w:tcW w:w="1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4,641</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(g)</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4,844</w:t>
            </w:r>
          </w:p>
        </w:tc>
      </w:tr>
      <w:tr>
        <w:trPr>
          <w:trHeight w:val="265"/>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1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371</w:t>
            </w:r>
          </w:p>
        </w:tc>
      </w:tr>
      <w:tr>
        <w:trPr>
          <w:trHeight w:val="275"/>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1"/>
                <w:szCs w:val="21"/>
                <w:color w:val="auto"/>
                <w:vertAlign w:val="superscript"/>
              </w:rPr>
              <w:t>(h)</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4,033</w:t>
            </w:r>
          </w:p>
        </w:tc>
      </w:tr>
      <w:tr>
        <w:trPr>
          <w:trHeight w:val="245"/>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Total American Contractual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9,348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9,647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8,926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25,503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68,946</w:t>
            </w:r>
          </w:p>
        </w:tc>
      </w:tr>
      <w:tr>
        <w:trPr>
          <w:trHeight w:val="275"/>
        </w:trPr>
        <w:tc>
          <w:tcPr>
            <w:tcW w:w="21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47"/>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AAG Parent and Other AAG Subsidiaries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
        </w:trPr>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1,279</w:t>
            </w:r>
          </w:p>
        </w:tc>
      </w:tr>
      <w:tr>
        <w:trPr>
          <w:trHeight w:val="270"/>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70"/>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(g)</w:t>
            </w:r>
          </w:p>
        </w:tc>
        <w:tc>
          <w:tcPr>
            <w:tcW w:w="1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45"/>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Total AAG Contractual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9,281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9,886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8,939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25,548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70,409</w:t>
            </w:r>
          </w:p>
        </w:tc>
      </w:tr>
      <w:tr>
        <w:trPr>
          <w:trHeight w:val="20"/>
        </w:trPr>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1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274" w:lineRule="exact"/>
        <w:rPr>
          <w:sz w:val="20"/>
          <w:szCs w:val="20"/>
          <w:color w:val="auto"/>
        </w:rPr>
      </w:pPr>
    </w:p>
    <w:p>
      <w:pPr>
        <w:jc w:val="both"/>
        <w:ind w:left="500" w:hanging="330"/>
        <w:spacing w:after="0" w:line="244" w:lineRule="auto"/>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Amounts represent contractual amounts due. Excludes $215 million and $3 million of unamortized debt discount, premium and issuance costs as of March 31, 2019 for American and AAG Parent, respectively. For additional information, see Note 6 and Note 4 to AAG’s and American’s Condensed Consolidated Financial Statements in Part I, Items 1A and 1B.</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38" w:right="239" w:bottom="1440" w:gutter="0" w:footer="0" w:header="0"/>
        </w:sectPr>
      </w:pPr>
    </w:p>
    <w:bookmarkStart w:id="48" w:name="page49"/>
    <w:bookmarkEnd w:id="48"/>
    <w:p>
      <w:pPr>
        <w:ind w:left="500" w:hanging="330"/>
        <w:spacing w:after="0"/>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For variable-rate debt, future interest obligations are estimated using the current forward rates at March 31, 2019.</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Includes $11.1 billion of future principal payments and $2.3 billion of future interest payments, respectively, as of March 31, 2019, related to EETCs associated with mortgage financings for the purchase of certain aircraft.</w:t>
      </w:r>
    </w:p>
    <w:p>
      <w:pPr>
        <w:spacing w:after="0" w:line="136"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See Part I, Item 2. Management’s Discussion and Analysis of Financial Condition and Results of Operations –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for additional information about these obligations. Boeing has committed to provide sale-leaseback financing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leases) for 22 787-8 aircraft to be delivered in 2020 and 2021. This financing is reflected in the operating lease commitments line above.</w:t>
      </w:r>
    </w:p>
    <w:p>
      <w:pPr>
        <w:spacing w:after="0" w:line="130"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Includes $275 million of future minimum lease payments related to EETC leveraged lease financings of certain aircraft as of March 31, 2019.</w:t>
      </w:r>
    </w:p>
    <w:p>
      <w:pPr>
        <w:spacing w:after="0" w:line="136"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130" w:lineRule="exact"/>
        <w:rPr>
          <w:rFonts w:ascii="Arial" w:cs="Arial" w:eastAsia="Arial" w:hAnsi="Arial"/>
          <w:sz w:val="22"/>
          <w:szCs w:val="22"/>
          <w:color w:val="auto"/>
          <w:vertAlign w:val="superscript"/>
        </w:rPr>
      </w:pPr>
    </w:p>
    <w:p>
      <w:pPr>
        <w:jc w:val="both"/>
        <w:ind w:left="500" w:hanging="330"/>
        <w:spacing w:after="0" w:line="244"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Includes minimum pension contributions based on actuarially determined estimates and is based on estimated payments through 2028. The total expected pension contribution of $443 million for the remainder of 2019 assumes a supplemental contribution of $21 million in addition to the $422 million minimum required contribution.</w:t>
      </w:r>
    </w:p>
    <w:p>
      <w:pPr>
        <w:spacing w:after="0" w:line="122"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Includes purchase commitments for jet fuel, construction projects and information technology support.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light of our significant financial commitments related to, among other things, new aircraft, the servicing and amortization of existing debt and equipment leasing arrangements, and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natural disasters or other causes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certain of our financing arrangements contain significant minimum cash balance requirements. As a result, we cannot use all of our available cash to fund operations, capital expenditures and cash obligations without violating these requirements.</w:t>
      </w:r>
    </w:p>
    <w:p>
      <w:pPr>
        <w:spacing w:after="0" w:line="12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09"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one of which is currently in effect, and may authorize additional share repurchase programs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2"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the first quarter of 2019, there were no changes to our critical accounting policies and estimates from those disclosed in the Consolidated Financial Statements and accompanying notes contained in our 2018 Form 10-K.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2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2" w:lineRule="exact"/>
        <w:rPr>
          <w:sz w:val="20"/>
          <w:szCs w:val="20"/>
          <w:color w:val="auto"/>
        </w:rPr>
      </w:pPr>
    </w:p>
    <w:p>
      <w:pPr>
        <w:jc w:val="both"/>
        <w:ind w:right="20" w:firstLine="216"/>
        <w:spacing w:after="0" w:line="29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This ASU provides the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In the first quarter of 2019, we adopted this standard retrospectively as of December 22, 2017, the date the 2017 Tax Act was enacted, which resulted in the recast of prior reporting periods. As a result of the adoption, we reclassified $622 million of stranded tax effects principally related to our pension plans from accumulated other comprehensive loss to retained earnings.</w:t>
      </w:r>
    </w:p>
    <w:p>
      <w:pPr>
        <w:spacing w:after="0" w:line="207" w:lineRule="exact"/>
        <w:rPr>
          <w:sz w:val="20"/>
          <w:szCs w:val="20"/>
          <w:color w:val="auto"/>
        </w:rPr>
      </w:pPr>
    </w:p>
    <w:p>
      <w:pPr>
        <w:ind w:right="4420"/>
        <w:spacing w:after="0" w:line="345"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u w:val="single" w:color="auto"/>
          <w:color w:val="auto"/>
        </w:rPr>
        <w:t>AAG and American’s Market Risk Sensitive Instruments and Positions</w:t>
      </w:r>
    </w:p>
    <w:p>
      <w:pPr>
        <w:spacing w:after="0" w:line="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2018 Form 10-K except as updated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As of March 31, 2019,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Based on our 2019 forecasted fuel consumption, we estimate that a one cent per gallon increase in aviation fuel price would increase our 2019 annual fuel expense by $46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w:t>
      </w:r>
    </w:p>
    <w:p>
      <w:pPr>
        <w:spacing w:after="0" w:line="109"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 rate debt instruments and our interest income from short-term, interest bearing investments. If annual interest rates increase 100 basis points, based on our March 31, 2019 variable-rate debt and short term investments balances, annual interest expense on variable rate debt would increase by approximately $101 million and annual interest income on short-term investments would increase by approximately $43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1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March 31, 2019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March 31, 2019 at the reasonable assurance level.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On December 9, 2013, AAG acquired US Airways Group, Inc. (US Airways Group) and its subsidiaries. We are still in the process of integrating certain processes, technology and operations for the post-Merger combined company, and we will continue to evaluate the impact of any related changes to our internal control over financial reporting. For the quarter ended March 31, 2019, there have been no changes in AAG’s or American’s internal control over financial reporting that has materially affected, or is reasonably likely to materially affect, AAG’s and American’s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March 31,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1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by AMR (the Merger).</w:t>
      </w:r>
    </w:p>
    <w:p>
      <w:pPr>
        <w:spacing w:after="0" w:line="12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purposes of calculating earnings per common share. As disputed claims are resolved, the claimants will receive distributions of shares from the Disputed Claims Reserve. However, we are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 million shares of AAG common stock.</w:t>
      </w:r>
    </w:p>
    <w:p>
      <w:pPr>
        <w:spacing w:after="0" w:line="12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we reached a preliminary settlement agreement with the plaintiffs in the amount of $45 million that, once approved, will resolve all class claims in the U.S. lawsuits. That settlement received preliminary approval from the DC Court on June 18, 2018.</w:t>
      </w:r>
    </w:p>
    <w:p>
      <w:pPr>
        <w:spacing w:after="0" w:line="12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United States Bankruptcy Court for the Southern District of New York. The complaint named as defendants US Airways Group, US Airways, Inc.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on April 15, 2019 and closing arguments are scheduled to be heard on April 26, 2019. We believe this lawsuit is without merit and intend to vigorously defend against the allegations.</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us of an inquiry</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American’s 2009 and 2011 contracts with the United States Postal Service for the international transportation of mail by air. In October 2015, we received a Civil Investigative Demand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2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otherwise, which could affect our financial position and liquidity” </w:t>
      </w:r>
      <w:r>
        <w:rPr>
          <w:rFonts w:ascii="Arial" w:cs="Arial" w:eastAsia="Arial" w:hAnsi="Arial"/>
          <w:sz w:val="18"/>
          <w:szCs w:val="18"/>
          <w:color w:val="auto"/>
        </w:rPr>
        <w:t>for additional discussion.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1A. RISK FACTORS</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below.</w:t>
      </w:r>
    </w:p>
    <w:p>
      <w:pPr>
        <w:spacing w:after="0" w:line="202"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15"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Market prices for jet fuel have fluctuated substantially over the past several years and prices continue to be highly volatile.</w:t>
      </w:r>
    </w:p>
    <w:p>
      <w:pPr>
        <w:spacing w:after="0" w:line="109"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2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Any of these factors or events could cause a disruption in oil production, refinery operations, pipeline capacity or terminal access and possibly result in significant increases in the price of aircraft fuel and diminished availability of aircraft fuel supply.</w:t>
      </w:r>
    </w:p>
    <w:p>
      <w:pPr>
        <w:spacing w:after="0" w:line="12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March 31, 2019, we did not have any fuel hedging contracts outstanding.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17" w:right="23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9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 cost carriers).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2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While historically these carriers have provided competition in domestic markets, we have recently experienced new competition from low-cost carriers on international routes.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are expected to continue to have an impact on our revenues and overall performance. We and several other large network carriers have implemented “Basic Economy” fares designed to more effectively compete against low-cost carriers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but we cannot predict whether these initiatives will be successful or the competitive reaction of the low-cost carriers. Competition is also increasing from low-cost airlines executing international long-haul expansion strategies, including, for example, Icelandair and Norwegian Air Shuttle. The actions of existing or future low-cost carriers, including those described above, could have a material adverse effect on our operations and financial performance.</w:t>
      </w:r>
    </w:p>
    <w:p>
      <w:pPr>
        <w:spacing w:after="0" w:line="12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provide air travel internationally, directly as well as through joint business, alliance, codeshare and similar arrangements to which we are a party. While our network is comprehensive, compared to some of our key global competitors, we generally have somewhat greater relative exposure to certain regions (for example, Latin America) and somewhat lower relative exposures to others (for example, China and parts of Asia). Our financial performance relative to our key competitors will therefore be influenced significantly by macro-economic conditions in particular regions around the world and the relative exposure of our network to the markets in those regions.</w:t>
      </w:r>
    </w:p>
    <w:p>
      <w:pPr>
        <w:spacing w:after="0" w:line="12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including Emirates, Etihad Airways and Qatar Airways.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Additionally, these carriers have made significant investments in a number of airlines located outside of the Middle East, such as Air Italy, providing these affiliated airlines with capital and aircraft to permit increases in service that compete with us. We believe these state-owned and state-affiliated carriers in the Gulf region, including their affiliated carriers, benefit from significant government subsidies, which have allowed them to grow quickly, reinvest in their product and expand their global presence. Competition is also increasing from low-cost airlines executing international long-haul expansion strategies, including, for example, Icelandair and Norwegian Air Shuttle.</w:t>
      </w:r>
    </w:p>
    <w:p>
      <w:pPr>
        <w:spacing w:after="0" w:line="123"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such as we have recently experienced in Venezuela, when any foreign country we serve suffers adverse local economic conditions. In addition, open skies agreements with an increasing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 regulation, which may result in</w:t>
      </w:r>
      <w:r>
        <w:rPr>
          <w:rFonts w:ascii="Arial" w:cs="Arial" w:eastAsia="Arial" w:hAnsi="Arial"/>
          <w:sz w:val="18"/>
          <w:szCs w:val="18"/>
          <w:color w:val="auto"/>
        </w:rPr>
        <w:t xml:space="preserve"> </w:t>
      </w:r>
      <w:r>
        <w:rPr>
          <w:rFonts w:ascii="Arial" w:cs="Arial" w:eastAsia="Arial" w:hAnsi="Arial"/>
          <w:sz w:val="18"/>
          <w:szCs w:val="18"/>
          <w:i w:val="1"/>
          <w:iCs w:val="1"/>
          <w:color w:val="auto"/>
        </w:rPr>
        <w:t>increases in our costs, disruptions to our operations, limits on our operating flexibility, reductions in the demand for air travel, and competitive disadvantages.”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19" w:right="239" w:bottom="1440" w:gutter="0" w:footer="0" w:header="0"/>
        </w:sectPr>
      </w:pPr>
    </w:p>
    <w:bookmarkStart w:id="54" w:name="page55"/>
    <w:bookmarkEnd w:id="54"/>
    <w:p>
      <w:pPr>
        <w:jc w:val="both"/>
        <w:ind w:firstLine="216"/>
        <w:spacing w:after="0" w:line="260"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2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has established a transatlantic joint business agreement (JBA) with British Airways, Iberia and Finnair, and separately, a transpacific JBA with Japan Airlines, each of which has been granted antitrust immunity. In October 2017, American and its transatlantic partners executed an amended and restated JBA which, among other things, extends the term of the agreement. An application is pending with the U.S. Department of Transportation (DOT) to add Aer Lingus, which is now owned by the parent company of British Airways and Iberia, to the transatlantic JBA. This relationship benefits from a grant of antitrust immunity from the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are binding for 10 years with the possibility of renewal by the EC. However, in light of Brexit and the related possibility that the EC would no longer have regulatory responsibility for the United Kingdom when the commitments expire in July 2020, the United Kingdom Competition and Markets Authority (CMA) in October 2018 opened an investigation into the transatlantic JBA. We are cooperating fully with the CMA. Also, we had previously signed a JBA with Qantas Airways and in 2015, applied for antitrust immunity with the DOT for the revised relationship, but we withdrew that application in November 2016 after it was tentatively denied by the DOT. In February 2018, we filed a new application for antitrust immunity with the DOT, which, if granted, would allow us to further expand our relationship with Qantas Airways. This JBA has been approved by the competition law regulators in Australia and New Zealand. In addition, in 2016, we signed JBAs with certain air carriers of the LATAM Airlines Group for travel to certain South American countries. In November 2018, the Court of Free Competition in Chile approved the JBA between American and LATAM Airlines Group with respect to both our passenger and cargo businesses. That decision has been appealed to the Chilean Supreme Court. In the United States, approval for the JBA with LATAM Airlines Group is pending. We originally applied for antitrust immunity with the DOT in 2016, and recently withdrew and refiled that application in April 2019. This JBA has been approved in all other jurisdictions. The foregoing arrangements are important aspects of our international network and we are dependent on the performance and continued cooperation of the other airlines party to those agreements. No assurances can be given as to any benefits that we may derive from such arrangements or any other arrangements that may ultimately be implemented, or whether or not regulators will continue to approve or impose material conditions on our business activities.</w:t>
      </w:r>
    </w:p>
    <w:p>
      <w:pPr>
        <w:spacing w:after="0" w:line="135"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These competitive factors affect our ability to attract and retain customers, increase usage of our loyalty program and maximize the revenue generated by our loyalty program.</w:t>
      </w:r>
    </w:p>
    <w:p>
      <w:pPr>
        <w:spacing w:after="0" w:line="202"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15"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38" w:right="239" w:bottom="1440" w:gutter="0" w:footer="0" w:header="0"/>
        </w:sectPr>
      </w:pPr>
    </w:p>
    <w:bookmarkStart w:id="55" w:name="page56"/>
    <w:bookmarkEnd w:id="55"/>
    <w:p>
      <w:pPr>
        <w:jc w:val="both"/>
        <w:ind w:firstLine="243"/>
        <w:spacing w:after="0" w:line="256"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European Union (EU) and elsewhere, particularly with respect to critical infrastructure providers, including those in the transportation sector. As a result, we must comply with a growing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1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our regional carriers, distribution partners and technology vendors, to conduct their businesses in a manner that complies with applicable security standards and assures their ability to perform on a timely basis. A security failure, breach or other significant cybersecurity incident affecting one of our partners could result in potentially material negative consequences for us.</w:t>
      </w:r>
    </w:p>
    <w:p>
      <w:pPr>
        <w:spacing w:after="0" w:line="12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may increase. Further, we could be exposed to litigation, regulatory enforcement or other legal action as a result of an incident, carrying the potential for damages, fines, sanctions or other penalties, as well as injunctive relief requiring costly compliance measures. A cybersecurity incident could also impact our brand, harm our reputation and adversely impact our relationship with our customers, employees and stockholders. Failure to appropriately address these issues could also give rise to potentially material legal risks and liabilities.</w:t>
      </w:r>
    </w:p>
    <w:p>
      <w:pPr>
        <w:spacing w:after="0" w:line="205" w:lineRule="exact"/>
        <w:rPr>
          <w:sz w:val="20"/>
          <w:szCs w:val="20"/>
          <w:color w:val="auto"/>
        </w:rPr>
      </w:pPr>
    </w:p>
    <w:p>
      <w:pPr>
        <w:jc w:val="both"/>
        <w:ind w:left="260" w:right="20"/>
        <w:spacing w:after="0" w:line="276"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15"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substantial portion of our assets are pledged to secure our indebtedness. Our substantial indebtedness and other obligations, which are generally greater than the indebtedness and other obligations of our competitors, could have important consequences. For example, they:</w:t>
      </w:r>
    </w:p>
    <w:p>
      <w:pPr>
        <w:spacing w:after="0" w:line="12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90" w:lineRule="exact"/>
        <w:rPr>
          <w:rFonts w:ascii="Arial" w:cs="Arial" w:eastAsia="Arial" w:hAnsi="Arial"/>
          <w:sz w:val="18"/>
          <w:szCs w:val="18"/>
          <w:color w:val="auto"/>
        </w:rPr>
      </w:pPr>
    </w:p>
    <w:p>
      <w:pPr>
        <w:ind w:left="1300" w:right="20" w:hanging="644"/>
        <w:spacing w:after="0" w:line="292"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38" w:right="239" w:bottom="1440" w:gutter="0" w:footer="0" w:header="0"/>
        </w:sectPr>
      </w:pPr>
    </w:p>
    <w:bookmarkStart w:id="56" w:name="page57"/>
    <w:bookmarkEnd w:id="56"/>
    <w:p>
      <w:pPr>
        <w:ind w:left="1300" w:hanging="644"/>
        <w:spacing w:after="0" w:line="292"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300" w:right="20" w:hanging="644"/>
        <w:spacing w:after="0" w:line="292"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90"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09"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17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Further, a substantial portion of our long -term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23"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 xml:space="preserve">On July 27, 2017, the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The U.S. Federal Reserve, in conjunction with the Alternative Reference Rates Committee, is considering replacing U.S. dollar LIBOR with a newly created index, calculated based on repurchase agreements backed by treasury securities.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123"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9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March 31, 2019, our planned aggregate expenditures for aircraft purchase commitments and certain engines on a consolidated basis for calendar years 2019-2023 would be approximately $8.4 billion. Accordingly, we will need substantial financing or other capital resources to finance such aircraft and engines. If we are unable to arrange financing for such aircraft and engines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38" w:right="239" w:bottom="1440" w:gutter="0" w:footer="0" w:header="0"/>
        </w:sectPr>
      </w:pPr>
    </w:p>
    <w:bookmarkStart w:id="57" w:name="page58"/>
    <w:bookmarkEnd w:id="57"/>
    <w:p>
      <w:pPr>
        <w:ind w:left="260"/>
        <w:spacing w:after="0" w:line="29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will increase materially beginning in 2019. In addition, we may have significant obligations for other postretirement benefits, retiree medical and other postretirement benefits.</w:t>
      </w:r>
    </w:p>
    <w:p>
      <w:pPr>
        <w:spacing w:after="0" w:line="202" w:lineRule="exact"/>
        <w:rPr>
          <w:sz w:val="20"/>
          <w:szCs w:val="20"/>
          <w:color w:val="auto"/>
        </w:rPr>
      </w:pPr>
    </w:p>
    <w:p>
      <w:pPr>
        <w:ind w:left="260" w:right="20"/>
        <w:spacing w:after="0" w:line="29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credit card processor, but for which we have not yet provided the air transportation.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An increase in the current holdbacks,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209"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1" w:lineRule="exact"/>
        <w:rPr>
          <w:sz w:val="20"/>
          <w:szCs w:val="20"/>
          <w:color w:val="auto"/>
        </w:rPr>
      </w:pPr>
    </w:p>
    <w:p>
      <w:pPr>
        <w:jc w:val="both"/>
        <w:ind w:right="20" w:firstLine="216"/>
        <w:spacing w:after="0" w:line="260"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2018 Form 10-K.</w:t>
      </w:r>
    </w:p>
    <w:p>
      <w:pPr>
        <w:spacing w:after="0" w:line="12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28"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judicial or arbitral avenues could result in material additional costs that we did not anticipate.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2018 Form 10-K.</w:t>
      </w:r>
    </w:p>
    <w:p>
      <w:pPr>
        <w:spacing w:after="0" w:line="178"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8"/>
          <w:szCs w:val="18"/>
          <w:color w:val="auto"/>
        </w:rPr>
        <w:t>As of December 31, 2018, approximately 84% of our employees were represented for collective bargaining purposes by labor unions. Currently, we believe our labor costs are competitive relative to the other large network carriers. However, we cannot provide assurance that labor costs going forward will remain competitive because we are in negotiations for some new agreements now and other agreements may become amendable, competitors may significantly reduce their labor costs or we may agree to higher-cost provisions unilaterally or in connection with our current or future labor negotiations.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19" w:right="239" w:bottom="1440" w:gutter="0" w:footer="0" w:header="0"/>
        </w:sectPr>
      </w:pPr>
    </w:p>
    <w:bookmarkStart w:id="58" w:name="page59"/>
    <w:bookmarkEnd w:id="58"/>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9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Philadelphia, Phoenix and Washington, D.C. Substantially all of our flights either originate at or fly into one of these locations. A significant interruption or disruption in service at one of our hubs or other airports where we have a significant presence, such as LHR, resulting from air traffic control (ATC)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05"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15"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2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Los Angeles International Airport (LAX), La Guardia Airport (LGA) and Ronald Reagan Washington National Airport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served by us are regulated by governmental entities through the use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John F. Kennedy International Airport (JFK) and LGA. Our operations at these airports generally require the allocation of slots or similar regulatory authority. In addition to slot restrictions, operations at LGA and DCA are also limited based on a so-called “perimeter rule” which generally limits the stage length of the flights that can be operated from those airports to 1,500 and 1,250 miles, respectively. Similarly, our operations at LHR, international airports in Beijing, Frankfurt, Paris, Tokyo and other airports outside the U.S. are regulated by local slot authorities pursuant to the International Airline Trade Association (IATA)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We cannot provide any assurance that regulatory changes regarding the allocation of slots, the continued enforcement of a perimeter rule or similar regulatory authority will not have a material adverse impact on our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19" w:right="239" w:bottom="1440" w:gutter="0" w:footer="0" w:header="0"/>
        </w:sectPr>
      </w:pPr>
    </w:p>
    <w:bookmarkStart w:id="59" w:name="page60"/>
    <w:bookmarkEnd w:id="59"/>
    <w:p>
      <w:pPr>
        <w:jc w:val="both"/>
        <w:ind w:firstLine="216"/>
        <w:spacing w:after="0" w:line="271" w:lineRule="auto"/>
        <w:rPr>
          <w:sz w:val="20"/>
          <w:szCs w:val="20"/>
          <w:color w:val="auto"/>
        </w:rPr>
      </w:pPr>
      <w:r>
        <w:rPr>
          <w:rFonts w:ascii="Arial" w:cs="Arial" w:eastAsia="Arial" w:hAnsi="Arial"/>
          <w:sz w:val="18"/>
          <w:szCs w:val="18"/>
          <w:color w:val="auto"/>
        </w:rPr>
        <w:t>Our ability to provide service can also be impaired at airports, such as ORD and LAX where the airport gate and other facilities are currently inadequate to accommodate all of the service that we would like to provide, or airports such as Dallas Love Field Airport where we have no access to gates at all.</w:t>
      </w:r>
    </w:p>
    <w:p>
      <w:pPr>
        <w:spacing w:after="0" w:line="10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72"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may result from many of the same risk factors disclosed in this report, such as the impact of adverse economic conditions, the inability of third parties to hire or retain skilled personnel, including pilots and mechanics, and other risk factors, such as an out-of-court or bankruptcy restructuring of any of our regional operators. Many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We may also experience disruption to our regional operations if we terminate the capacity purchase agreement with one or more of our current operators and transition the services to another provider. Any significant disruption to our regional operations would have a material adverse effect on our business, results of operations and financial condition.</w:t>
      </w:r>
    </w:p>
    <w:p>
      <w:pPr>
        <w:spacing w:after="0" w:line="12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09"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The commercial relationships that we have with airlines, including any related equity investment, may not produce the returns or results we expect.</w:t>
      </w:r>
    </w:p>
    <w:p>
      <w:pPr>
        <w:spacing w:after="0" w:line="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recent instance involving China Southern Airlines, by making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these commercial relationships since there are a limited number of potential arrangements and other airlines are looking to enter into similar relationships. Any such existing or future investment could involve significant challenges and risks, including that we may not realize a satisfactory return on our investment or that they may not generate the expected revenue synergies. These events could have a material adverse effect on our business, results of operations and financial condition.</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and online travel agents (OTAs) (e.g., Expedia, including its booking sites Orbitz and Travelocity, and The Priceline Group),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38" w:right="239" w:bottom="144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8"/>
          <w:szCs w:val="18"/>
          <w:color w:val="auto"/>
        </w:rPr>
        <w:t>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such as the proposed acquisition of Farelogix by Sabre.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04" w:lineRule="exact"/>
        <w:rPr>
          <w:sz w:val="20"/>
          <w:szCs w:val="20"/>
          <w:color w:val="auto"/>
        </w:rPr>
      </w:pPr>
    </w:p>
    <w:p>
      <w:pPr>
        <w:ind w:left="260" w:right="20"/>
        <w:spacing w:after="0" w:line="29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11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grounding of aircraft types altogether (including the March 2019 grounding of all Boeing 737 MAX aircraft, including the 24 aircraft in our fleet, which remains in place as of the date of this filing),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2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DOT consumer rules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w:t>
      </w:r>
    </w:p>
    <w:p>
      <w:pPr>
        <w:spacing w:after="0" w:line="11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16"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91" w:lineRule="exact"/>
        <w:rPr>
          <w:sz w:val="20"/>
          <w:szCs w:val="20"/>
          <w:color w:val="auto"/>
        </w:rPr>
      </w:pPr>
    </w:p>
    <w:p>
      <w:pPr>
        <w:ind w:left="1300" w:hanging="644"/>
        <w:spacing w:after="0" w:line="292"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right="20" w:hanging="644"/>
        <w:spacing w:after="0" w:line="292"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57" w:right="239" w:bottom="1440" w:gutter="0" w:footer="0" w:header="0"/>
        </w:sectPr>
      </w:pPr>
    </w:p>
    <w:bookmarkStart w:id="61" w:name="page62"/>
    <w:bookmarkEnd w:id="61"/>
    <w:p>
      <w:pPr>
        <w:jc w:val="both"/>
        <w:ind w:firstLine="216"/>
        <w:spacing w:after="0" w:line="271"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0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United States National Airspace System (the ATC system) is not successfully modernizing to meet the growing demand for U.S. air travel. Air traffic controllers rely on outdated procedures and technologies that routinely compel airlines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2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Failure to update the ATC system in a timely manner and the substantial costs that may be imposed on airlines in order to fund a modernized ATC system may have a material adverse effect on our business.</w:t>
      </w:r>
    </w:p>
    <w:p>
      <w:pPr>
        <w:spacing w:after="0" w:line="12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These events have resulted in, among other things, reduced demand for air travel, an actual or perceived reduction in ATC and security screening resources and related travel delays, as well as disruption in the ability of the FAA to grant required regulatory approvals, such as are involved when a new aircraft is first placed into service.</w:t>
      </w:r>
    </w:p>
    <w:p>
      <w:pPr>
        <w:spacing w:after="0" w:line="116"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many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LHR.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JBAs, and other alliance arrangements by and among other airlines could impair the value of our business and assets on the open skies routes.</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pending withdrawal of the United Kingdom from the EU, commonly referred to as Brexit, is currently scheduled to occur on November 1, 2019 but could take place before or after that date dependent on the outcome of ongoing negotiations between the United Kingdom's government and Members of the United Kingdom Parliament as well as with the EU. Brexit will mandate further modification in the current regulatory regime. We face risks associated with the United Kingdom’s exit from the EU, notably given the extent of our passenger and cargo traffic and that of our joint business partners that flows through LHR in the United Kingdom. Absent an approved withdrawal agreement between the United Kingdom and the EU (resulting in the so-called “No Deal Brexit” scenario), our expectation is that air services (including those involving our joint business and code share partners) will continue substantially as we currently conduct them, at least for a transition period, in reliance on “basic connectivity” traffic rights adopted by the EU and the United Kingdom's agreement to grant reciprocal rights to EU airlines as well as a new air services agreement between the U.S. and United Kingdom concluded on November 29, 2018. However, the precise scope of traffic rights between the EU and the United Kingdom remains uncertain and therefore the continuation of our current services is not assured and could be subject to</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38" w:right="239" w:bottom="1440" w:gutter="0" w:footer="0" w:header="0"/>
        </w:sectPr>
      </w:pPr>
    </w:p>
    <w:bookmarkStart w:id="62" w:name="page63"/>
    <w:bookmarkEnd w:id="62"/>
    <w:p>
      <w:pPr>
        <w:jc w:val="both"/>
        <w:spacing w:after="0" w:line="255" w:lineRule="auto"/>
        <w:rPr>
          <w:sz w:val="20"/>
          <w:szCs w:val="20"/>
          <w:color w:val="auto"/>
        </w:rPr>
      </w:pPr>
      <w:r>
        <w:rPr>
          <w:rFonts w:ascii="Arial" w:cs="Arial" w:eastAsia="Arial" w:hAnsi="Arial"/>
          <w:sz w:val="18"/>
          <w:szCs w:val="18"/>
          <w:color w:val="auto"/>
        </w:rPr>
        <w:t>disruption. If Brexit is accomplished pursuant to a withdrawal agreement consistent with the agreement presently being discussed between the United Kingdom and the EU, but which has yet to be approved by the United Kingdom, our current air services would continue as we currently conduct them during a transition period running through the end of 2020, with a potential extension of up to two years. During that transition period, the United Kingdom and the EU would seek to implement a new air services agreement. We cannot predict the terms of any such successor air services agreement or whether changes in the relationship between the United Kingdom and the EU, including whether or not the United Kingdom withdraws from the EU with or without an agreement,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9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2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U.S. tax legislation may adversely affect our financial condition, results of operations and cash flows.</w:t>
      </w:r>
    </w:p>
    <w:p>
      <w:pPr>
        <w:spacing w:after="0" w:line="9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Recently enacted U.S. tax legislation has significantly changed the U.S. federal income taxation of U.S. corporations, including by reducing the U.S. corporate income tax rate, limiting interest deductions, permitting immediate expensing of certain capital expenditures, adopting elements of a territorial tax system, revising the rules governing net operating losses (NOLs) and the rules governing foreign tax credits and introducing new anti-base erosion provisions. Many of these changes became effective immediately, without any transition periods or grandfathering for existing transactions. The legislation is unclear in many respects and could be subject to potential amendments and technical corrections, as well as interpretations and implementation regulations by the Treasury and Internal Revenue Service, any of which could materially affect the impacts of the legislation. In addition, it is unclear how these U.S. federal income tax changes will affect state and local taxation, which often uses federal taxable income as a starting point for computing state and local tax liabilities. While some of the changes made by the tax legislation may adversely affect us in one or more reporting periods and prospectively, other changes may be beneficial on a going forward basis.</w:t>
      </w:r>
    </w:p>
    <w:p>
      <w:pPr>
        <w:spacing w:after="0" w:line="124"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See Note 7 to AAG’s Condensed Consolidated Financial Statements in Part I, Item 1A and Note 5 to American’s Condensed Consolidated Financial Statements in Part I, Item 1B for additional information on income taxes.</w:t>
      </w:r>
    </w:p>
    <w:p>
      <w:pPr>
        <w:spacing w:after="0" w:line="172"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recently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increasing other pre-existing fees, reconfiguration of our aircraft cabins, and efforts to optimize our network including by focusing growth on a limited number of large hubs.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38" w:right="239" w:bottom="1440" w:gutter="0" w:footer="0" w:header="0"/>
        </w:sectPr>
      </w:pPr>
    </w:p>
    <w:bookmarkStart w:id="63" w:name="page64"/>
    <w:bookmarkEnd w:id="63"/>
    <w:p>
      <w:pPr>
        <w:jc w:val="both"/>
        <w:spacing w:after="0" w:line="264" w:lineRule="auto"/>
        <w:rPr>
          <w:sz w:val="20"/>
          <w:szCs w:val="20"/>
          <w:color w:val="auto"/>
        </w:rPr>
      </w:pPr>
      <w:r>
        <w:rPr>
          <w:rFonts w:ascii="Arial" w:cs="Arial" w:eastAsia="Arial" w:hAnsi="Arial"/>
          <w:sz w:val="18"/>
          <w:szCs w:val="18"/>
          <w:color w:val="auto"/>
        </w:rPr>
        <w:t>challenges that could harm the operational performance of our airline or result in decreased demand. Also, our 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197"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197"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09"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24"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57" w:right="239" w:bottom="1440" w:gutter="0" w:footer="0" w:header="0"/>
        </w:sectPr>
      </w:pPr>
    </w:p>
    <w:bookmarkStart w:id="64" w:name="page65"/>
    <w:bookmarkEnd w:id="64"/>
    <w:p>
      <w:pPr>
        <w:jc w:val="both"/>
        <w:ind w:firstLine="216"/>
        <w:spacing w:after="0" w:line="271" w:lineRule="auto"/>
        <w:rPr>
          <w:sz w:val="20"/>
          <w:szCs w:val="20"/>
          <w:color w:val="auto"/>
        </w:rPr>
      </w:pPr>
      <w:r>
        <w:rPr>
          <w:rFonts w:ascii="Arial" w:cs="Arial" w:eastAsia="Arial" w:hAnsi="Arial"/>
          <w:sz w:val="18"/>
          <w:szCs w:val="18"/>
          <w:color w:val="auto"/>
        </w:rPr>
        <w:t>More generally, much of the demand for international air travel is the result of business travel in support of global trade. Should protectionist governmental policies, such as increased tariff barriers, travel limitation and other actions, have the effect of reducing global commercial activity, the result could be a material decrease in the demand for international air travel.</w:t>
      </w:r>
    </w:p>
    <w:p>
      <w:pPr>
        <w:spacing w:after="0" w:line="109"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United Kingdom held a referendum in June 2016 regarding its membership in the EU in which a majority of the United Kingdom electorate voted in favor of the British government taking the necessary action for the United Kingdom to leave the EU, an event commonly referred to as Brexit. In March 2017, the United Kingdom served notice of its decision to withdraw from the EU, formally initiating the withdrawal process. Serving this notice began the two-year period for the United Kingdom to negotiate the terms for its withdrawal from the EU</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which was originally scheduled to occur on March 29, 2019. The United Kingdom's exit from the EU is now scheduled to occur on November 1, 2019, but could take place before or after that date dependent on the outcome of ongoing negotiations between the United Kingdom's government and Members of the United Kingdom's Parliament as well as with the EU. We face risks associated with the uncertainty following the referendum and the consequences that may flow from the decision to exit the EU, notably given the extent of our passenger and cargo traffic and that of our joint business partners that flows through LHR in the United Kingdom. Absent an approved withdrawal agreement between the United Kingdom and the EU (resulting in the so-called “No Deal Brexit” scenario), our expectation is that air services (including those involving our joint business and code share partners) will continue substantially as we currently conduct them, at least for a transition period, in reliance on “basic connectivity” traffic rights adopted by the EU and the United Kingdom's agreement to grant reciprocal rights to EU airlines as well as the new air services agreements between the U.S. and United Kingdom concluded on November 29, 2018. However, the precise scope of traffic rights between the EU and the United Kingdom remains uncertain and therefore the continuation is not assured and could be subject to disruption. If Brexit is accomplished pursuant to a withdrawal agreement consistent with the agreement presently being discussed between the United Kingdom and the EU, but which has yet to be approved by the United Kingdom, our current air services would continue as we currently conduct them during a transition period running through the end of 2020, with a potential extension of up to two years. During that transition period, the United Kingdom and the EU would seek to implement a new air services agreement. We cannot predict the terms of any such successor air services agreement or whether changes in the relationship between the United Kingdom and the EU, including whether or not the United Kingdom withdraws from the EU with or without an agreement, could materially adversely affect our business, results of operations and financial condition.</w:t>
      </w:r>
    </w:p>
    <w:p>
      <w:pPr>
        <w:spacing w:after="0" w:line="13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the exit of the United Kingdom from the EU could adversely affect European or worldwide economic or market conditions and could contribute to further instability in global financial markets. In addition, the exit of the United Kingdom from the EU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The exit of the United Kingdom from the EU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light of Brexit and the related possibility that the EC would no longer have regulatory responsibility for the United Kingdom when existing regulatory commitments are scheduled to expire in 2020, the United Kingdom CMA in October 2018 opened an investigation into our transatlantic JBA. We are cooperating fully with the CMA.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1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38" w:right="239" w:bottom="1440" w:gutter="0" w:footer="0" w:header="0"/>
        </w:sectPr>
      </w:pPr>
    </w:p>
    <w:bookmarkStart w:id="65" w:name="page66"/>
    <w:bookmarkEnd w:id="65"/>
    <w:p>
      <w:pPr>
        <w:jc w:val="both"/>
        <w:spacing w:after="0" w:line="264" w:lineRule="auto"/>
        <w:rPr>
          <w:sz w:val="20"/>
          <w:szCs w:val="20"/>
          <w:color w:val="auto"/>
        </w:rPr>
      </w:pPr>
      <w:r>
        <w:rPr>
          <w:rFonts w:ascii="Arial" w:cs="Arial" w:eastAsia="Arial" w:hAnsi="Arial"/>
          <w:sz w:val="18"/>
          <w:szCs w:val="18"/>
          <w:color w:val="auto"/>
        </w:rPr>
        <w:t>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1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2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197" w:lineRule="exact"/>
        <w:rPr>
          <w:sz w:val="20"/>
          <w:szCs w:val="20"/>
          <w:color w:val="auto"/>
        </w:rPr>
      </w:pPr>
    </w:p>
    <w:p>
      <w:pPr>
        <w:ind w:left="240"/>
        <w:spacing w:after="0" w:line="29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9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There is increasing global regulatory focus on climate change and greenhouse gas (GHG) emissions. Efforts by the EU in 2009 to regulate flights arriving from or departing for airports outside of the EU have been postponed as members of the International Civil Aviation Organization (ICAO) implement a global agreement on GHG emissions from the aviation sector. In 2016, ICAO passed a resolution adopting the Carbon Offsetting and Reduction Scheme for International Aviation (CORSIA), which is a global, market-based emissions offset program intended to achieve carbon-neutral growth beyond 2020. CORSIA was supported by the board of Airlines for America (the principal U.S. airline trade association) and IATA (the principal international airline trade association), along with American and many other U.S. and foreign airlines. On June 27, 2018, ICAO adopted standards pertaining to the collection and sharing of information on international aviation emissions beginning in 2019. In furtherance of these standards, on March 6, 2019, the FAA issued a notice of a CORSIA program permitting U.S. carriers to submit emissions data on a voluntary basis. The emissions monitoring plans American and its wholly-owned regional carriers submitted to the FAA have been approved by the FAA and the airlines have begun monitoring their GHG emissions. After data collection, CORSIA is expected to be implemented in phases, with a pilot phase beginning in 2021, the first phase beginning in 2024, and the mandatory second phase beginning in 2027. Certain details still need to be developed, but in early 2019, ICAO reached agreement on general criteria governing the eligibility of emissions units that may be used to comply with CORSIA. At this time, the impact of CORSIA cannot be fully predicted. CORSIA will increase operating costs for American and most other airlines, including other U.S. airlines that operate internationally, but the implementation of a global program, as compared to regional emission reduction schemes, should ensure that these costs will be more evenly applied to American and its competitors since there will be a common global regulatory regime. While we do not anticipate any significant expenditures in 2019, compliance with CORSIA or similar emissions-related requirements could significantly increase our operating costs beginning in 2021 and beyond when CORSIA’s pilot phase begins. Additionally, in 2017, ICAO adopted new aircraft certification standards to reduce carbon dioxide emissions from aircraft, which will apply to new aircraft type designs in 2020, and to aircraft type designs already in production as of 2023.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38" w:right="239" w:bottom="1440" w:gutter="0" w:footer="0" w:header="0"/>
        </w:sectPr>
      </w:pPr>
    </w:p>
    <w:bookmarkStart w:id="66" w:name="page67"/>
    <w:bookmarkEnd w:id="66"/>
    <w:p>
      <w:pPr>
        <w:jc w:val="both"/>
        <w:ind w:firstLine="216"/>
        <w:spacing w:after="0" w:line="255" w:lineRule="auto"/>
        <w:rPr>
          <w:sz w:val="20"/>
          <w:szCs w:val="20"/>
          <w:color w:val="auto"/>
        </w:rPr>
      </w:pPr>
      <w:r>
        <w:rPr>
          <w:rFonts w:ascii="Arial" w:cs="Arial" w:eastAsia="Arial" w:hAnsi="Arial"/>
          <w:sz w:val="18"/>
          <w:szCs w:val="18"/>
          <w:color w:val="auto"/>
        </w:rPr>
        <w:t>Separately, the EU has established the Emissions Trading System (ETS) to regulate GHG emissions in the EU. The EU adopted a directive in 2008 under which each EU member state is required to extend the ETS to aviation operations. However, the EU ETS has never fully been imposed, in large part due to the effort to adopt CORSIA. The EU has extended its stay on the extra-territorial application of the EU ETS as applied to international flights to/from the EEA through year-end 2023, contingent on successful implementation of CORSIA. Thereafter, the EU will assess CORSIA implementation and decide the future status of the EU ETS as applied to international aviation to/from the EEA. The potential impact of CORSIA or other emissions-related requirements on our costs will ultimately depend on a number of factors, including baseline emissions, the price of emission allowances or offsets that American would need to acquire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GHG efficiency of the American fleet, and the number of future American flights subject to such emissions-related requirements. These costs have not been completely defined and could fluctuate.</w:t>
      </w:r>
    </w:p>
    <w:p>
      <w:pPr>
        <w:spacing w:after="0" w:line="127"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2019, the Environmental Protection Agency (EPA) could finalize a rule implementing aircraft engine GHG emission standards developed initially through ICAO. It is anticipated that the EPA rule will closely align with recent ICAO carbon dioxide emission standards. The new standards, which were supported by the airline industry and manufacturers, would apply to new type aircraft certified beginning in 2020, and would be phased in for newly manufactured existing aircraft type designs starting in 2023.</w:t>
      </w:r>
    </w:p>
    <w:p>
      <w:pPr>
        <w:spacing w:after="0" w:line="11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Additionally, several states have adopted or are considering initiatives to regulate GHG emissions, primarily through the planned development of GHG emissions inventories, regional GHG cap and trade programs or low carbon fuels programs. Depending on the scope of such regulation, certain of our facilities and operations, or the operations of our suppliers, may be subject to additional operating and other permit requirements, likely resulting in increased operating costs.</w:t>
      </w:r>
    </w:p>
    <w:p>
      <w:pPr>
        <w:spacing w:after="0" w:line="11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over 190 countries, including the United States, reached an agreement (the Paris Agreement) to reduce GHG emissions. While the United States has since announced that it will withdraw from the Paris Agreement and there is no express reference to aviation in the Paris Agreement, to the extent countries implement the Paris Agreement or impose other climate change regulations, either with respect to the aviation industry or with respect to related industries such as the aviation fuel industry, it could have an adverse direct or indirect effect on our business.</w:t>
      </w:r>
    </w:p>
    <w:p>
      <w:pPr>
        <w:spacing w:after="0" w:line="12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allowances/offsets or otherwise pay for our emissions. Such activity may also impact us indirectly by increasing our operating costs, including fuel costs.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9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Among the principal risks of integrating our businesses and operations are the risks relating to integrating various computer, communications and other technology systems that are necessary to operate US Airways and American as a single integrated business and to achieve cost synergies by eliminating redundancies. While we have to date successfully integrated many of our systems,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57" w:right="239" w:bottom="1440" w:gutter="0" w:footer="0" w:header="0"/>
        </w:sectPr>
      </w:pPr>
    </w:p>
    <w:bookmarkStart w:id="67" w:name="page68"/>
    <w:bookmarkEnd w:id="67"/>
    <w:p>
      <w:pPr>
        <w:jc w:val="both"/>
        <w:ind w:firstLine="243"/>
        <w:spacing w:after="0" w:line="264"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197"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2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05"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1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more than 125,000 employees. Further, if our personnel or one of our aircraft, or personnel of, or an aircraft that is operated under our brand by, one of our regional operators or an airline with which we have a marketing alliance, joint business or codeshare relationship, were to be involved in a public incident, accident or catastrophe, we could be exposed to significant reputational harm and potential legal liability. The insurance we carry may be inapplicable or inadequate to cover any such incident, accident or catastrophe. In the event that our insurance is inapplicable or not adequate, we may be forced to bear substantial losses from an incident or accident. In addition, any such incident, accident or catastrophe involving our personnel or one of our aircraft (or personnel and aircraft of our regional operators and our codeshare partners)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38" w:right="239" w:bottom="1440" w:gutter="0" w:footer="0" w:header="0"/>
        </w:sectPr>
      </w:pPr>
    </w:p>
    <w:bookmarkStart w:id="68" w:name="page69"/>
    <w:bookmarkEnd w:id="68"/>
    <w:p>
      <w:pPr>
        <w:ind w:left="260" w:right="20"/>
        <w:spacing w:after="0" w:line="29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under our current fleet plan, by 2020 all of our mainline aircraft will have been manufactured by either Airbus or Boeing and all of our regional aircraft will have been manufactured by either Bombardier or Embraer. Further, our supplier base continues to consolidate as evidenced by the recent acquisition of Rockwell Collins by United Technologies, the recently completed transaction involving Airbus and Bombardier and the pending transaction involving Boeing and Embraer.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w:t>
      </w:r>
    </w:p>
    <w:p>
      <w:pPr>
        <w:spacing w:after="0" w:line="205" w:lineRule="exact"/>
        <w:rPr>
          <w:sz w:val="20"/>
          <w:szCs w:val="20"/>
          <w:color w:val="auto"/>
        </w:rPr>
      </w:pPr>
    </w:p>
    <w:p>
      <w:pPr>
        <w:jc w:val="both"/>
        <w:ind w:left="260"/>
        <w:spacing w:after="0" w:line="297"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91" w:lineRule="exact"/>
        <w:rPr>
          <w:sz w:val="20"/>
          <w:szCs w:val="20"/>
          <w:color w:val="auto"/>
        </w:rPr>
      </w:pPr>
    </w:p>
    <w:p>
      <w:pPr>
        <w:ind w:left="1300" w:hanging="644"/>
        <w:spacing w:after="0" w:line="292"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such disasters and related costs caused by more severe weather due to climate change.</w:t>
      </w:r>
    </w:p>
    <w:p>
      <w:pPr>
        <w:spacing w:after="0" w:line="9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19" w:right="239" w:bottom="1440" w:gutter="0" w:footer="0" w:header="0"/>
        </w:sectPr>
      </w:pPr>
    </w:p>
    <w:bookmarkStart w:id="69" w:name="page70"/>
    <w:bookmarkEnd w:id="69"/>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and other factors have caused a shortage of pilots that could materially adversely affect our business.</w:t>
      </w:r>
    </w:p>
    <w:p>
      <w:pPr>
        <w:spacing w:after="0" w:line="1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(an Air Transport Pilot’s certificate)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9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05" w:lineRule="exact"/>
        <w:rPr>
          <w:sz w:val="20"/>
          <w:szCs w:val="20"/>
          <w:color w:val="auto"/>
        </w:rPr>
      </w:pPr>
    </w:p>
    <w:p>
      <w:pPr>
        <w:ind w:left="260" w:right="20"/>
        <w:spacing w:after="0" w:line="29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819" w:right="239" w:bottom="1440" w:gutter="0" w:footer="0" w:header="0"/>
        </w:sectPr>
      </w:pPr>
    </w:p>
    <w:bookmarkStart w:id="70" w:name="page71"/>
    <w:bookmarkEnd w:id="70"/>
    <w:p>
      <w:pPr>
        <w:ind w:left="2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NOLs carried over from prior taxable years (NOL Carryforwards). As of December 31, 2018, we had available NOL Carryforwards of approximately $10.2 billion for regular federal income tax purposes that will expire, if unused, beginning in 2022, and approximately $3.2 billion for state income tax purposes that will expire, if unused, between 2019 and 2038. Our NOL Carryforwards are subject to adjustment on audit by the Internal Revenue Service and the respective state taxing authorities.</w:t>
      </w:r>
    </w:p>
    <w:p>
      <w:pPr>
        <w:spacing w:after="0" w:line="12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$8.4 billion of unlimited NOL still remaining at December 31, 2018)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2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w:t>
      </w:r>
    </w:p>
    <w:p>
      <w:pPr>
        <w:spacing w:after="0" w:line="124"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172"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1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price of AAG common stock has recently been and may in the future be volatile.</w:t>
      </w:r>
    </w:p>
    <w:p>
      <w:pPr>
        <w:spacing w:after="0" w:line="90"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market price of AAG common stock has fluctuated in the past, and may fluctuate substantially in the future, due to a variety of factors, many of which are beyond our control, including:</w:t>
      </w:r>
    </w:p>
    <w:p>
      <w:pPr>
        <w:spacing w:after="0" w:line="91"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19" w:right="239" w:bottom="1440" w:gutter="0" w:footer="0" w:header="0"/>
        </w:sectPr>
      </w:pPr>
    </w:p>
    <w:bookmarkStart w:id="71" w:name="page72"/>
    <w:bookmarkEnd w:id="71"/>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credit rating;</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w:t>
      </w:r>
    </w:p>
    <w:p>
      <w:pPr>
        <w:spacing w:after="0" w:line="109"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restricted stock unit awards, stock appreciation rights, or other securities that may be issued from time to time;</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252"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We cannot guarantee that we will continue to repurchase our common stock or pay dividends on our common stock or that our capital deployment program will enhance long-term stockholder value. Our capital deployment program could increase the volatility of the price of our common stock and diminish our cash reserves.</w:t>
      </w:r>
    </w:p>
    <w:p>
      <w:pPr>
        <w:spacing w:after="0" w:line="1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Since July 2014, as part of our capital deployment program, our Board of Directors has approved seven share repurchase programs aggregating $13.0 billion of authority. As of March 31, 2019, there was $1.1 billion of remaining authority to repurchase shares under our share repurchase programs. Share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and without prior notice. The timing and amount of repurchases, if any, will be subject to market and economic conditions, applicable legal requirements and other relevant factors. Our repurchase of AAG common stock may be limited, suspended or discontinued at any time at our discretion and without prior notice.</w:t>
      </w:r>
    </w:p>
    <w:p>
      <w:pPr>
        <w:spacing w:after="0" w:line="12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Our Board of Directors commenced declaring quarterly cash dividends in July 2014 as part of our capital deployment program. However,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23"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38" w:right="239" w:bottom="1440" w:gutter="0" w:footer="0" w:header="0"/>
        </w:sectPr>
      </w:pPr>
    </w:p>
    <w:bookmarkStart w:id="72" w:name="page73"/>
    <w:bookmarkEnd w:id="72"/>
    <w:p>
      <w:pPr>
        <w:ind w:left="260"/>
        <w:spacing w:after="0" w:line="29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09"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04"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Certificate of Incorporation and Bylaws include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in our 2018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jc w:val="both"/>
        <w:ind w:firstLine="216"/>
        <w:spacing w:after="0" w:line="354" w:lineRule="auto"/>
        <w:rPr>
          <w:sz w:val="20"/>
          <w:szCs w:val="20"/>
          <w:color w:val="auto"/>
        </w:rPr>
      </w:pPr>
      <w:r>
        <w:rPr>
          <w:rFonts w:ascii="Arial" w:cs="Arial" w:eastAsia="Arial" w:hAnsi="Arial"/>
          <w:sz w:val="18"/>
          <w:szCs w:val="18"/>
          <w:color w:val="auto"/>
        </w:rPr>
        <w:t>The following table displays information with respect to our purchases of shares of AAG common stock during the three months ended March 31,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number of shares</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Maximum dollar value of shares</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purchased as part of</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that may be purchased under</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3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publicly announced</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the plan or program</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 or program</w:t>
            </w:r>
          </w:p>
        </w:tc>
        <w:tc>
          <w:tcPr>
            <w:tcW w:w="12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1"/>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January 2019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2,844,790</w:t>
            </w: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2,844,790</w:t>
            </w:r>
          </w:p>
        </w:tc>
        <w:tc>
          <w:tcPr>
            <w:tcW w:w="120" w:type="dxa"/>
            <w:vAlign w:val="bottom"/>
            <w:shd w:val="clear" w:color="auto" w:fill="CCEEFF"/>
          </w:tcPr>
          <w:p>
            <w:pPr>
              <w:spacing w:after="0"/>
              <w:rPr>
                <w:sz w:val="21"/>
                <w:szCs w:val="21"/>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$1,547</w:t>
            </w:r>
          </w:p>
        </w:tc>
        <w:tc>
          <w:tcPr>
            <w:tcW w:w="0" w:type="dxa"/>
            <w:vAlign w:val="bottom"/>
          </w:tcPr>
          <w:p>
            <w:pPr>
              <w:spacing w:after="0"/>
              <w:rPr>
                <w:sz w:val="1"/>
                <w:szCs w:val="1"/>
                <w:color w:val="auto"/>
              </w:rPr>
            </w:pPr>
          </w:p>
        </w:tc>
      </w:tr>
      <w:tr>
        <w:trPr>
          <w:trHeight w:val="135"/>
        </w:trPr>
        <w:tc>
          <w:tcPr>
            <w:tcW w:w="2740" w:type="dxa"/>
            <w:vAlign w:val="bottom"/>
            <w:gridSpan w:val="3"/>
          </w:tcPr>
          <w:p>
            <w:pPr>
              <w:ind w:left="40"/>
              <w:spacing w:after="0" w:line="135" w:lineRule="exact"/>
              <w:rPr>
                <w:sz w:val="20"/>
                <w:szCs w:val="20"/>
                <w:color w:val="auto"/>
              </w:rPr>
            </w:pPr>
            <w:r>
              <w:rPr>
                <w:rFonts w:ascii="Arial" w:cs="Arial" w:eastAsia="Arial" w:hAnsi="Arial"/>
                <w:sz w:val="15"/>
                <w:szCs w:val="15"/>
                <w:color w:val="auto"/>
              </w:rPr>
              <w:t>February 2019</w:t>
            </w:r>
          </w:p>
        </w:tc>
        <w:tc>
          <w:tcPr>
            <w:tcW w:w="1700" w:type="dxa"/>
            <w:vAlign w:val="bottom"/>
          </w:tcPr>
          <w:p>
            <w:pPr>
              <w:jc w:val="center"/>
              <w:spacing w:after="0" w:line="135" w:lineRule="exact"/>
              <w:rPr>
                <w:sz w:val="20"/>
                <w:szCs w:val="20"/>
                <w:color w:val="auto"/>
              </w:rPr>
            </w:pPr>
            <w:r>
              <w:rPr>
                <w:rFonts w:ascii="Arial" w:cs="Arial" w:eastAsia="Arial" w:hAnsi="Arial"/>
                <w:sz w:val="15"/>
                <w:szCs w:val="15"/>
                <w:color w:val="auto"/>
              </w:rPr>
              <w:t>13,869,574</w:t>
            </w:r>
          </w:p>
        </w:tc>
        <w:tc>
          <w:tcPr>
            <w:tcW w:w="340" w:type="dxa"/>
            <w:vAlign w:val="bottom"/>
            <w:vMerge w:val="restart"/>
          </w:tcPr>
          <w:p>
            <w:pPr>
              <w:jc w:val="right"/>
              <w:ind w:right="126"/>
              <w:spacing w:after="0"/>
              <w:rPr>
                <w:sz w:val="20"/>
                <w:szCs w:val="20"/>
                <w:color w:val="auto"/>
              </w:rPr>
            </w:pPr>
            <w:r>
              <w:rPr>
                <w:rFonts w:ascii="Arial" w:cs="Arial" w:eastAsia="Arial" w:hAnsi="Arial"/>
                <w:sz w:val="11"/>
                <w:szCs w:val="11"/>
                <w:color w:val="auto"/>
              </w:rPr>
              <w:t>(1)</w:t>
            </w:r>
          </w:p>
        </w:tc>
        <w:tc>
          <w:tcPr>
            <w:tcW w:w="1580" w:type="dxa"/>
            <w:vAlign w:val="bottom"/>
          </w:tcPr>
          <w:p>
            <w:pPr>
              <w:jc w:val="center"/>
              <w:spacing w:after="0" w:line="135" w:lineRule="exact"/>
              <w:rPr>
                <w:sz w:val="20"/>
                <w:szCs w:val="20"/>
                <w:color w:val="auto"/>
              </w:rPr>
            </w:pPr>
            <w:r>
              <w:rPr>
                <w:rFonts w:ascii="Arial" w:cs="Arial" w:eastAsia="Arial" w:hAnsi="Arial"/>
                <w:sz w:val="15"/>
                <w:szCs w:val="15"/>
                <w:color w:val="auto"/>
              </w:rPr>
              <w:t>$35.98</w:t>
            </w:r>
          </w:p>
        </w:tc>
        <w:tc>
          <w:tcPr>
            <w:tcW w:w="12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5"/>
                <w:szCs w:val="15"/>
                <w:color w:val="auto"/>
              </w:rPr>
              <w:t>13,580,209</w:t>
            </w:r>
          </w:p>
        </w:tc>
        <w:tc>
          <w:tcPr>
            <w:tcW w:w="120" w:type="dxa"/>
            <w:vAlign w:val="bottom"/>
          </w:tcPr>
          <w:p>
            <w:pPr>
              <w:spacing w:after="0"/>
              <w:rPr>
                <w:sz w:val="11"/>
                <w:szCs w:val="11"/>
                <w:color w:val="auto"/>
              </w:rPr>
            </w:pPr>
          </w:p>
        </w:tc>
        <w:tc>
          <w:tcPr>
            <w:tcW w:w="2700" w:type="dxa"/>
            <w:vAlign w:val="bottom"/>
          </w:tcPr>
          <w:p>
            <w:pPr>
              <w:jc w:val="center"/>
              <w:spacing w:after="0" w:line="135" w:lineRule="exact"/>
              <w:rPr>
                <w:sz w:val="20"/>
                <w:szCs w:val="20"/>
                <w:color w:val="auto"/>
              </w:rPr>
            </w:pPr>
            <w:r>
              <w:rPr>
                <w:rFonts w:ascii="Arial" w:cs="Arial" w:eastAsia="Arial" w:hAnsi="Arial"/>
                <w:sz w:val="15"/>
                <w:szCs w:val="15"/>
                <w:color w:val="auto"/>
              </w:rPr>
              <w:t>$1,058</w:t>
            </w:r>
          </w:p>
        </w:tc>
        <w:tc>
          <w:tcPr>
            <w:tcW w:w="0" w:type="dxa"/>
            <w:vAlign w:val="bottom"/>
          </w:tcPr>
          <w:p>
            <w:pPr>
              <w:spacing w:after="0"/>
              <w:rPr>
                <w:sz w:val="1"/>
                <w:szCs w:val="1"/>
                <w:color w:val="auto"/>
              </w:rPr>
            </w:pPr>
          </w:p>
        </w:tc>
      </w:tr>
      <w:tr>
        <w:trPr>
          <w:trHeight w:val="34"/>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2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March 2019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233,029</w:t>
            </w:r>
          </w:p>
        </w:tc>
        <w:tc>
          <w:tcPr>
            <w:tcW w:w="34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233,029</w:t>
            </w:r>
          </w:p>
        </w:tc>
        <w:tc>
          <w:tcPr>
            <w:tcW w:w="120" w:type="dxa"/>
            <w:vAlign w:val="bottom"/>
            <w:shd w:val="clear" w:color="auto" w:fill="CCEEFF"/>
          </w:tcPr>
          <w:p>
            <w:pPr>
              <w:spacing w:after="0"/>
              <w:rPr>
                <w:sz w:val="23"/>
                <w:szCs w:val="23"/>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$1,050</w:t>
            </w:r>
          </w:p>
        </w:tc>
        <w:tc>
          <w:tcPr>
            <w:tcW w:w="0" w:type="dxa"/>
            <w:vAlign w:val="bottom"/>
          </w:tcPr>
          <w:p>
            <w:pPr>
              <w:spacing w:after="0"/>
              <w:rPr>
                <w:sz w:val="1"/>
                <w:szCs w:val="1"/>
                <w:color w:val="auto"/>
              </w:rPr>
            </w:pPr>
          </w:p>
        </w:tc>
      </w:tr>
      <w:tr>
        <w:trPr>
          <w:trHeight w:val="257"/>
        </w:trPr>
        <w:tc>
          <w:tcPr>
            <w:tcW w:w="212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left="500" w:hanging="330"/>
        <w:spacing w:after="0" w:line="244" w:lineRule="auto"/>
        <w:tabs>
          <w:tab w:leader="none" w:pos="50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Separate from our share repurchase program, in February 2019, we repurchased 289,365 shares of AAG common stock for approximately $10 million from the Disputed Claims Reserve at the then prevailing market price in order to fund cash tax obligations resulting from distributions to former AMR shareholders by the Disputed Claims Reserve.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819"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w:t>
      </w:r>
    </w:p>
    <w:p>
      <w:pPr>
        <w:spacing w:after="0" w:line="92"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4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10460" w:type="dxa"/>
            <w:vAlign w:val="bottom"/>
            <w:gridSpan w:val="11"/>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Supplemental Agreement No. 10, dated as of March 26, 2019, to Purchase Agreement No. 03735 dated as of February 1, 2013,</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76">
              <w:r>
                <w:rPr>
                  <w:rFonts w:ascii="Arial" w:cs="Arial" w:eastAsia="Arial" w:hAnsi="Arial"/>
                  <w:sz w:val="18"/>
                  <w:szCs w:val="18"/>
                  <w:color w:val="0000FF"/>
                  <w:w w:val="99"/>
                </w:rPr>
                <w:t>between American Airlines, Inc. and The Boeing Company. *</w:t>
              </w:r>
            </w:hyperlink>
          </w:p>
        </w:tc>
        <w:tc>
          <w:tcPr>
            <w:tcW w:w="5360" w:type="dxa"/>
            <w:vAlign w:val="bottom"/>
            <w:tcBorders>
              <w:top w:val="single" w:sz="8" w:color="0000FF"/>
            </w:tcBorders>
            <w:gridSpan w:val="6"/>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0"/>
                <w:szCs w:val="20"/>
                <w:color w:val="auto"/>
              </w:rPr>
            </w:pPr>
          </w:p>
        </w:tc>
        <w:tc>
          <w:tcPr>
            <w:tcW w:w="10460" w:type="dxa"/>
            <w:vAlign w:val="bottom"/>
            <w:gridSpan w:val="11"/>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Certification of AAG Chief Executive Officer pursuant to Rule 13a-14(a).</w:t>
              </w:r>
            </w:hyperlink>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0"/>
                <w:szCs w:val="20"/>
                <w:color w:val="auto"/>
              </w:rPr>
            </w:pPr>
          </w:p>
        </w:tc>
        <w:tc>
          <w:tcPr>
            <w:tcW w:w="5700" w:type="dxa"/>
            <w:vAlign w:val="bottom"/>
            <w:tcBorders>
              <w:top w:val="single" w:sz="8" w:color="0000FF"/>
            </w:tcBorders>
            <w:gridSpan w:val="5"/>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Certification of AAG Chief Financial Officer pursuant to Rule 13a-14(a).</w:t>
              </w:r>
            </w:hyperlink>
          </w:p>
        </w:tc>
        <w:tc>
          <w:tcPr>
            <w:tcW w:w="4760" w:type="dxa"/>
            <w:vAlign w:val="bottom"/>
            <w:gridSpan w:val="6"/>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20"/>
                <w:szCs w:val="20"/>
                <w:color w:val="auto"/>
              </w:rPr>
            </w:pPr>
          </w:p>
        </w:tc>
        <w:tc>
          <w:tcPr>
            <w:tcW w:w="10460" w:type="dxa"/>
            <w:vAlign w:val="bottom"/>
            <w:gridSpan w:val="11"/>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Certification of American Chief Executive Officer pursuant to Rule 13a-14(a).</w:t>
              </w:r>
            </w:hyperlink>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31.4</w:t>
            </w:r>
          </w:p>
        </w:tc>
        <w:tc>
          <w:tcPr>
            <w:tcW w:w="40" w:type="dxa"/>
            <w:vAlign w:val="bottom"/>
          </w:tcPr>
          <w:p>
            <w:pPr>
              <w:spacing w:after="0"/>
              <w:rPr>
                <w:sz w:val="20"/>
                <w:szCs w:val="20"/>
                <w:color w:val="auto"/>
              </w:rPr>
            </w:pPr>
          </w:p>
        </w:tc>
        <w:tc>
          <w:tcPr>
            <w:tcW w:w="6080" w:type="dxa"/>
            <w:vAlign w:val="bottom"/>
            <w:tcBorders>
              <w:top w:val="single" w:sz="8" w:color="0000FF"/>
            </w:tcBorders>
            <w:gridSpan w:val="7"/>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Certification of American Chief Financial Officer pursuant to Rule 13a-14(a).</w:t>
              </w:r>
            </w:hyperlink>
          </w:p>
        </w:tc>
        <w:tc>
          <w:tcPr>
            <w:tcW w:w="4380" w:type="dxa"/>
            <w:vAlign w:val="bottom"/>
            <w:gridSpan w:val="4"/>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0"/>
                <w:szCs w:val="20"/>
                <w:color w:val="auto"/>
              </w:rPr>
            </w:pPr>
          </w:p>
        </w:tc>
        <w:tc>
          <w:tcPr>
            <w:tcW w:w="10460" w:type="dxa"/>
            <w:vAlign w:val="bottom"/>
            <w:gridSpan w:val="11"/>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AAG Certification pursuant to Rule 13a-14(b) and section 906 of the Sarbanes-Oxley Act of 2002 (subsections (a) and (b) of</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w:anchor="page92">
              <w:r>
                <w:rPr>
                  <w:rFonts w:ascii="Arial" w:cs="Arial" w:eastAsia="Arial" w:hAnsi="Arial"/>
                  <w:sz w:val="18"/>
                  <w:szCs w:val="18"/>
                  <w:color w:val="0000FF"/>
                  <w:w w:val="99"/>
                </w:rPr>
                <w:t>section 1350, chapter 63 of title 18, United States Code).</w:t>
              </w:r>
            </w:hyperlink>
          </w:p>
        </w:tc>
        <w:tc>
          <w:tcPr>
            <w:tcW w:w="590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0"/>
                <w:szCs w:val="20"/>
                <w:color w:val="auto"/>
              </w:rPr>
            </w:pPr>
          </w:p>
        </w:tc>
        <w:tc>
          <w:tcPr>
            <w:tcW w:w="10460" w:type="dxa"/>
            <w:vAlign w:val="bottom"/>
            <w:gridSpan w:val="11"/>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American Certification pursuant to Rule 13a-14(b) and section 906 of the Sarbanes-Oxley Act of 2002 (subsections (a) and (b) of</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w:anchor="page93">
              <w:r>
                <w:rPr>
                  <w:rFonts w:ascii="Arial" w:cs="Arial" w:eastAsia="Arial" w:hAnsi="Arial"/>
                  <w:sz w:val="18"/>
                  <w:szCs w:val="18"/>
                  <w:color w:val="0000FF"/>
                  <w:w w:val="99"/>
                </w:rPr>
                <w:t>section 1350, chapter 63 of title 18, United States Code).</w:t>
              </w:r>
            </w:hyperlink>
          </w:p>
        </w:tc>
        <w:tc>
          <w:tcPr>
            <w:tcW w:w="59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81"/>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4"/>
                <w:szCs w:val="24"/>
                <w:color w:val="auto"/>
              </w:rPr>
            </w:pPr>
          </w:p>
        </w:tc>
        <w:tc>
          <w:tcPr>
            <w:tcW w:w="10460" w:type="dxa"/>
            <w:vAlign w:val="bottom"/>
            <w:gridSpan w:val="11"/>
          </w:tcPr>
          <w:p>
            <w:pPr>
              <w:spacing w:after="0"/>
              <w:rPr>
                <w:sz w:val="20"/>
                <w:szCs w:val="20"/>
                <w:color w:val="auto"/>
              </w:rPr>
            </w:pPr>
            <w:r>
              <w:rPr>
                <w:rFonts w:ascii="Arial" w:cs="Arial" w:eastAsia="Arial" w:hAnsi="Arial"/>
                <w:sz w:val="18"/>
                <w:szCs w:val="18"/>
                <w:color w:val="auto"/>
              </w:rPr>
              <w:t>Interactive data files pursuant to Rule 405 of Regulation S-T.</w:t>
            </w:r>
          </w:p>
        </w:tc>
      </w:tr>
    </w:tbl>
    <w:p>
      <w:pPr>
        <w:spacing w:after="0" w:line="200" w:lineRule="exact"/>
        <w:rPr>
          <w:sz w:val="20"/>
          <w:szCs w:val="20"/>
          <w:color w:val="auto"/>
        </w:rPr>
      </w:pPr>
    </w:p>
    <w:p>
      <w:pPr>
        <w:spacing w:after="0" w:line="327" w:lineRule="exact"/>
        <w:rPr>
          <w:sz w:val="20"/>
          <w:szCs w:val="20"/>
          <w:color w:val="auto"/>
        </w:rPr>
      </w:pPr>
    </w:p>
    <w:p>
      <w:pPr>
        <w:ind w:firstLine="8"/>
        <w:spacing w:after="0" w:line="239" w:lineRule="auto"/>
        <w:tabs>
          <w:tab w:leader="none" w:pos="86"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Certain confidential information contained in this agreement has been omitted because it (i) is not material and (ii) would be competitively harmful if publicly disclosed.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817"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American Airlines Group Inc.</w:t>
      </w:r>
    </w:p>
    <w:p>
      <w:pPr>
        <w:spacing w:after="0" w:line="376" w:lineRule="exact"/>
        <w:rPr>
          <w:sz w:val="20"/>
          <w:szCs w:val="20"/>
          <w:color w:val="auto"/>
        </w:rPr>
      </w:pPr>
    </w:p>
    <w:p>
      <w:pPr>
        <w:ind w:left="40"/>
        <w:spacing w:after="0"/>
        <w:tabs>
          <w:tab w:leader="none" w:pos="4900" w:val="left"/>
          <w:tab w:leader="none" w:pos="5540" w:val="left"/>
        </w:tabs>
        <w:rPr>
          <w:sz w:val="20"/>
          <w:szCs w:val="20"/>
          <w:color w:val="auto"/>
        </w:rPr>
      </w:pPr>
      <w:r>
        <w:rPr>
          <w:rFonts w:ascii="Arial" w:cs="Arial" w:eastAsia="Arial" w:hAnsi="Arial"/>
          <w:sz w:val="18"/>
          <w:szCs w:val="18"/>
          <w:color w:val="auto"/>
        </w:rPr>
        <w:t>Date: April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28575</wp:posOffset>
            </wp:positionV>
            <wp:extent cx="34988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39"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American Airlines, Inc.</w:t>
      </w:r>
    </w:p>
    <w:p>
      <w:pPr>
        <w:spacing w:after="0" w:line="376" w:lineRule="exact"/>
        <w:rPr>
          <w:sz w:val="20"/>
          <w:szCs w:val="20"/>
          <w:color w:val="auto"/>
        </w:rPr>
      </w:pPr>
    </w:p>
    <w:p>
      <w:pPr>
        <w:ind w:left="40"/>
        <w:spacing w:after="0"/>
        <w:tabs>
          <w:tab w:leader="none" w:pos="4900" w:val="left"/>
          <w:tab w:leader="none" w:pos="5540" w:val="left"/>
        </w:tabs>
        <w:rPr>
          <w:sz w:val="20"/>
          <w:szCs w:val="20"/>
          <w:color w:val="auto"/>
        </w:rPr>
      </w:pPr>
      <w:r>
        <w:rPr>
          <w:rFonts w:ascii="Arial" w:cs="Arial" w:eastAsia="Arial" w:hAnsi="Arial"/>
          <w:sz w:val="18"/>
          <w:szCs w:val="18"/>
          <w:color w:val="auto"/>
        </w:rPr>
        <w:t>Date: April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28575</wp:posOffset>
            </wp:positionV>
            <wp:extent cx="34988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574" w:right="259" w:bottom="1440" w:gutter="0" w:footer="0" w:header="0"/>
        </w:sectPr>
      </w:pPr>
    </w:p>
    <w:bookmarkStart w:id="75" w:name="page76"/>
    <w:bookmarkEnd w:id="75"/>
    <w:p>
      <w:pPr>
        <w:ind w:left="10220"/>
        <w:spacing w:after="0"/>
        <w:rPr>
          <w:sz w:val="20"/>
          <w:szCs w:val="20"/>
          <w:color w:val="auto"/>
        </w:rPr>
      </w:pPr>
      <w:r>
        <w:rPr>
          <w:rFonts w:ascii="Arial" w:cs="Arial" w:eastAsia="Arial" w:hAnsi="Arial"/>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54875" cy="531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531495"/>
                    </a:xfrm>
                    <a:prstGeom prst="rect">
                      <a:avLst/>
                    </a:prstGeom>
                    <a:noFill/>
                  </pic:spPr>
                </pic:pic>
              </a:graphicData>
            </a:graphic>
          </wp:anchor>
        </w:drawing>
      </w:r>
    </w:p>
    <w:p>
      <w:pPr>
        <w:spacing w:after="0" w:line="211" w:lineRule="exact"/>
        <w:rPr>
          <w:sz w:val="20"/>
          <w:szCs w:val="20"/>
          <w:color w:val="auto"/>
        </w:rPr>
      </w:pPr>
    </w:p>
    <w:p>
      <w:pPr>
        <w:ind w:left="40" w:right="40"/>
        <w:spacing w:after="0" w:line="280" w:lineRule="auto"/>
        <w:rPr>
          <w:sz w:val="20"/>
          <w:szCs w:val="20"/>
          <w:color w:val="auto"/>
        </w:rPr>
      </w:pPr>
      <w:r>
        <w:rPr>
          <w:rFonts w:ascii="Arial" w:cs="Arial" w:eastAsia="Arial" w:hAnsi="Arial"/>
          <w:sz w:val="22"/>
          <w:szCs w:val="22"/>
          <w:b w:val="1"/>
          <w:bCs w:val="1"/>
          <w:color w:val="auto"/>
        </w:rPr>
        <w:t>Certain confidential information contained in this document, marked by brackets, has been omitted because it is both (i) not material and (ii) would be competitively harmful if publicly disclosed.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10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This SUPPLEMENTAL AGREEMENT No. 10 (</w:t>
      </w:r>
      <w:r>
        <w:rPr>
          <w:rFonts w:ascii="Arial" w:cs="Arial" w:eastAsia="Arial" w:hAnsi="Arial"/>
          <w:sz w:val="22"/>
          <w:szCs w:val="22"/>
          <w:b w:val="1"/>
          <w:bCs w:val="1"/>
          <w:i w:val="1"/>
          <w:iCs w:val="1"/>
          <w:color w:val="auto"/>
        </w:rPr>
        <w:t>SA-10</w:t>
      </w:r>
      <w:r>
        <w:rPr>
          <w:rFonts w:ascii="Arial" w:cs="Arial" w:eastAsia="Arial" w:hAnsi="Arial"/>
          <w:sz w:val="22"/>
          <w:szCs w:val="22"/>
          <w:i w:val="1"/>
          <w:iCs w:val="1"/>
          <w:color w:val="auto"/>
        </w:rPr>
        <w:t>)</w:t>
      </w:r>
      <w:r>
        <w:rPr>
          <w:rFonts w:ascii="Arial" w:cs="Arial" w:eastAsia="Arial" w:hAnsi="Arial"/>
          <w:sz w:val="22"/>
          <w:szCs w:val="22"/>
          <w:color w:val="auto"/>
        </w:rPr>
        <w:t>, entered into as of March _</w:t>
      </w:r>
      <w:r>
        <w:rPr>
          <w:rFonts w:ascii="Arial" w:cs="Arial" w:eastAsia="Arial" w:hAnsi="Arial"/>
          <w:sz w:val="22"/>
          <w:szCs w:val="22"/>
          <w:u w:val="single" w:color="auto"/>
          <w:color w:val="auto"/>
        </w:rPr>
        <w:t>26</w:t>
      </w:r>
      <w:r>
        <w:rPr>
          <w:rFonts w:ascii="Arial" w:cs="Arial" w:eastAsia="Arial" w:hAnsi="Arial"/>
          <w:sz w:val="22"/>
          <w:szCs w:val="22"/>
          <w:color w:val="auto"/>
        </w:rPr>
        <w:t>__, 2019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19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2"/>
          <w:szCs w:val="22"/>
          <w:color w:val="auto"/>
        </w:rPr>
        <w:t>WHEREAS, Customer and Boeing desire to amend that certain Table 1R4 to change the Nominal Delivery Month to the Scheduled Delivery Month (and [****]) for Aircraft delivering in 2021; and</w:t>
      </w:r>
    </w:p>
    <w:p>
      <w:pPr>
        <w:spacing w:after="0" w:line="177"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2"/>
          <w:szCs w:val="22"/>
          <w:color w:val="auto"/>
        </w:rPr>
        <w:t>WHEREAS, Customer and Boeing desire to revise letter agreement AAL-PA-3735-1106659R1, entitled “[****</w:t>
      </w:r>
      <w:r>
        <w:rPr>
          <w:rFonts w:ascii="Arial" w:cs="Arial" w:eastAsia="Arial" w:hAnsi="Arial"/>
          <w:sz w:val="22"/>
          <w:szCs w:val="22"/>
          <w:u w:val="single" w:color="auto"/>
          <w:color w:val="auto"/>
        </w:rPr>
        <w:t>]</w:t>
      </w:r>
      <w:r>
        <w:rPr>
          <w:rFonts w:ascii="Arial" w:cs="Arial" w:eastAsia="Arial" w:hAnsi="Arial"/>
          <w:sz w:val="22"/>
          <w:szCs w:val="22"/>
          <w:color w:val="auto"/>
        </w:rPr>
        <w:t>”, to extend the [****].</w:t>
      </w:r>
    </w:p>
    <w:p>
      <w:pPr>
        <w:spacing w:after="0" w:line="17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2"/>
          <w:szCs w:val="22"/>
          <w:color w:val="auto"/>
        </w:rPr>
        <w:t>NOW, THEREFORE, the parties agree that the Purchase Agreement is amended as set forth below and otherwise agree as follows:</w:t>
      </w:r>
    </w:p>
    <w:p>
      <w:pPr>
        <w:spacing w:after="0" w:line="304" w:lineRule="exact"/>
        <w:rPr>
          <w:sz w:val="20"/>
          <w:szCs w:val="20"/>
          <w:color w:val="auto"/>
        </w:rPr>
      </w:pPr>
    </w:p>
    <w:p>
      <w:pPr>
        <w:ind w:left="9160"/>
        <w:spacing w:after="0"/>
        <w:rPr>
          <w:sz w:val="20"/>
          <w:szCs w:val="20"/>
          <w:color w:val="auto"/>
        </w:rPr>
      </w:pPr>
      <w:r>
        <w:rPr>
          <w:rFonts w:ascii="Arial" w:cs="Arial" w:eastAsia="Arial" w:hAnsi="Arial"/>
          <w:sz w:val="22"/>
          <w:szCs w:val="22"/>
          <w:color w:val="auto"/>
        </w:rPr>
        <w:t>SA-10, Page 1</w:t>
      </w:r>
    </w:p>
    <w:p>
      <w:pPr>
        <w:ind w:left="40"/>
        <w:spacing w:after="0"/>
        <w:rPr>
          <w:sz w:val="20"/>
          <w:szCs w:val="20"/>
          <w:color w:val="auto"/>
        </w:rPr>
      </w:pPr>
      <w:r>
        <w:rPr>
          <w:rFonts w:ascii="Arial" w:cs="Arial" w:eastAsia="Arial" w:hAnsi="Arial"/>
          <w:sz w:val="22"/>
          <w:szCs w:val="22"/>
          <w:color w:val="auto"/>
        </w:rPr>
        <w:t>PA 03735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63" w:lineRule="exact"/>
        <w:rPr>
          <w:sz w:val="20"/>
          <w:szCs w:val="20"/>
          <w:color w:val="auto"/>
        </w:rPr>
      </w:pPr>
    </w:p>
    <w:p>
      <w:pPr>
        <w:ind w:left="40" w:right="780"/>
        <w:spacing w:after="0" w:line="291" w:lineRule="auto"/>
        <w:rPr>
          <w:sz w:val="20"/>
          <w:szCs w:val="20"/>
          <w:color w:val="auto"/>
        </w:rPr>
      </w:pPr>
      <w:r>
        <w:rPr>
          <w:rFonts w:ascii="Arial" w:cs="Arial" w:eastAsia="Arial" w:hAnsi="Arial"/>
          <w:sz w:val="16"/>
          <w:szCs w:val="16"/>
          <w:color w:val="auto"/>
        </w:rPr>
        <w:t>[****]=[CONFIDENTIAL PORTION HAS BEEN OMITTED BECAUSE IT (I) IS NOT MATERIAL AND (II) WOULD BE COMPETITIVELY HARMFUL IF PUBLICLY DISCLOSED]</w:t>
      </w:r>
    </w:p>
    <w:p>
      <w:pPr>
        <w:sectPr>
          <w:pgSz w:w="11900" w:h="16838" w:orient="portrait"/>
          <w:cols w:equalWidth="0" w:num="1">
            <w:col w:w="11420"/>
          </w:cols>
          <w:pgMar w:left="240" w:top="697" w:right="239" w:bottom="1440" w:gutter="0" w:footer="0" w:header="0"/>
        </w:sectPr>
      </w:pPr>
    </w:p>
    <w:bookmarkStart w:id="76" w:name="page77"/>
    <w:bookmarkEnd w:id="76"/>
    <w:p>
      <w:pPr>
        <w:ind w:left="660" w:hanging="652"/>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3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SA-9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SA-10 in the footer to reflect changes made to the Purchase Agreement by this SA-10. Such new Table of Contents is hereby incorporated into the Purchase Agreement in replacement of its predecessor.</w:t>
      </w:r>
    </w:p>
    <w:p>
      <w:pPr>
        <w:spacing w:after="0" w:line="298"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32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2.1 Table 1R4. Table 1R4, entitled “</w:t>
      </w:r>
      <w:r>
        <w:rPr>
          <w:rFonts w:ascii="Arial" w:cs="Arial" w:eastAsia="Arial" w:hAnsi="Arial"/>
          <w:sz w:val="22"/>
          <w:szCs w:val="22"/>
          <w:u w:val="single" w:color="auto"/>
          <w:color w:val="auto"/>
        </w:rPr>
        <w:t>737-8 Aircraft Delivery, Description, Price, and Advance Payments,</w:t>
      </w:r>
      <w:r>
        <w:rPr>
          <w:rFonts w:ascii="Arial" w:cs="Arial" w:eastAsia="Arial" w:hAnsi="Arial"/>
          <w:sz w:val="22"/>
          <w:szCs w:val="22"/>
          <w:color w:val="auto"/>
        </w:rPr>
        <w:t>” referencing SA-9 in the footer is deleted in its entirety and replaced with Table 1R5, entitled “</w:t>
      </w:r>
      <w:r>
        <w:rPr>
          <w:rFonts w:ascii="Arial" w:cs="Arial" w:eastAsia="Arial" w:hAnsi="Arial"/>
          <w:sz w:val="22"/>
          <w:szCs w:val="22"/>
          <w:u w:val="single" w:color="auto"/>
          <w:color w:val="auto"/>
        </w:rPr>
        <w:t>737-8 Aircraft Delivery,</w:t>
      </w:r>
      <w:r>
        <w:rPr>
          <w:rFonts w:ascii="Arial" w:cs="Arial" w:eastAsia="Arial" w:hAnsi="Arial"/>
          <w:sz w:val="22"/>
          <w:szCs w:val="22"/>
          <w:color w:val="auto"/>
        </w:rPr>
        <w:t xml:space="preserve"> </w:t>
      </w:r>
      <w:r>
        <w:rPr>
          <w:rFonts w:ascii="Arial" w:cs="Arial" w:eastAsia="Arial" w:hAnsi="Arial"/>
          <w:sz w:val="22"/>
          <w:szCs w:val="22"/>
          <w:u w:val="single" w:color="auto"/>
          <w:color w:val="auto"/>
        </w:rPr>
        <w:t>Description, Price, and Advance Payments,</w:t>
      </w:r>
      <w:r>
        <w:rPr>
          <w:rFonts w:ascii="Arial" w:cs="Arial" w:eastAsia="Arial" w:hAnsi="Arial"/>
          <w:sz w:val="22"/>
          <w:szCs w:val="22"/>
          <w:color w:val="auto"/>
        </w:rPr>
        <w:t>” (attached hereto) referencing SA-10 in the footer. Such Table 1R5 is hereby incorporated into the Purchase Agreement in replacement of Table 1R4.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-534035</wp:posOffset>
            </wp:positionV>
            <wp:extent cx="11042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04265" cy="8890"/>
                    </a:xfrm>
                    <a:prstGeom prst="rect">
                      <a:avLst/>
                    </a:prstGeom>
                    <a:noFill/>
                  </pic:spPr>
                </pic:pic>
              </a:graphicData>
            </a:graphic>
          </wp:anchor>
        </w:drawing>
      </w:r>
    </w:p>
    <w:p>
      <w:pPr>
        <w:spacing w:after="0" w:line="19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Letter Agreement</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2"/>
          <w:szCs w:val="22"/>
          <w:color w:val="auto"/>
        </w:rPr>
        <w:t>3.1 Letter Agreement No. AAL-PA-3735-1106659R1, entitled “[****</w:t>
      </w:r>
      <w:r>
        <w:rPr>
          <w:rFonts w:ascii="Arial" w:cs="Arial" w:eastAsia="Arial" w:hAnsi="Arial"/>
          <w:sz w:val="22"/>
          <w:szCs w:val="22"/>
          <w:u w:val="single" w:color="auto"/>
          <w:color w:val="auto"/>
        </w:rPr>
        <w:t>]</w:t>
      </w:r>
      <w:r>
        <w:rPr>
          <w:rFonts w:ascii="Arial" w:cs="Arial" w:eastAsia="Arial" w:hAnsi="Arial"/>
          <w:sz w:val="22"/>
          <w:szCs w:val="22"/>
          <w:color w:val="auto"/>
        </w:rPr>
        <w:t>”, is deleted in its entirety and replaced with the similarly titled Letter Agreement No. AAL-PA-3735-1106659R2 (attached hereto) referencing SA-10 in the footer (</w:t>
      </w:r>
      <w:r>
        <w:rPr>
          <w:rFonts w:ascii="Arial" w:cs="Arial" w:eastAsia="Arial" w:hAnsi="Arial"/>
          <w:sz w:val="22"/>
          <w:szCs w:val="22"/>
          <w:b w:val="1"/>
          <w:bCs w:val="1"/>
          <w:i w:val="1"/>
          <w:iCs w:val="1"/>
          <w:color w:val="auto"/>
        </w:rPr>
        <w:t>Revised [****] Agreement</w:t>
      </w:r>
      <w:r>
        <w:rPr>
          <w:rFonts w:ascii="Arial" w:cs="Arial" w:eastAsia="Arial" w:hAnsi="Arial"/>
          <w:sz w:val="22"/>
          <w:szCs w:val="22"/>
          <w:color w:val="auto"/>
        </w:rPr>
        <w:t>). The Revised [****] Agreement is hereby incorporated into the Purchase Agreement.</w:t>
      </w:r>
    </w:p>
    <w:p>
      <w:pPr>
        <w:spacing w:after="0" w:line="277"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39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4.1 The Purchase Agreement is amended as set forth above by the revised Table of Contents, Table 1R5, and the Revised [****] Agreement. All other terms and conditions of the Purchase Agreement remain unchanged and are in full force and effect.</w:t>
      </w:r>
    </w:p>
    <w:p>
      <w:pPr>
        <w:spacing w:after="0" w:line="1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4.2 References in the Purchase Agreement and any supplemental agreements and associated letter agreements to “Table 1” or “Table 1R2” or “Table 1R3”, or “Table1R4 and Table 1-2” or “Table 1(R4) and Table 1-2” are deemed to refer to “Table 1R5 and Table 1-2”. References in the Purchase Agreement and any supplemental agreements and associated letter agreements to “Table 1R4” (where no corresponding reference to Table 1-2 is made) are deemed to refer to “Table 1R5”, including without limitation, and for the avoidance of doubt, the following references to Table 1R4 which are deemed to refer to only Table 1R5 (and not Table 1R5 and Table 1-2):</w:t>
      </w:r>
    </w:p>
    <w:p>
      <w:pPr>
        <w:spacing w:after="0" w:line="335" w:lineRule="exact"/>
        <w:rPr>
          <w:sz w:val="20"/>
          <w:szCs w:val="20"/>
          <w:color w:val="auto"/>
        </w:rPr>
      </w:pPr>
    </w:p>
    <w:p>
      <w:pPr>
        <w:ind w:left="9160"/>
        <w:spacing w:after="0"/>
        <w:rPr>
          <w:sz w:val="20"/>
          <w:szCs w:val="20"/>
          <w:color w:val="auto"/>
        </w:rPr>
      </w:pPr>
      <w:r>
        <w:rPr>
          <w:rFonts w:ascii="Arial" w:cs="Arial" w:eastAsia="Arial" w:hAnsi="Arial"/>
          <w:sz w:val="22"/>
          <w:szCs w:val="22"/>
          <w:color w:val="auto"/>
        </w:rPr>
        <w:t>SA-10, Page 2</w:t>
      </w:r>
    </w:p>
    <w:p>
      <w:pPr>
        <w:ind w:left="40"/>
        <w:spacing w:after="0"/>
        <w:rPr>
          <w:sz w:val="20"/>
          <w:szCs w:val="20"/>
          <w:color w:val="auto"/>
        </w:rPr>
      </w:pPr>
      <w:r>
        <w:rPr>
          <w:rFonts w:ascii="Arial" w:cs="Arial" w:eastAsia="Arial" w:hAnsi="Arial"/>
          <w:sz w:val="22"/>
          <w:szCs w:val="22"/>
          <w:color w:val="auto"/>
        </w:rPr>
        <w:t>PA 03735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63" w:lineRule="exact"/>
        <w:rPr>
          <w:sz w:val="20"/>
          <w:szCs w:val="20"/>
          <w:color w:val="auto"/>
        </w:rPr>
      </w:pPr>
    </w:p>
    <w:p>
      <w:pPr>
        <w:ind w:left="40" w:right="780"/>
        <w:spacing w:after="0" w:line="291" w:lineRule="auto"/>
        <w:rPr>
          <w:sz w:val="20"/>
          <w:szCs w:val="20"/>
          <w:color w:val="auto"/>
        </w:rPr>
      </w:pPr>
      <w:r>
        <w:rPr>
          <w:rFonts w:ascii="Arial" w:cs="Arial" w:eastAsia="Arial" w:hAnsi="Arial"/>
          <w:sz w:val="16"/>
          <w:szCs w:val="16"/>
          <w:color w:val="auto"/>
        </w:rPr>
        <w:t>[****]=[CONFIDENTIAL PORTION HAS BEEN OMITTED BECAUSE IT (I) IS NOT MATERIAL AND (II) WOULD BE COMPETITIVELY HARMFUL IF PUBLICLY DISCLOSED]</w:t>
      </w:r>
    </w:p>
    <w:p>
      <w:pPr>
        <w:sectPr>
          <w:pgSz w:w="11900" w:h="16838" w:orient="portrait"/>
          <w:cols w:equalWidth="0" w:num="1">
            <w:col w:w="11420"/>
          </w:cols>
          <w:pgMar w:left="240" w:top="524" w:right="239" w:bottom="1440" w:gutter="0" w:footer="0" w:header="0"/>
        </w:sectPr>
      </w:pPr>
    </w:p>
    <w:bookmarkStart w:id="77" w:name="page78"/>
    <w:bookmarkEnd w:id="77"/>
    <w:p>
      <w:pPr>
        <w:ind w:left="660"/>
        <w:spacing w:after="0"/>
        <w:tabs>
          <w:tab w:leader="none" w:pos="1420" w:val="left"/>
        </w:tabs>
        <w:rPr>
          <w:sz w:val="20"/>
          <w:szCs w:val="20"/>
          <w:color w:val="auto"/>
        </w:rPr>
      </w:pPr>
      <w:r>
        <w:rPr>
          <w:rFonts w:ascii="Arial" w:cs="Arial" w:eastAsia="Arial" w:hAnsi="Arial"/>
          <w:sz w:val="22"/>
          <w:szCs w:val="22"/>
          <w:color w:val="auto"/>
        </w:rPr>
        <w:t>4.2.1</w:t>
      </w:r>
      <w:r>
        <w:rPr>
          <w:sz w:val="20"/>
          <w:szCs w:val="20"/>
          <w:color w:val="auto"/>
        </w:rPr>
        <w:tab/>
      </w:r>
      <w:r>
        <w:rPr>
          <w:rFonts w:ascii="Arial" w:cs="Arial" w:eastAsia="Arial" w:hAnsi="Arial"/>
          <w:sz w:val="21"/>
          <w:szCs w:val="21"/>
          <w:color w:val="auto"/>
        </w:rPr>
        <w:t>References to Table 1R4 in Letter Agreement AAL-PA-LA-1106650R3 entitled “[****]”; and</w:t>
      </w:r>
    </w:p>
    <w:p>
      <w:pPr>
        <w:spacing w:after="0" w:line="22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4.2.2</w:t>
      </w:r>
      <w:r>
        <w:rPr>
          <w:sz w:val="20"/>
          <w:szCs w:val="20"/>
          <w:color w:val="auto"/>
        </w:rPr>
        <w:tab/>
      </w:r>
      <w:r>
        <w:rPr>
          <w:rFonts w:ascii="Arial" w:cs="Arial" w:eastAsia="Arial" w:hAnsi="Arial"/>
          <w:sz w:val="21"/>
          <w:szCs w:val="21"/>
          <w:color w:val="auto"/>
        </w:rPr>
        <w:t>References to Table 1R4 in Section 3 of Supplemental Agreement No. 9 dated April 6, 2018.</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Additionally, for the avoidance of doubt, references in the Purchase Agreement and any supplemental agreements and associated letter agreements to “Table 1-2” (where no corresponding reference to Table 1R4 is made) remain references to “Table 1-2”</w:t>
      </w:r>
    </w:p>
    <w:p>
      <w:pPr>
        <w:spacing w:after="0" w:line="15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4.3 References in the Purchase Agreement and any supplemental agreements and associated letter agreements to the tables, exhibits, supplemental exhibits and letter agreements listed in the left column of the below table shall be deemed to refer to the corresponding tables, exhibits, supplemental exhibits and letter agreements listed in the right column of the below table.</w:t>
      </w:r>
    </w:p>
    <w:p>
      <w:pPr>
        <w:spacing w:after="0" w:line="83" w:lineRule="exact"/>
        <w:rPr>
          <w:sz w:val="20"/>
          <w:szCs w:val="20"/>
          <w:color w:val="auto"/>
        </w:rPr>
      </w:pPr>
    </w:p>
    <w:tbl>
      <w:tblPr>
        <w:tblLayout w:type="fixed"/>
        <w:tblInd w:w="690" w:type="dxa"/>
        <w:tblCellMar>
          <w:top w:w="0" w:type="dxa"/>
          <w:left w:w="0" w:type="dxa"/>
          <w:bottom w:w="0" w:type="dxa"/>
          <w:right w:w="0" w:type="dxa"/>
        </w:tblCellMar>
      </w:tblPr>
      <w:tr>
        <w:trPr>
          <w:trHeight w:val="243"/>
        </w:trPr>
        <w:tc>
          <w:tcPr>
            <w:tcW w:w="5060" w:type="dxa"/>
            <w:vAlign w:val="bottom"/>
            <w:tcBorders>
              <w:top w:val="single" w:sz="8" w:color="00000A"/>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color w:val="auto"/>
              </w:rPr>
              <w:t>Reference</w:t>
            </w:r>
          </w:p>
        </w:tc>
        <w:tc>
          <w:tcPr>
            <w:tcW w:w="5020" w:type="dxa"/>
            <w:vAlign w:val="bottom"/>
            <w:tcBorders>
              <w:top w:val="single" w:sz="8" w:color="00000A"/>
              <w:right w:val="single" w:sz="8" w:color="00000A"/>
            </w:tcBorders>
            <w:gridSpan w:val="3"/>
          </w:tcPr>
          <w:p>
            <w:pPr>
              <w:ind w:left="20"/>
              <w:spacing w:after="0" w:line="243" w:lineRule="exact"/>
              <w:rPr>
                <w:sz w:val="20"/>
                <w:szCs w:val="20"/>
                <w:color w:val="auto"/>
              </w:rPr>
            </w:pPr>
            <w:r>
              <w:rPr>
                <w:rFonts w:ascii="Arial" w:cs="Arial" w:eastAsia="Arial" w:hAnsi="Arial"/>
                <w:sz w:val="22"/>
                <w:szCs w:val="22"/>
                <w:color w:val="auto"/>
              </w:rPr>
              <w:t>Replacement Reference</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1000" w:type="dxa"/>
            <w:vAlign w:val="bottom"/>
            <w:tcBorders>
              <w:top w:val="single" w:sz="8" w:color="auto"/>
              <w:bottom w:val="single" w:sz="8" w:color="00000A"/>
            </w:tcBorders>
          </w:tcPr>
          <w:p>
            <w:pPr>
              <w:spacing w:after="0"/>
              <w:rPr>
                <w:sz w:val="4"/>
                <w:szCs w:val="4"/>
                <w:color w:val="auto"/>
              </w:rPr>
            </w:pPr>
          </w:p>
        </w:tc>
        <w:tc>
          <w:tcPr>
            <w:tcW w:w="402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340" w:type="dxa"/>
            <w:vAlign w:val="bottom"/>
            <w:tcBorders>
              <w:top w:val="single" w:sz="8" w:color="auto"/>
              <w:bottom w:val="single" w:sz="8" w:color="00000A"/>
            </w:tcBorders>
          </w:tcPr>
          <w:p>
            <w:pPr>
              <w:spacing w:after="0"/>
              <w:rPr>
                <w:sz w:val="4"/>
                <w:szCs w:val="4"/>
                <w:color w:val="auto"/>
              </w:rPr>
            </w:pPr>
          </w:p>
        </w:tc>
        <w:tc>
          <w:tcPr>
            <w:tcW w:w="2660" w:type="dxa"/>
            <w:vAlign w:val="bottom"/>
            <w:tcBorders>
              <w:bottom w:val="single" w:sz="8" w:color="00000A"/>
              <w:right w:val="single" w:sz="8" w:color="00000A"/>
            </w:tcBorders>
          </w:tcPr>
          <w:p>
            <w:pPr>
              <w:spacing w:after="0"/>
              <w:rPr>
                <w:sz w:val="4"/>
                <w:szCs w:val="4"/>
                <w:color w:val="auto"/>
              </w:rPr>
            </w:pPr>
          </w:p>
        </w:tc>
      </w:tr>
      <w:tr>
        <w:trPr>
          <w:trHeight w:val="289"/>
        </w:trPr>
        <w:tc>
          <w:tcPr>
            <w:tcW w:w="50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Letter Agreement No. AAL-PA-3735-1106659R1</w:t>
            </w:r>
          </w:p>
        </w:tc>
        <w:tc>
          <w:tcPr>
            <w:tcW w:w="5020" w:type="dxa"/>
            <w:vAlign w:val="bottom"/>
            <w:tcBorders>
              <w:bottom w:val="single" w:sz="8" w:color="00000A"/>
              <w:right w:val="single" w:sz="8" w:color="00000A"/>
            </w:tcBorders>
            <w:gridSpan w:val="3"/>
          </w:tcPr>
          <w:p>
            <w:pPr>
              <w:ind w:left="20"/>
              <w:spacing w:after="0"/>
              <w:rPr>
                <w:sz w:val="20"/>
                <w:szCs w:val="20"/>
                <w:color w:val="auto"/>
              </w:rPr>
            </w:pPr>
            <w:r>
              <w:rPr>
                <w:rFonts w:ascii="Arial" w:cs="Arial" w:eastAsia="Arial" w:hAnsi="Arial"/>
                <w:sz w:val="22"/>
                <w:szCs w:val="22"/>
                <w:color w:val="auto"/>
              </w:rPr>
              <w:t>Letter Agreement No. AAL-PA-3735-1106659R2</w:t>
            </w:r>
          </w:p>
        </w:tc>
      </w:tr>
    </w:tbl>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4.4 The parties agree and recognize that the Scheduled Delivery Month for [****] Aircraft being delivered in 2021 is the [****]. In accordance with Section 2.3 of the Basic Articles of the Purchase Agreement, the Scheduled Delivery Month is to be used for purposes of applying all provisions of the Purchase Agreement. Accordingly, the Advance Payment Base Price for such Aircraft has [****]. The parties have agreed that such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160"/>
        <w:spacing w:after="0"/>
        <w:rPr>
          <w:sz w:val="20"/>
          <w:szCs w:val="20"/>
          <w:color w:val="auto"/>
        </w:rPr>
      </w:pPr>
      <w:r>
        <w:rPr>
          <w:rFonts w:ascii="Arial" w:cs="Arial" w:eastAsia="Arial" w:hAnsi="Arial"/>
          <w:sz w:val="22"/>
          <w:szCs w:val="22"/>
          <w:color w:val="auto"/>
        </w:rPr>
        <w:t>SA-10, Page 3</w:t>
      </w:r>
    </w:p>
    <w:p>
      <w:pPr>
        <w:ind w:left="40"/>
        <w:spacing w:after="0"/>
        <w:rPr>
          <w:sz w:val="20"/>
          <w:szCs w:val="20"/>
          <w:color w:val="auto"/>
        </w:rPr>
      </w:pPr>
      <w:r>
        <w:rPr>
          <w:rFonts w:ascii="Arial" w:cs="Arial" w:eastAsia="Arial" w:hAnsi="Arial"/>
          <w:sz w:val="22"/>
          <w:szCs w:val="22"/>
          <w:color w:val="auto"/>
        </w:rPr>
        <w:t>PA 03735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63" w:lineRule="exact"/>
        <w:rPr>
          <w:sz w:val="20"/>
          <w:szCs w:val="20"/>
          <w:color w:val="auto"/>
        </w:rPr>
      </w:pPr>
    </w:p>
    <w:p>
      <w:pPr>
        <w:ind w:left="40" w:right="780"/>
        <w:spacing w:after="0" w:line="291" w:lineRule="auto"/>
        <w:rPr>
          <w:sz w:val="20"/>
          <w:szCs w:val="20"/>
          <w:color w:val="auto"/>
        </w:rPr>
      </w:pPr>
      <w:r>
        <w:rPr>
          <w:rFonts w:ascii="Arial" w:cs="Arial" w:eastAsia="Arial" w:hAnsi="Arial"/>
          <w:sz w:val="16"/>
          <w:szCs w:val="16"/>
          <w:color w:val="auto"/>
        </w:rPr>
        <w:t>[****]=[CONFIDENTIAL PORTION HAS BEEN OMITTED BECAUSE IT (I) IS NOT MATERIAL AND (II) WOULD BE COMPETITIVELY HARMFUL IF PUBLICLY DISCLOSED]</w:t>
      </w:r>
    </w:p>
    <w:p>
      <w:pPr>
        <w:sectPr>
          <w:pgSz w:w="11900" w:h="16838" w:orient="portrait"/>
          <w:cols w:equalWidth="0" w:num="1">
            <w:col w:w="11420"/>
          </w:cols>
          <w:pgMar w:left="240" w:top="578" w:right="239" w:bottom="1440" w:gutter="0" w:footer="0" w:header="0"/>
        </w:sectPr>
      </w:pPr>
    </w:p>
    <w:bookmarkStart w:id="78" w:name="page79"/>
    <w:bookmarkEnd w:id="78"/>
    <w:p>
      <w:pPr>
        <w:spacing w:after="0"/>
        <w:rPr>
          <w:sz w:val="20"/>
          <w:szCs w:val="20"/>
          <w:color w:val="auto"/>
        </w:rPr>
      </w:pPr>
      <w:r>
        <w:rPr>
          <w:rFonts w:ascii="Arial" w:cs="Arial" w:eastAsia="Arial" w:hAnsi="Arial"/>
          <w:sz w:val="21"/>
          <w:szCs w:val="21"/>
          <w:color w:val="auto"/>
        </w:rPr>
        <w:t>AGREED AND ACCEPTED this</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March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33020</wp:posOffset>
            </wp:positionV>
            <wp:extent cx="3310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33020</wp:posOffset>
            </wp:positionV>
            <wp:extent cx="3310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33020</wp:posOffset>
            </wp:positionV>
            <wp:extent cx="3310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33020</wp:posOffset>
            </wp:positionV>
            <wp:extent cx="3310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35934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35934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EVP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35934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4940" w:space="720"/>
            <w:col w:w="4439"/>
          </w:cols>
          <w:pgMar w:left="360" w:top="12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40"/>
        <w:spacing w:after="0"/>
        <w:tabs>
          <w:tab w:leader="none" w:pos="82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SA-10, Page 4</w:t>
      </w:r>
    </w:p>
    <w:p>
      <w:pPr>
        <w:spacing w:after="0" w:line="42"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099"/>
          </w:cols>
          <w:pgMar w:left="360" w:top="1226" w:right="1440"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30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300" w:type="dxa"/>
            <w:vAlign w:val="bottom"/>
          </w:tcPr>
          <w:p>
            <w:pPr>
              <w:ind w:left="1720"/>
              <w:spacing w:after="0"/>
              <w:rPr>
                <w:sz w:val="20"/>
                <w:szCs w:val="20"/>
                <w:color w:val="auto"/>
              </w:rPr>
            </w:pPr>
            <w:r>
              <w:rPr>
                <w:rFonts w:ascii="Arial" w:cs="Arial" w:eastAsia="Arial" w:hAnsi="Arial"/>
                <w:sz w:val="22"/>
                <w:szCs w:val="22"/>
                <w:b w:val="1"/>
                <w:bCs w:val="1"/>
                <w:color w:val="auto"/>
              </w:rPr>
              <w:t>TABLE OF CONTENTS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6"/>
        </w:trPr>
        <w:tc>
          <w:tcPr>
            <w:tcW w:w="20" w:type="dxa"/>
            <w:vAlign w:val="bottom"/>
          </w:tcPr>
          <w:p>
            <w:pPr>
              <w:spacing w:after="0"/>
              <w:rPr>
                <w:sz w:val="24"/>
                <w:szCs w:val="24"/>
                <w:color w:val="auto"/>
              </w:rPr>
            </w:pPr>
          </w:p>
        </w:tc>
        <w:tc>
          <w:tcPr>
            <w:tcW w:w="1060" w:type="dxa"/>
            <w:vAlign w:val="bottom"/>
            <w:gridSpan w:val="3"/>
            <w:vMerge w:val="restart"/>
          </w:tcPr>
          <w:p>
            <w:pPr>
              <w:spacing w:after="0"/>
              <w:rPr>
                <w:sz w:val="20"/>
                <w:szCs w:val="20"/>
                <w:color w:val="auto"/>
              </w:rPr>
            </w:pPr>
            <w:r>
              <w:rPr>
                <w:rFonts w:ascii="Arial" w:cs="Arial" w:eastAsia="Arial" w:hAnsi="Arial"/>
                <w:sz w:val="22"/>
                <w:szCs w:val="22"/>
                <w:b w:val="1"/>
                <w:bCs w:val="1"/>
                <w:color w:val="auto"/>
                <w:w w:val="94"/>
              </w:rPr>
              <w:t>ARTICLES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960" w:type="dxa"/>
            <w:vAlign w:val="bottom"/>
            <w:vMerge w:val="restart"/>
          </w:tcPr>
          <w:p>
            <w:pPr>
              <w:jc w:val="center"/>
              <w:spacing w:after="0" w:line="239" w:lineRule="exact"/>
              <w:rPr>
                <w:sz w:val="20"/>
                <w:szCs w:val="20"/>
                <w:color w:val="auto"/>
              </w:rPr>
            </w:pPr>
            <w:r>
              <w:rPr>
                <w:rFonts w:ascii="Arial" w:cs="Arial" w:eastAsia="Arial" w:hAnsi="Arial"/>
                <w:sz w:val="22"/>
                <w:szCs w:val="22"/>
                <w:b w:val="1"/>
                <w:bCs w:val="1"/>
                <w:color w:val="auto"/>
                <w:w w:val="99"/>
              </w:rPr>
              <w:t>NUMBER</w:t>
            </w:r>
          </w:p>
        </w:tc>
        <w:tc>
          <w:tcPr>
            <w:tcW w:w="0" w:type="dxa"/>
            <w:vAlign w:val="bottom"/>
          </w:tcPr>
          <w:p>
            <w:pPr>
              <w:spacing w:after="0"/>
              <w:rPr>
                <w:sz w:val="1"/>
                <w:szCs w:val="1"/>
                <w:color w:val="auto"/>
              </w:rPr>
            </w:pPr>
          </w:p>
        </w:tc>
      </w:tr>
      <w:tr>
        <w:trPr>
          <w:trHeight w:val="39"/>
        </w:trPr>
        <w:tc>
          <w:tcPr>
            <w:tcW w:w="20" w:type="dxa"/>
            <w:vAlign w:val="bottom"/>
            <w:vMerge w:val="continue"/>
          </w:tcPr>
          <w:p>
            <w:pPr>
              <w:spacing w:after="0"/>
              <w:rPr>
                <w:sz w:val="2"/>
                <w:szCs w:val="2"/>
                <w:color w:val="auto"/>
              </w:rPr>
            </w:pPr>
          </w:p>
        </w:tc>
        <w:tc>
          <w:tcPr>
            <w:tcW w:w="1940" w:type="dxa"/>
            <w:vAlign w:val="bottom"/>
            <w:gridSpan w:val="4"/>
            <w:vMerge w:val="restart"/>
          </w:tcPr>
          <w:p>
            <w:pPr>
              <w:ind w:left="640"/>
              <w:spacing w:after="0"/>
              <w:rPr>
                <w:sz w:val="20"/>
                <w:szCs w:val="20"/>
                <w:color w:val="auto"/>
              </w:rPr>
            </w:pPr>
            <w:r>
              <w:rPr>
                <w:rFonts w:ascii="Arial" w:cs="Arial" w:eastAsia="Arial" w:hAnsi="Arial"/>
                <w:sz w:val="22"/>
                <w:szCs w:val="22"/>
                <w:color w:val="auto"/>
              </w:rPr>
              <w:t>Article 1.</w:t>
            </w:r>
          </w:p>
        </w:tc>
        <w:tc>
          <w:tcPr>
            <w:tcW w:w="8140" w:type="dxa"/>
            <w:vAlign w:val="bottom"/>
            <w:gridSpan w:val="2"/>
            <w:vMerge w:val="restart"/>
          </w:tcPr>
          <w:p>
            <w:pPr>
              <w:ind w:left="440"/>
              <w:spacing w:after="0"/>
              <w:rPr>
                <w:sz w:val="20"/>
                <w:szCs w:val="20"/>
                <w:color w:val="auto"/>
              </w:rPr>
            </w:pPr>
            <w:r>
              <w:rPr>
                <w:rFonts w:ascii="Arial" w:cs="Arial" w:eastAsia="Arial" w:hAnsi="Arial"/>
                <w:sz w:val="22"/>
                <w:szCs w:val="22"/>
                <w:color w:val="auto"/>
              </w:rPr>
              <w:t>Quantity, Model and Description</w:t>
            </w:r>
          </w:p>
        </w:tc>
        <w:tc>
          <w:tcPr>
            <w:tcW w:w="96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1940" w:type="dxa"/>
            <w:vAlign w:val="bottom"/>
            <w:gridSpan w:val="4"/>
            <w:vMerge w:val="continue"/>
          </w:tcPr>
          <w:p>
            <w:pPr>
              <w:spacing w:after="0"/>
              <w:rPr>
                <w:sz w:val="24"/>
                <w:szCs w:val="24"/>
                <w:color w:val="auto"/>
              </w:rPr>
            </w:pPr>
          </w:p>
        </w:tc>
        <w:tc>
          <w:tcPr>
            <w:tcW w:w="81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940" w:type="dxa"/>
            <w:vAlign w:val="bottom"/>
            <w:gridSpan w:val="4"/>
          </w:tcPr>
          <w:p>
            <w:pPr>
              <w:ind w:left="640"/>
              <w:spacing w:after="0"/>
              <w:rPr>
                <w:sz w:val="20"/>
                <w:szCs w:val="20"/>
                <w:color w:val="auto"/>
              </w:rPr>
            </w:pPr>
            <w:r>
              <w:rPr>
                <w:rFonts w:ascii="Arial" w:cs="Arial" w:eastAsia="Arial" w:hAnsi="Arial"/>
                <w:sz w:val="22"/>
                <w:szCs w:val="22"/>
                <w:color w:val="auto"/>
              </w:rPr>
              <w:t>Article 2.</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Delivery Schedule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940" w:type="dxa"/>
            <w:vAlign w:val="bottom"/>
            <w:gridSpan w:val="4"/>
          </w:tcPr>
          <w:p>
            <w:pPr>
              <w:ind w:left="640"/>
              <w:spacing w:after="0"/>
              <w:rPr>
                <w:sz w:val="20"/>
                <w:szCs w:val="20"/>
                <w:color w:val="auto"/>
              </w:rPr>
            </w:pPr>
            <w:r>
              <w:rPr>
                <w:rFonts w:ascii="Arial" w:cs="Arial" w:eastAsia="Arial" w:hAnsi="Arial"/>
                <w:sz w:val="22"/>
                <w:szCs w:val="22"/>
                <w:color w:val="auto"/>
              </w:rPr>
              <w:t>Article 3.</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Price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940" w:type="dxa"/>
            <w:vAlign w:val="bottom"/>
            <w:gridSpan w:val="4"/>
          </w:tcPr>
          <w:p>
            <w:pPr>
              <w:ind w:left="640"/>
              <w:spacing w:after="0"/>
              <w:rPr>
                <w:sz w:val="20"/>
                <w:szCs w:val="20"/>
                <w:color w:val="auto"/>
              </w:rPr>
            </w:pPr>
            <w:r>
              <w:rPr>
                <w:rFonts w:ascii="Arial" w:cs="Arial" w:eastAsia="Arial" w:hAnsi="Arial"/>
                <w:sz w:val="22"/>
                <w:szCs w:val="22"/>
                <w:color w:val="auto"/>
              </w:rPr>
              <w:t>Article 4.</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Payment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940" w:type="dxa"/>
            <w:vAlign w:val="bottom"/>
            <w:gridSpan w:val="4"/>
          </w:tcPr>
          <w:p>
            <w:pPr>
              <w:ind w:left="640"/>
              <w:spacing w:after="0"/>
              <w:rPr>
                <w:sz w:val="20"/>
                <w:szCs w:val="20"/>
                <w:color w:val="auto"/>
              </w:rPr>
            </w:pPr>
            <w:r>
              <w:rPr>
                <w:rFonts w:ascii="Arial" w:cs="Arial" w:eastAsia="Arial" w:hAnsi="Arial"/>
                <w:sz w:val="22"/>
                <w:szCs w:val="22"/>
                <w:color w:val="auto"/>
              </w:rPr>
              <w:t>Article 5.</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Additional Terms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940" w:type="dxa"/>
            <w:vAlign w:val="bottom"/>
            <w:gridSpan w:val="4"/>
          </w:tcPr>
          <w:p>
            <w:pPr>
              <w:ind w:left="640"/>
              <w:spacing w:after="0"/>
              <w:rPr>
                <w:sz w:val="20"/>
                <w:szCs w:val="20"/>
                <w:color w:val="auto"/>
              </w:rPr>
            </w:pPr>
            <w:r>
              <w:rPr>
                <w:rFonts w:ascii="Arial" w:cs="Arial" w:eastAsia="Arial" w:hAnsi="Arial"/>
                <w:sz w:val="22"/>
                <w:szCs w:val="22"/>
                <w:color w:val="auto"/>
              </w:rPr>
              <w:t>Article 6.</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60" w:type="dxa"/>
            <w:vAlign w:val="bottom"/>
            <w:gridSpan w:val="5"/>
          </w:tcPr>
          <w:p>
            <w:pPr>
              <w:spacing w:after="0"/>
              <w:rPr>
                <w:sz w:val="20"/>
                <w:szCs w:val="20"/>
                <w:color w:val="auto"/>
              </w:rPr>
            </w:pPr>
            <w:r>
              <w:rPr>
                <w:rFonts w:ascii="Arial" w:cs="Arial" w:eastAsia="Arial" w:hAnsi="Arial"/>
                <w:sz w:val="22"/>
                <w:szCs w:val="22"/>
                <w:b w:val="1"/>
                <w:bCs w:val="1"/>
                <w:color w:val="auto"/>
              </w:rPr>
              <w:t>TABLE</w:t>
            </w:r>
          </w:p>
        </w:tc>
        <w:tc>
          <w:tcPr>
            <w:tcW w:w="8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22"/>
                <w:szCs w:val="22"/>
                <w:b w:val="1"/>
                <w:bCs w:val="1"/>
                <w:color w:val="auto"/>
              </w:rPr>
              <w:t>1R5.</w:t>
            </w:r>
          </w:p>
        </w:tc>
        <w:tc>
          <w:tcPr>
            <w:tcW w:w="8140" w:type="dxa"/>
            <w:vAlign w:val="bottom"/>
            <w:gridSpan w:val="2"/>
          </w:tcPr>
          <w:p>
            <w:pPr>
              <w:ind w:left="440"/>
              <w:spacing w:after="0"/>
              <w:rPr>
                <w:sz w:val="20"/>
                <w:szCs w:val="20"/>
                <w:color w:val="auto"/>
              </w:rPr>
            </w:pPr>
            <w:r>
              <w:rPr>
                <w:rFonts w:ascii="Arial" w:cs="Arial" w:eastAsia="Arial" w:hAnsi="Arial"/>
                <w:sz w:val="22"/>
                <w:szCs w:val="22"/>
                <w:b w:val="1"/>
                <w:bCs w:val="1"/>
                <w:color w:val="auto"/>
              </w:rPr>
              <w:t>Aircraft Information Table</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10</w:t>
            </w:r>
          </w:p>
        </w:tc>
        <w:tc>
          <w:tcPr>
            <w:tcW w:w="0" w:type="dxa"/>
            <w:vAlign w:val="bottom"/>
          </w:tcPr>
          <w:p>
            <w:pPr>
              <w:spacing w:after="0"/>
              <w:rPr>
                <w:sz w:val="1"/>
                <w:szCs w:val="1"/>
                <w:color w:val="auto"/>
              </w:rPr>
            </w:pPr>
          </w:p>
        </w:tc>
      </w:tr>
      <w:tr>
        <w:trPr>
          <w:trHeight w:val="294"/>
        </w:trPr>
        <w:tc>
          <w:tcPr>
            <w:tcW w:w="1960" w:type="dxa"/>
            <w:vAlign w:val="bottom"/>
            <w:gridSpan w:val="5"/>
          </w:tcPr>
          <w:p>
            <w:pPr>
              <w:jc w:val="right"/>
              <w:ind w:right="560"/>
              <w:spacing w:after="0"/>
              <w:rPr>
                <w:sz w:val="20"/>
                <w:szCs w:val="20"/>
                <w:color w:val="auto"/>
              </w:rPr>
            </w:pPr>
            <w:r>
              <w:rPr>
                <w:rFonts w:ascii="Arial" w:cs="Arial" w:eastAsia="Arial" w:hAnsi="Arial"/>
                <w:sz w:val="22"/>
                <w:szCs w:val="22"/>
                <w:color w:val="auto"/>
              </w:rPr>
              <w:t>1-2</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Revised Delivery Aircraft Information Table</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r>
        <w:trPr>
          <w:trHeight w:val="241"/>
        </w:trPr>
        <w:tc>
          <w:tcPr>
            <w:tcW w:w="1960" w:type="dxa"/>
            <w:vAlign w:val="bottom"/>
            <w:gridSpan w:val="5"/>
          </w:tcPr>
          <w:p>
            <w:pPr>
              <w:spacing w:after="0" w:line="241" w:lineRule="exact"/>
              <w:rPr>
                <w:sz w:val="20"/>
                <w:szCs w:val="20"/>
                <w:color w:val="auto"/>
              </w:rPr>
            </w:pPr>
            <w:r>
              <w:rPr>
                <w:rFonts w:ascii="Arial" w:cs="Arial" w:eastAsia="Arial" w:hAnsi="Arial"/>
                <w:sz w:val="22"/>
                <w:szCs w:val="22"/>
                <w:b w:val="1"/>
                <w:bCs w:val="1"/>
                <w:color w:val="auto"/>
              </w:rPr>
              <w:t>EXHIBITS</w:t>
            </w:r>
          </w:p>
        </w:tc>
        <w:tc>
          <w:tcPr>
            <w:tcW w:w="84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22"/>
                <w:szCs w:val="22"/>
                <w:color w:val="auto"/>
                <w:w w:val="98"/>
              </w:rPr>
              <w:t>AR1</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jc w:val="center"/>
              <w:ind w:right="620"/>
              <w:spacing w:after="0"/>
              <w:rPr>
                <w:sz w:val="20"/>
                <w:szCs w:val="20"/>
                <w:color w:val="auto"/>
              </w:rPr>
            </w:pPr>
            <w:r>
              <w:rPr>
                <w:rFonts w:ascii="Arial" w:cs="Arial" w:eastAsia="Arial" w:hAnsi="Arial"/>
                <w:sz w:val="22"/>
                <w:szCs w:val="22"/>
                <w:color w:val="auto"/>
                <w:w w:val="96"/>
              </w:rPr>
              <w:t>A2</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Revised Delivery 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940" w:type="dxa"/>
            <w:vAlign w:val="bottom"/>
            <w:gridSpan w:val="4"/>
          </w:tcPr>
          <w:p>
            <w:pPr>
              <w:ind w:left="560"/>
              <w:spacing w:after="0"/>
              <w:rPr>
                <w:sz w:val="20"/>
                <w:szCs w:val="20"/>
                <w:color w:val="auto"/>
              </w:rPr>
            </w:pPr>
            <w:r>
              <w:rPr>
                <w:rFonts w:ascii="Arial" w:cs="Arial" w:eastAsia="Arial" w:hAnsi="Arial"/>
                <w:sz w:val="22"/>
                <w:szCs w:val="22"/>
                <w:color w:val="auto"/>
              </w:rPr>
              <w:t>B.</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Aircraft Delivery Requirements and Responsibilities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940" w:type="dxa"/>
            <w:vAlign w:val="bottom"/>
            <w:gridSpan w:val="4"/>
          </w:tcPr>
          <w:p>
            <w:pPr>
              <w:ind w:left="560"/>
              <w:spacing w:after="0"/>
              <w:rPr>
                <w:sz w:val="20"/>
                <w:szCs w:val="20"/>
                <w:color w:val="auto"/>
              </w:rPr>
            </w:pPr>
            <w:r>
              <w:rPr>
                <w:rFonts w:ascii="Arial" w:cs="Arial" w:eastAsia="Arial" w:hAnsi="Arial"/>
                <w:sz w:val="22"/>
                <w:szCs w:val="22"/>
                <w:color w:val="auto"/>
              </w:rPr>
              <w:t>C.</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Definitions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0100" w:type="dxa"/>
            <w:vAlign w:val="bottom"/>
            <w:gridSpan w:val="7"/>
          </w:tcPr>
          <w:p>
            <w:pPr>
              <w:spacing w:after="0"/>
              <w:rPr>
                <w:sz w:val="20"/>
                <w:szCs w:val="20"/>
                <w:color w:val="auto"/>
              </w:rPr>
            </w:pPr>
            <w:r>
              <w:rPr>
                <w:rFonts w:ascii="Arial" w:cs="Arial" w:eastAsia="Arial" w:hAnsi="Arial"/>
                <w:sz w:val="22"/>
                <w:szCs w:val="22"/>
                <w:b w:val="1"/>
                <w:bCs w:val="1"/>
                <w:color w:val="auto"/>
              </w:rPr>
              <w:t>SUPPLEMENTAL EXHIBITS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gridSpan w:val="4"/>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20" w:type="dxa"/>
            <w:vAlign w:val="bottom"/>
          </w:tcPr>
          <w:p>
            <w:pPr>
              <w:spacing w:after="0"/>
              <w:rPr>
                <w:sz w:val="24"/>
                <w:szCs w:val="24"/>
                <w:color w:val="auto"/>
              </w:rPr>
            </w:pPr>
          </w:p>
        </w:tc>
        <w:tc>
          <w:tcPr>
            <w:tcW w:w="1940" w:type="dxa"/>
            <w:vAlign w:val="bottom"/>
            <w:gridSpan w:val="4"/>
          </w:tcPr>
          <w:p>
            <w:pPr>
              <w:jc w:val="center"/>
              <w:ind w:right="440"/>
              <w:spacing w:after="0"/>
              <w:rPr>
                <w:sz w:val="20"/>
                <w:szCs w:val="20"/>
                <w:color w:val="auto"/>
              </w:rPr>
            </w:pPr>
            <w:r>
              <w:rPr>
                <w:rFonts w:ascii="Arial" w:cs="Arial" w:eastAsia="Arial" w:hAnsi="Arial"/>
                <w:sz w:val="22"/>
                <w:szCs w:val="22"/>
                <w:color w:val="auto"/>
                <w:w w:val="96"/>
              </w:rPr>
              <w:t>AE1.</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940" w:type="dxa"/>
            <w:vAlign w:val="bottom"/>
            <w:gridSpan w:val="4"/>
          </w:tcPr>
          <w:p>
            <w:pPr>
              <w:jc w:val="center"/>
              <w:ind w:right="460"/>
              <w:spacing w:after="0"/>
              <w:rPr>
                <w:sz w:val="20"/>
                <w:szCs w:val="20"/>
                <w:color w:val="auto"/>
              </w:rPr>
            </w:pPr>
            <w:r>
              <w:rPr>
                <w:rFonts w:ascii="Arial" w:cs="Arial" w:eastAsia="Arial" w:hAnsi="Arial"/>
                <w:sz w:val="22"/>
                <w:szCs w:val="22"/>
                <w:color w:val="auto"/>
                <w:w w:val="98"/>
              </w:rPr>
              <w:t>BFE1.</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BFE Variables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940" w:type="dxa"/>
            <w:vAlign w:val="bottom"/>
            <w:gridSpan w:val="4"/>
          </w:tcPr>
          <w:p>
            <w:pPr>
              <w:jc w:val="center"/>
              <w:ind w:right="460"/>
              <w:spacing w:after="0"/>
              <w:rPr>
                <w:sz w:val="20"/>
                <w:szCs w:val="20"/>
                <w:color w:val="auto"/>
              </w:rPr>
            </w:pPr>
            <w:r>
              <w:rPr>
                <w:rFonts w:ascii="Arial" w:cs="Arial" w:eastAsia="Arial" w:hAnsi="Arial"/>
                <w:sz w:val="22"/>
                <w:szCs w:val="22"/>
                <w:color w:val="auto"/>
                <w:w w:val="98"/>
              </w:rPr>
              <w:t>CS1R1.</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Customer Support Variables</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spacing w:after="0"/>
        <w:tabs>
          <w:tab w:leader="none" w:pos="2380" w:val="left"/>
        </w:tabs>
        <w:rPr>
          <w:sz w:val="20"/>
          <w:szCs w:val="20"/>
          <w:color w:val="auto"/>
        </w:rPr>
      </w:pPr>
      <w:r>
        <w:rPr>
          <w:rFonts w:ascii="Arial" w:cs="Arial" w:eastAsia="Arial" w:hAnsi="Arial"/>
          <w:sz w:val="22"/>
          <w:szCs w:val="22"/>
          <w:color w:val="auto"/>
        </w:rPr>
        <w:t>EE1.</w:t>
      </w:r>
      <w:r>
        <w:rPr>
          <w:sz w:val="20"/>
          <w:szCs w:val="20"/>
          <w:color w:val="auto"/>
        </w:rPr>
        <w:tab/>
      </w:r>
      <w:r>
        <w:rPr>
          <w:rFonts w:ascii="Arial" w:cs="Arial" w:eastAsia="Arial" w:hAnsi="Arial"/>
          <w:sz w:val="22"/>
          <w:szCs w:val="22"/>
          <w:color w:val="auto"/>
        </w:rPr>
        <w:t>[****]</w:t>
      </w:r>
    </w:p>
    <w:p>
      <w:pPr>
        <w:spacing w:after="0" w:line="125" w:lineRule="exact"/>
        <w:rPr>
          <w:sz w:val="20"/>
          <w:szCs w:val="20"/>
          <w:color w:val="auto"/>
        </w:rPr>
      </w:pPr>
    </w:p>
    <w:p>
      <w:pPr>
        <w:ind w:left="480"/>
        <w:spacing w:after="0"/>
        <w:tabs>
          <w:tab w:leader="none" w:pos="2380" w:val="left"/>
        </w:tabs>
        <w:rPr>
          <w:sz w:val="20"/>
          <w:szCs w:val="20"/>
          <w:color w:val="auto"/>
        </w:rPr>
      </w:pPr>
      <w:r>
        <w:rPr>
          <w:rFonts w:ascii="Arial" w:cs="Arial" w:eastAsia="Arial" w:hAnsi="Arial"/>
          <w:sz w:val="22"/>
          <w:szCs w:val="22"/>
          <w:color w:val="auto"/>
        </w:rPr>
        <w:t>SLP1.</w:t>
      </w:r>
      <w:r>
        <w:rPr>
          <w:sz w:val="20"/>
          <w:szCs w:val="20"/>
          <w:color w:val="auto"/>
        </w:rPr>
        <w:tab/>
      </w:r>
      <w:r>
        <w:rPr>
          <w:rFonts w:ascii="Arial" w:cs="Arial" w:eastAsia="Arial" w:hAnsi="Arial"/>
          <w:sz w:val="22"/>
          <w:szCs w:val="22"/>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LETTER AGREEMENTS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400" w:type="dxa"/>
            <w:vAlign w:val="bottom"/>
          </w:tcPr>
          <w:p>
            <w:pPr>
              <w:spacing w:after="0"/>
              <w:rPr>
                <w:sz w:val="20"/>
                <w:szCs w:val="20"/>
                <w:color w:val="auto"/>
              </w:rPr>
            </w:pPr>
            <w:r>
              <w:rPr>
                <w:rFonts w:ascii="Arial" w:cs="Arial" w:eastAsia="Arial" w:hAnsi="Arial"/>
                <w:sz w:val="22"/>
                <w:szCs w:val="22"/>
                <w:color w:val="auto"/>
              </w:rPr>
              <w:t>LA-1106648R1</w:t>
            </w:r>
          </w:p>
        </w:tc>
        <w:tc>
          <w:tcPr>
            <w:tcW w:w="5820" w:type="dxa"/>
            <w:vAlign w:val="bottom"/>
            <w:gridSpan w:val="2"/>
          </w:tcPr>
          <w:p>
            <w:pPr>
              <w:spacing w:after="0"/>
              <w:rPr>
                <w:sz w:val="20"/>
                <w:szCs w:val="20"/>
                <w:color w:val="auto"/>
              </w:rPr>
            </w:pPr>
            <w:r>
              <w:rPr>
                <w:rFonts w:ascii="Arial" w:cs="Arial" w:eastAsia="Arial" w:hAnsi="Arial"/>
                <w:sz w:val="22"/>
                <w:szCs w:val="22"/>
                <w:color w:val="auto"/>
              </w:rPr>
              <w:t>Special Matters</w:t>
            </w:r>
          </w:p>
        </w:tc>
        <w:tc>
          <w:tcPr>
            <w:tcW w:w="2480" w:type="dxa"/>
            <w:vAlign w:val="bottom"/>
          </w:tcPr>
          <w:p>
            <w:pPr>
              <w:jc w:val="center"/>
              <w:ind w:left="2132"/>
              <w:spacing w:after="0"/>
              <w:rPr>
                <w:sz w:val="20"/>
                <w:szCs w:val="20"/>
                <w:color w:val="auto"/>
              </w:rPr>
            </w:pPr>
            <w:r>
              <w:rPr>
                <w:rFonts w:ascii="Arial" w:cs="Arial" w:eastAsia="Arial" w:hAnsi="Arial"/>
                <w:sz w:val="22"/>
                <w:szCs w:val="22"/>
                <w:color w:val="auto"/>
                <w:w w:val="97"/>
              </w:rPr>
              <w:t>6</w:t>
            </w:r>
          </w:p>
        </w:tc>
      </w:tr>
      <w:tr>
        <w:trPr>
          <w:trHeight w:val="378"/>
        </w:trPr>
        <w:tc>
          <w:tcPr>
            <w:tcW w:w="2400" w:type="dxa"/>
            <w:vAlign w:val="bottom"/>
          </w:tcPr>
          <w:p>
            <w:pPr>
              <w:spacing w:after="0"/>
              <w:rPr>
                <w:sz w:val="20"/>
                <w:szCs w:val="20"/>
                <w:color w:val="auto"/>
              </w:rPr>
            </w:pPr>
            <w:r>
              <w:rPr>
                <w:rFonts w:ascii="Arial" w:cs="Arial" w:eastAsia="Arial" w:hAnsi="Arial"/>
                <w:sz w:val="22"/>
                <w:szCs w:val="22"/>
                <w:color w:val="auto"/>
              </w:rPr>
              <w:t>LA-1106649</w:t>
            </w:r>
          </w:p>
        </w:tc>
        <w:tc>
          <w:tcPr>
            <w:tcW w:w="2440" w:type="dxa"/>
            <w:vAlign w:val="bottom"/>
          </w:tcPr>
          <w:p>
            <w:pPr>
              <w:spacing w:after="0"/>
              <w:rPr>
                <w:sz w:val="20"/>
                <w:szCs w:val="20"/>
                <w:color w:val="auto"/>
              </w:rPr>
            </w:pPr>
            <w:r>
              <w:rPr>
                <w:rFonts w:ascii="Arial" w:cs="Arial" w:eastAsia="Arial" w:hAnsi="Arial"/>
                <w:sz w:val="22"/>
                <w:szCs w:val="22"/>
                <w:color w:val="auto"/>
              </w:rPr>
              <w:t>[****]</w:t>
            </w:r>
          </w:p>
        </w:tc>
        <w:tc>
          <w:tcPr>
            <w:tcW w:w="3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78"/>
        </w:trPr>
        <w:tc>
          <w:tcPr>
            <w:tcW w:w="2400" w:type="dxa"/>
            <w:vAlign w:val="bottom"/>
          </w:tcPr>
          <w:p>
            <w:pPr>
              <w:spacing w:after="0"/>
              <w:rPr>
                <w:sz w:val="20"/>
                <w:szCs w:val="20"/>
                <w:color w:val="auto"/>
              </w:rPr>
            </w:pPr>
            <w:r>
              <w:rPr>
                <w:rFonts w:ascii="Arial" w:cs="Arial" w:eastAsia="Arial" w:hAnsi="Arial"/>
                <w:sz w:val="22"/>
                <w:szCs w:val="22"/>
                <w:color w:val="auto"/>
              </w:rPr>
              <w:t>LA-1106650R3</w:t>
            </w:r>
          </w:p>
        </w:tc>
        <w:tc>
          <w:tcPr>
            <w:tcW w:w="2440" w:type="dxa"/>
            <w:vAlign w:val="bottom"/>
          </w:tcPr>
          <w:p>
            <w:pPr>
              <w:spacing w:after="0"/>
              <w:rPr>
                <w:sz w:val="20"/>
                <w:szCs w:val="20"/>
                <w:color w:val="auto"/>
              </w:rPr>
            </w:pPr>
            <w:r>
              <w:rPr>
                <w:rFonts w:ascii="Arial" w:cs="Arial" w:eastAsia="Arial" w:hAnsi="Arial"/>
                <w:sz w:val="22"/>
                <w:szCs w:val="22"/>
                <w:color w:val="auto"/>
              </w:rPr>
              <w:t>[****]</w:t>
            </w:r>
          </w:p>
        </w:tc>
        <w:tc>
          <w:tcPr>
            <w:tcW w:w="3380" w:type="dxa"/>
            <w:vAlign w:val="bottom"/>
          </w:tcPr>
          <w:p>
            <w:pPr>
              <w:spacing w:after="0"/>
              <w:rPr>
                <w:sz w:val="24"/>
                <w:szCs w:val="24"/>
                <w:color w:val="auto"/>
              </w:rPr>
            </w:pPr>
          </w:p>
        </w:tc>
        <w:tc>
          <w:tcPr>
            <w:tcW w:w="2480" w:type="dxa"/>
            <w:vAlign w:val="bottom"/>
          </w:tcPr>
          <w:p>
            <w:pPr>
              <w:jc w:val="center"/>
              <w:ind w:left="2132"/>
              <w:spacing w:after="0"/>
              <w:rPr>
                <w:sz w:val="20"/>
                <w:szCs w:val="20"/>
                <w:color w:val="auto"/>
              </w:rPr>
            </w:pPr>
            <w:r>
              <w:rPr>
                <w:rFonts w:ascii="Arial" w:cs="Arial" w:eastAsia="Arial" w:hAnsi="Arial"/>
                <w:sz w:val="22"/>
                <w:szCs w:val="22"/>
                <w:color w:val="auto"/>
                <w:w w:val="97"/>
              </w:rPr>
              <w:t>9</w:t>
            </w:r>
          </w:p>
        </w:tc>
      </w:tr>
      <w:tr>
        <w:trPr>
          <w:trHeight w:val="378"/>
        </w:trPr>
        <w:tc>
          <w:tcPr>
            <w:tcW w:w="2400" w:type="dxa"/>
            <w:vAlign w:val="bottom"/>
          </w:tcPr>
          <w:p>
            <w:pPr>
              <w:spacing w:after="0"/>
              <w:rPr>
                <w:sz w:val="20"/>
                <w:szCs w:val="20"/>
                <w:color w:val="auto"/>
              </w:rPr>
            </w:pPr>
            <w:r>
              <w:rPr>
                <w:rFonts w:ascii="Arial" w:cs="Arial" w:eastAsia="Arial" w:hAnsi="Arial"/>
                <w:sz w:val="22"/>
                <w:szCs w:val="22"/>
                <w:color w:val="auto"/>
              </w:rPr>
              <w:t>LA-1106651R1</w:t>
            </w:r>
          </w:p>
        </w:tc>
        <w:tc>
          <w:tcPr>
            <w:tcW w:w="2440" w:type="dxa"/>
            <w:vAlign w:val="bottom"/>
          </w:tcPr>
          <w:p>
            <w:pPr>
              <w:spacing w:after="0"/>
              <w:rPr>
                <w:sz w:val="20"/>
                <w:szCs w:val="20"/>
                <w:color w:val="auto"/>
              </w:rPr>
            </w:pPr>
            <w:r>
              <w:rPr>
                <w:rFonts w:ascii="Arial" w:cs="Arial" w:eastAsia="Arial" w:hAnsi="Arial"/>
                <w:sz w:val="22"/>
                <w:szCs w:val="22"/>
                <w:color w:val="auto"/>
              </w:rPr>
              <w:t>[****]</w:t>
            </w:r>
          </w:p>
        </w:tc>
        <w:tc>
          <w:tcPr>
            <w:tcW w:w="3380" w:type="dxa"/>
            <w:vAlign w:val="bottom"/>
          </w:tcPr>
          <w:p>
            <w:pPr>
              <w:spacing w:after="0"/>
              <w:rPr>
                <w:sz w:val="24"/>
                <w:szCs w:val="24"/>
                <w:color w:val="auto"/>
              </w:rPr>
            </w:pPr>
          </w:p>
        </w:tc>
        <w:tc>
          <w:tcPr>
            <w:tcW w:w="2480" w:type="dxa"/>
            <w:vAlign w:val="bottom"/>
          </w:tcPr>
          <w:p>
            <w:pPr>
              <w:jc w:val="center"/>
              <w:ind w:left="2132"/>
              <w:spacing w:after="0"/>
              <w:rPr>
                <w:sz w:val="20"/>
                <w:szCs w:val="20"/>
                <w:color w:val="auto"/>
              </w:rPr>
            </w:pPr>
            <w:r>
              <w:rPr>
                <w:rFonts w:ascii="Arial" w:cs="Arial" w:eastAsia="Arial" w:hAnsi="Arial"/>
                <w:sz w:val="22"/>
                <w:szCs w:val="22"/>
                <w:color w:val="auto"/>
                <w:w w:val="97"/>
              </w:rPr>
              <w:t>9</w:t>
            </w:r>
          </w:p>
        </w:tc>
      </w:tr>
      <w:tr>
        <w:trPr>
          <w:trHeight w:val="378"/>
        </w:trPr>
        <w:tc>
          <w:tcPr>
            <w:tcW w:w="2400" w:type="dxa"/>
            <w:vAlign w:val="bottom"/>
          </w:tcPr>
          <w:p>
            <w:pPr>
              <w:spacing w:after="0"/>
              <w:rPr>
                <w:sz w:val="20"/>
                <w:szCs w:val="20"/>
                <w:color w:val="auto"/>
              </w:rPr>
            </w:pPr>
            <w:r>
              <w:rPr>
                <w:rFonts w:ascii="Arial" w:cs="Arial" w:eastAsia="Arial" w:hAnsi="Arial"/>
                <w:sz w:val="22"/>
                <w:szCs w:val="22"/>
                <w:color w:val="auto"/>
              </w:rPr>
              <w:t>LA-1106652</w:t>
            </w:r>
          </w:p>
        </w:tc>
        <w:tc>
          <w:tcPr>
            <w:tcW w:w="5820" w:type="dxa"/>
            <w:vAlign w:val="bottom"/>
            <w:gridSpan w:val="2"/>
          </w:tcPr>
          <w:p>
            <w:pPr>
              <w:spacing w:after="0"/>
              <w:rPr>
                <w:sz w:val="20"/>
                <w:szCs w:val="20"/>
                <w:color w:val="auto"/>
              </w:rPr>
            </w:pPr>
            <w:r>
              <w:rPr>
                <w:rFonts w:ascii="Arial" w:cs="Arial" w:eastAsia="Arial" w:hAnsi="Arial"/>
                <w:sz w:val="22"/>
                <w:szCs w:val="22"/>
                <w:color w:val="auto"/>
              </w:rPr>
              <w:t>Aircraft Model Substitution</w:t>
            </w:r>
          </w:p>
        </w:tc>
        <w:tc>
          <w:tcPr>
            <w:tcW w:w="2480" w:type="dxa"/>
            <w:vAlign w:val="bottom"/>
          </w:tcPr>
          <w:p>
            <w:pPr>
              <w:spacing w:after="0"/>
              <w:rPr>
                <w:sz w:val="24"/>
                <w:szCs w:val="24"/>
                <w:color w:val="auto"/>
              </w:rPr>
            </w:pPr>
          </w:p>
        </w:tc>
      </w:tr>
      <w:tr>
        <w:trPr>
          <w:trHeight w:val="378"/>
        </w:trPr>
        <w:tc>
          <w:tcPr>
            <w:tcW w:w="2400" w:type="dxa"/>
            <w:vAlign w:val="bottom"/>
          </w:tcPr>
          <w:p>
            <w:pPr>
              <w:spacing w:after="0"/>
              <w:rPr>
                <w:sz w:val="20"/>
                <w:szCs w:val="20"/>
                <w:color w:val="auto"/>
              </w:rPr>
            </w:pPr>
            <w:r>
              <w:rPr>
                <w:rFonts w:ascii="Arial" w:cs="Arial" w:eastAsia="Arial" w:hAnsi="Arial"/>
                <w:sz w:val="22"/>
                <w:szCs w:val="22"/>
                <w:color w:val="auto"/>
              </w:rPr>
              <w:t>LA-1106654</w:t>
            </w:r>
          </w:p>
        </w:tc>
        <w:tc>
          <w:tcPr>
            <w:tcW w:w="5820" w:type="dxa"/>
            <w:vAlign w:val="bottom"/>
            <w:gridSpan w:val="2"/>
          </w:tcPr>
          <w:p>
            <w:pPr>
              <w:spacing w:after="0"/>
              <w:rPr>
                <w:sz w:val="20"/>
                <w:szCs w:val="20"/>
                <w:color w:val="auto"/>
              </w:rPr>
            </w:pPr>
            <w:r>
              <w:rPr>
                <w:rFonts w:ascii="Arial" w:cs="Arial" w:eastAsia="Arial" w:hAnsi="Arial"/>
                <w:sz w:val="22"/>
                <w:szCs w:val="22"/>
                <w:color w:val="auto"/>
              </w:rPr>
              <w:t>AGTA Terms Revisions for MAX</w:t>
            </w:r>
          </w:p>
        </w:tc>
        <w:tc>
          <w:tcPr>
            <w:tcW w:w="2480" w:type="dxa"/>
            <w:vAlign w:val="bottom"/>
          </w:tcPr>
          <w:p>
            <w:pPr>
              <w:spacing w:after="0"/>
              <w:rPr>
                <w:sz w:val="24"/>
                <w:szCs w:val="24"/>
                <w:color w:val="auto"/>
              </w:rPr>
            </w:pPr>
          </w:p>
        </w:tc>
      </w:tr>
      <w:tr>
        <w:trPr>
          <w:trHeight w:val="378"/>
        </w:trPr>
        <w:tc>
          <w:tcPr>
            <w:tcW w:w="2400" w:type="dxa"/>
            <w:vAlign w:val="bottom"/>
          </w:tcPr>
          <w:p>
            <w:pPr>
              <w:spacing w:after="0"/>
              <w:rPr>
                <w:sz w:val="20"/>
                <w:szCs w:val="20"/>
                <w:color w:val="auto"/>
              </w:rPr>
            </w:pPr>
            <w:r>
              <w:rPr>
                <w:rFonts w:ascii="Arial" w:cs="Arial" w:eastAsia="Arial" w:hAnsi="Arial"/>
                <w:sz w:val="22"/>
                <w:szCs w:val="22"/>
                <w:color w:val="auto"/>
                <w:strike w:val="1"/>
              </w:rPr>
              <w:t>LA-1106655</w:t>
            </w:r>
          </w:p>
        </w:tc>
        <w:tc>
          <w:tcPr>
            <w:tcW w:w="2440" w:type="dxa"/>
            <w:vAlign w:val="bottom"/>
          </w:tcPr>
          <w:p>
            <w:pPr>
              <w:spacing w:after="0"/>
              <w:rPr>
                <w:sz w:val="20"/>
                <w:szCs w:val="20"/>
                <w:color w:val="auto"/>
              </w:rPr>
            </w:pPr>
            <w:r>
              <w:rPr>
                <w:rFonts w:ascii="Arial" w:cs="Arial" w:eastAsia="Arial" w:hAnsi="Arial"/>
                <w:sz w:val="22"/>
                <w:szCs w:val="22"/>
                <w:color w:val="auto"/>
                <w:strike w:val="1"/>
                <w:w w:val="97"/>
              </w:rPr>
              <w:t>Open Matters – 737 MAX</w:t>
            </w:r>
          </w:p>
        </w:tc>
        <w:tc>
          <w:tcPr>
            <w:tcW w:w="3380" w:type="dxa"/>
            <w:vAlign w:val="bottom"/>
          </w:tcPr>
          <w:p>
            <w:pPr>
              <w:ind w:left="120"/>
              <w:spacing w:after="0"/>
              <w:rPr>
                <w:sz w:val="20"/>
                <w:szCs w:val="20"/>
                <w:color w:val="auto"/>
              </w:rPr>
            </w:pPr>
            <w:r>
              <w:rPr>
                <w:rFonts w:ascii="Arial" w:cs="Arial" w:eastAsia="Arial" w:hAnsi="Arial"/>
                <w:sz w:val="22"/>
                <w:szCs w:val="22"/>
                <w:color w:val="auto"/>
              </w:rPr>
              <w:t>Withdrawn</w:t>
            </w:r>
          </w:p>
        </w:tc>
        <w:tc>
          <w:tcPr>
            <w:tcW w:w="2480" w:type="dxa"/>
            <w:vAlign w:val="bottom"/>
          </w:tcPr>
          <w:p>
            <w:pPr>
              <w:jc w:val="center"/>
              <w:ind w:left="2132"/>
              <w:spacing w:after="0"/>
              <w:rPr>
                <w:sz w:val="20"/>
                <w:szCs w:val="20"/>
                <w:color w:val="auto"/>
              </w:rPr>
            </w:pPr>
            <w:r>
              <w:rPr>
                <w:rFonts w:ascii="Arial" w:cs="Arial" w:eastAsia="Arial" w:hAnsi="Arial"/>
                <w:sz w:val="22"/>
                <w:szCs w:val="22"/>
                <w:color w:val="auto"/>
                <w:w w:val="97"/>
              </w:rPr>
              <w:t>6</w:t>
            </w:r>
          </w:p>
        </w:tc>
      </w:tr>
      <w:tr>
        <w:trPr>
          <w:trHeight w:val="378"/>
        </w:trPr>
        <w:tc>
          <w:tcPr>
            <w:tcW w:w="2400" w:type="dxa"/>
            <w:vAlign w:val="bottom"/>
          </w:tcPr>
          <w:p>
            <w:pPr>
              <w:spacing w:after="0"/>
              <w:rPr>
                <w:sz w:val="20"/>
                <w:szCs w:val="20"/>
                <w:color w:val="auto"/>
              </w:rPr>
            </w:pPr>
            <w:r>
              <w:rPr>
                <w:rFonts w:ascii="Arial" w:cs="Arial" w:eastAsia="Arial" w:hAnsi="Arial"/>
                <w:sz w:val="22"/>
                <w:szCs w:val="22"/>
                <w:color w:val="auto"/>
              </w:rPr>
              <w:t>LA-1106656R1</w:t>
            </w:r>
          </w:p>
        </w:tc>
        <w:tc>
          <w:tcPr>
            <w:tcW w:w="2440" w:type="dxa"/>
            <w:vAlign w:val="bottom"/>
          </w:tcPr>
          <w:p>
            <w:pPr>
              <w:spacing w:after="0"/>
              <w:rPr>
                <w:sz w:val="20"/>
                <w:szCs w:val="20"/>
                <w:color w:val="auto"/>
              </w:rPr>
            </w:pPr>
            <w:r>
              <w:rPr>
                <w:rFonts w:ascii="Arial" w:cs="Arial" w:eastAsia="Arial" w:hAnsi="Arial"/>
                <w:sz w:val="22"/>
                <w:szCs w:val="22"/>
                <w:color w:val="auto"/>
              </w:rPr>
              <w:t>[****]</w:t>
            </w:r>
          </w:p>
        </w:tc>
        <w:tc>
          <w:tcPr>
            <w:tcW w:w="3380" w:type="dxa"/>
            <w:vAlign w:val="bottom"/>
          </w:tcPr>
          <w:p>
            <w:pPr>
              <w:spacing w:after="0"/>
              <w:rPr>
                <w:sz w:val="24"/>
                <w:szCs w:val="24"/>
                <w:color w:val="auto"/>
              </w:rPr>
            </w:pPr>
          </w:p>
        </w:tc>
        <w:tc>
          <w:tcPr>
            <w:tcW w:w="2480" w:type="dxa"/>
            <w:vAlign w:val="bottom"/>
          </w:tcPr>
          <w:p>
            <w:pPr>
              <w:jc w:val="center"/>
              <w:ind w:left="2132"/>
              <w:spacing w:after="0"/>
              <w:rPr>
                <w:sz w:val="20"/>
                <w:szCs w:val="20"/>
                <w:color w:val="auto"/>
              </w:rPr>
            </w:pPr>
            <w:r>
              <w:rPr>
                <w:rFonts w:ascii="Arial" w:cs="Arial" w:eastAsia="Arial" w:hAnsi="Arial"/>
                <w:sz w:val="22"/>
                <w:szCs w:val="22"/>
                <w:color w:val="auto"/>
                <w:w w:val="97"/>
              </w:rPr>
              <w:t>1</w:t>
            </w:r>
          </w:p>
        </w:tc>
      </w:tr>
      <w:tr>
        <w:trPr>
          <w:trHeight w:val="378"/>
        </w:trPr>
        <w:tc>
          <w:tcPr>
            <w:tcW w:w="2400" w:type="dxa"/>
            <w:vAlign w:val="bottom"/>
          </w:tcPr>
          <w:p>
            <w:pPr>
              <w:spacing w:after="0"/>
              <w:rPr>
                <w:sz w:val="20"/>
                <w:szCs w:val="20"/>
                <w:color w:val="auto"/>
              </w:rPr>
            </w:pPr>
            <w:r>
              <w:rPr>
                <w:rFonts w:ascii="Arial" w:cs="Arial" w:eastAsia="Arial" w:hAnsi="Arial"/>
                <w:sz w:val="22"/>
                <w:szCs w:val="22"/>
                <w:color w:val="auto"/>
              </w:rPr>
              <w:t>LA-1106657R1</w:t>
            </w:r>
          </w:p>
        </w:tc>
        <w:tc>
          <w:tcPr>
            <w:tcW w:w="2440" w:type="dxa"/>
            <w:vAlign w:val="bottom"/>
          </w:tcPr>
          <w:p>
            <w:pPr>
              <w:spacing w:after="0"/>
              <w:rPr>
                <w:sz w:val="20"/>
                <w:szCs w:val="20"/>
                <w:color w:val="auto"/>
              </w:rPr>
            </w:pPr>
            <w:r>
              <w:rPr>
                <w:rFonts w:ascii="Arial" w:cs="Arial" w:eastAsia="Arial" w:hAnsi="Arial"/>
                <w:sz w:val="22"/>
                <w:szCs w:val="22"/>
                <w:color w:val="auto"/>
              </w:rPr>
              <w:t>[****]</w:t>
            </w:r>
          </w:p>
        </w:tc>
        <w:tc>
          <w:tcPr>
            <w:tcW w:w="3380" w:type="dxa"/>
            <w:vAlign w:val="bottom"/>
          </w:tcPr>
          <w:p>
            <w:pPr>
              <w:spacing w:after="0"/>
              <w:rPr>
                <w:sz w:val="24"/>
                <w:szCs w:val="24"/>
                <w:color w:val="auto"/>
              </w:rPr>
            </w:pPr>
          </w:p>
        </w:tc>
        <w:tc>
          <w:tcPr>
            <w:tcW w:w="2480" w:type="dxa"/>
            <w:vAlign w:val="bottom"/>
          </w:tcPr>
          <w:p>
            <w:pPr>
              <w:jc w:val="center"/>
              <w:ind w:left="2132"/>
              <w:spacing w:after="0"/>
              <w:rPr>
                <w:sz w:val="20"/>
                <w:szCs w:val="20"/>
                <w:color w:val="auto"/>
              </w:rPr>
            </w:pPr>
            <w:r>
              <w:rPr>
                <w:rFonts w:ascii="Arial" w:cs="Arial" w:eastAsia="Arial" w:hAnsi="Arial"/>
                <w:sz w:val="22"/>
                <w:szCs w:val="22"/>
                <w:color w:val="auto"/>
                <w:w w:val="97"/>
              </w:rPr>
              <w:t>2</w:t>
            </w:r>
          </w:p>
        </w:tc>
      </w:tr>
      <w:tr>
        <w:trPr>
          <w:trHeight w:val="378"/>
        </w:trPr>
        <w:tc>
          <w:tcPr>
            <w:tcW w:w="2400" w:type="dxa"/>
            <w:vAlign w:val="bottom"/>
          </w:tcPr>
          <w:p>
            <w:pPr>
              <w:spacing w:after="0"/>
              <w:rPr>
                <w:sz w:val="20"/>
                <w:szCs w:val="20"/>
                <w:color w:val="auto"/>
              </w:rPr>
            </w:pPr>
            <w:r>
              <w:rPr>
                <w:rFonts w:ascii="Arial" w:cs="Arial" w:eastAsia="Arial" w:hAnsi="Arial"/>
                <w:sz w:val="22"/>
                <w:szCs w:val="22"/>
                <w:color w:val="auto"/>
              </w:rPr>
              <w:t>LA-1106663 R1</w:t>
            </w:r>
          </w:p>
        </w:tc>
        <w:tc>
          <w:tcPr>
            <w:tcW w:w="2440" w:type="dxa"/>
            <w:vAlign w:val="bottom"/>
          </w:tcPr>
          <w:p>
            <w:pPr>
              <w:spacing w:after="0"/>
              <w:rPr>
                <w:sz w:val="20"/>
                <w:szCs w:val="20"/>
                <w:color w:val="auto"/>
              </w:rPr>
            </w:pPr>
            <w:r>
              <w:rPr>
                <w:rFonts w:ascii="Arial" w:cs="Arial" w:eastAsia="Arial" w:hAnsi="Arial"/>
                <w:sz w:val="22"/>
                <w:szCs w:val="22"/>
                <w:color w:val="auto"/>
              </w:rPr>
              <w:t>[****]</w:t>
            </w:r>
          </w:p>
        </w:tc>
        <w:tc>
          <w:tcPr>
            <w:tcW w:w="3380" w:type="dxa"/>
            <w:vAlign w:val="bottom"/>
          </w:tcPr>
          <w:p>
            <w:pPr>
              <w:spacing w:after="0"/>
              <w:rPr>
                <w:sz w:val="24"/>
                <w:szCs w:val="24"/>
                <w:color w:val="auto"/>
              </w:rPr>
            </w:pPr>
          </w:p>
        </w:tc>
        <w:tc>
          <w:tcPr>
            <w:tcW w:w="2480" w:type="dxa"/>
            <w:vAlign w:val="bottom"/>
          </w:tcPr>
          <w:p>
            <w:pPr>
              <w:jc w:val="center"/>
              <w:ind w:left="2132"/>
              <w:spacing w:after="0"/>
              <w:rPr>
                <w:sz w:val="20"/>
                <w:szCs w:val="20"/>
                <w:color w:val="auto"/>
              </w:rPr>
            </w:pPr>
            <w:r>
              <w:rPr>
                <w:rFonts w:ascii="Arial" w:cs="Arial" w:eastAsia="Arial" w:hAnsi="Arial"/>
                <w:sz w:val="22"/>
                <w:szCs w:val="22"/>
                <w:color w:val="auto"/>
                <w:w w:val="97"/>
              </w:rPr>
              <w:t>2</w:t>
            </w:r>
          </w:p>
        </w:tc>
      </w:tr>
      <w:tr>
        <w:trPr>
          <w:trHeight w:val="378"/>
        </w:trPr>
        <w:tc>
          <w:tcPr>
            <w:tcW w:w="2400" w:type="dxa"/>
            <w:vAlign w:val="bottom"/>
          </w:tcPr>
          <w:p>
            <w:pPr>
              <w:spacing w:after="0"/>
              <w:rPr>
                <w:sz w:val="20"/>
                <w:szCs w:val="20"/>
                <w:color w:val="auto"/>
              </w:rPr>
            </w:pPr>
            <w:r>
              <w:rPr>
                <w:rFonts w:ascii="Arial" w:cs="Arial" w:eastAsia="Arial" w:hAnsi="Arial"/>
                <w:sz w:val="22"/>
                <w:szCs w:val="22"/>
                <w:color w:val="auto"/>
              </w:rPr>
              <w:t>LA-1106664 R1</w:t>
            </w:r>
          </w:p>
        </w:tc>
        <w:tc>
          <w:tcPr>
            <w:tcW w:w="2440" w:type="dxa"/>
            <w:vAlign w:val="bottom"/>
          </w:tcPr>
          <w:p>
            <w:pPr>
              <w:spacing w:after="0"/>
              <w:rPr>
                <w:sz w:val="20"/>
                <w:szCs w:val="20"/>
                <w:color w:val="auto"/>
              </w:rPr>
            </w:pPr>
            <w:r>
              <w:rPr>
                <w:rFonts w:ascii="Arial" w:cs="Arial" w:eastAsia="Arial" w:hAnsi="Arial"/>
                <w:sz w:val="22"/>
                <w:szCs w:val="22"/>
                <w:color w:val="auto"/>
              </w:rPr>
              <w:t>[****]</w:t>
            </w:r>
          </w:p>
        </w:tc>
        <w:tc>
          <w:tcPr>
            <w:tcW w:w="3380" w:type="dxa"/>
            <w:vAlign w:val="bottom"/>
          </w:tcPr>
          <w:p>
            <w:pPr>
              <w:spacing w:after="0"/>
              <w:rPr>
                <w:sz w:val="24"/>
                <w:szCs w:val="24"/>
                <w:color w:val="auto"/>
              </w:rPr>
            </w:pPr>
          </w:p>
        </w:tc>
        <w:tc>
          <w:tcPr>
            <w:tcW w:w="2480" w:type="dxa"/>
            <w:vAlign w:val="bottom"/>
          </w:tcPr>
          <w:p>
            <w:pPr>
              <w:jc w:val="center"/>
              <w:ind w:left="2132"/>
              <w:spacing w:after="0"/>
              <w:rPr>
                <w:sz w:val="20"/>
                <w:szCs w:val="20"/>
                <w:color w:val="auto"/>
              </w:rPr>
            </w:pPr>
            <w:r>
              <w:rPr>
                <w:rFonts w:ascii="Arial" w:cs="Arial" w:eastAsia="Arial" w:hAnsi="Arial"/>
                <w:sz w:val="22"/>
                <w:szCs w:val="22"/>
                <w:color w:val="auto"/>
                <w:w w:val="97"/>
              </w:rPr>
              <w:t>2</w:t>
            </w:r>
          </w:p>
        </w:tc>
      </w:tr>
      <w:tr>
        <w:trPr>
          <w:trHeight w:val="378"/>
        </w:trPr>
        <w:tc>
          <w:tcPr>
            <w:tcW w:w="2400" w:type="dxa"/>
            <w:vAlign w:val="bottom"/>
          </w:tcPr>
          <w:p>
            <w:pPr>
              <w:spacing w:after="0"/>
              <w:rPr>
                <w:sz w:val="20"/>
                <w:szCs w:val="20"/>
                <w:color w:val="auto"/>
              </w:rPr>
            </w:pPr>
            <w:r>
              <w:rPr>
                <w:rFonts w:ascii="Arial" w:cs="Arial" w:eastAsia="Arial" w:hAnsi="Arial"/>
                <w:sz w:val="22"/>
                <w:szCs w:val="22"/>
                <w:color w:val="auto"/>
              </w:rPr>
              <w:t>LA-1106658</w:t>
            </w:r>
          </w:p>
        </w:tc>
        <w:tc>
          <w:tcPr>
            <w:tcW w:w="2440" w:type="dxa"/>
            <w:vAlign w:val="bottom"/>
          </w:tcPr>
          <w:p>
            <w:pPr>
              <w:spacing w:after="0"/>
              <w:rPr>
                <w:sz w:val="20"/>
                <w:szCs w:val="20"/>
                <w:color w:val="auto"/>
              </w:rPr>
            </w:pPr>
            <w:r>
              <w:rPr>
                <w:rFonts w:ascii="Arial" w:cs="Arial" w:eastAsia="Arial" w:hAnsi="Arial"/>
                <w:sz w:val="22"/>
                <w:szCs w:val="22"/>
                <w:color w:val="auto"/>
              </w:rPr>
              <w:t>[****]</w:t>
            </w:r>
          </w:p>
        </w:tc>
        <w:tc>
          <w:tcPr>
            <w:tcW w:w="3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88"/>
        </w:trPr>
        <w:tc>
          <w:tcPr>
            <w:tcW w:w="2400" w:type="dxa"/>
            <w:vAlign w:val="bottom"/>
          </w:tcPr>
          <w:p>
            <w:pPr>
              <w:spacing w:after="0"/>
              <w:rPr>
                <w:sz w:val="20"/>
                <w:szCs w:val="20"/>
                <w:color w:val="auto"/>
              </w:rPr>
            </w:pPr>
            <w:r>
              <w:rPr>
                <w:rFonts w:ascii="Arial" w:cs="Arial" w:eastAsia="Arial" w:hAnsi="Arial"/>
                <w:sz w:val="22"/>
                <w:szCs w:val="22"/>
                <w:b w:val="1"/>
                <w:bCs w:val="1"/>
                <w:color w:val="auto"/>
              </w:rPr>
              <w:t>LA-1106659R2</w:t>
            </w:r>
          </w:p>
        </w:tc>
        <w:tc>
          <w:tcPr>
            <w:tcW w:w="2440" w:type="dxa"/>
            <w:vAlign w:val="bottom"/>
          </w:tcPr>
          <w:p>
            <w:pPr>
              <w:spacing w:after="0"/>
              <w:rPr>
                <w:sz w:val="20"/>
                <w:szCs w:val="20"/>
                <w:color w:val="auto"/>
              </w:rPr>
            </w:pPr>
            <w:r>
              <w:rPr>
                <w:rFonts w:ascii="Arial" w:cs="Arial" w:eastAsia="Arial" w:hAnsi="Arial"/>
                <w:sz w:val="22"/>
                <w:szCs w:val="22"/>
                <w:b w:val="1"/>
                <w:bCs w:val="1"/>
                <w:color w:val="auto"/>
              </w:rPr>
              <w:t>[****]</w:t>
            </w:r>
          </w:p>
        </w:tc>
        <w:tc>
          <w:tcPr>
            <w:tcW w:w="3380" w:type="dxa"/>
            <w:vAlign w:val="bottom"/>
          </w:tcPr>
          <w:p>
            <w:pPr>
              <w:spacing w:after="0"/>
              <w:rPr>
                <w:sz w:val="24"/>
                <w:szCs w:val="24"/>
                <w:color w:val="auto"/>
              </w:rPr>
            </w:pPr>
          </w:p>
        </w:tc>
        <w:tc>
          <w:tcPr>
            <w:tcW w:w="2480" w:type="dxa"/>
            <w:vAlign w:val="bottom"/>
          </w:tcPr>
          <w:p>
            <w:pPr>
              <w:jc w:val="center"/>
              <w:ind w:left="2132"/>
              <w:spacing w:after="0"/>
              <w:rPr>
                <w:sz w:val="20"/>
                <w:szCs w:val="20"/>
                <w:color w:val="auto"/>
              </w:rPr>
            </w:pPr>
            <w:r>
              <w:rPr>
                <w:rFonts w:ascii="Arial" w:cs="Arial" w:eastAsia="Arial" w:hAnsi="Arial"/>
                <w:sz w:val="22"/>
                <w:szCs w:val="22"/>
                <w:b w:val="1"/>
                <w:bCs w:val="1"/>
                <w:color w:val="auto"/>
                <w:w w:val="97"/>
              </w:rPr>
              <w:t>10</w:t>
            </w:r>
          </w:p>
        </w:tc>
      </w:tr>
    </w:tbl>
    <w:p>
      <w:pPr>
        <w:spacing w:after="0" w:line="200" w:lineRule="exact"/>
        <w:rPr>
          <w:sz w:val="20"/>
          <w:szCs w:val="20"/>
          <w:color w:val="auto"/>
        </w:rPr>
      </w:pP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Arial" w:cs="Arial" w:eastAsia="Arial" w:hAnsi="Arial"/>
                <w:sz w:val="22"/>
                <w:szCs w:val="22"/>
                <w:color w:val="auto"/>
              </w:rPr>
              <w:t>PA-03735</w:t>
            </w:r>
          </w:p>
        </w:tc>
        <w:tc>
          <w:tcPr>
            <w:tcW w:w="7960" w:type="dxa"/>
            <w:vAlign w:val="bottom"/>
          </w:tcPr>
          <w:p>
            <w:pPr>
              <w:ind w:left="7360"/>
              <w:spacing w:after="0"/>
              <w:rPr>
                <w:sz w:val="20"/>
                <w:szCs w:val="20"/>
                <w:color w:val="auto"/>
              </w:rPr>
            </w:pPr>
            <w:r>
              <w:rPr>
                <w:rFonts w:ascii="Arial" w:cs="Arial" w:eastAsia="Arial" w:hAnsi="Arial"/>
                <w:sz w:val="22"/>
                <w:szCs w:val="22"/>
                <w:color w:val="auto"/>
                <w:w w:val="94"/>
              </w:rPr>
              <w:t>SA-10</w:t>
            </w:r>
          </w:p>
        </w:tc>
        <w:tc>
          <w:tcPr>
            <w:tcW w:w="0" w:type="dxa"/>
            <w:vAlign w:val="bottom"/>
          </w:tcPr>
          <w:p>
            <w:pPr>
              <w:spacing w:after="0"/>
              <w:rPr>
                <w:sz w:val="1"/>
                <w:szCs w:val="1"/>
                <w:color w:val="auto"/>
              </w:rPr>
            </w:pPr>
          </w:p>
        </w:tc>
      </w:tr>
      <w:tr>
        <w:trPr>
          <w:trHeight w:val="294"/>
        </w:trPr>
        <w:tc>
          <w:tcPr>
            <w:tcW w:w="2420" w:type="dxa"/>
            <w:vAlign w:val="bottom"/>
            <w:vMerge w:val="continue"/>
          </w:tcPr>
          <w:p>
            <w:pPr>
              <w:spacing w:after="0"/>
              <w:rPr>
                <w:sz w:val="24"/>
                <w:szCs w:val="24"/>
                <w:color w:val="auto"/>
              </w:rPr>
            </w:pPr>
          </w:p>
        </w:tc>
        <w:tc>
          <w:tcPr>
            <w:tcW w:w="7960" w:type="dxa"/>
            <w:vAlign w:val="bottom"/>
          </w:tcPr>
          <w:p>
            <w:pPr>
              <w:ind w:left="1480"/>
              <w:spacing w:after="0"/>
              <w:rPr>
                <w:sz w:val="20"/>
                <w:szCs w:val="20"/>
                <w:color w:val="auto"/>
              </w:rPr>
            </w:pPr>
            <w:r>
              <w:rPr>
                <w:rFonts w:ascii="Arial" w:cs="Arial" w:eastAsia="Arial" w:hAnsi="Arial"/>
                <w:sz w:val="22"/>
                <w:szCs w:val="22"/>
                <w:color w:val="auto"/>
              </w:rPr>
              <w:t>TABLE OF CONTENTS, Page 1 of 2</w:t>
            </w:r>
          </w:p>
        </w:tc>
        <w:tc>
          <w:tcPr>
            <w:tcW w:w="0" w:type="dxa"/>
            <w:vAlign w:val="bottom"/>
          </w:tcPr>
          <w:p>
            <w:pPr>
              <w:spacing w:after="0"/>
              <w:rPr>
                <w:sz w:val="1"/>
                <w:szCs w:val="1"/>
                <w:color w:val="auto"/>
              </w:rPr>
            </w:pPr>
          </w:p>
        </w:tc>
      </w:tr>
    </w:tbl>
    <w:p>
      <w:pPr>
        <w:jc w:val="center"/>
        <w:ind w:right="-2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60"/>
          </w:cols>
          <w:pgMar w:left="280" w:top="576" w:right="559" w:bottom="323" w:gutter="0" w:footer="0" w:header="0"/>
        </w:sectPr>
      </w:pPr>
    </w:p>
    <w:p>
      <w:pPr>
        <w:spacing w:after="0" w:line="57" w:lineRule="exact"/>
        <w:rPr>
          <w:sz w:val="20"/>
          <w:szCs w:val="20"/>
          <w:color w:val="auto"/>
        </w:rPr>
      </w:pPr>
    </w:p>
    <w:p>
      <w:pPr>
        <w:ind w:left="80" w:right="380"/>
        <w:spacing w:after="0" w:line="291" w:lineRule="auto"/>
        <w:rPr>
          <w:sz w:val="20"/>
          <w:szCs w:val="20"/>
          <w:color w:val="auto"/>
        </w:rPr>
      </w:pPr>
      <w:r>
        <w:rPr>
          <w:rFonts w:ascii="Arial" w:cs="Arial" w:eastAsia="Arial" w:hAnsi="Arial"/>
          <w:sz w:val="16"/>
          <w:szCs w:val="16"/>
          <w:color w:val="auto"/>
        </w:rPr>
        <w:t>[****]=[CONFIDENTIAL PORTION HAS BEEN OMITTED BECAUSE IT (I) IS NOT MATERIAL AND (II) WOULD BE COMPETITIVELY HARMFUL IF PUBLICLY DISCLOSED]</w:t>
      </w:r>
    </w:p>
    <w:p>
      <w:pPr>
        <w:sectPr>
          <w:pgSz w:w="11900" w:h="16838" w:orient="portrait"/>
          <w:cols w:equalWidth="0" w:num="1">
            <w:col w:w="11060"/>
          </w:cols>
          <w:pgMar w:left="280" w:top="576" w:right="559" w:bottom="323" w:gutter="0" w:footer="0" w:header="0"/>
          <w:type w:val="continuous"/>
        </w:sectPr>
      </w:pPr>
    </w:p>
    <w:bookmarkStart w:id="80" w:name="page81"/>
    <w:bookmarkEnd w:id="80"/>
    <w:tbl>
      <w:tblPr>
        <w:tblLayout w:type="fixed"/>
        <w:tblInd w:w="32" w:type="dxa"/>
        <w:tblCellMar>
          <w:top w:w="0" w:type="dxa"/>
          <w:left w:w="0" w:type="dxa"/>
          <w:bottom w:w="0" w:type="dxa"/>
          <w:right w:w="0" w:type="dxa"/>
        </w:tblCellMar>
      </w:tblPr>
      <w:tr>
        <w:trPr>
          <w:trHeight w:val="306"/>
        </w:trPr>
        <w:tc>
          <w:tcPr>
            <w:tcW w:w="1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520" w:type="dxa"/>
            <w:vAlign w:val="bottom"/>
          </w:tcPr>
          <w:p>
            <w:pPr>
              <w:ind w:left="360"/>
              <w:spacing w:after="0"/>
              <w:rPr>
                <w:sz w:val="20"/>
                <w:szCs w:val="20"/>
                <w:color w:val="auto"/>
              </w:rPr>
            </w:pPr>
            <w:r>
              <w:rPr>
                <w:rFonts w:ascii="Arial" w:cs="Arial" w:eastAsia="Arial" w:hAnsi="Arial"/>
                <w:sz w:val="22"/>
                <w:szCs w:val="22"/>
                <w:b w:val="1"/>
                <w:bCs w:val="1"/>
                <w:color w:val="auto"/>
              </w:rPr>
              <w:t>TABLE OF CONTENTS, continued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5"/>
        </w:trPr>
        <w:tc>
          <w:tcPr>
            <w:tcW w:w="1960" w:type="dxa"/>
            <w:vAlign w:val="bottom"/>
          </w:tcPr>
          <w:p>
            <w:pPr>
              <w:spacing w:after="0"/>
              <w:rPr>
                <w:sz w:val="20"/>
                <w:szCs w:val="20"/>
                <w:color w:val="auto"/>
              </w:rPr>
            </w:pPr>
            <w:r>
              <w:rPr>
                <w:rFonts w:ascii="Arial" w:cs="Arial" w:eastAsia="Arial" w:hAnsi="Arial"/>
                <w:sz w:val="22"/>
                <w:szCs w:val="22"/>
                <w:color w:val="auto"/>
              </w:rPr>
              <w:t>LA-1106660</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Spare Parts Initial Provisioning</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1010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LETTER AGREEMENTS, continued</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131"/>
        </w:trPr>
        <w:tc>
          <w:tcPr>
            <w:tcW w:w="10100" w:type="dxa"/>
            <w:vAlign w:val="bottom"/>
            <w:gridSpan w:val="3"/>
            <w:vMerge w:val="continue"/>
          </w:tcPr>
          <w:p>
            <w:pPr>
              <w:spacing w:after="0"/>
              <w:rPr>
                <w:sz w:val="11"/>
                <w:szCs w:val="11"/>
                <w:color w:val="auto"/>
              </w:rPr>
            </w:pPr>
          </w:p>
        </w:tc>
        <w:tc>
          <w:tcPr>
            <w:tcW w:w="960" w:type="dxa"/>
            <w:vAlign w:val="bottom"/>
            <w:vMerge w:val="restart"/>
          </w:tcPr>
          <w:p>
            <w:pPr>
              <w:jc w:val="center"/>
              <w:spacing w:after="0" w:line="239" w:lineRule="exact"/>
              <w:rPr>
                <w:sz w:val="20"/>
                <w:szCs w:val="20"/>
                <w:color w:val="auto"/>
              </w:rPr>
            </w:pPr>
            <w:r>
              <w:rPr>
                <w:rFonts w:ascii="Arial" w:cs="Arial" w:eastAsia="Arial" w:hAnsi="Arial"/>
                <w:sz w:val="22"/>
                <w:szCs w:val="22"/>
                <w:b w:val="1"/>
                <w:bCs w:val="1"/>
                <w:color w:val="auto"/>
                <w:w w:val="99"/>
              </w:rPr>
              <w:t>NUMBER</w:t>
            </w:r>
          </w:p>
        </w:tc>
        <w:tc>
          <w:tcPr>
            <w:tcW w:w="0" w:type="dxa"/>
            <w:vAlign w:val="bottom"/>
          </w:tcPr>
          <w:p>
            <w:pPr>
              <w:spacing w:after="0"/>
              <w:rPr>
                <w:sz w:val="1"/>
                <w:szCs w:val="1"/>
                <w:color w:val="auto"/>
              </w:rPr>
            </w:pPr>
          </w:p>
        </w:tc>
      </w:tr>
      <w:tr>
        <w:trPr>
          <w:trHeight w:val="93"/>
        </w:trPr>
        <w:tc>
          <w:tcPr>
            <w:tcW w:w="1960" w:type="dxa"/>
            <w:vAlign w:val="bottom"/>
            <w:tcBorders>
              <w:top w:val="single" w:sz="8" w:color="auto"/>
            </w:tcBorders>
          </w:tcPr>
          <w:p>
            <w:pPr>
              <w:spacing w:after="0"/>
              <w:rPr>
                <w:sz w:val="7"/>
                <w:szCs w:val="7"/>
                <w:color w:val="auto"/>
              </w:rPr>
            </w:pPr>
          </w:p>
        </w:tc>
        <w:tc>
          <w:tcPr>
            <w:tcW w:w="1620" w:type="dxa"/>
            <w:vAlign w:val="bottom"/>
            <w:tcBorders>
              <w:top w:val="single" w:sz="8" w:color="auto"/>
            </w:tcBorders>
          </w:tcPr>
          <w:p>
            <w:pPr>
              <w:spacing w:after="0"/>
              <w:rPr>
                <w:sz w:val="7"/>
                <w:szCs w:val="7"/>
                <w:color w:val="auto"/>
              </w:rPr>
            </w:pPr>
          </w:p>
        </w:tc>
        <w:tc>
          <w:tcPr>
            <w:tcW w:w="6520" w:type="dxa"/>
            <w:vAlign w:val="bottom"/>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4"/>
        </w:trPr>
        <w:tc>
          <w:tcPr>
            <w:tcW w:w="1960" w:type="dxa"/>
            <w:vAlign w:val="bottom"/>
          </w:tcPr>
          <w:p>
            <w:pPr>
              <w:spacing w:after="0"/>
              <w:rPr>
                <w:sz w:val="20"/>
                <w:szCs w:val="20"/>
                <w:color w:val="auto"/>
              </w:rPr>
            </w:pPr>
            <w:r>
              <w:rPr>
                <w:rFonts w:ascii="Arial" w:cs="Arial" w:eastAsia="Arial" w:hAnsi="Arial"/>
                <w:sz w:val="22"/>
                <w:szCs w:val="22"/>
                <w:color w:val="auto"/>
              </w:rPr>
              <w:t>LA-1106661R2</w:t>
            </w:r>
          </w:p>
        </w:tc>
        <w:tc>
          <w:tcPr>
            <w:tcW w:w="1620" w:type="dxa"/>
            <w:vAlign w:val="bottom"/>
          </w:tcPr>
          <w:p>
            <w:pPr>
              <w:ind w:left="440"/>
              <w:spacing w:after="0"/>
              <w:rPr>
                <w:sz w:val="20"/>
                <w:szCs w:val="20"/>
                <w:color w:val="auto"/>
              </w:rPr>
            </w:pPr>
            <w:r>
              <w:rPr>
                <w:rFonts w:ascii="Arial" w:cs="Arial" w:eastAsia="Arial" w:hAnsi="Arial"/>
                <w:sz w:val="22"/>
                <w:szCs w:val="22"/>
                <w:color w:val="auto"/>
              </w:rPr>
              <w:t>[****]</w:t>
            </w:r>
          </w:p>
        </w:tc>
        <w:tc>
          <w:tcPr>
            <w:tcW w:w="6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LA-1106667</w:t>
            </w:r>
          </w:p>
        </w:tc>
        <w:tc>
          <w:tcPr>
            <w:tcW w:w="1620" w:type="dxa"/>
            <w:vAlign w:val="bottom"/>
          </w:tcPr>
          <w:p>
            <w:pPr>
              <w:ind w:left="440"/>
              <w:spacing w:after="0"/>
              <w:rPr>
                <w:sz w:val="20"/>
                <w:szCs w:val="20"/>
                <w:color w:val="auto"/>
              </w:rPr>
            </w:pPr>
            <w:r>
              <w:rPr>
                <w:rFonts w:ascii="Arial" w:cs="Arial" w:eastAsia="Arial" w:hAnsi="Arial"/>
                <w:sz w:val="22"/>
                <w:szCs w:val="22"/>
                <w:color w:val="auto"/>
              </w:rPr>
              <w:t>[****]</w:t>
            </w:r>
          </w:p>
        </w:tc>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LA-1106668R1</w:t>
            </w:r>
          </w:p>
        </w:tc>
        <w:tc>
          <w:tcPr>
            <w:tcW w:w="1620" w:type="dxa"/>
            <w:vAlign w:val="bottom"/>
          </w:tcPr>
          <w:p>
            <w:pPr>
              <w:ind w:left="440"/>
              <w:spacing w:after="0"/>
              <w:rPr>
                <w:sz w:val="20"/>
                <w:szCs w:val="20"/>
                <w:color w:val="auto"/>
              </w:rPr>
            </w:pPr>
            <w:r>
              <w:rPr>
                <w:rFonts w:ascii="Arial" w:cs="Arial" w:eastAsia="Arial" w:hAnsi="Arial"/>
                <w:sz w:val="22"/>
                <w:szCs w:val="22"/>
                <w:color w:val="auto"/>
              </w:rPr>
              <w:t>[****]</w:t>
            </w:r>
          </w:p>
        </w:tc>
        <w:tc>
          <w:tcPr>
            <w:tcW w:w="6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LA-1106669</w:t>
            </w:r>
          </w:p>
        </w:tc>
        <w:tc>
          <w:tcPr>
            <w:tcW w:w="1620" w:type="dxa"/>
            <w:vAlign w:val="bottom"/>
          </w:tcPr>
          <w:p>
            <w:pPr>
              <w:ind w:left="440"/>
              <w:spacing w:after="0"/>
              <w:rPr>
                <w:sz w:val="20"/>
                <w:szCs w:val="20"/>
                <w:color w:val="auto"/>
              </w:rPr>
            </w:pPr>
            <w:r>
              <w:rPr>
                <w:rFonts w:ascii="Arial" w:cs="Arial" w:eastAsia="Arial" w:hAnsi="Arial"/>
                <w:sz w:val="22"/>
                <w:szCs w:val="22"/>
                <w:color w:val="auto"/>
              </w:rPr>
              <w:t>[****]</w:t>
            </w:r>
          </w:p>
        </w:tc>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LA-1106670</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LA-1106671R1</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Miscellaneous Commitments</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LA-1106672</w:t>
            </w:r>
          </w:p>
        </w:tc>
        <w:tc>
          <w:tcPr>
            <w:tcW w:w="1620" w:type="dxa"/>
            <w:vAlign w:val="bottom"/>
          </w:tcPr>
          <w:p>
            <w:pPr>
              <w:ind w:left="440"/>
              <w:spacing w:after="0"/>
              <w:rPr>
                <w:sz w:val="20"/>
                <w:szCs w:val="20"/>
                <w:color w:val="auto"/>
              </w:rPr>
            </w:pPr>
            <w:r>
              <w:rPr>
                <w:rFonts w:ascii="Arial" w:cs="Arial" w:eastAsia="Arial" w:hAnsi="Arial"/>
                <w:sz w:val="22"/>
                <w:szCs w:val="22"/>
                <w:color w:val="auto"/>
              </w:rPr>
              <w:t>[****]</w:t>
            </w:r>
          </w:p>
        </w:tc>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LA-1106673R1*</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CS1 Special Matters</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LA-1106677</w:t>
            </w:r>
          </w:p>
        </w:tc>
        <w:tc>
          <w:tcPr>
            <w:tcW w:w="8140" w:type="dxa"/>
            <w:vAlign w:val="bottom"/>
            <w:gridSpan w:val="2"/>
          </w:tcPr>
          <w:p>
            <w:pPr>
              <w:ind w:left="440"/>
              <w:spacing w:after="0"/>
              <w:rPr>
                <w:sz w:val="20"/>
                <w:szCs w:val="20"/>
                <w:color w:val="auto"/>
              </w:rPr>
            </w:pPr>
            <w:r>
              <w:rPr>
                <w:rFonts w:ascii="Arial" w:cs="Arial" w:eastAsia="Arial" w:hAnsi="Arial"/>
                <w:sz w:val="22"/>
                <w:szCs w:val="22"/>
                <w:color w:val="auto"/>
              </w:rPr>
              <w:t>Optional Features Comfort Letter</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LA-1600073</w:t>
            </w:r>
          </w:p>
        </w:tc>
        <w:tc>
          <w:tcPr>
            <w:tcW w:w="1620" w:type="dxa"/>
            <w:vAlign w:val="bottom"/>
          </w:tcPr>
          <w:p>
            <w:pPr>
              <w:ind w:left="440"/>
              <w:spacing w:after="0"/>
              <w:rPr>
                <w:sz w:val="20"/>
                <w:szCs w:val="20"/>
                <w:color w:val="auto"/>
              </w:rPr>
            </w:pPr>
            <w:r>
              <w:rPr>
                <w:rFonts w:ascii="Arial" w:cs="Arial" w:eastAsia="Arial" w:hAnsi="Arial"/>
                <w:sz w:val="22"/>
                <w:szCs w:val="22"/>
                <w:color w:val="auto"/>
              </w:rPr>
              <w:t>[****]</w:t>
            </w:r>
          </w:p>
        </w:tc>
        <w:tc>
          <w:tcPr>
            <w:tcW w:w="6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LA-1600852</w:t>
            </w:r>
          </w:p>
        </w:tc>
        <w:tc>
          <w:tcPr>
            <w:tcW w:w="1620" w:type="dxa"/>
            <w:vAlign w:val="bottom"/>
          </w:tcPr>
          <w:p>
            <w:pPr>
              <w:ind w:left="440"/>
              <w:spacing w:after="0"/>
              <w:rPr>
                <w:sz w:val="20"/>
                <w:szCs w:val="20"/>
                <w:color w:val="auto"/>
              </w:rPr>
            </w:pPr>
            <w:r>
              <w:rPr>
                <w:rFonts w:ascii="Arial" w:cs="Arial" w:eastAsia="Arial" w:hAnsi="Arial"/>
                <w:sz w:val="22"/>
                <w:szCs w:val="22"/>
                <w:color w:val="auto"/>
              </w:rPr>
              <w:t>[****]</w:t>
            </w:r>
          </w:p>
        </w:tc>
        <w:tc>
          <w:tcPr>
            <w:tcW w:w="6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LA-1603773</w:t>
            </w:r>
          </w:p>
        </w:tc>
        <w:tc>
          <w:tcPr>
            <w:tcW w:w="1620" w:type="dxa"/>
            <w:vAlign w:val="bottom"/>
          </w:tcPr>
          <w:p>
            <w:pPr>
              <w:ind w:left="440"/>
              <w:spacing w:after="0"/>
              <w:rPr>
                <w:sz w:val="20"/>
                <w:szCs w:val="20"/>
                <w:color w:val="auto"/>
              </w:rPr>
            </w:pPr>
            <w:r>
              <w:rPr>
                <w:rFonts w:ascii="Arial" w:cs="Arial" w:eastAsia="Arial" w:hAnsi="Arial"/>
                <w:sz w:val="22"/>
                <w:szCs w:val="22"/>
                <w:color w:val="auto"/>
              </w:rPr>
              <w:t>[****]</w:t>
            </w:r>
          </w:p>
        </w:tc>
        <w:tc>
          <w:tcPr>
            <w:tcW w:w="6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LA-1605402</w:t>
            </w:r>
          </w:p>
        </w:tc>
        <w:tc>
          <w:tcPr>
            <w:tcW w:w="1620" w:type="dxa"/>
            <w:vAlign w:val="bottom"/>
          </w:tcPr>
          <w:p>
            <w:pPr>
              <w:ind w:left="440"/>
              <w:spacing w:after="0"/>
              <w:rPr>
                <w:sz w:val="20"/>
                <w:szCs w:val="20"/>
                <w:color w:val="auto"/>
              </w:rPr>
            </w:pPr>
            <w:r>
              <w:rPr>
                <w:rFonts w:ascii="Arial" w:cs="Arial" w:eastAsia="Arial" w:hAnsi="Arial"/>
                <w:sz w:val="22"/>
                <w:szCs w:val="22"/>
                <w:color w:val="auto"/>
              </w:rPr>
              <w:t>[****]</w:t>
            </w:r>
          </w:p>
        </w:tc>
        <w:tc>
          <w:tcPr>
            <w:tcW w:w="6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LA-1700919</w:t>
            </w:r>
          </w:p>
        </w:tc>
        <w:tc>
          <w:tcPr>
            <w:tcW w:w="1620" w:type="dxa"/>
            <w:vAlign w:val="bottom"/>
          </w:tcPr>
          <w:p>
            <w:pPr>
              <w:ind w:left="440"/>
              <w:spacing w:after="0"/>
              <w:rPr>
                <w:sz w:val="20"/>
                <w:szCs w:val="20"/>
                <w:color w:val="auto"/>
              </w:rPr>
            </w:pPr>
            <w:r>
              <w:rPr>
                <w:rFonts w:ascii="Arial" w:cs="Arial" w:eastAsia="Arial" w:hAnsi="Arial"/>
                <w:sz w:val="22"/>
                <w:szCs w:val="22"/>
                <w:color w:val="auto"/>
              </w:rPr>
              <w:t>[****]</w:t>
            </w:r>
          </w:p>
        </w:tc>
        <w:tc>
          <w:tcPr>
            <w:tcW w:w="6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0"/>
                <w:szCs w:val="20"/>
                <w:color w:val="auto"/>
              </w:rPr>
            </w:pPr>
            <w:r>
              <w:rPr>
                <w:rFonts w:ascii="Arial" w:cs="Arial" w:eastAsia="Arial" w:hAnsi="Arial"/>
                <w:sz w:val="22"/>
                <w:szCs w:val="22"/>
                <w:color w:val="auto"/>
              </w:rPr>
              <w:t>LA-1801206</w:t>
            </w:r>
          </w:p>
        </w:tc>
        <w:tc>
          <w:tcPr>
            <w:tcW w:w="1620" w:type="dxa"/>
            <w:vAlign w:val="bottom"/>
          </w:tcPr>
          <w:p>
            <w:pPr>
              <w:ind w:left="440"/>
              <w:spacing w:after="0"/>
              <w:rPr>
                <w:sz w:val="20"/>
                <w:szCs w:val="20"/>
                <w:color w:val="auto"/>
              </w:rPr>
            </w:pPr>
            <w:r>
              <w:rPr>
                <w:rFonts w:ascii="Arial" w:cs="Arial" w:eastAsia="Arial" w:hAnsi="Arial"/>
                <w:sz w:val="22"/>
                <w:szCs w:val="22"/>
                <w:color w:val="auto"/>
              </w:rPr>
              <w:t>[****]</w:t>
            </w:r>
          </w:p>
        </w:tc>
        <w:tc>
          <w:tcPr>
            <w:tcW w:w="6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32" w:right="60" w:hanging="332"/>
        <w:spacing w:after="0" w:line="288" w:lineRule="exact"/>
        <w:tabs>
          <w:tab w:leader="none" w:pos="152" w:val="left"/>
        </w:tabs>
        <w:numPr>
          <w:ilvl w:val="0"/>
          <w:numId w:val="56"/>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This is an intended gap as there are no Letter Agreements LA-1106674 through LA</w:t>
      </w:r>
      <w:r>
        <w:rPr>
          <w:rFonts w:ascii="MS PGothic" w:cs="MS PGothic" w:eastAsia="MS PGothic" w:hAnsi="MS PGothic"/>
          <w:sz w:val="22"/>
          <w:szCs w:val="22"/>
          <w:color w:val="auto"/>
        </w:rPr>
        <w:t>‑</w:t>
      </w:r>
      <w:r>
        <w:rPr>
          <w:rFonts w:ascii="Arial" w:cs="Arial" w:eastAsia="Arial" w:hAnsi="Arial"/>
          <w:sz w:val="22"/>
          <w:szCs w:val="22"/>
          <w:color w:val="auto"/>
        </w:rPr>
        <w:t>1106676 incorporated by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892"/>
        <w:spacing w:after="0"/>
        <w:rPr>
          <w:sz w:val="20"/>
          <w:szCs w:val="20"/>
          <w:color w:val="auto"/>
        </w:rPr>
      </w:pPr>
      <w:r>
        <w:rPr>
          <w:rFonts w:ascii="Arial" w:cs="Arial" w:eastAsia="Arial" w:hAnsi="Arial"/>
          <w:sz w:val="22"/>
          <w:szCs w:val="22"/>
          <w:color w:val="auto"/>
        </w:rPr>
        <w:t>SA-10</w:t>
      </w:r>
    </w:p>
    <w:tbl>
      <w:tblPr>
        <w:tblLayout w:type="fixed"/>
        <w:tblInd w:w="112" w:type="dxa"/>
        <w:tblCellMar>
          <w:top w:w="0" w:type="dxa"/>
          <w:left w:w="0" w:type="dxa"/>
          <w:bottom w:w="0" w:type="dxa"/>
          <w:right w:w="0" w:type="dxa"/>
        </w:tblCellMar>
      </w:tblPr>
      <w:tr>
        <w:trPr>
          <w:trHeight w:val="267"/>
        </w:trPr>
        <w:tc>
          <w:tcPr>
            <w:tcW w:w="2420" w:type="dxa"/>
            <w:vAlign w:val="bottom"/>
          </w:tcPr>
          <w:p>
            <w:pPr>
              <w:spacing w:after="0"/>
              <w:rPr>
                <w:sz w:val="20"/>
                <w:szCs w:val="20"/>
                <w:color w:val="auto"/>
              </w:rPr>
            </w:pPr>
            <w:r>
              <w:rPr>
                <w:rFonts w:ascii="Arial" w:cs="Arial" w:eastAsia="Arial" w:hAnsi="Arial"/>
                <w:sz w:val="22"/>
                <w:szCs w:val="22"/>
                <w:color w:val="auto"/>
              </w:rPr>
              <w:t>PA-03735</w:t>
            </w:r>
          </w:p>
        </w:tc>
        <w:tc>
          <w:tcPr>
            <w:tcW w:w="4980" w:type="dxa"/>
            <w:vAlign w:val="bottom"/>
          </w:tcPr>
          <w:p>
            <w:pPr>
              <w:ind w:left="1480"/>
              <w:spacing w:after="0"/>
              <w:rPr>
                <w:sz w:val="20"/>
                <w:szCs w:val="20"/>
                <w:color w:val="auto"/>
              </w:rPr>
            </w:pPr>
            <w:r>
              <w:rPr>
                <w:rFonts w:ascii="Arial" w:cs="Arial" w:eastAsia="Arial" w:hAnsi="Arial"/>
                <w:sz w:val="22"/>
                <w:szCs w:val="22"/>
                <w:color w:val="auto"/>
                <w:w w:val="97"/>
              </w:rPr>
              <w:t>TABLE OF CONTENTS, Page 2 of 2</w:t>
            </w:r>
          </w:p>
        </w:tc>
      </w:tr>
      <w:tr>
        <w:trPr>
          <w:trHeight w:val="306"/>
        </w:trPr>
        <w:tc>
          <w:tcPr>
            <w:tcW w:w="2420" w:type="dxa"/>
            <w:vAlign w:val="bottom"/>
          </w:tcPr>
          <w:p>
            <w:pPr>
              <w:spacing w:after="0"/>
              <w:rPr>
                <w:sz w:val="24"/>
                <w:szCs w:val="24"/>
                <w:color w:val="auto"/>
              </w:rPr>
            </w:pPr>
          </w:p>
        </w:tc>
        <w:tc>
          <w:tcPr>
            <w:tcW w:w="4980" w:type="dxa"/>
            <w:vAlign w:val="bottom"/>
          </w:tcPr>
          <w:p>
            <w:pPr>
              <w:ind w:left="1940"/>
              <w:spacing w:after="0"/>
              <w:rPr>
                <w:sz w:val="20"/>
                <w:szCs w:val="20"/>
                <w:color w:val="auto"/>
              </w:rPr>
            </w:pPr>
            <w:r>
              <w:rPr>
                <w:rFonts w:ascii="Arial" w:cs="Arial" w:eastAsia="Arial" w:hAnsi="Arial"/>
                <w:sz w:val="22"/>
                <w:szCs w:val="22"/>
                <w:b w:val="1"/>
                <w:bCs w:val="1"/>
                <w:color w:val="auto"/>
              </w:rPr>
              <w:t>BOEING PROPRIETARY</w:t>
            </w:r>
          </w:p>
        </w:tc>
      </w:tr>
    </w:tbl>
    <w:p>
      <w:pPr>
        <w:spacing w:after="0" w:line="10" w:lineRule="exact"/>
        <w:rPr>
          <w:sz w:val="20"/>
          <w:szCs w:val="20"/>
          <w:color w:val="auto"/>
        </w:rPr>
      </w:pPr>
    </w:p>
    <w:p>
      <w:pPr>
        <w:ind w:left="112" w:right="380"/>
        <w:spacing w:after="0" w:line="291" w:lineRule="auto"/>
        <w:rPr>
          <w:sz w:val="20"/>
          <w:szCs w:val="20"/>
          <w:color w:val="auto"/>
        </w:rPr>
      </w:pPr>
      <w:r>
        <w:rPr>
          <w:rFonts w:ascii="Arial" w:cs="Arial" w:eastAsia="Arial" w:hAnsi="Arial"/>
          <w:sz w:val="16"/>
          <w:szCs w:val="16"/>
          <w:color w:val="auto"/>
        </w:rPr>
        <w:t>[****]=[CONFIDENTIAL PORTION HAS BEEN OMITTED BECAUSE IT (I) IS NOT MATERIAL AND (II) WOULD BE COMPETITIVELY HARMFUL IF PUBLICLY DISCLOSED]</w:t>
      </w:r>
    </w:p>
    <w:p>
      <w:pPr>
        <w:sectPr>
          <w:pgSz w:w="11900" w:h="16838" w:orient="portrait"/>
          <w:cols w:equalWidth="0" w:num="1">
            <w:col w:w="11092"/>
          </w:cols>
          <w:pgMar w:left="248" w:top="373" w:right="559" w:bottom="1440" w:gutter="0" w:footer="0" w:header="0"/>
        </w:sectPr>
      </w:pPr>
    </w:p>
    <w:bookmarkStart w:id="81" w:name="page82"/>
    <w:bookmarkEnd w:id="81"/>
    <w:p>
      <w:pPr>
        <w:jc w:val="center"/>
        <w:ind w:right="-479"/>
        <w:spacing w:after="0"/>
        <w:rPr>
          <w:sz w:val="20"/>
          <w:szCs w:val="20"/>
          <w:color w:val="auto"/>
        </w:rPr>
      </w:pPr>
      <w:r>
        <w:rPr>
          <w:rFonts w:ascii="Times New Roman" w:cs="Times New Roman" w:eastAsia="Times New Roman" w:hAnsi="Times New Roman"/>
          <w:sz w:val="25"/>
          <w:szCs w:val="25"/>
          <w:b w:val="1"/>
          <w:bCs w:val="1"/>
          <w:color w:val="auto"/>
        </w:rPr>
        <w:t>Table 1R5 To</w:t>
      </w:r>
    </w:p>
    <w:p>
      <w:pPr>
        <w:spacing w:after="0" w:line="4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5"/>
          <w:szCs w:val="25"/>
          <w:b w:val="1"/>
          <w:bCs w:val="1"/>
          <w:color w:val="auto"/>
        </w:rPr>
        <w:t>Purchase Agreement No. PA-03735</w:t>
      </w:r>
    </w:p>
    <w:p>
      <w:pPr>
        <w:spacing w:after="0" w:line="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5"/>
          <w:szCs w:val="25"/>
          <w:b w:val="1"/>
          <w:bCs w:val="1"/>
          <w:color w:val="auto"/>
        </w:rPr>
        <w:t>737-8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6"/>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Detail Specification:</w:t>
            </w:r>
          </w:p>
        </w:tc>
        <w:tc>
          <w:tcPr>
            <w:tcW w:w="14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w w:val="95"/>
              </w:rPr>
              <w:t>[****]</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Model/MTOW:  </w:t>
            </w:r>
            <w:r>
              <w:rPr>
                <w:rFonts w:ascii="Times New Roman" w:cs="Times New Roman" w:eastAsia="Times New Roman" w:hAnsi="Times New Roman"/>
                <w:sz w:val="18"/>
                <w:szCs w:val="18"/>
                <w:color w:val="auto"/>
              </w:rPr>
              <w:t>737-8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Engine Model/Thrust: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Airframe Price Base</w:t>
            </w: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CFMLEAP-1B25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Year/Escalation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Engine Price Base</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Year/Escalation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80" w:type="dxa"/>
            <w:vAlign w:val="bottom"/>
          </w:tcPr>
          <w:p>
            <w:pPr>
              <w:spacing w:after="0"/>
              <w:rPr>
                <w:sz w:val="24"/>
                <w:szCs w:val="24"/>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80" w:type="dxa"/>
            <w:vAlign w:val="bottom"/>
          </w:tcPr>
          <w:p>
            <w:pPr>
              <w:spacing w:after="0"/>
              <w:rPr>
                <w:sz w:val="24"/>
                <w:szCs w:val="24"/>
                <w:color w:val="auto"/>
              </w:rPr>
            </w:pPr>
          </w:p>
        </w:tc>
        <w:tc>
          <w:tcPr>
            <w:tcW w:w="268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Sub-Total of Airframe and</w:t>
            </w:r>
          </w:p>
        </w:tc>
        <w:tc>
          <w:tcPr>
            <w:tcW w:w="140" w:type="dxa"/>
            <w:vAlign w:val="bottom"/>
          </w:tcPr>
          <w:p>
            <w:pPr>
              <w:spacing w:after="0"/>
              <w:rPr>
                <w:sz w:val="24"/>
                <w:szCs w:val="24"/>
                <w:color w:val="auto"/>
              </w:rPr>
            </w:pPr>
          </w:p>
        </w:tc>
        <w:tc>
          <w:tcPr>
            <w:tcW w:w="134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Airframe Escalation</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Features: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Data:</w:t>
            </w: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268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Engine Price (Per Aircraft):</w:t>
            </w:r>
          </w:p>
        </w:tc>
        <w:tc>
          <w:tcPr>
            <w:tcW w:w="140" w:type="dxa"/>
            <w:vAlign w:val="bottom"/>
          </w:tcPr>
          <w:p>
            <w:pPr>
              <w:spacing w:after="0"/>
              <w:rPr>
                <w:sz w:val="24"/>
                <w:szCs w:val="24"/>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 w:type="dxa"/>
            <w:vAlign w:val="bottom"/>
          </w:tcPr>
          <w:p>
            <w:pPr>
              <w:spacing w:after="0"/>
              <w:rPr>
                <w:sz w:val="24"/>
                <w:szCs w:val="24"/>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Aircraft Basic Price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(Excluding BFE/SPE):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2600" w:type="dxa"/>
            <w:vAlign w:val="bottom"/>
            <w:gridSpan w:val="5"/>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2500" w:type="dxa"/>
            <w:vAlign w:val="bottom"/>
            <w:gridSpan w:val="4"/>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Buyer Furnished Equipment</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4"/>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(BFE) Estimate: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268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Seller Purchased Equipment</w:t>
            </w:r>
          </w:p>
        </w:tc>
        <w:tc>
          <w:tcPr>
            <w:tcW w:w="140" w:type="dxa"/>
            <w:vAlign w:val="bottom"/>
          </w:tcPr>
          <w:p>
            <w:pPr>
              <w:spacing w:after="0"/>
              <w:rPr>
                <w:sz w:val="24"/>
                <w:szCs w:val="24"/>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(SPE) Estimate: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268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LIFT Seats Provided by</w:t>
            </w:r>
          </w:p>
        </w:tc>
        <w:tc>
          <w:tcPr>
            <w:tcW w:w="140" w:type="dxa"/>
            <w:vAlign w:val="bottom"/>
          </w:tcPr>
          <w:p>
            <w:pPr>
              <w:spacing w:after="0"/>
              <w:rPr>
                <w:sz w:val="24"/>
                <w:szCs w:val="24"/>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Boeing (Estimate):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Deposit per Aircraft: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spacing w:after="0"/>
              <w:rPr>
                <w:sz w:val="10"/>
                <w:szCs w:val="10"/>
                <w:color w:val="auto"/>
              </w:rPr>
            </w:pPr>
          </w:p>
        </w:tc>
        <w:tc>
          <w:tcPr>
            <w:tcW w:w="440" w:type="dxa"/>
            <w:vAlign w:val="bottom"/>
            <w:tcBorders>
              <w:bottom w:val="single" w:sz="8" w:color="auto"/>
            </w:tcBorders>
            <w:gridSpan w:val="2"/>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800" w:type="dxa"/>
            <w:vAlign w:val="bottom"/>
            <w:tcBorders>
              <w:right w:val="single" w:sz="8" w:color="auto"/>
            </w:tcBorders>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900" w:type="dxa"/>
            <w:vAlign w:val="bottom"/>
            <w:tcBorders>
              <w:right w:val="single" w:sz="8" w:color="auto"/>
            </w:tcBorders>
            <w:shd w:val="clear" w:color="auto" w:fill="C0C0C0"/>
          </w:tcPr>
          <w:p>
            <w:pPr>
              <w:spacing w:after="0"/>
              <w:rPr>
                <w:sz w:val="19"/>
                <w:szCs w:val="19"/>
                <w:color w:val="auto"/>
              </w:rPr>
            </w:pP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40" w:type="dxa"/>
            <w:vAlign w:val="bottom"/>
          </w:tcPr>
          <w:p>
            <w:pPr>
              <w:spacing w:after="0"/>
              <w:rPr>
                <w:sz w:val="19"/>
                <w:szCs w:val="19"/>
                <w:color w:val="auto"/>
              </w:rPr>
            </w:pPr>
          </w:p>
        </w:tc>
        <w:tc>
          <w:tcPr>
            <w:tcW w:w="396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Advance Payment Per Aircraft (Amts. Due/Mos.</w:t>
            </w: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8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vMerge w:val="restart"/>
            <w:shd w:val="clear" w:color="auto" w:fill="C0C0C0"/>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Manufacturer</w:t>
            </w:r>
          </w:p>
        </w:tc>
        <w:tc>
          <w:tcPr>
            <w:tcW w:w="1240" w:type="dxa"/>
            <w:vAlign w:val="bottom"/>
            <w:tcBorders>
              <w:right w:val="single" w:sz="8" w:color="auto"/>
            </w:tcBorders>
            <w:gridSpan w:val="2"/>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Prior to Delivery):</w:t>
            </w: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rPr>
              <w:t>Delivery</w:t>
            </w:r>
          </w:p>
        </w:tc>
        <w:tc>
          <w:tcPr>
            <w:tcW w:w="78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gridSpan w:val="3"/>
            <w:vMerge w:val="continue"/>
            <w:shd w:val="clear" w:color="auto" w:fill="C0C0C0"/>
          </w:tcPr>
          <w:p>
            <w:pPr>
              <w:spacing w:after="0"/>
              <w:rPr>
                <w:sz w:val="9"/>
                <w:szCs w:val="9"/>
                <w:color w:val="auto"/>
              </w:rPr>
            </w:pPr>
          </w:p>
        </w:tc>
        <w:tc>
          <w:tcPr>
            <w:tcW w:w="1240" w:type="dxa"/>
            <w:vAlign w:val="bottom"/>
            <w:tcBorders>
              <w:right w:val="single" w:sz="8" w:color="auto"/>
            </w:tcBorders>
            <w:gridSpan w:val="2"/>
            <w:vMerge w:val="continue"/>
            <w:shd w:val="clear" w:color="auto" w:fill="C0C0C0"/>
          </w:tcPr>
          <w:p>
            <w:pPr>
              <w:spacing w:after="0"/>
              <w:rPr>
                <w:sz w:val="9"/>
                <w:szCs w:val="9"/>
                <w:color w:val="auto"/>
              </w:rPr>
            </w:pPr>
          </w:p>
        </w:tc>
        <w:tc>
          <w:tcPr>
            <w:tcW w:w="1000" w:type="dxa"/>
            <w:vAlign w:val="bottom"/>
            <w:tcBorders>
              <w:right w:val="single" w:sz="8" w:color="auto"/>
            </w:tcBorders>
            <w:gridSpan w:val="2"/>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9"/>
              </w:rPr>
              <w:t>Adv</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8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6"/>
                <w:szCs w:val="6"/>
                <w:color w:val="auto"/>
              </w:rPr>
            </w:pPr>
          </w:p>
        </w:tc>
        <w:tc>
          <w:tcPr>
            <w:tcW w:w="740" w:type="dxa"/>
            <w:vAlign w:val="bottom"/>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Factor</w:t>
            </w:r>
          </w:p>
        </w:tc>
        <w:tc>
          <w:tcPr>
            <w:tcW w:w="14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160" w:type="dxa"/>
            <w:vAlign w:val="bottom"/>
            <w:tcBorders>
              <w:bottom w:val="single" w:sz="8" w:color="C0C0C0"/>
              <w:right w:val="single" w:sz="8" w:color="auto"/>
            </w:tcBorders>
            <w:gridSpan w:val="3"/>
            <w:vMerge w:val="restart"/>
            <w:shd w:val="clear" w:color="auto" w:fill="C0C0C0"/>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Serial</w:t>
            </w:r>
          </w:p>
        </w:tc>
        <w:tc>
          <w:tcPr>
            <w:tcW w:w="1240" w:type="dxa"/>
            <w:vAlign w:val="bottom"/>
            <w:tcBorders>
              <w:bottom w:val="single" w:sz="8" w:color="C0C0C0"/>
              <w:right w:val="single" w:sz="8" w:color="auto"/>
            </w:tcBorders>
            <w:gridSpan w:val="2"/>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1000" w:type="dxa"/>
            <w:vAlign w:val="bottom"/>
            <w:tcBorders>
              <w:right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78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gridSpan w:val="3"/>
            <w:vMerge w:val="continue"/>
            <w:shd w:val="clear" w:color="auto" w:fill="C0C0C0"/>
          </w:tcPr>
          <w:p>
            <w:pPr>
              <w:spacing w:after="0"/>
              <w:rPr>
                <w:sz w:val="10"/>
                <w:szCs w:val="10"/>
                <w:color w:val="auto"/>
              </w:rPr>
            </w:pPr>
          </w:p>
        </w:tc>
        <w:tc>
          <w:tcPr>
            <w:tcW w:w="1240" w:type="dxa"/>
            <w:vAlign w:val="bottom"/>
            <w:tcBorders>
              <w:right w:val="single" w:sz="8" w:color="auto"/>
            </w:tcBorders>
            <w:gridSpan w:val="2"/>
            <w:vMerge w:val="continue"/>
            <w:shd w:val="clear" w:color="auto" w:fill="C0C0C0"/>
          </w:tcPr>
          <w:p>
            <w:pPr>
              <w:spacing w:after="0"/>
              <w:rPr>
                <w:sz w:val="10"/>
                <w:szCs w:val="10"/>
                <w:color w:val="auto"/>
              </w:rPr>
            </w:pPr>
          </w:p>
        </w:tc>
        <w:tc>
          <w:tcPr>
            <w:tcW w:w="10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40" w:type="dxa"/>
            <w:vAlign w:val="bottom"/>
          </w:tcPr>
          <w:p>
            <w:pPr>
              <w:spacing w:after="0"/>
              <w:rPr>
                <w:sz w:val="10"/>
                <w:szCs w:val="10"/>
                <w:color w:val="auto"/>
              </w:rPr>
            </w:pPr>
          </w:p>
        </w:tc>
        <w:tc>
          <w:tcPr>
            <w:tcW w:w="76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At</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80" w:type="dxa"/>
            <w:vAlign w:val="bottom"/>
          </w:tcPr>
          <w:p>
            <w:pPr>
              <w:spacing w:after="0"/>
              <w:rPr>
                <w:sz w:val="9"/>
                <w:szCs w:val="9"/>
                <w:color w:val="auto"/>
              </w:rPr>
            </w:pPr>
          </w:p>
        </w:tc>
        <w:tc>
          <w:tcPr>
            <w:tcW w:w="8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8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gridSpan w:val="3"/>
            <w:vMerge w:val="restart"/>
            <w:shd w:val="clear" w:color="auto" w:fill="C0C0C0"/>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40" w:type="dxa"/>
            <w:vAlign w:val="bottom"/>
            <w:shd w:val="clear" w:color="auto" w:fill="C0C0C0"/>
          </w:tcPr>
          <w:p>
            <w:pPr>
              <w:spacing w:after="0"/>
              <w:rPr>
                <w:sz w:val="9"/>
                <w:szCs w:val="9"/>
                <w:color w:val="auto"/>
              </w:rPr>
            </w:pPr>
          </w:p>
        </w:tc>
        <w:tc>
          <w:tcPr>
            <w:tcW w:w="900" w:type="dxa"/>
            <w:vAlign w:val="bottom"/>
            <w:tcBorders>
              <w:right w:val="single" w:sz="8" w:color="auto"/>
            </w:tcBorders>
            <w:vMerge w:val="restart"/>
            <w:shd w:val="clear" w:color="auto" w:fill="C0C0C0"/>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000" w:type="dxa"/>
            <w:vAlign w:val="bottom"/>
            <w:tcBorders>
              <w:right w:val="single" w:sz="8" w:color="auto"/>
            </w:tcBorders>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9"/>
                <w:szCs w:val="9"/>
                <w:color w:val="auto"/>
              </w:rPr>
            </w:pPr>
          </w:p>
        </w:tc>
        <w:tc>
          <w:tcPr>
            <w:tcW w:w="10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5"/>
        </w:trPr>
        <w:tc>
          <w:tcPr>
            <w:tcW w:w="3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gridSpan w:val="3"/>
            <w:vMerge w:val="continue"/>
            <w:shd w:val="clear" w:color="auto" w:fill="C0C0C0"/>
          </w:tcPr>
          <w:p>
            <w:pPr>
              <w:spacing w:after="0"/>
              <w:rPr>
                <w:sz w:val="11"/>
                <w:szCs w:val="11"/>
                <w:color w:val="auto"/>
              </w:rPr>
            </w:pPr>
          </w:p>
        </w:tc>
        <w:tc>
          <w:tcPr>
            <w:tcW w:w="340" w:type="dxa"/>
            <w:vAlign w:val="bottom"/>
            <w:shd w:val="clear" w:color="auto" w:fill="C0C0C0"/>
          </w:tcPr>
          <w:p>
            <w:pPr>
              <w:spacing w:after="0"/>
              <w:rPr>
                <w:sz w:val="11"/>
                <w:szCs w:val="11"/>
                <w:color w:val="auto"/>
              </w:rPr>
            </w:pPr>
          </w:p>
        </w:tc>
        <w:tc>
          <w:tcPr>
            <w:tcW w:w="900" w:type="dxa"/>
            <w:vAlign w:val="bottom"/>
            <w:tcBorders>
              <w:right w:val="single" w:sz="8" w:color="auto"/>
            </w:tcBorders>
            <w:vMerge w:val="continue"/>
            <w:shd w:val="clear" w:color="auto" w:fill="C0C0C0"/>
          </w:tcPr>
          <w:p>
            <w:pPr>
              <w:spacing w:after="0"/>
              <w:rPr>
                <w:sz w:val="11"/>
                <w:szCs w:val="11"/>
                <w:color w:val="auto"/>
              </w:rPr>
            </w:pPr>
          </w:p>
        </w:tc>
        <w:tc>
          <w:tcPr>
            <w:tcW w:w="10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Base Price</w:t>
            </w:r>
          </w:p>
        </w:tc>
        <w:tc>
          <w:tcPr>
            <w:tcW w:w="40" w:type="dxa"/>
            <w:vAlign w:val="bottom"/>
          </w:tcPr>
          <w:p>
            <w:pPr>
              <w:spacing w:after="0"/>
              <w:rPr>
                <w:sz w:val="11"/>
                <w:szCs w:val="11"/>
                <w:color w:val="auto"/>
              </w:rPr>
            </w:pPr>
          </w:p>
        </w:tc>
        <w:tc>
          <w:tcPr>
            <w:tcW w:w="7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Signing</w:t>
            </w: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340" w:type="dxa"/>
            <w:vAlign w:val="bottom"/>
            <w:shd w:val="clear" w:color="auto" w:fill="C0C0C0"/>
          </w:tcPr>
          <w:p>
            <w:pPr>
              <w:spacing w:after="0"/>
              <w:rPr>
                <w:sz w:val="7"/>
                <w:szCs w:val="7"/>
                <w:color w:val="auto"/>
              </w:rPr>
            </w:pPr>
          </w:p>
        </w:tc>
        <w:tc>
          <w:tcPr>
            <w:tcW w:w="20" w:type="dxa"/>
            <w:vAlign w:val="bottom"/>
            <w:shd w:val="clear" w:color="auto" w:fill="C0C0C0"/>
          </w:tcPr>
          <w:p>
            <w:pPr>
              <w:spacing w:after="0"/>
              <w:rPr>
                <w:sz w:val="7"/>
                <w:szCs w:val="7"/>
                <w:color w:val="auto"/>
              </w:rPr>
            </w:pPr>
          </w:p>
        </w:tc>
        <w:tc>
          <w:tcPr>
            <w:tcW w:w="800" w:type="dxa"/>
            <w:vAlign w:val="bottom"/>
            <w:tcBorders>
              <w:right w:val="single" w:sz="8" w:color="auto"/>
            </w:tcBorders>
            <w:shd w:val="clear" w:color="auto" w:fill="C0C0C0"/>
          </w:tcPr>
          <w:p>
            <w:pPr>
              <w:spacing w:after="0"/>
              <w:rPr>
                <w:sz w:val="7"/>
                <w:szCs w:val="7"/>
                <w:color w:val="auto"/>
              </w:rPr>
            </w:pPr>
          </w:p>
        </w:tc>
        <w:tc>
          <w:tcPr>
            <w:tcW w:w="340" w:type="dxa"/>
            <w:vAlign w:val="bottom"/>
            <w:shd w:val="clear" w:color="auto" w:fill="C0C0C0"/>
          </w:tcPr>
          <w:p>
            <w:pPr>
              <w:spacing w:after="0"/>
              <w:rPr>
                <w:sz w:val="7"/>
                <w:szCs w:val="7"/>
                <w:color w:val="auto"/>
              </w:rPr>
            </w:pPr>
          </w:p>
        </w:tc>
        <w:tc>
          <w:tcPr>
            <w:tcW w:w="900" w:type="dxa"/>
            <w:vAlign w:val="bottom"/>
            <w:tcBorders>
              <w:right w:val="single" w:sz="8" w:color="auto"/>
            </w:tcBorders>
            <w:shd w:val="clear" w:color="auto" w:fill="C0C0C0"/>
          </w:tcPr>
          <w:p>
            <w:pPr>
              <w:spacing w:after="0"/>
              <w:rPr>
                <w:sz w:val="7"/>
                <w:szCs w:val="7"/>
                <w:color w:val="auto"/>
              </w:rPr>
            </w:pPr>
          </w:p>
        </w:tc>
        <w:tc>
          <w:tcPr>
            <w:tcW w:w="1000" w:type="dxa"/>
            <w:vAlign w:val="bottom"/>
            <w:tcBorders>
              <w:right w:val="single" w:sz="8" w:color="auto"/>
            </w:tcBorders>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57"/>
        </w:trPr>
        <w:tc>
          <w:tcPr>
            <w:tcW w:w="38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340" w:type="dxa"/>
            <w:vAlign w:val="bottom"/>
            <w:shd w:val="clear" w:color="auto" w:fill="C0C0C0"/>
          </w:tcPr>
          <w:p>
            <w:pPr>
              <w:spacing w:after="0"/>
              <w:rPr>
                <w:sz w:val="13"/>
                <w:szCs w:val="13"/>
                <w:color w:val="auto"/>
              </w:rPr>
            </w:pPr>
          </w:p>
        </w:tc>
        <w:tc>
          <w:tcPr>
            <w:tcW w:w="20" w:type="dxa"/>
            <w:vAlign w:val="bottom"/>
            <w:shd w:val="clear" w:color="auto" w:fill="C0C0C0"/>
          </w:tcPr>
          <w:p>
            <w:pPr>
              <w:spacing w:after="0"/>
              <w:rPr>
                <w:sz w:val="13"/>
                <w:szCs w:val="13"/>
                <w:color w:val="auto"/>
              </w:rPr>
            </w:pPr>
          </w:p>
        </w:tc>
        <w:tc>
          <w:tcPr>
            <w:tcW w:w="800" w:type="dxa"/>
            <w:vAlign w:val="bottom"/>
            <w:tcBorders>
              <w:right w:val="single" w:sz="8" w:color="auto"/>
            </w:tcBorders>
            <w:shd w:val="clear" w:color="auto" w:fill="C0C0C0"/>
          </w:tcPr>
          <w:p>
            <w:pPr>
              <w:spacing w:after="0"/>
              <w:rPr>
                <w:sz w:val="13"/>
                <w:szCs w:val="13"/>
                <w:color w:val="auto"/>
              </w:rPr>
            </w:pPr>
          </w:p>
        </w:tc>
        <w:tc>
          <w:tcPr>
            <w:tcW w:w="340" w:type="dxa"/>
            <w:vAlign w:val="bottom"/>
            <w:shd w:val="clear" w:color="auto" w:fill="C0C0C0"/>
          </w:tcPr>
          <w:p>
            <w:pPr>
              <w:spacing w:after="0"/>
              <w:rPr>
                <w:sz w:val="13"/>
                <w:szCs w:val="13"/>
                <w:color w:val="auto"/>
              </w:rPr>
            </w:pPr>
          </w:p>
        </w:tc>
        <w:tc>
          <w:tcPr>
            <w:tcW w:w="900" w:type="dxa"/>
            <w:vAlign w:val="bottom"/>
            <w:tcBorders>
              <w:right w:val="single" w:sz="8" w:color="auto"/>
            </w:tcBorders>
            <w:shd w:val="clear" w:color="auto" w:fill="C0C0C0"/>
          </w:tcPr>
          <w:p>
            <w:pPr>
              <w:spacing w:after="0"/>
              <w:rPr>
                <w:sz w:val="13"/>
                <w:szCs w:val="13"/>
                <w:color w:val="auto"/>
              </w:rPr>
            </w:pPr>
          </w:p>
        </w:tc>
        <w:tc>
          <w:tcPr>
            <w:tcW w:w="10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 A/P</w:t>
            </w:r>
          </w:p>
        </w:tc>
        <w:tc>
          <w:tcPr>
            <w:tcW w:w="40" w:type="dxa"/>
            <w:vAlign w:val="bottom"/>
          </w:tcPr>
          <w:p>
            <w:pPr>
              <w:spacing w:after="0"/>
              <w:rPr>
                <w:sz w:val="13"/>
                <w:szCs w:val="13"/>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8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340" w:type="dxa"/>
            <w:vAlign w:val="bottom"/>
            <w:shd w:val="clear" w:color="auto" w:fill="C0C0C0"/>
          </w:tcPr>
          <w:p>
            <w:pPr>
              <w:spacing w:after="0"/>
              <w:rPr>
                <w:sz w:val="9"/>
                <w:szCs w:val="9"/>
                <w:color w:val="auto"/>
              </w:rPr>
            </w:pPr>
          </w:p>
        </w:tc>
        <w:tc>
          <w:tcPr>
            <w:tcW w:w="20" w:type="dxa"/>
            <w:vAlign w:val="bottom"/>
            <w:shd w:val="clear" w:color="auto" w:fill="C0C0C0"/>
          </w:tcPr>
          <w:p>
            <w:pPr>
              <w:spacing w:after="0"/>
              <w:rPr>
                <w:sz w:val="9"/>
                <w:szCs w:val="9"/>
                <w:color w:val="auto"/>
              </w:rPr>
            </w:pPr>
          </w:p>
        </w:tc>
        <w:tc>
          <w:tcPr>
            <w:tcW w:w="800" w:type="dxa"/>
            <w:vAlign w:val="bottom"/>
            <w:tcBorders>
              <w:right w:val="single" w:sz="8" w:color="auto"/>
            </w:tcBorders>
            <w:shd w:val="clear" w:color="auto" w:fill="C0C0C0"/>
          </w:tcPr>
          <w:p>
            <w:pPr>
              <w:spacing w:after="0"/>
              <w:rPr>
                <w:sz w:val="9"/>
                <w:szCs w:val="9"/>
                <w:color w:val="auto"/>
              </w:rPr>
            </w:pPr>
          </w:p>
        </w:tc>
        <w:tc>
          <w:tcPr>
            <w:tcW w:w="340" w:type="dxa"/>
            <w:vAlign w:val="bottom"/>
            <w:shd w:val="clear" w:color="auto" w:fill="C0C0C0"/>
          </w:tcPr>
          <w:p>
            <w:pPr>
              <w:spacing w:after="0"/>
              <w:rPr>
                <w:sz w:val="9"/>
                <w:szCs w:val="9"/>
                <w:color w:val="auto"/>
              </w:rPr>
            </w:pPr>
          </w:p>
        </w:tc>
        <w:tc>
          <w:tcPr>
            <w:tcW w:w="900" w:type="dxa"/>
            <w:vAlign w:val="bottom"/>
            <w:tcBorders>
              <w:right w:val="single" w:sz="8" w:color="auto"/>
            </w:tcBorders>
            <w:shd w:val="clear" w:color="auto" w:fill="C0C0C0"/>
          </w:tcPr>
          <w:p>
            <w:pPr>
              <w:spacing w:after="0"/>
              <w:rPr>
                <w:sz w:val="9"/>
                <w:szCs w:val="9"/>
                <w:color w:val="auto"/>
              </w:rPr>
            </w:pPr>
          </w:p>
        </w:tc>
        <w:tc>
          <w:tcPr>
            <w:tcW w:w="1000" w:type="dxa"/>
            <w:vAlign w:val="bottom"/>
            <w:tcBorders>
              <w:right w:val="single" w:sz="8" w:color="auto"/>
            </w:tcBorders>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80" w:type="dxa"/>
            <w:vAlign w:val="bottom"/>
            <w:tcBorders>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340" w:type="dxa"/>
            <w:vAlign w:val="bottom"/>
            <w:tcBorders>
              <w:bottom w:val="single" w:sz="8" w:color="auto"/>
            </w:tcBorders>
            <w:shd w:val="clear" w:color="auto" w:fill="C0C0C0"/>
          </w:tcPr>
          <w:p>
            <w:pPr>
              <w:spacing w:after="0"/>
              <w:rPr>
                <w:sz w:val="7"/>
                <w:szCs w:val="7"/>
                <w:color w:val="auto"/>
              </w:rPr>
            </w:pPr>
          </w:p>
        </w:tc>
        <w:tc>
          <w:tcPr>
            <w:tcW w:w="20" w:type="dxa"/>
            <w:vAlign w:val="bottom"/>
            <w:tcBorders>
              <w:bottom w:val="single" w:sz="8" w:color="auto"/>
            </w:tcBorders>
            <w:shd w:val="clear" w:color="auto" w:fill="C0C0C0"/>
          </w:tcPr>
          <w:p>
            <w:pPr>
              <w:spacing w:after="0"/>
              <w:rPr>
                <w:sz w:val="7"/>
                <w:szCs w:val="7"/>
                <w:color w:val="auto"/>
              </w:rPr>
            </w:pPr>
          </w:p>
        </w:tc>
        <w:tc>
          <w:tcPr>
            <w:tcW w:w="800" w:type="dxa"/>
            <w:vAlign w:val="bottom"/>
            <w:tcBorders>
              <w:bottom w:val="single" w:sz="8" w:color="auto"/>
              <w:right w:val="single" w:sz="8" w:color="auto"/>
            </w:tcBorders>
            <w:shd w:val="clear" w:color="auto" w:fill="C0C0C0"/>
          </w:tcPr>
          <w:p>
            <w:pPr>
              <w:spacing w:after="0"/>
              <w:rPr>
                <w:sz w:val="7"/>
                <w:szCs w:val="7"/>
                <w:color w:val="auto"/>
              </w:rPr>
            </w:pPr>
          </w:p>
        </w:tc>
        <w:tc>
          <w:tcPr>
            <w:tcW w:w="340" w:type="dxa"/>
            <w:vAlign w:val="bottom"/>
            <w:tcBorders>
              <w:bottom w:val="single" w:sz="8" w:color="auto"/>
            </w:tcBorders>
            <w:shd w:val="clear" w:color="auto" w:fill="C0C0C0"/>
          </w:tcPr>
          <w:p>
            <w:pPr>
              <w:spacing w:after="0"/>
              <w:rPr>
                <w:sz w:val="7"/>
                <w:szCs w:val="7"/>
                <w:color w:val="auto"/>
              </w:rPr>
            </w:pPr>
          </w:p>
        </w:tc>
        <w:tc>
          <w:tcPr>
            <w:tcW w:w="900" w:type="dxa"/>
            <w:vAlign w:val="bottom"/>
            <w:tcBorders>
              <w:bottom w:val="single" w:sz="8" w:color="auto"/>
              <w:right w:val="single" w:sz="8" w:color="auto"/>
            </w:tcBorders>
            <w:shd w:val="clear" w:color="auto" w:fill="C0C0C0"/>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44459</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44463</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44465</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44446</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44447</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44451</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44448</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44449</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44455</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44450</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44452</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44453</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tcPr>
          <w:p>
            <w:pPr>
              <w:spacing w:after="0"/>
              <w:rPr>
                <w:sz w:val="24"/>
                <w:szCs w:val="24"/>
                <w:color w:val="auto"/>
              </w:rPr>
            </w:pPr>
          </w:p>
        </w:tc>
        <w:tc>
          <w:tcPr>
            <w:tcW w:w="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44454</w:t>
            </w:r>
          </w:p>
        </w:tc>
        <w:tc>
          <w:tcPr>
            <w:tcW w:w="340" w:type="dxa"/>
            <w:vAlign w:val="bottom"/>
          </w:tcPr>
          <w:p>
            <w:pPr>
              <w:spacing w:after="0"/>
              <w:rPr>
                <w:sz w:val="24"/>
                <w:szCs w:val="24"/>
                <w:color w:val="auto"/>
              </w:rPr>
            </w:pP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38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78"/>
        </w:trPr>
        <w:tc>
          <w:tcPr>
            <w:tcW w:w="2320" w:type="dxa"/>
            <w:vAlign w:val="bottom"/>
            <w:gridSpan w:val="4"/>
          </w:tcPr>
          <w:p>
            <w:pPr>
              <w:spacing w:after="0"/>
              <w:rPr>
                <w:sz w:val="20"/>
                <w:szCs w:val="20"/>
                <w:color w:val="auto"/>
              </w:rPr>
            </w:pPr>
            <w:r>
              <w:rPr>
                <w:rFonts w:ascii="Arial" w:cs="Arial" w:eastAsia="Arial" w:hAnsi="Arial"/>
                <w:sz w:val="18"/>
                <w:szCs w:val="18"/>
                <w:color w:val="auto"/>
                <w:w w:val="97"/>
              </w:rPr>
              <w:t>AAL-PA-03735 108567-1F.txt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rPr>
              <w:t>SA-10</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rPr>
              <w:t>Page 1</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0780"/>
          </w:cols>
          <w:pgMar w:left="320" w:top="111" w:right="799" w:bottom="768" w:gutter="0" w:footer="0" w:header="0"/>
        </w:sectPr>
      </w:pPr>
    </w:p>
    <w:p>
      <w:pPr>
        <w:spacing w:after="0" w:line="62"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[****]=[CONFIDENTIAL PORTION HAS BEEN OMITTED BECAUSE IT (I) IS NOT MATERIAL AND (II) WOULD BE COMPETITIVELY HARMFUL IF PUBLICLY DISCLOSED]</w:t>
      </w:r>
    </w:p>
    <w:p>
      <w:pPr>
        <w:sectPr>
          <w:pgSz w:w="11900" w:h="16838" w:orient="portrait"/>
          <w:cols w:equalWidth="0" w:num="1">
            <w:col w:w="10780"/>
          </w:cols>
          <w:pgMar w:left="320" w:top="111" w:right="799" w:bottom="768" w:gutter="0" w:footer="0" w:header="0"/>
          <w:type w:val="continuous"/>
        </w:sectPr>
      </w:pPr>
    </w:p>
    <w:bookmarkStart w:id="82" w:name="page83"/>
    <w:bookmarkEnd w:id="82"/>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Table 1R5 To</w:t>
      </w:r>
    </w:p>
    <w:p>
      <w:pPr>
        <w:spacing w:after="0" w:line="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Purchase Agreement No. PA-03735</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737-8 Aircraft Delivery, Description, Price and Advance Payments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0" w:type="dxa"/>
            <w:vAlign w:val="bottom"/>
            <w:tcBorders>
              <w:right w:val="single" w:sz="8" w:color="auto"/>
            </w:tcBorders>
          </w:tcPr>
          <w:p>
            <w:pPr>
              <w:spacing w:after="0"/>
              <w:rPr>
                <w:sz w:val="21"/>
                <w:szCs w:val="21"/>
                <w:color w:val="auto"/>
              </w:rPr>
            </w:pPr>
          </w:p>
        </w:tc>
        <w:tc>
          <w:tcPr>
            <w:tcW w:w="980" w:type="dxa"/>
            <w:vAlign w:val="bottom"/>
            <w:tcBorders>
              <w:top w:val="single" w:sz="8" w:color="auto"/>
              <w:right w:val="single" w:sz="8" w:color="auto"/>
            </w:tcBorders>
          </w:tcPr>
          <w:p>
            <w:pPr>
              <w:spacing w:after="0"/>
              <w:rPr>
                <w:sz w:val="21"/>
                <w:szCs w:val="21"/>
                <w:color w:val="auto"/>
              </w:rPr>
            </w:pPr>
          </w:p>
        </w:tc>
        <w:tc>
          <w:tcPr>
            <w:tcW w:w="940" w:type="dxa"/>
            <w:vAlign w:val="bottom"/>
            <w:tcBorders>
              <w:top w:val="single" w:sz="8" w:color="auto"/>
              <w:right w:val="single" w:sz="8" w:color="auto"/>
            </w:tcBorders>
          </w:tcPr>
          <w:p>
            <w:pPr>
              <w:spacing w:after="0"/>
              <w:rPr>
                <w:sz w:val="21"/>
                <w:szCs w:val="21"/>
                <w:color w:val="auto"/>
              </w:rPr>
            </w:pPr>
          </w:p>
        </w:tc>
        <w:tc>
          <w:tcPr>
            <w:tcW w:w="1140" w:type="dxa"/>
            <w:vAlign w:val="bottom"/>
            <w:tcBorders>
              <w:top w:val="single" w:sz="8" w:color="auto"/>
              <w:right w:val="single" w:sz="8" w:color="auto"/>
            </w:tcBorders>
          </w:tcPr>
          <w:p>
            <w:pPr>
              <w:spacing w:after="0"/>
              <w:rPr>
                <w:sz w:val="21"/>
                <w:szCs w:val="21"/>
                <w:color w:val="auto"/>
              </w:rPr>
            </w:pPr>
          </w:p>
        </w:tc>
        <w:tc>
          <w:tcPr>
            <w:tcW w:w="1160" w:type="dxa"/>
            <w:vAlign w:val="bottom"/>
            <w:tcBorders>
              <w:top w:val="single" w:sz="8" w:color="auto"/>
              <w:right w:val="single" w:sz="8" w:color="auto"/>
            </w:tcBorders>
            <w:shd w:val="clear" w:color="auto" w:fill="C0C0C0"/>
          </w:tcPr>
          <w:p>
            <w:pPr>
              <w:spacing w:after="0"/>
              <w:rPr>
                <w:sz w:val="21"/>
                <w:szCs w:val="21"/>
                <w:color w:val="auto"/>
              </w:rPr>
            </w:pPr>
          </w:p>
        </w:tc>
        <w:tc>
          <w:tcPr>
            <w:tcW w:w="1040" w:type="dxa"/>
            <w:vAlign w:val="bottom"/>
            <w:tcBorders>
              <w:top w:val="single" w:sz="8" w:color="auto"/>
              <w:right w:val="single" w:sz="8" w:color="auto"/>
            </w:tcBorders>
            <w:shd w:val="clear" w:color="auto" w:fill="C0C0C0"/>
          </w:tcPr>
          <w:p>
            <w:pPr>
              <w:spacing w:after="0"/>
              <w:rPr>
                <w:sz w:val="21"/>
                <w:szCs w:val="21"/>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4360" w:type="dxa"/>
            <w:vAlign w:val="bottom"/>
            <w:tcBorders>
              <w:top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Advance Payment Per Aircraft (Amts. Due/Mos. Prior</w:t>
            </w:r>
          </w:p>
        </w:tc>
        <w:tc>
          <w:tcPr>
            <w:tcW w:w="0" w:type="dxa"/>
            <w:vAlign w:val="bottom"/>
          </w:tcPr>
          <w:p>
            <w:pPr>
              <w:spacing w:after="0"/>
              <w:rPr>
                <w:sz w:val="1"/>
                <w:szCs w:val="1"/>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Manufacturer</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 Adv</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to Delivery):</w:t>
            </w: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Factor</w:t>
            </w:r>
          </w:p>
        </w:tc>
        <w:tc>
          <w:tcPr>
            <w:tcW w:w="1160" w:type="dxa"/>
            <w:vAlign w:val="bottom"/>
            <w:tcBorders>
              <w:right w:val="single" w:sz="8" w:color="auto"/>
            </w:tcBorders>
            <w:vMerge w:val="restart"/>
            <w:shd w:val="clear" w:color="auto" w:fill="C0C0C0"/>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Serial</w:t>
            </w:r>
          </w:p>
        </w:tc>
        <w:tc>
          <w:tcPr>
            <w:tcW w:w="1040" w:type="dxa"/>
            <w:vAlign w:val="bottom"/>
            <w:tcBorders>
              <w:right w:val="single" w:sz="8" w:color="auto"/>
            </w:tcBorders>
            <w:vMerge w:val="restart"/>
            <w:shd w:val="clear" w:color="auto" w:fill="C0C0C0"/>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Delivery</w:t>
            </w:r>
          </w:p>
        </w:tc>
        <w:tc>
          <w:tcPr>
            <w:tcW w:w="1160" w:type="dxa"/>
            <w:vAlign w:val="bottom"/>
            <w:tcBorders>
              <w:right w:val="single" w:sz="8" w:color="auto"/>
            </w:tcBorders>
            <w:vMerge w:val="restart"/>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Payment</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6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140" w:type="dxa"/>
            <w:vAlign w:val="bottom"/>
            <w:tcBorders>
              <w:right w:val="single" w:sz="8" w:color="auto"/>
            </w:tcBorders>
            <w:vMerge w:val="continue"/>
          </w:tcPr>
          <w:p>
            <w:pPr>
              <w:spacing w:after="0"/>
              <w:rPr>
                <w:sz w:val="7"/>
                <w:szCs w:val="7"/>
                <w:color w:val="auto"/>
              </w:rPr>
            </w:pPr>
          </w:p>
        </w:tc>
        <w:tc>
          <w:tcPr>
            <w:tcW w:w="1160" w:type="dxa"/>
            <w:vAlign w:val="bottom"/>
            <w:tcBorders>
              <w:bottom w:val="single" w:sz="8" w:color="C0C0C0"/>
              <w:right w:val="single" w:sz="8" w:color="auto"/>
            </w:tcBorders>
            <w:vMerge w:val="continue"/>
            <w:shd w:val="clear" w:color="auto" w:fill="C0C0C0"/>
          </w:tcPr>
          <w:p>
            <w:pPr>
              <w:spacing w:after="0"/>
              <w:rPr>
                <w:sz w:val="7"/>
                <w:szCs w:val="7"/>
                <w:color w:val="auto"/>
              </w:rPr>
            </w:pPr>
          </w:p>
        </w:tc>
        <w:tc>
          <w:tcPr>
            <w:tcW w:w="1040" w:type="dxa"/>
            <w:vAlign w:val="bottom"/>
            <w:tcBorders>
              <w:bottom w:val="single" w:sz="8" w:color="C0C0C0"/>
              <w:right w:val="single" w:sz="8" w:color="auto"/>
            </w:tcBorders>
            <w:vMerge w:val="continue"/>
            <w:shd w:val="clear" w:color="auto" w:fill="C0C0C0"/>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16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4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Price</w:t>
            </w:r>
          </w:p>
        </w:tc>
        <w:tc>
          <w:tcPr>
            <w:tcW w:w="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7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5"/>
        </w:trPr>
        <w:tc>
          <w:tcPr>
            <w:tcW w:w="26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shd w:val="clear" w:color="auto" w:fill="C0C0C0"/>
          </w:tcPr>
          <w:p>
            <w:pPr>
              <w:spacing w:after="0"/>
              <w:rPr>
                <w:sz w:val="8"/>
                <w:szCs w:val="8"/>
                <w:color w:val="auto"/>
              </w:rPr>
            </w:pPr>
          </w:p>
        </w:tc>
        <w:tc>
          <w:tcPr>
            <w:tcW w:w="1040" w:type="dxa"/>
            <w:vAlign w:val="bottom"/>
            <w:tcBorders>
              <w:right w:val="single" w:sz="8" w:color="auto"/>
            </w:tcBorders>
            <w:vMerge w:val="continue"/>
            <w:shd w:val="clear" w:color="auto" w:fill="C0C0C0"/>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shd w:val="clear" w:color="auto" w:fill="C0C0C0"/>
          </w:tcPr>
          <w:p>
            <w:pPr>
              <w:spacing w:after="0"/>
              <w:rPr>
                <w:sz w:val="14"/>
                <w:szCs w:val="14"/>
                <w:color w:val="auto"/>
              </w:rPr>
            </w:pPr>
          </w:p>
        </w:tc>
        <w:tc>
          <w:tcPr>
            <w:tcW w:w="1040" w:type="dxa"/>
            <w:vAlign w:val="bottom"/>
            <w:tcBorders>
              <w:right w:val="single" w:sz="8" w:color="auto"/>
            </w:tcBorders>
            <w:shd w:val="clear" w:color="auto" w:fill="C0C0C0"/>
          </w:tcPr>
          <w:p>
            <w:pPr>
              <w:spacing w:after="0"/>
              <w:rPr>
                <w:sz w:val="14"/>
                <w:szCs w:val="14"/>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A/P</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0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08"/>
        </w:trPr>
        <w:tc>
          <w:tcPr>
            <w:tcW w:w="26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shd w:val="clear" w:color="auto" w:fill="C0C0C0"/>
          </w:tcPr>
          <w:p>
            <w:pPr>
              <w:spacing w:after="0"/>
              <w:rPr>
                <w:sz w:val="9"/>
                <w:szCs w:val="9"/>
                <w:color w:val="auto"/>
              </w:rPr>
            </w:pPr>
          </w:p>
        </w:tc>
        <w:tc>
          <w:tcPr>
            <w:tcW w:w="1040" w:type="dxa"/>
            <w:vAlign w:val="bottom"/>
            <w:tcBorders>
              <w:right w:val="single" w:sz="8" w:color="auto"/>
            </w:tcBorders>
            <w:shd w:val="clear" w:color="auto" w:fill="C0C0C0"/>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44456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44457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44458</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44460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44461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44462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44464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44466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44467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44468</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44469</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44471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44470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44472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44473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44474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44476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44475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44477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44479</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44478</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44481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44480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44482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44483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6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78"/>
        </w:trPr>
        <w:tc>
          <w:tcPr>
            <w:tcW w:w="3320" w:type="dxa"/>
            <w:vAlign w:val="bottom"/>
            <w:gridSpan w:val="4"/>
          </w:tcPr>
          <w:p>
            <w:pPr>
              <w:spacing w:after="0"/>
              <w:rPr>
                <w:sz w:val="20"/>
                <w:szCs w:val="20"/>
                <w:color w:val="auto"/>
              </w:rPr>
            </w:pPr>
            <w:r>
              <w:rPr>
                <w:rFonts w:ascii="Arial" w:cs="Arial" w:eastAsia="Arial" w:hAnsi="Arial"/>
                <w:sz w:val="18"/>
                <w:szCs w:val="18"/>
                <w:color w:val="auto"/>
              </w:rPr>
              <w:t>AAL-PA-03735 108567-1F.txt</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ind w:left="380"/>
              <w:spacing w:after="0"/>
              <w:rPr>
                <w:sz w:val="20"/>
                <w:szCs w:val="20"/>
                <w:color w:val="auto"/>
              </w:rPr>
            </w:pPr>
            <w:r>
              <w:rPr>
                <w:rFonts w:ascii="Arial" w:cs="Arial" w:eastAsia="Arial" w:hAnsi="Arial"/>
                <w:sz w:val="18"/>
                <w:szCs w:val="18"/>
                <w:color w:val="auto"/>
              </w:rPr>
              <w:t>SA-10</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40" w:type="dxa"/>
            <w:vAlign w:val="bottom"/>
          </w:tcPr>
          <w:p>
            <w:pPr>
              <w:ind w:left="380"/>
              <w:spacing w:after="0"/>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bl>
    <w:p>
      <w:pPr>
        <w:spacing w:after="0" w:line="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pacing w:after="0" w:line="62" w:lineRule="exact"/>
        <w:rPr>
          <w:sz w:val="20"/>
          <w:szCs w:val="20"/>
          <w:color w:val="auto"/>
        </w:rPr>
      </w:pPr>
    </w:p>
    <w:p>
      <w:pPr>
        <w:jc w:val="both"/>
        <w:ind w:right="480"/>
        <w:spacing w:after="0" w:line="298" w:lineRule="auto"/>
        <w:rPr>
          <w:sz w:val="20"/>
          <w:szCs w:val="20"/>
          <w:color w:val="auto"/>
        </w:rPr>
      </w:pPr>
      <w:r>
        <w:rPr>
          <w:rFonts w:ascii="Times New Roman" w:cs="Times New Roman" w:eastAsia="Times New Roman" w:hAnsi="Times New Roman"/>
          <w:sz w:val="16"/>
          <w:szCs w:val="16"/>
          <w:color w:val="auto"/>
        </w:rPr>
        <w:t>[****]=[CONFIDENTIAL PORTION HAS BEEN OMITTED BECAUSE IT (I) IS NOT MATERIAL AND (II) WOULD BE COMPETITIVELY HARMFUL IF PUBLICLY DISCLOSED]</w:t>
      </w:r>
    </w:p>
    <w:p>
      <w:pPr>
        <w:sectPr>
          <w:pgSz w:w="11900" w:h="16838" w:orient="portrait"/>
          <w:cols w:equalWidth="0" w:num="1">
            <w:col w:w="11040"/>
          </w:cols>
          <w:pgMar w:left="320" w:top="110" w:right="539" w:bottom="1440" w:gutter="0" w:footer="0" w:header="0"/>
        </w:sectPr>
      </w:pPr>
    </w:p>
    <w:bookmarkStart w:id="83" w:name="page84"/>
    <w:bookmarkEnd w:id="83"/>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Table 1R5 To</w:t>
      </w:r>
    </w:p>
    <w:p>
      <w:pPr>
        <w:spacing w:after="0" w:line="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Purchase Agreement No. PA-03735</w:t>
      </w:r>
    </w:p>
    <w:p>
      <w:pPr>
        <w:spacing w:after="0" w:line="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737-8 Aircraft Delivery, Description, Price and Advance Payments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40" w:type="dxa"/>
            <w:vAlign w:val="bottom"/>
            <w:tcBorders>
              <w:right w:val="single" w:sz="8" w:color="auto"/>
            </w:tcBorders>
          </w:tcPr>
          <w:p>
            <w:pPr>
              <w:spacing w:after="0"/>
              <w:rPr>
                <w:sz w:val="21"/>
                <w:szCs w:val="21"/>
                <w:color w:val="auto"/>
              </w:rPr>
            </w:pPr>
          </w:p>
        </w:tc>
        <w:tc>
          <w:tcPr>
            <w:tcW w:w="980" w:type="dxa"/>
            <w:vAlign w:val="bottom"/>
            <w:tcBorders>
              <w:top w:val="single" w:sz="8" w:color="auto"/>
              <w:right w:val="single" w:sz="8" w:color="auto"/>
            </w:tcBorders>
          </w:tcPr>
          <w:p>
            <w:pPr>
              <w:spacing w:after="0"/>
              <w:rPr>
                <w:sz w:val="21"/>
                <w:szCs w:val="21"/>
                <w:color w:val="auto"/>
              </w:rPr>
            </w:pPr>
          </w:p>
        </w:tc>
        <w:tc>
          <w:tcPr>
            <w:tcW w:w="920" w:type="dxa"/>
            <w:vAlign w:val="bottom"/>
            <w:tcBorders>
              <w:top w:val="single" w:sz="8" w:color="auto"/>
              <w:right w:val="single" w:sz="8" w:color="auto"/>
            </w:tcBorders>
          </w:tcPr>
          <w:p>
            <w:pPr>
              <w:spacing w:after="0"/>
              <w:rPr>
                <w:sz w:val="21"/>
                <w:szCs w:val="21"/>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16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Manufacturer</w:t>
            </w:r>
          </w:p>
        </w:tc>
        <w:tc>
          <w:tcPr>
            <w:tcW w:w="104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4380" w:type="dxa"/>
            <w:vAlign w:val="bottom"/>
            <w:tcBorders>
              <w:top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Advance Payment Per Aircraft (Amts. Due/Mos. Prior</w:t>
            </w:r>
          </w:p>
        </w:tc>
        <w:tc>
          <w:tcPr>
            <w:tcW w:w="0" w:type="dxa"/>
            <w:vAlign w:val="bottom"/>
          </w:tcPr>
          <w:p>
            <w:pPr>
              <w:spacing w:after="0"/>
              <w:rPr>
                <w:sz w:val="1"/>
                <w:szCs w:val="1"/>
                <w:color w:val="auto"/>
              </w:rPr>
            </w:pPr>
          </w:p>
        </w:tc>
      </w:tr>
      <w:tr>
        <w:trPr>
          <w:trHeight w:val="135"/>
        </w:trPr>
        <w:tc>
          <w:tcPr>
            <w:tcW w:w="2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8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shd w:val="clear" w:color="auto" w:fill="C0C0C0"/>
          </w:tcPr>
          <w:p>
            <w:pPr>
              <w:spacing w:after="0"/>
              <w:rPr>
                <w:sz w:val="11"/>
                <w:szCs w:val="11"/>
                <w:color w:val="auto"/>
              </w:rPr>
            </w:pPr>
          </w:p>
        </w:tc>
        <w:tc>
          <w:tcPr>
            <w:tcW w:w="1040" w:type="dxa"/>
            <w:vAlign w:val="bottom"/>
            <w:tcBorders>
              <w:right w:val="single" w:sz="8" w:color="auto"/>
            </w:tcBorders>
            <w:vMerge w:val="continue"/>
            <w:shd w:val="clear" w:color="auto" w:fill="C0C0C0"/>
          </w:tcPr>
          <w:p>
            <w:pPr>
              <w:spacing w:after="0"/>
              <w:rPr>
                <w:sz w:val="11"/>
                <w:szCs w:val="11"/>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 Adv</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to Delivery):</w:t>
            </w:r>
          </w:p>
        </w:tc>
        <w:tc>
          <w:tcPr>
            <w:tcW w:w="1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16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Serial</w:t>
            </w:r>
          </w:p>
        </w:tc>
        <w:tc>
          <w:tcPr>
            <w:tcW w:w="104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1160" w:type="dxa"/>
            <w:vAlign w:val="bottom"/>
            <w:tcBorders>
              <w:right w:val="single" w:sz="8" w:color="auto"/>
            </w:tcBorders>
            <w:vMerge w:val="continue"/>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4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180" w:type="dxa"/>
            <w:vAlign w:val="bottom"/>
            <w:tcBorders>
              <w:right w:val="single" w:sz="8" w:color="auto"/>
            </w:tcBorders>
            <w:vMerge w:val="continue"/>
          </w:tcPr>
          <w:p>
            <w:pPr>
              <w:spacing w:after="0"/>
              <w:rPr>
                <w:sz w:val="8"/>
                <w:szCs w:val="8"/>
                <w:color w:val="auto"/>
              </w:rPr>
            </w:pPr>
          </w:p>
        </w:tc>
        <w:tc>
          <w:tcPr>
            <w:tcW w:w="1160" w:type="dxa"/>
            <w:vAlign w:val="bottom"/>
            <w:tcBorders>
              <w:bottom w:val="single" w:sz="8" w:color="C0C0C0"/>
              <w:right w:val="single" w:sz="8" w:color="auto"/>
            </w:tcBorders>
            <w:vMerge w:val="continue"/>
            <w:shd w:val="clear" w:color="auto" w:fill="C0C0C0"/>
          </w:tcPr>
          <w:p>
            <w:pPr>
              <w:spacing w:after="0"/>
              <w:rPr>
                <w:sz w:val="8"/>
                <w:szCs w:val="8"/>
                <w:color w:val="auto"/>
              </w:rPr>
            </w:pPr>
          </w:p>
        </w:tc>
        <w:tc>
          <w:tcPr>
            <w:tcW w:w="1040" w:type="dxa"/>
            <w:vAlign w:val="bottom"/>
            <w:tcBorders>
              <w:bottom w:val="single" w:sz="8" w:color="C0C0C0"/>
              <w:right w:val="single" w:sz="8" w:color="auto"/>
            </w:tcBorders>
            <w:vMerge w:val="continue"/>
            <w:shd w:val="clear" w:color="auto" w:fill="C0C0C0"/>
          </w:tcPr>
          <w:p>
            <w:pPr>
              <w:spacing w:after="0"/>
              <w:rPr>
                <w:sz w:val="8"/>
                <w:szCs w:val="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Base</w:t>
            </w:r>
          </w:p>
        </w:tc>
        <w:tc>
          <w:tcPr>
            <w:tcW w:w="9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4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16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4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16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7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vMerge w:val="continue"/>
          </w:tcPr>
          <w:p>
            <w:pPr>
              <w:spacing w:after="0"/>
              <w:rPr>
                <w:sz w:val="17"/>
                <w:szCs w:val="17"/>
                <w:color w:val="auto"/>
              </w:rPr>
            </w:pPr>
          </w:p>
        </w:tc>
        <w:tc>
          <w:tcPr>
            <w:tcW w:w="1160" w:type="dxa"/>
            <w:vAlign w:val="bottom"/>
            <w:tcBorders>
              <w:right w:val="single" w:sz="8" w:color="auto"/>
            </w:tcBorders>
            <w:vMerge w:val="continue"/>
            <w:shd w:val="clear" w:color="auto" w:fill="C0C0C0"/>
          </w:tcPr>
          <w:p>
            <w:pPr>
              <w:spacing w:after="0"/>
              <w:rPr>
                <w:sz w:val="17"/>
                <w:szCs w:val="17"/>
                <w:color w:val="auto"/>
              </w:rPr>
            </w:pPr>
          </w:p>
        </w:tc>
        <w:tc>
          <w:tcPr>
            <w:tcW w:w="1040" w:type="dxa"/>
            <w:vAlign w:val="bottom"/>
            <w:tcBorders>
              <w:right w:val="single" w:sz="8" w:color="auto"/>
            </w:tcBorders>
            <w:vMerge w:val="continue"/>
            <w:shd w:val="clear" w:color="auto" w:fill="C0C0C0"/>
          </w:tcPr>
          <w:p>
            <w:pPr>
              <w:spacing w:after="0"/>
              <w:rPr>
                <w:sz w:val="17"/>
                <w:szCs w:val="17"/>
                <w:color w:val="auto"/>
              </w:rPr>
            </w:pPr>
          </w:p>
        </w:tc>
        <w:tc>
          <w:tcPr>
            <w:tcW w:w="11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Price Per A/P</w:t>
            </w:r>
          </w:p>
        </w:tc>
        <w:tc>
          <w:tcPr>
            <w:tcW w:w="940" w:type="dxa"/>
            <w:vAlign w:val="bottom"/>
            <w:tcBorders>
              <w:right w:val="single" w:sz="8" w:color="auto"/>
            </w:tcBorders>
            <w:vMerge w:val="continue"/>
          </w:tcPr>
          <w:p>
            <w:pPr>
              <w:spacing w:after="0"/>
              <w:rPr>
                <w:sz w:val="17"/>
                <w:szCs w:val="17"/>
                <w:color w:val="auto"/>
              </w:rPr>
            </w:pPr>
          </w:p>
        </w:tc>
        <w:tc>
          <w:tcPr>
            <w:tcW w:w="72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0" w:type="dxa"/>
            <w:vAlign w:val="bottom"/>
            <w:tcBorders>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shd w:val="clear" w:color="auto" w:fill="C0C0C0"/>
          </w:tcPr>
          <w:p>
            <w:pPr>
              <w:spacing w:after="0"/>
              <w:rPr>
                <w:sz w:val="16"/>
                <w:szCs w:val="16"/>
                <w:color w:val="auto"/>
              </w:rPr>
            </w:pPr>
          </w:p>
        </w:tc>
        <w:tc>
          <w:tcPr>
            <w:tcW w:w="1040" w:type="dxa"/>
            <w:vAlign w:val="bottom"/>
            <w:tcBorders>
              <w:bottom w:val="single" w:sz="8" w:color="auto"/>
              <w:right w:val="single" w:sz="8" w:color="auto"/>
            </w:tcBorders>
            <w:shd w:val="clear" w:color="auto" w:fill="C0C0C0"/>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44484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44485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Yes</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Yes</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Yes</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Yes</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Yes</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Yes</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Yes</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240" w:type="dxa"/>
            <w:vAlign w:val="bottom"/>
            <w:tcBorders>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2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8"/>
                <w:szCs w:val="18"/>
                <w:color w:val="auto"/>
              </w:rPr>
              <w:t>Total  60</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3320" w:type="dxa"/>
            <w:vAlign w:val="bottom"/>
            <w:gridSpan w:val="4"/>
          </w:tcPr>
          <w:p>
            <w:pPr>
              <w:spacing w:after="0"/>
              <w:rPr>
                <w:sz w:val="20"/>
                <w:szCs w:val="20"/>
                <w:color w:val="auto"/>
              </w:rPr>
            </w:pPr>
            <w:r>
              <w:rPr>
                <w:rFonts w:ascii="Arial" w:cs="Arial" w:eastAsia="Arial" w:hAnsi="Arial"/>
                <w:sz w:val="18"/>
                <w:szCs w:val="18"/>
                <w:color w:val="auto"/>
              </w:rPr>
              <w:t>AAL-PA-03735 108567-1F.txt</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ind w:left="360"/>
              <w:spacing w:after="0"/>
              <w:rPr>
                <w:sz w:val="20"/>
                <w:szCs w:val="20"/>
                <w:color w:val="auto"/>
              </w:rPr>
            </w:pPr>
            <w:r>
              <w:rPr>
                <w:rFonts w:ascii="Arial" w:cs="Arial" w:eastAsia="Arial" w:hAnsi="Arial"/>
                <w:sz w:val="18"/>
                <w:szCs w:val="18"/>
                <w:color w:val="auto"/>
              </w:rPr>
              <w:t>SA-10</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40" w:type="dxa"/>
            <w:vAlign w:val="bottom"/>
          </w:tcPr>
          <w:p>
            <w:pPr>
              <w:ind w:left="360"/>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bl>
    <w:p>
      <w:pPr>
        <w:spacing w:after="0" w:line="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pacing w:after="0" w:line="62" w:lineRule="exact"/>
        <w:rPr>
          <w:sz w:val="20"/>
          <w:szCs w:val="20"/>
          <w:color w:val="auto"/>
        </w:rPr>
      </w:pPr>
    </w:p>
    <w:p>
      <w:pPr>
        <w:jc w:val="both"/>
        <w:ind w:right="500"/>
        <w:spacing w:after="0" w:line="298" w:lineRule="auto"/>
        <w:rPr>
          <w:sz w:val="20"/>
          <w:szCs w:val="20"/>
          <w:color w:val="auto"/>
        </w:rPr>
      </w:pPr>
      <w:r>
        <w:rPr>
          <w:rFonts w:ascii="Times New Roman" w:cs="Times New Roman" w:eastAsia="Times New Roman" w:hAnsi="Times New Roman"/>
          <w:sz w:val="16"/>
          <w:szCs w:val="16"/>
          <w:color w:val="auto"/>
        </w:rPr>
        <w:t>[****]=[CONFIDENTIAL PORTION HAS BEEN OMITTED BECAUSE IT (I) IS NOT MATERIAL AND (II) WOULD BE COMPETITIVELY HARMFUL IF PUBLICLY DISCLOSED]</w:t>
      </w:r>
    </w:p>
    <w:p>
      <w:pPr>
        <w:sectPr>
          <w:pgSz w:w="11900" w:h="16838" w:orient="portrait"/>
          <w:cols w:equalWidth="0" w:num="1">
            <w:col w:w="11060"/>
          </w:cols>
          <w:pgMar w:left="320" w:top="110" w:right="519" w:bottom="1440" w:gutter="0" w:footer="0" w:header="0"/>
        </w:sectPr>
      </w:pPr>
    </w:p>
    <w:bookmarkStart w:id="84" w:name="page85"/>
    <w:bookmarkEnd w:id="84"/>
    <w:p>
      <w:pPr>
        <w:ind w:left="9160"/>
        <w:spacing w:after="0"/>
        <w:rPr>
          <w:sz w:val="20"/>
          <w:szCs w:val="20"/>
          <w:color w:val="auto"/>
        </w:rPr>
      </w:pPr>
      <w:r>
        <w:rPr>
          <w:rFonts w:ascii="Arial" w:cs="Arial" w:eastAsia="Arial" w:hAnsi="Arial"/>
          <w:sz w:val="14"/>
          <w:szCs w:val="14"/>
          <w:color w:val="808080"/>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-93345</wp:posOffset>
            </wp:positionV>
            <wp:extent cx="1483360"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83360" cy="342900"/>
                    </a:xfrm>
                    <a:prstGeom prst="rect">
                      <a:avLst/>
                    </a:prstGeom>
                    <a:noFill/>
                  </pic:spPr>
                </pic:pic>
              </a:graphicData>
            </a:graphic>
          </wp:anchor>
        </w:drawing>
      </w:r>
    </w:p>
    <w:p>
      <w:pPr>
        <w:ind w:left="9160"/>
        <w:spacing w:after="0"/>
        <w:rPr>
          <w:sz w:val="20"/>
          <w:szCs w:val="20"/>
          <w:color w:val="auto"/>
        </w:rPr>
      </w:pPr>
      <w:r>
        <w:rPr>
          <w:rFonts w:ascii="Arial" w:cs="Arial" w:eastAsia="Arial" w:hAnsi="Arial"/>
          <w:sz w:val="14"/>
          <w:szCs w:val="14"/>
          <w:color w:val="808080"/>
        </w:rPr>
        <w:t>P.O. Box 3707</w:t>
      </w:r>
    </w:p>
    <w:p>
      <w:pPr>
        <w:ind w:left="9160"/>
        <w:spacing w:after="0" w:line="161" w:lineRule="exact"/>
        <w:rPr>
          <w:sz w:val="20"/>
          <w:szCs w:val="20"/>
          <w:color w:val="auto"/>
        </w:rPr>
      </w:pPr>
      <w:r>
        <w:rPr>
          <w:rFonts w:ascii="Arial" w:cs="Arial" w:eastAsia="Arial" w:hAnsi="Arial"/>
          <w:sz w:val="14"/>
          <w:szCs w:val="14"/>
          <w:color w:val="808080"/>
        </w:rPr>
        <w:t>Seattle, WA 98124</w:t>
      </w:r>
      <w:r>
        <w:rPr>
          <w:rFonts w:ascii="MS PGothic" w:cs="MS PGothic" w:eastAsia="MS PGothic" w:hAnsi="MS PGothic"/>
          <w:sz w:val="14"/>
          <w:szCs w:val="14"/>
          <w:color w:val="808080"/>
        </w:rPr>
        <w:t>‑</w:t>
      </w:r>
      <w:r>
        <w:rPr>
          <w:rFonts w:ascii="Arial" w:cs="Arial" w:eastAsia="Arial" w:hAnsi="Arial"/>
          <w:sz w:val="14"/>
          <w:szCs w:val="14"/>
          <w:color w:val="808080"/>
        </w:rPr>
        <w:t>2207</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AAL-PA-03735-LA-1106659R</w:t>
      </w:r>
      <w:r>
        <w:rPr>
          <w:rFonts w:ascii="Arial" w:cs="Arial" w:eastAsia="Arial" w:hAnsi="Arial"/>
          <w:sz w:val="22"/>
          <w:szCs w:val="22"/>
          <w:b w:val="1"/>
          <w:bCs w:val="1"/>
          <w:color w:val="auto"/>
        </w:rPr>
        <w:t>2</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8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00" w:lineRule="exact"/>
        <w:rPr>
          <w:sz w:val="20"/>
          <w:szCs w:val="20"/>
          <w:color w:val="auto"/>
        </w:rPr>
      </w:pPr>
    </w:p>
    <w:p>
      <w:pPr>
        <w:spacing w:after="0" w:line="209" w:lineRule="exact"/>
        <w:rPr>
          <w:sz w:val="20"/>
          <w:szCs w:val="20"/>
          <w:color w:val="auto"/>
        </w:rPr>
      </w:pPr>
    </w:p>
    <w:p>
      <w:pPr>
        <w:spacing w:after="0" w:line="291" w:lineRule="auto"/>
        <w:rPr>
          <w:sz w:val="20"/>
          <w:szCs w:val="20"/>
          <w:color w:val="auto"/>
        </w:rPr>
      </w:pPr>
      <w:r>
        <w:rPr>
          <w:rFonts w:ascii="Arial" w:cs="Arial" w:eastAsia="Arial" w:hAnsi="Arial"/>
          <w:sz w:val="22"/>
          <w:szCs w:val="22"/>
          <w:color w:val="auto"/>
        </w:rPr>
        <w:t>Reference: 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97" w:lineRule="exact"/>
        <w:rPr>
          <w:sz w:val="20"/>
          <w:szCs w:val="20"/>
          <w:color w:val="auto"/>
        </w:rPr>
      </w:pPr>
    </w:p>
    <w:p>
      <w:pPr>
        <w:ind w:right="20" w:firstLine="648"/>
        <w:spacing w:after="0" w:line="281"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218" w:lineRule="exact"/>
        <w:rPr>
          <w:sz w:val="20"/>
          <w:szCs w:val="20"/>
          <w:color w:val="auto"/>
        </w:rPr>
      </w:pPr>
    </w:p>
    <w:p>
      <w:pPr>
        <w:ind w:firstLine="648"/>
        <w:spacing w:after="0" w:line="281" w:lineRule="auto"/>
        <w:rPr>
          <w:sz w:val="20"/>
          <w:szCs w:val="20"/>
          <w:color w:val="auto"/>
        </w:rPr>
      </w:pPr>
      <w:r>
        <w:rPr>
          <w:rFonts w:ascii="Arial" w:cs="Arial" w:eastAsia="Arial" w:hAnsi="Arial"/>
          <w:sz w:val="22"/>
          <w:szCs w:val="22"/>
          <w:color w:val="auto"/>
        </w:rPr>
        <w:t>Boeing and Customer wish to enter into an agreement pursuant to which each party will contribute equally to promotional programs in support of the entry into service of the Aircraft as more specifically provided below.</w:t>
      </w:r>
    </w:p>
    <w:p>
      <w:pPr>
        <w:spacing w:after="0" w:line="272" w:lineRule="exact"/>
        <w:rPr>
          <w:sz w:val="20"/>
          <w:szCs w:val="20"/>
          <w:color w:val="auto"/>
        </w:rPr>
      </w:pPr>
    </w:p>
    <w:p>
      <w:pPr>
        <w:ind w:left="840" w:hanging="832"/>
        <w:spacing w:after="0"/>
        <w:tabs>
          <w:tab w:leader="none" w:pos="84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34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w:t>
      </w:r>
    </w:p>
    <w:p>
      <w:pPr>
        <w:spacing w:after="0" w:line="30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i w:val="1"/>
          <w:iCs w:val="1"/>
          <w:color w:val="auto"/>
        </w:rPr>
        <w:t>Covered Aircraft</w:t>
      </w:r>
      <w:r>
        <w:rPr>
          <w:rFonts w:ascii="Arial" w:cs="Arial" w:eastAsia="Arial" w:hAnsi="Arial"/>
          <w:sz w:val="22"/>
          <w:szCs w:val="22"/>
          <w:color w:val="auto"/>
        </w:rPr>
        <w:t xml:space="preserve"> shall mean those Aircraft identified on Table 1R5 and Table 1-2 to the Purchase Agreement (as may be amended from time to time), any Substitute Aircraft pursuant to terms of Letter Agreement AAL-PA-03735-LA-1106652 entitled “Aircraft Model Substitution” and any [****] in which Customer exercises its rights pursuant to Letter Agreement AAL-PA-03735-LA-1106651R1 entitled “[****]”.</w:t>
      </w:r>
    </w:p>
    <w:p>
      <w:pPr>
        <w:spacing w:after="0" w:line="16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b w:val="1"/>
          <w:bCs w:val="1"/>
          <w:i w:val="1"/>
          <w:iCs w:val="1"/>
          <w:color w:val="auto"/>
        </w:rPr>
        <w:t xml:space="preserve">Performance Period </w:t>
      </w:r>
      <w:r>
        <w:rPr>
          <w:rFonts w:ascii="Arial" w:cs="Arial" w:eastAsia="Arial" w:hAnsi="Arial"/>
          <w:sz w:val="21"/>
          <w:szCs w:val="21"/>
          <w:color w:val="auto"/>
        </w:rPr>
        <w:t>shall mean [****]. The Performance Period [****].</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b w:val="1"/>
          <w:bCs w:val="1"/>
          <w:i w:val="1"/>
          <w:iCs w:val="1"/>
          <w:color w:val="auto"/>
        </w:rPr>
        <w:t>Promotional Support</w:t>
      </w:r>
      <w:r>
        <w:rPr>
          <w:rFonts w:ascii="Arial" w:cs="Arial" w:eastAsia="Arial" w:hAnsi="Arial"/>
          <w:sz w:val="22"/>
          <w:szCs w:val="22"/>
          <w:color w:val="auto"/>
        </w:rPr>
        <w:t xml:space="preserve"> shall mean mutually agreed marketing and promotion programs that promote the entry into service of the Covered Aircraft such as marketing research, tourism development, corporate identity, direct marketing, videotape or still photography, planning, design and production of collateral materials, management of promotion programs, advertising campaigns or such other marketing and promotional activities as the parties may mutually agree.</w:t>
      </w:r>
    </w:p>
    <w:p>
      <w:pPr>
        <w:sectPr>
          <w:pgSz w:w="11900" w:h="16838" w:orient="portrait"/>
          <w:cols w:equalWidth="0" w:num="1">
            <w:col w:w="11420"/>
          </w:cols>
          <w:pgMar w:left="240" w:top="883" w:right="239" w:bottom="1440" w:gutter="0" w:footer="0" w:header="0"/>
        </w:sect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21"/>
          <w:szCs w:val="21"/>
          <w:color w:val="auto"/>
        </w:rPr>
        <w:t>AAL-PA-03735-LA-1106659R2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SA-10</w:t>
      </w:r>
    </w:p>
    <w:p>
      <w:pPr>
        <w:spacing w:after="0" w:line="56" w:lineRule="exact"/>
        <w:rPr>
          <w:sz w:val="20"/>
          <w:szCs w:val="20"/>
          <w:color w:val="auto"/>
        </w:rPr>
      </w:pPr>
    </w:p>
    <w:p>
      <w:pPr>
        <w:sectPr>
          <w:pgSz w:w="11900" w:h="16838" w:orient="portrait"/>
          <w:cols w:equalWidth="0" w:num="2">
            <w:col w:w="8440" w:space="720"/>
            <w:col w:w="2260"/>
          </w:cols>
          <w:pgMar w:left="240" w:top="883" w:right="239" w:bottom="1440" w:gutter="0" w:footer="0" w:header="0"/>
          <w:type w:val="continuous"/>
        </w:sectPr>
      </w:pPr>
    </w:p>
    <w:p>
      <w:pPr>
        <w:ind w:left="40"/>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Page 1 of 3</w:t>
      </w:r>
    </w:p>
    <w:p>
      <w:pPr>
        <w:spacing w:after="0" w:line="54" w:lineRule="exact"/>
        <w:rPr>
          <w:sz w:val="20"/>
          <w:szCs w:val="20"/>
          <w:color w:val="auto"/>
        </w:rPr>
      </w:pPr>
    </w:p>
    <w:p>
      <w:pPr>
        <w:sectPr>
          <w:pgSz w:w="11900" w:h="16838" w:orient="portrait"/>
          <w:cols w:equalWidth="0" w:num="2">
            <w:col w:w="8440" w:space="720"/>
            <w:col w:w="2260"/>
          </w:cols>
          <w:pgMar w:left="240" w:top="883"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63" w:lineRule="exact"/>
        <w:rPr>
          <w:sz w:val="20"/>
          <w:szCs w:val="20"/>
          <w:color w:val="auto"/>
        </w:rPr>
      </w:pPr>
    </w:p>
    <w:p>
      <w:pPr>
        <w:ind w:left="40" w:right="780"/>
        <w:spacing w:after="0" w:line="291" w:lineRule="auto"/>
        <w:rPr>
          <w:sz w:val="20"/>
          <w:szCs w:val="20"/>
          <w:color w:val="auto"/>
        </w:rPr>
      </w:pPr>
      <w:r>
        <w:rPr>
          <w:rFonts w:ascii="Arial" w:cs="Arial" w:eastAsia="Arial" w:hAnsi="Arial"/>
          <w:sz w:val="16"/>
          <w:szCs w:val="16"/>
          <w:color w:val="auto"/>
        </w:rPr>
        <w:t>[****]=[CONFIDENTIAL PORTION HAS BEEN OMITTED BECAUSE IT (I) IS NOT MATERIAL AND (II) WOULD BE COMPETITIVELY HARMFUL IF PUBLICLY DISCLOSED]</w:t>
      </w:r>
    </w:p>
    <w:p>
      <w:pPr>
        <w:sectPr>
          <w:pgSz w:w="11900" w:h="16838" w:orient="portrait"/>
          <w:cols w:equalWidth="0" w:num="1">
            <w:col w:w="11420"/>
          </w:cols>
          <w:pgMar w:left="240" w:top="883" w:right="239" w:bottom="1440" w:gutter="0" w:footer="0" w:header="0"/>
          <w:type w:val="continuous"/>
        </w:sectPr>
      </w:pPr>
    </w:p>
    <w:bookmarkStart w:id="85" w:name="page86"/>
    <w:bookmarkEnd w:id="85"/>
    <w:p>
      <w:pPr>
        <w:ind w:left="9160"/>
        <w:spacing w:after="0"/>
        <w:rPr>
          <w:sz w:val="20"/>
          <w:szCs w:val="20"/>
          <w:color w:val="auto"/>
        </w:rPr>
      </w:pPr>
      <w:r>
        <w:rPr>
          <w:rFonts w:ascii="Arial" w:cs="Arial" w:eastAsia="Arial" w:hAnsi="Arial"/>
          <w:sz w:val="14"/>
          <w:szCs w:val="14"/>
          <w:color w:val="808080"/>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-93345</wp:posOffset>
            </wp:positionV>
            <wp:extent cx="1483360"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83360" cy="342900"/>
                    </a:xfrm>
                    <a:prstGeom prst="rect">
                      <a:avLst/>
                    </a:prstGeom>
                    <a:noFill/>
                  </pic:spPr>
                </pic:pic>
              </a:graphicData>
            </a:graphic>
          </wp:anchor>
        </w:drawing>
      </w:r>
    </w:p>
    <w:p>
      <w:pPr>
        <w:ind w:left="9160"/>
        <w:spacing w:after="0"/>
        <w:rPr>
          <w:sz w:val="20"/>
          <w:szCs w:val="20"/>
          <w:color w:val="auto"/>
        </w:rPr>
      </w:pPr>
      <w:r>
        <w:rPr>
          <w:rFonts w:ascii="Arial" w:cs="Arial" w:eastAsia="Arial" w:hAnsi="Arial"/>
          <w:sz w:val="14"/>
          <w:szCs w:val="14"/>
          <w:color w:val="808080"/>
        </w:rPr>
        <w:t>P.O. Box 3707</w:t>
      </w:r>
    </w:p>
    <w:p>
      <w:pPr>
        <w:ind w:left="9160"/>
        <w:spacing w:after="0" w:line="161" w:lineRule="exact"/>
        <w:rPr>
          <w:sz w:val="20"/>
          <w:szCs w:val="20"/>
          <w:color w:val="auto"/>
        </w:rPr>
      </w:pPr>
      <w:r>
        <w:rPr>
          <w:rFonts w:ascii="Arial" w:cs="Arial" w:eastAsia="Arial" w:hAnsi="Arial"/>
          <w:sz w:val="14"/>
          <w:szCs w:val="14"/>
          <w:color w:val="808080"/>
        </w:rPr>
        <w:t>Seattle, WA 98124</w:t>
      </w:r>
      <w:r>
        <w:rPr>
          <w:rFonts w:ascii="MS PGothic" w:cs="MS PGothic" w:eastAsia="MS PGothic" w:hAnsi="MS PGothic"/>
          <w:sz w:val="14"/>
          <w:szCs w:val="14"/>
          <w:color w:val="808080"/>
        </w:rPr>
        <w:t>‑</w:t>
      </w:r>
      <w:r>
        <w:rPr>
          <w:rFonts w:ascii="Arial" w:cs="Arial" w:eastAsia="Arial" w:hAnsi="Arial"/>
          <w:sz w:val="14"/>
          <w:szCs w:val="14"/>
          <w:color w:val="808080"/>
        </w:rPr>
        <w:t>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94"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b w:val="1"/>
          <w:bCs w:val="1"/>
          <w:i w:val="1"/>
          <w:iCs w:val="1"/>
          <w:color w:val="auto"/>
        </w:rPr>
        <w:t>Qualifying Third Party Fees</w:t>
      </w:r>
      <w:r>
        <w:rPr>
          <w:rFonts w:ascii="Arial" w:cs="Arial" w:eastAsia="Arial" w:hAnsi="Arial"/>
          <w:sz w:val="22"/>
          <w:szCs w:val="22"/>
          <w:color w:val="auto"/>
        </w:rPr>
        <w:t xml:space="preserve"> shall mean [****] during the Performance Period to [****] for Promotional Support [****] the Performance Period.</w:t>
      </w:r>
    </w:p>
    <w:p>
      <w:pPr>
        <w:spacing w:after="0" w:line="177" w:lineRule="exact"/>
        <w:rPr>
          <w:sz w:val="20"/>
          <w:szCs w:val="20"/>
          <w:color w:val="auto"/>
        </w:rPr>
      </w:pPr>
    </w:p>
    <w:p>
      <w:pPr>
        <w:ind w:left="660" w:right="9300" w:hanging="652"/>
        <w:spacing w:after="0" w:line="630" w:lineRule="auto"/>
        <w:tabs>
          <w:tab w:leader="none" w:pos="84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Commitment</w:t>
      </w:r>
      <w:r>
        <w:rPr>
          <w:rFonts w:ascii="Arial" w:cs="Arial" w:eastAsia="Arial" w:hAnsi="Arial"/>
          <w:sz w:val="21"/>
          <w:szCs w:val="21"/>
          <w:color w:val="auto"/>
        </w:rPr>
        <w:t>. [****]</w:t>
      </w:r>
    </w:p>
    <w:p>
      <w:pPr>
        <w:spacing w:after="0" w:line="1" w:lineRule="exact"/>
        <w:rPr>
          <w:rFonts w:ascii="Arial" w:cs="Arial" w:eastAsia="Arial" w:hAnsi="Arial"/>
          <w:sz w:val="21"/>
          <w:szCs w:val="21"/>
          <w:color w:val="auto"/>
        </w:rPr>
      </w:pPr>
    </w:p>
    <w:p>
      <w:pPr>
        <w:ind w:left="840" w:hanging="832"/>
        <w:spacing w:after="0"/>
        <w:tabs>
          <w:tab w:leader="none" w:pos="84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Methods of Performance</w:t>
      </w:r>
      <w:r>
        <w:rPr>
          <w:rFonts w:ascii="Arial" w:cs="Arial" w:eastAsia="Arial" w:hAnsi="Arial"/>
          <w:sz w:val="22"/>
          <w:szCs w:val="22"/>
          <w:color w:val="auto"/>
        </w:rPr>
        <w:t>.</w:t>
      </w:r>
    </w:p>
    <w:p>
      <w:pPr>
        <w:spacing w:after="0" w:line="34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3.1  [****]</w:t>
      </w:r>
    </w:p>
    <w:p>
      <w:pPr>
        <w:spacing w:after="0" w:line="35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3.2  [****]</w:t>
      </w:r>
    </w:p>
    <w:p>
      <w:pPr>
        <w:spacing w:after="0" w:line="35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3.3  [****]</w:t>
      </w:r>
    </w:p>
    <w:p>
      <w:pPr>
        <w:spacing w:after="0" w:line="354" w:lineRule="exact"/>
        <w:rPr>
          <w:rFonts w:ascii="Arial" w:cs="Arial" w:eastAsia="Arial" w:hAnsi="Arial"/>
          <w:sz w:val="22"/>
          <w:szCs w:val="22"/>
          <w:color w:val="auto"/>
        </w:rPr>
      </w:pPr>
    </w:p>
    <w:p>
      <w:pPr>
        <w:ind w:left="840" w:hanging="832"/>
        <w:spacing w:after="0"/>
        <w:tabs>
          <w:tab w:leader="none" w:pos="84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Project Approval</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Following the execution of this Letter Agreement, a Boeing Airline Marketing Services representative will meet with Customer’s designated representative to review and approve the extent, selection, scheduling, and funds disbursement process for the Promotional Support to be provided pursuant to this Letter Agreement.</w:t>
      </w:r>
    </w:p>
    <w:p>
      <w:pPr>
        <w:sectPr>
          <w:pgSz w:w="11900" w:h="16838" w:orient="portrait"/>
          <w:cols w:equalWidth="0" w:num="1">
            <w:col w:w="11420"/>
          </w:cols>
          <w:pgMar w:left="240" w:top="883"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21"/>
          <w:szCs w:val="21"/>
          <w:color w:val="auto"/>
        </w:rPr>
        <w:t>AAL-PA-03735-LA-1106659R2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21"/>
          <w:szCs w:val="21"/>
          <w:color w:val="auto"/>
        </w:rPr>
        <w:t>SA-10</w:t>
      </w:r>
    </w:p>
    <w:p>
      <w:pPr>
        <w:spacing w:after="0" w:line="56" w:lineRule="exact"/>
        <w:rPr>
          <w:sz w:val="20"/>
          <w:szCs w:val="20"/>
          <w:color w:val="auto"/>
        </w:rPr>
      </w:pPr>
    </w:p>
    <w:p>
      <w:pPr>
        <w:sectPr>
          <w:pgSz w:w="11900" w:h="16838" w:orient="portrait"/>
          <w:cols w:equalWidth="0" w:num="2">
            <w:col w:w="8440" w:space="720"/>
            <w:col w:w="2260"/>
          </w:cols>
          <w:pgMar w:left="240" w:top="883" w:right="239" w:bottom="1440" w:gutter="0" w:footer="0" w:header="0"/>
          <w:type w:val="continuous"/>
        </w:sectPr>
      </w:pPr>
    </w:p>
    <w:p>
      <w:pPr>
        <w:ind w:left="40"/>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Page 2 of 3</w:t>
      </w:r>
    </w:p>
    <w:p>
      <w:pPr>
        <w:spacing w:after="0" w:line="54" w:lineRule="exact"/>
        <w:rPr>
          <w:sz w:val="20"/>
          <w:szCs w:val="20"/>
          <w:color w:val="auto"/>
        </w:rPr>
      </w:pPr>
    </w:p>
    <w:p>
      <w:pPr>
        <w:sectPr>
          <w:pgSz w:w="11900" w:h="16838" w:orient="portrait"/>
          <w:cols w:equalWidth="0" w:num="2">
            <w:col w:w="8440" w:space="720"/>
            <w:col w:w="2260"/>
          </w:cols>
          <w:pgMar w:left="240" w:top="883"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63" w:lineRule="exact"/>
        <w:rPr>
          <w:sz w:val="20"/>
          <w:szCs w:val="20"/>
          <w:color w:val="auto"/>
        </w:rPr>
      </w:pPr>
    </w:p>
    <w:p>
      <w:pPr>
        <w:ind w:left="40" w:right="780"/>
        <w:spacing w:after="0" w:line="291" w:lineRule="auto"/>
        <w:rPr>
          <w:sz w:val="20"/>
          <w:szCs w:val="20"/>
          <w:color w:val="auto"/>
        </w:rPr>
      </w:pPr>
      <w:r>
        <w:rPr>
          <w:rFonts w:ascii="Arial" w:cs="Arial" w:eastAsia="Arial" w:hAnsi="Arial"/>
          <w:sz w:val="16"/>
          <w:szCs w:val="16"/>
          <w:color w:val="auto"/>
        </w:rPr>
        <w:t>[****]=[CONFIDENTIAL PORTION HAS BEEN OMITTED BECAUSE IT (I) IS NOT MATERIAL AND (II) WOULD BE COMPETITIVELY HARMFUL IF PUBLICLY DISCLOSED]</w:t>
      </w:r>
    </w:p>
    <w:p>
      <w:pPr>
        <w:sectPr>
          <w:pgSz w:w="11900" w:h="16838" w:orient="portrait"/>
          <w:cols w:equalWidth="0" w:num="1">
            <w:col w:w="11420"/>
          </w:cols>
          <w:pgMar w:left="240" w:top="883" w:right="239" w:bottom="1440" w:gutter="0" w:footer="0" w:header="0"/>
          <w:type w:val="continuous"/>
        </w:sectPr>
      </w:pPr>
    </w:p>
    <w:bookmarkStart w:id="86" w:name="page87"/>
    <w:bookmarkEnd w:id="86"/>
    <w:p>
      <w:pPr>
        <w:ind w:left="9160"/>
        <w:spacing w:after="0"/>
        <w:rPr>
          <w:sz w:val="20"/>
          <w:szCs w:val="20"/>
          <w:color w:val="auto"/>
        </w:rPr>
      </w:pPr>
      <w:r>
        <w:rPr>
          <w:rFonts w:ascii="Arial" w:cs="Arial" w:eastAsia="Arial" w:hAnsi="Arial"/>
          <w:sz w:val="14"/>
          <w:szCs w:val="14"/>
          <w:color w:val="808080"/>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-93345</wp:posOffset>
            </wp:positionV>
            <wp:extent cx="1483360" cy="342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83360" cy="342900"/>
                    </a:xfrm>
                    <a:prstGeom prst="rect">
                      <a:avLst/>
                    </a:prstGeom>
                    <a:noFill/>
                  </pic:spPr>
                </pic:pic>
              </a:graphicData>
            </a:graphic>
          </wp:anchor>
        </w:drawing>
      </w:r>
    </w:p>
    <w:p>
      <w:pPr>
        <w:ind w:left="9160"/>
        <w:spacing w:after="0"/>
        <w:rPr>
          <w:sz w:val="20"/>
          <w:szCs w:val="20"/>
          <w:color w:val="auto"/>
        </w:rPr>
      </w:pPr>
      <w:r>
        <w:rPr>
          <w:rFonts w:ascii="Arial" w:cs="Arial" w:eastAsia="Arial" w:hAnsi="Arial"/>
          <w:sz w:val="14"/>
          <w:szCs w:val="14"/>
          <w:color w:val="808080"/>
        </w:rPr>
        <w:t>P.O. Box 3707</w:t>
      </w:r>
    </w:p>
    <w:p>
      <w:pPr>
        <w:ind w:left="9160"/>
        <w:spacing w:after="0" w:line="161" w:lineRule="exact"/>
        <w:rPr>
          <w:sz w:val="20"/>
          <w:szCs w:val="20"/>
          <w:color w:val="auto"/>
        </w:rPr>
      </w:pPr>
      <w:r>
        <w:rPr>
          <w:rFonts w:ascii="Arial" w:cs="Arial" w:eastAsia="Arial" w:hAnsi="Arial"/>
          <w:sz w:val="14"/>
          <w:szCs w:val="14"/>
          <w:color w:val="808080"/>
        </w:rPr>
        <w:t>Seattle, WA 98124</w:t>
      </w:r>
      <w:r>
        <w:rPr>
          <w:rFonts w:ascii="MS PGothic" w:cs="MS PGothic" w:eastAsia="MS PGothic" w:hAnsi="MS PGothic"/>
          <w:sz w:val="14"/>
          <w:szCs w:val="14"/>
          <w:color w:val="808080"/>
        </w:rPr>
        <w:t>‑</w:t>
      </w:r>
      <w:r>
        <w:rPr>
          <w:rFonts w:ascii="Arial" w:cs="Arial" w:eastAsia="Arial" w:hAnsi="Arial"/>
          <w:sz w:val="14"/>
          <w:szCs w:val="14"/>
          <w:color w:val="808080"/>
        </w:rPr>
        <w:t>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40" w:hanging="832"/>
        <w:spacing w:after="0"/>
        <w:tabs>
          <w:tab w:leader="none" w:pos="8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w:t>
      </w:r>
    </w:p>
    <w:p>
      <w:pPr>
        <w:spacing w:after="0" w:line="292" w:lineRule="exact"/>
        <w:rPr>
          <w:sz w:val="20"/>
          <w:szCs w:val="20"/>
          <w:color w:val="auto"/>
        </w:rPr>
      </w:pPr>
    </w:p>
    <w:p>
      <w:pPr>
        <w:ind w:left="840" w:hanging="832"/>
        <w:spacing w:after="0"/>
        <w:tabs>
          <w:tab w:leader="none" w:pos="84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BOEING COMPANY</w:t>
      </w:r>
    </w:p>
    <w:p>
      <w:pPr>
        <w:spacing w:after="0" w:line="341"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33020</wp:posOffset>
            </wp:positionV>
            <wp:extent cx="3378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21"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33020</wp:posOffset>
            </wp:positionV>
            <wp:extent cx="3378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ACCEPTED AND AGREED TO this</w:t>
      </w:r>
    </w:p>
    <w:p>
      <w:pPr>
        <w:spacing w:after="0" w:line="341"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33020</wp:posOffset>
            </wp:positionV>
            <wp:extent cx="3378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299"/>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American Airlines, Inc.</w:t>
            </w:r>
          </w:p>
        </w:tc>
      </w:tr>
      <w:tr>
        <w:trPr>
          <w:trHeight w:val="574"/>
        </w:trPr>
        <w:tc>
          <w:tcPr>
            <w:tcW w:w="920" w:type="dxa"/>
            <w:vAlign w:val="bottom"/>
          </w:tcPr>
          <w:p>
            <w:pPr>
              <w:spacing w:after="0"/>
              <w:rPr>
                <w:sz w:val="20"/>
                <w:szCs w:val="20"/>
                <w:color w:val="auto"/>
              </w:rPr>
            </w:pPr>
            <w:r>
              <w:rPr>
                <w:rFonts w:ascii="Arial" w:cs="Arial" w:eastAsia="Arial" w:hAnsi="Arial"/>
                <w:sz w:val="22"/>
                <w:szCs w:val="22"/>
                <w:color w:val="auto"/>
              </w:rPr>
              <w:t>Its:</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EVP &amp; CFO</w:t>
            </w:r>
          </w:p>
        </w:tc>
      </w:tr>
    </w:tbl>
    <w:p>
      <w:pPr>
        <w:spacing w:after="0" w:line="200" w:lineRule="exact"/>
        <w:rPr>
          <w:sz w:val="20"/>
          <w:szCs w:val="20"/>
          <w:color w:val="auto"/>
        </w:rPr>
      </w:pPr>
    </w:p>
    <w:p>
      <w:pPr>
        <w:sectPr>
          <w:pgSz w:w="11900" w:h="16838" w:orient="portrait"/>
          <w:cols w:equalWidth="0" w:num="1">
            <w:col w:w="11420"/>
          </w:cols>
          <w:pgMar w:left="240" w:top="8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1"/>
          <w:szCs w:val="21"/>
          <w:color w:val="auto"/>
        </w:rPr>
        <w:t>AAL-PA-03735-LA-1106659R2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color w:val="auto"/>
        </w:rPr>
        <w:t>SA-10</w:t>
      </w:r>
    </w:p>
    <w:p>
      <w:pPr>
        <w:spacing w:after="0" w:line="56" w:lineRule="exact"/>
        <w:rPr>
          <w:sz w:val="20"/>
          <w:szCs w:val="20"/>
          <w:color w:val="auto"/>
        </w:rPr>
      </w:pPr>
    </w:p>
    <w:p>
      <w:pPr>
        <w:sectPr>
          <w:pgSz w:w="11900" w:h="16838" w:orient="portrait"/>
          <w:cols w:equalWidth="0" w:num="2">
            <w:col w:w="8440" w:space="720"/>
            <w:col w:w="2260"/>
          </w:cols>
          <w:pgMar w:left="240" w:top="883" w:right="239" w:bottom="1440" w:gutter="0" w:footer="0" w:header="0"/>
          <w:type w:val="continuous"/>
        </w:sectPr>
      </w:pPr>
    </w:p>
    <w:p>
      <w:pPr>
        <w:ind w:left="40"/>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Page 3 of 3</w:t>
      </w:r>
    </w:p>
    <w:p>
      <w:pPr>
        <w:spacing w:after="0" w:line="54" w:lineRule="exact"/>
        <w:rPr>
          <w:sz w:val="20"/>
          <w:szCs w:val="20"/>
          <w:color w:val="auto"/>
        </w:rPr>
      </w:pPr>
    </w:p>
    <w:p>
      <w:pPr>
        <w:sectPr>
          <w:pgSz w:w="11900" w:h="16838" w:orient="portrait"/>
          <w:cols w:equalWidth="0" w:num="2">
            <w:col w:w="8440" w:space="720"/>
            <w:col w:w="2260"/>
          </w:cols>
          <w:pgMar w:left="240" w:top="883"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63" w:lineRule="exact"/>
        <w:rPr>
          <w:sz w:val="20"/>
          <w:szCs w:val="20"/>
          <w:color w:val="auto"/>
        </w:rPr>
      </w:pPr>
    </w:p>
    <w:p>
      <w:pPr>
        <w:ind w:left="40" w:right="780"/>
        <w:spacing w:after="0" w:line="291" w:lineRule="auto"/>
        <w:rPr>
          <w:sz w:val="20"/>
          <w:szCs w:val="20"/>
          <w:color w:val="auto"/>
        </w:rPr>
      </w:pPr>
      <w:r>
        <w:rPr>
          <w:rFonts w:ascii="Arial" w:cs="Arial" w:eastAsia="Arial" w:hAnsi="Arial"/>
          <w:sz w:val="16"/>
          <w:szCs w:val="16"/>
          <w:color w:val="auto"/>
        </w:rPr>
        <w:t>[****]=[CONFIDENTIAL PORTION HAS BEEN OMITTED BECAUSE IT (I) IS NOT MATERIAL AND (II) WOULD BE COMPETITIVELY HARMFUL IF PUBLICLY DISCLOSED]</w:t>
      </w:r>
    </w:p>
    <w:p>
      <w:pPr>
        <w:sectPr>
          <w:pgSz w:w="11900" w:h="16838" w:orient="portrait"/>
          <w:cols w:equalWidth="0" w:num="1">
            <w:col w:w="11420"/>
          </w:cols>
          <w:pgMar w:left="240" w:top="883" w:right="23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tabs>
          <w:tab w:leader="none" w:pos="73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574"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 Chief</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7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31.3</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57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31.4</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 Chief</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74"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March 31, 2019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70"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26, 2019</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26, 2019</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57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March 31, 2019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70"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26, 2019</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26, 2019</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decimal"/>
      <w:start w:val="2"/>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5"/>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6"/>
    </w:lvl>
  </w:abstractNum>
  <w:abstractNum w:abstractNumId="8">
    <w:nsid w:val="7724C67E"/>
    <w:multiLevelType w:val="hybridMultilevel"/>
    <w:lvl w:ilvl="0">
      <w:lvlJc w:val="left"/>
      <w:lvlText w:val="%1."/>
      <w:numFmt w:val="decimal"/>
      <w:start w:val="8"/>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lvl w:ilvl="1">
      <w:lvlJc w:val="left"/>
      <w:lvlText w:val="(%2)"/>
      <w:numFmt w:val="decimal"/>
      <w:start w:val="1"/>
    </w:lvl>
  </w:abstractNum>
  <w:abstractNum w:abstractNumId="12">
    <w:nsid w:val="51EAD36B"/>
    <w:multiLevelType w:val="hybridMultilevel"/>
    <w:lvl w:ilvl="0">
      <w:lvlJc w:val="left"/>
      <w:lvlText w:val="%1."/>
      <w:numFmt w:val="decimal"/>
      <w:start w:val="12"/>
    </w:lvl>
    <w:lvl w:ilvl="1">
      <w:lvlJc w:val="left"/>
      <w:lvlText w:val="%2"/>
      <w:numFmt w:val="decimal"/>
      <w:start w:val="1"/>
    </w:lvl>
  </w:abstractNum>
  <w:abstractNum w:abstractNumId="13">
    <w:nsid w:val="2D517796"/>
    <w:multiLevelType w:val="hybridMultilevel"/>
    <w:lvl w:ilvl="0">
      <w:lvlJc w:val="left"/>
      <w:lvlText w:val="%1."/>
      <w:numFmt w:val="decimal"/>
      <w:start w:val="13"/>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1."/>
      <w:numFmt w:val="decimal"/>
      <w:start w:val="1"/>
    </w:lvl>
    <w:lvl w:ilvl="1">
      <w:lvlJc w:val="left"/>
      <w:lvlText w:val="(%2)"/>
      <w:numFmt w:val="lowerLetter"/>
      <w:start w:val="1"/>
    </w:lvl>
  </w:abstractNum>
  <w:abstractNum w:abstractNumId="16">
    <w:nsid w:val="3855585C"/>
    <w:multiLevelType w:val="hybridMultilevel"/>
    <w:lvl w:ilvl="0">
      <w:lvlJc w:val="left"/>
      <w:lvlText w:val="%1."/>
      <w:numFmt w:val="decimal"/>
      <w:start w:val="2"/>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decimal"/>
      <w:start w:val="3"/>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6"/>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7"/>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lvl w:ilvl="1">
      <w:lvlJc w:val="left"/>
      <w:lvlText w:val="(%2)"/>
      <w:numFmt w:val="decimal"/>
      <w:start w:val="1"/>
    </w:lvl>
  </w:abstractNum>
  <w:abstractNum w:abstractNumId="26">
    <w:nsid w:val="542289EC"/>
    <w:multiLevelType w:val="hybridMultilevel"/>
    <w:lvl w:ilvl="0">
      <w:lvlJc w:val="left"/>
      <w:lvlText w:val="%1."/>
      <w:numFmt w:val="decimal"/>
      <w:start w:val="10"/>
    </w:lvl>
    <w:lvl w:ilvl="1">
      <w:lvlJc w:val="left"/>
      <w:lvlText w:val="%2"/>
      <w:numFmt w:val="decimal"/>
      <w:start w:val="1"/>
    </w:lvl>
  </w:abstractNum>
  <w:abstractNum w:abstractNumId="27">
    <w:nsid w:val="6DE91B18"/>
    <w:multiLevelType w:val="hybridMultilevel"/>
    <w:lvl w:ilvl="0">
      <w:lvlJc w:val="left"/>
      <w:lvlText w:val="%1"/>
      <w:numFmt w:val="decimal"/>
      <w:start w:val="1"/>
    </w:lvl>
    <w:lvl w:ilvl="1">
      <w:lvlJc w:val="left"/>
      <w:lvlText w:val="(%2)"/>
      <w:numFmt w:val="decimal"/>
      <w:start w:val="1"/>
    </w:lvl>
  </w:abstractNum>
  <w:abstractNum w:abstractNumId="28">
    <w:nsid w:val="38437FDB"/>
    <w:multiLevelType w:val="hybridMultilevel"/>
    <w:lvl w:ilvl="0">
      <w:lvlJc w:val="left"/>
      <w:lvlText w:val="%1."/>
      <w:numFmt w:val="decimal"/>
      <w:start w:val="11"/>
    </w:lvl>
    <w:lvl w:ilvl="1">
      <w:lvlJc w:val="left"/>
      <w:lvlText w:val="%2"/>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lowerLetter"/>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2"/>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2"/>
    </w:lvl>
  </w:abstractNum>
  <w:abstractNum w:abstractNumId="53">
    <w:nsid w:val="741226BB"/>
    <w:multiLevelType w:val="hybridMultilevel"/>
    <w:lvl w:ilvl="0">
      <w:lvlJc w:val="left"/>
      <w:lvlText w:val="%1."/>
      <w:numFmt w:val="decimal"/>
      <w:start w:val="3"/>
    </w:lvl>
  </w:abstractNum>
  <w:abstractNum w:abstractNumId="54">
    <w:nsid w:val="D34B6A8"/>
    <w:multiLevelType w:val="hybridMultilevel"/>
    <w:lvl w:ilvl="0">
      <w:lvlJc w:val="left"/>
      <w:lvlText w:val="%1."/>
      <w:numFmt w:val="decimal"/>
      <w:start w:val="4"/>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2"/>
    </w:lvl>
  </w:abstractNum>
  <w:abstractNum w:abstractNumId="58">
    <w:nsid w:val="7E0C57B1"/>
    <w:multiLevelType w:val="hybridMultilevel"/>
    <w:lvl w:ilvl="0">
      <w:lvlJc w:val="left"/>
      <w:lvlText w:val="%1."/>
      <w:numFmt w:val="decimal"/>
      <w:start w:val="5"/>
    </w:lvl>
  </w:abstractNum>
  <w:abstractNum w:abstractNumId="59">
    <w:nsid w:val="77AE35EB"/>
    <w:multiLevelType w:val="hybridMultilevel"/>
    <w:lvl w:ilvl="0">
      <w:lvlJc w:val="left"/>
      <w:lvlText w:val="%1."/>
      <w:numFmt w:val="decimal"/>
      <w:start w:val="6"/>
    </w:lvl>
  </w:abstractNum>
  <w:abstractNum w:abstractNumId="60">
    <w:nsid w:val="579BE4F1"/>
    <w:multiLevelType w:val="hybridMultilevel"/>
    <w:lvl w:ilvl="0">
      <w:lvlJc w:val="left"/>
      <w:lvlText w:val="%1."/>
      <w:numFmt w:val="decimal"/>
      <w:start w:val="1"/>
    </w:lvl>
    <w:lvl w:ilvl="1">
      <w:lvlJc w:val="left"/>
      <w:lvlText w:val="(%2)"/>
      <w:numFmt w:val="lowerLetter"/>
      <w:start w:val="1"/>
    </w:lvl>
  </w:abstractNum>
  <w:abstractNum w:abstractNumId="61">
    <w:nsid w:val="310C50B3"/>
    <w:multiLevelType w:val="hybridMultilevel"/>
    <w:lvl w:ilvl="0">
      <w:lvlJc w:val="left"/>
      <w:lvlText w:val="%1."/>
      <w:numFmt w:val="decimal"/>
      <w:start w:val="1"/>
    </w:lvl>
    <w:lvl w:ilvl="1">
      <w:lvlJc w:val="left"/>
      <w:lvlText w:val="(%2)"/>
      <w:numFmt w:val="lowerLetter"/>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2019-12-28T13:51:08Z</dcterms:created>
  <dcterms:modified xsi:type="dcterms:W3CDTF">2019-12-28T13:51:08Z</dcterms:modified>
</cp:coreProperties>
</file>