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333-236503</w:t>
      </w:r>
    </w:p>
    <w:p>
      <w:pPr>
        <w:spacing w:after="0" w:line="131" w:lineRule="exact"/>
        <w:rPr>
          <w:sz w:val="24"/>
          <w:szCs w:val="24"/>
          <w:color w:val="auto"/>
        </w:rPr>
      </w:pPr>
    </w:p>
    <w:p>
      <w:pPr>
        <w:ind w:left="120" w:right="80"/>
        <w:spacing w:after="0" w:line="263" w:lineRule="auto"/>
        <w:rPr>
          <w:sz w:val="20"/>
          <w:szCs w:val="20"/>
          <w:color w:val="auto"/>
        </w:rPr>
      </w:pPr>
      <w:r>
        <w:rPr>
          <w:rFonts w:ascii="Arial" w:cs="Arial" w:eastAsia="Arial" w:hAnsi="Arial"/>
          <w:sz w:val="18"/>
          <w:szCs w:val="18"/>
          <w:color w:val="DE1A1E"/>
        </w:rPr>
        <w:t>The information in this preliminary prospectus supplement and the accompanying prospectus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DE1A1E"/>
        </w:rPr>
        <w:t>SUBJECT TO COMPLETION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DE1A1E"/>
        </w:rPr>
        <w:t>Preliminary Prospectus Supplement dated June 21, 2020</w:t>
      </w:r>
    </w:p>
    <w:p>
      <w:pPr>
        <w:spacing w:after="0" w:line="80"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Preliminary 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Prospectus dated February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62230</wp:posOffset>
            </wp:positionV>
            <wp:extent cx="308610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American Airlines Group Inc.</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24"/>
          <w:szCs w:val="24"/>
          <w:color w:val="auto"/>
        </w:rPr>
        <w:t>$750,000,000</w:t>
      </w:r>
    </w:p>
    <w:p>
      <w:pPr>
        <w:spacing w:after="0" w:line="62" w:lineRule="exact"/>
        <w:rPr>
          <w:sz w:val="24"/>
          <w:szCs w:val="24"/>
          <w:color w:val="auto"/>
        </w:rPr>
      </w:pPr>
    </w:p>
    <w:p>
      <w:pPr>
        <w:jc w:val="center"/>
        <w:ind w:right="-99"/>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84455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p>
      <w:pPr>
        <w:ind w:left="120" w:right="60" w:firstLine="551"/>
        <w:spacing w:after="0" w:line="260" w:lineRule="auto"/>
        <w:rPr>
          <w:sz w:val="20"/>
          <w:szCs w:val="20"/>
          <w:color w:val="auto"/>
        </w:rPr>
      </w:pPr>
      <w:r>
        <w:rPr>
          <w:rFonts w:ascii="Arial" w:cs="Arial" w:eastAsia="Arial" w:hAnsi="Arial"/>
          <w:sz w:val="16"/>
          <w:szCs w:val="16"/>
          <w:color w:val="auto"/>
        </w:rPr>
        <w:t>American Airlines Group Inc. (“AAG”) is offering $750.0 million of shares of our common stock. Our common stock is listed on The Nasdaq Global Select Market (“Nasdaq”) under the symbol “AAL.” On June 19, 2020, the last reported sale price of our common stock was $16.00 per share.</w:t>
      </w:r>
    </w:p>
    <w:p>
      <w:pPr>
        <w:spacing w:after="0" w:line="33" w:lineRule="exact"/>
        <w:rPr>
          <w:sz w:val="24"/>
          <w:szCs w:val="24"/>
          <w:color w:val="auto"/>
        </w:rPr>
      </w:pPr>
    </w:p>
    <w:p>
      <w:pPr>
        <w:ind w:left="120" w:right="60" w:firstLine="551"/>
        <w:spacing w:after="0" w:line="247" w:lineRule="auto"/>
        <w:rPr>
          <w:sz w:val="20"/>
          <w:szCs w:val="20"/>
          <w:color w:val="auto"/>
        </w:rPr>
      </w:pPr>
      <w:r>
        <w:rPr>
          <w:rFonts w:ascii="Arial" w:cs="Arial" w:eastAsia="Arial" w:hAnsi="Arial"/>
          <w:sz w:val="16"/>
          <w:szCs w:val="16"/>
          <w:color w:val="auto"/>
        </w:rPr>
        <w:t>Concurrently with this offering, (i) we are conducting a public offering of $750.0 million aggregate principal amount of our convertible senior notes due 2025 guaranteed by American Airlines, Inc., our direct wholly-owned subsidiary (“American”) (or up to $862.5 million aggregate principal amount if the underwriters in the Concurrent Convertible Notes Offering exercise their option to purchase additional convertible notes solely to cover over-allotments) (the “Concurrent Convertible Notes Offering”), (ii) American has announced its intention to conduct a private offering of $1,500.0 million aggregate principal amount (the “Concurrent Senior Secured Notes Offering”) of its senior secured notes due 2025 guaranteed by AAG and (iii) American has announced its intention to borrow up to $500.0 million in aggregate principal amount of term loans under new senior secured credit facilities (the “Concurrent Term Loan Financing” and, together with the Concurrent Senior Secured Notes Offering and Concurrent Convertible Notes Offering, the “Concurrent Transactions”). Neither this offering nor any of the Concurrent Transactions is conditioned upon the completion of the other, so it is possible that this offering occurs and one or more of the Concurrent Transactions do not occur, and vice versa. We cannot assure you that any of the Concurrent Transactions will be completed on the terms described herein, on significantly different terms or at all. The Concurrent Convertible Notes Offering is being made pursuant to a separate prospectus supplement and the Concurrent Senior Secured Notes Offering is being made pursuant to a separate offering memorandum, and nothing contained herein shall constitute an offer to sell or the solicitation of an offer to buy our convertible notes or senior secured notes to be issued in the Concurrent Convertible Notes Offering or the Concurrent Senior Secured Notes Offering, respectively. See “Description of the Concurrent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201930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8020" w:type="dxa"/>
            <w:vAlign w:val="bottom"/>
            <w:gridSpan w:val="3"/>
          </w:tcPr>
          <w:p>
            <w:pPr>
              <w:ind w:left="54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Investing in our common stock involves risks. See “</w:t>
            </w:r>
            <w:hyperlink w:anchor="page14">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beginning on page S-8.</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34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auto"/>
                <w:w w:val="99"/>
              </w:rPr>
              <w:t>Per Share</w:t>
            </w:r>
          </w:p>
        </w:tc>
        <w:tc>
          <w:tcPr>
            <w:tcW w:w="380" w:type="dxa"/>
            <w:vAlign w:val="bottom"/>
            <w:vMerge w:val="restart"/>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Total(2)</w:t>
            </w: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434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CCEEFF"/>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CCEE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20" w:type="dxa"/>
            <w:vAlign w:val="bottom"/>
            <w:gridSpan w:val="3"/>
            <w:shd w:val="clear" w:color="auto" w:fill="CCEEFF"/>
          </w:tcPr>
          <w:p>
            <w:pPr>
              <w:spacing w:after="0" w:line="177" w:lineRule="exact"/>
              <w:rPr>
                <w:sz w:val="20"/>
                <w:szCs w:val="20"/>
                <w:color w:val="auto"/>
              </w:rPr>
            </w:pPr>
            <w:r>
              <w:rPr>
                <w:rFonts w:ascii="Arial" w:cs="Arial" w:eastAsia="Arial" w:hAnsi="Arial"/>
                <w:sz w:val="16"/>
                <w:szCs w:val="16"/>
                <w:color w:val="auto"/>
              </w:rPr>
              <w:t>Price to public</w:t>
            </w:r>
          </w:p>
        </w:tc>
        <w:tc>
          <w:tcPr>
            <w:tcW w:w="1860" w:type="dxa"/>
            <w:vAlign w:val="bottom"/>
            <w:gridSpan w:val="2"/>
            <w:shd w:val="clear" w:color="auto" w:fill="CCEEFF"/>
          </w:tcPr>
          <w:p>
            <w:pPr>
              <w:ind w:left="1120"/>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20" w:type="dxa"/>
            <w:vAlign w:val="bottom"/>
            <w:gridSpan w:val="3"/>
          </w:tcPr>
          <w:p>
            <w:pPr>
              <w:spacing w:after="0"/>
              <w:rPr>
                <w:sz w:val="20"/>
                <w:szCs w:val="20"/>
                <w:color w:val="auto"/>
              </w:rPr>
            </w:pPr>
            <w:r>
              <w:rPr>
                <w:rFonts w:ascii="Arial" w:cs="Arial" w:eastAsia="Arial" w:hAnsi="Arial"/>
                <w:sz w:val="16"/>
                <w:szCs w:val="16"/>
                <w:color w:val="auto"/>
              </w:rPr>
              <w:t>Underwriting discount(1)</w:t>
            </w:r>
          </w:p>
        </w:tc>
        <w:tc>
          <w:tcPr>
            <w:tcW w:w="18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Proceeds, before expenses, to American Airlines Group Inc.</w:t>
            </w:r>
          </w:p>
        </w:tc>
        <w:tc>
          <w:tcPr>
            <w:tcW w:w="1860" w:type="dxa"/>
            <w:vAlign w:val="bottom"/>
            <w:gridSpan w:val="2"/>
            <w:shd w:val="clear" w:color="auto" w:fill="CCEEFF"/>
          </w:tcPr>
          <w:p>
            <w:pPr>
              <w:ind w:left="112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7"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for a description of compensation to the underwriters.</w:t>
      </w:r>
    </w:p>
    <w:p>
      <w:pPr>
        <w:spacing w:after="0" w:line="5" w:lineRule="exact"/>
        <w:rPr>
          <w:rFonts w:ascii="Arial" w:cs="Arial" w:eastAsia="Arial" w:hAnsi="Arial"/>
          <w:sz w:val="16"/>
          <w:szCs w:val="16"/>
          <w:color w:val="auto"/>
        </w:rPr>
      </w:pPr>
    </w:p>
    <w:p>
      <w:pPr>
        <w:ind w:left="660" w:hanging="544"/>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additional shares.</w:t>
      </w:r>
    </w:p>
    <w:p>
      <w:pPr>
        <w:spacing w:after="0" w:line="39" w:lineRule="exact"/>
        <w:rPr>
          <w:sz w:val="24"/>
          <w:szCs w:val="24"/>
          <w:color w:val="auto"/>
        </w:rPr>
      </w:pPr>
    </w:p>
    <w:p>
      <w:pPr>
        <w:ind w:left="120" w:right="20" w:firstLine="551"/>
        <w:spacing w:after="0" w:line="26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189"/>
        </w:trPr>
        <w:tc>
          <w:tcPr>
            <w:tcW w:w="6660" w:type="dxa"/>
            <w:vAlign w:val="bottom"/>
            <w:gridSpan w:val="3"/>
          </w:tcPr>
          <w:p>
            <w:pPr>
              <w:ind w:left="540"/>
              <w:spacing w:after="0"/>
              <w:rPr>
                <w:sz w:val="20"/>
                <w:szCs w:val="20"/>
                <w:color w:val="auto"/>
              </w:rPr>
            </w:pPr>
            <w:r>
              <w:rPr>
                <w:rFonts w:ascii="Arial" w:cs="Arial" w:eastAsia="Arial" w:hAnsi="Arial"/>
                <w:sz w:val="16"/>
                <w:szCs w:val="16"/>
                <w:color w:val="auto"/>
              </w:rPr>
              <w:t>We expect that delivery of the shares of our common stock will be made on or about</w:t>
            </w:r>
          </w:p>
        </w:tc>
        <w:tc>
          <w:tcPr>
            <w:tcW w:w="4360" w:type="dxa"/>
            <w:vAlign w:val="bottom"/>
            <w:gridSpan w:val="2"/>
          </w:tcPr>
          <w:p>
            <w:pPr>
              <w:jc w:val="right"/>
              <w:ind w:right="732"/>
              <w:spacing w:after="0"/>
              <w:rPr>
                <w:sz w:val="20"/>
                <w:szCs w:val="20"/>
                <w:color w:val="auto"/>
              </w:rPr>
            </w:pPr>
            <w:r>
              <w:rPr>
                <w:rFonts w:ascii="Arial" w:cs="Arial" w:eastAsia="Arial" w:hAnsi="Arial"/>
                <w:sz w:val="16"/>
                <w:szCs w:val="16"/>
                <w:color w:val="auto"/>
              </w:rPr>
              <w:t>, 2020. In addition, we have granted the</w:t>
            </w:r>
          </w:p>
        </w:tc>
      </w:tr>
      <w:tr>
        <w:trPr>
          <w:trHeight w:val="189"/>
        </w:trPr>
        <w:tc>
          <w:tcPr>
            <w:tcW w:w="11020" w:type="dxa"/>
            <w:vAlign w:val="bottom"/>
            <w:gridSpan w:val="5"/>
          </w:tcPr>
          <w:p>
            <w:pPr>
              <w:spacing w:after="0"/>
              <w:rPr>
                <w:sz w:val="20"/>
                <w:szCs w:val="20"/>
                <w:color w:val="auto"/>
              </w:rPr>
            </w:pPr>
            <w:r>
              <w:rPr>
                <w:rFonts w:ascii="Arial" w:cs="Arial" w:eastAsia="Arial" w:hAnsi="Arial"/>
                <w:sz w:val="16"/>
                <w:szCs w:val="16"/>
                <w:color w:val="auto"/>
              </w:rPr>
              <w:t>underwriters an option to purchase, in whole or in part, for a period of 30 days from the date of this prospectus supplement up to $112.5 million of</w:t>
            </w:r>
          </w:p>
        </w:tc>
      </w:tr>
      <w:tr>
        <w:trPr>
          <w:trHeight w:val="195"/>
        </w:trPr>
        <w:tc>
          <w:tcPr>
            <w:tcW w:w="9660" w:type="dxa"/>
            <w:vAlign w:val="bottom"/>
            <w:gridSpan w:val="4"/>
          </w:tcPr>
          <w:p>
            <w:pPr>
              <w:spacing w:after="0"/>
              <w:rPr>
                <w:sz w:val="20"/>
                <w:szCs w:val="20"/>
                <w:color w:val="auto"/>
              </w:rPr>
            </w:pPr>
            <w:r>
              <w:rPr>
                <w:rFonts w:ascii="Arial" w:cs="Arial" w:eastAsia="Arial" w:hAnsi="Arial"/>
                <w:sz w:val="16"/>
                <w:szCs w:val="16"/>
                <w:color w:val="auto"/>
              </w:rPr>
              <w:t>additional shares of our common stock at the public offering price less the underwriting discount solely to cover over-allotments, if any.</w:t>
            </w:r>
          </w:p>
        </w:tc>
        <w:tc>
          <w:tcPr>
            <w:tcW w:w="1360" w:type="dxa"/>
            <w:vAlign w:val="bottom"/>
          </w:tcPr>
          <w:p>
            <w:pPr>
              <w:spacing w:after="0"/>
              <w:rPr>
                <w:sz w:val="16"/>
                <w:szCs w:val="16"/>
                <w:color w:val="auto"/>
              </w:rPr>
            </w:pPr>
          </w:p>
        </w:tc>
      </w:tr>
      <w:tr>
        <w:trPr>
          <w:trHeight w:val="128"/>
        </w:trPr>
        <w:tc>
          <w:tcPr>
            <w:tcW w:w="13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44"/>
        </w:trPr>
        <w:tc>
          <w:tcPr>
            <w:tcW w:w="1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320" w:type="dxa"/>
            <w:vAlign w:val="bottom"/>
          </w:tcPr>
          <w:p>
            <w:pPr>
              <w:ind w:left="700"/>
              <w:spacing w:after="0"/>
              <w:rPr>
                <w:sz w:val="20"/>
                <w:szCs w:val="20"/>
                <w:color w:val="auto"/>
              </w:rPr>
            </w:pPr>
            <w:r>
              <w:rPr>
                <w:rFonts w:ascii="Arial" w:cs="Arial" w:eastAsia="Arial" w:hAnsi="Arial"/>
                <w:sz w:val="16"/>
                <w:szCs w:val="16"/>
                <w:i w:val="1"/>
                <w:iCs w:val="1"/>
                <w:color w:val="auto"/>
              </w:rPr>
              <w:t>Bookrunners</w:t>
            </w:r>
          </w:p>
        </w:tc>
        <w:tc>
          <w:tcPr>
            <w:tcW w:w="30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46"/>
        </w:trPr>
        <w:tc>
          <w:tcPr>
            <w:tcW w:w="4340" w:type="dxa"/>
            <w:vAlign w:val="bottom"/>
            <w:gridSpan w:val="2"/>
          </w:tcPr>
          <w:p>
            <w:pPr>
              <w:spacing w:after="0"/>
              <w:rPr>
                <w:sz w:val="20"/>
                <w:szCs w:val="20"/>
                <w:color w:val="auto"/>
              </w:rPr>
            </w:pPr>
            <w:r>
              <w:rPr>
                <w:rFonts w:ascii="Arial" w:cs="Arial" w:eastAsia="Arial" w:hAnsi="Arial"/>
                <w:sz w:val="23"/>
                <w:szCs w:val="23"/>
                <w:b w:val="1"/>
                <w:bCs w:val="1"/>
                <w:color w:val="auto"/>
              </w:rPr>
              <w:t>Goldman Sachs &amp; Co. LLC</w:t>
            </w:r>
          </w:p>
        </w:tc>
        <w:tc>
          <w:tcPr>
            <w:tcW w:w="2320" w:type="dxa"/>
            <w:vAlign w:val="bottom"/>
          </w:tcPr>
          <w:p>
            <w:pPr>
              <w:ind w:left="280"/>
              <w:spacing w:after="0"/>
              <w:rPr>
                <w:sz w:val="20"/>
                <w:szCs w:val="20"/>
                <w:color w:val="auto"/>
              </w:rPr>
            </w:pPr>
            <w:r>
              <w:rPr>
                <w:rFonts w:ascii="Arial" w:cs="Arial" w:eastAsia="Arial" w:hAnsi="Arial"/>
                <w:sz w:val="23"/>
                <w:szCs w:val="23"/>
                <w:b w:val="1"/>
                <w:bCs w:val="1"/>
                <w:color w:val="auto"/>
              </w:rPr>
              <w:t>Citigroup</w:t>
            </w:r>
          </w:p>
        </w:tc>
        <w:tc>
          <w:tcPr>
            <w:tcW w:w="3000" w:type="dxa"/>
            <w:vAlign w:val="bottom"/>
          </w:tcPr>
          <w:p>
            <w:pPr>
              <w:jc w:val="right"/>
              <w:ind w:right="1146"/>
              <w:spacing w:after="0"/>
              <w:rPr>
                <w:sz w:val="20"/>
                <w:szCs w:val="20"/>
                <w:color w:val="auto"/>
              </w:rPr>
            </w:pPr>
            <w:r>
              <w:rPr>
                <w:rFonts w:ascii="Arial" w:cs="Arial" w:eastAsia="Arial" w:hAnsi="Arial"/>
                <w:sz w:val="23"/>
                <w:szCs w:val="23"/>
                <w:b w:val="1"/>
                <w:bCs w:val="1"/>
                <w:color w:val="auto"/>
              </w:rPr>
              <w:t>BofA Securities</w:t>
            </w:r>
          </w:p>
        </w:tc>
        <w:tc>
          <w:tcPr>
            <w:tcW w:w="1360" w:type="dxa"/>
            <w:vAlign w:val="bottom"/>
          </w:tcPr>
          <w:p>
            <w:pPr>
              <w:jc w:val="right"/>
              <w:spacing w:after="0"/>
              <w:rPr>
                <w:sz w:val="20"/>
                <w:szCs w:val="20"/>
                <w:color w:val="auto"/>
              </w:rPr>
            </w:pPr>
            <w:r>
              <w:rPr>
                <w:rFonts w:ascii="Arial" w:cs="Arial" w:eastAsia="Arial" w:hAnsi="Arial"/>
                <w:sz w:val="23"/>
                <w:szCs w:val="23"/>
                <w:b w:val="1"/>
                <w:bCs w:val="1"/>
                <w:color w:val="auto"/>
              </w:rPr>
              <w:t>J.P. Morgan</w:t>
            </w:r>
          </w:p>
        </w:tc>
      </w:tr>
      <w:tr>
        <w:trPr>
          <w:trHeight w:val="406"/>
        </w:trPr>
        <w:tc>
          <w:tcPr>
            <w:tcW w:w="1360" w:type="dxa"/>
            <w:vAlign w:val="bottom"/>
          </w:tcPr>
          <w:p>
            <w:pPr>
              <w:spacing w:after="0"/>
              <w:rPr>
                <w:sz w:val="20"/>
                <w:szCs w:val="20"/>
                <w:color w:val="auto"/>
              </w:rPr>
            </w:pPr>
            <w:r>
              <w:rPr>
                <w:rFonts w:ascii="Arial" w:cs="Arial" w:eastAsia="Arial" w:hAnsi="Arial"/>
                <w:sz w:val="20"/>
                <w:szCs w:val="20"/>
                <w:b w:val="1"/>
                <w:bCs w:val="1"/>
                <w:color w:val="auto"/>
              </w:rPr>
              <w:t>Barclays</w:t>
            </w:r>
          </w:p>
        </w:tc>
        <w:tc>
          <w:tcPr>
            <w:tcW w:w="2980" w:type="dxa"/>
            <w:vAlign w:val="bottom"/>
          </w:tcPr>
          <w:p>
            <w:pPr>
              <w:ind w:left="520"/>
              <w:spacing w:after="0"/>
              <w:rPr>
                <w:sz w:val="20"/>
                <w:szCs w:val="20"/>
                <w:color w:val="auto"/>
              </w:rPr>
            </w:pPr>
            <w:r>
              <w:rPr>
                <w:rFonts w:ascii="Arial" w:cs="Arial" w:eastAsia="Arial" w:hAnsi="Arial"/>
                <w:sz w:val="20"/>
                <w:szCs w:val="20"/>
                <w:b w:val="1"/>
                <w:bCs w:val="1"/>
                <w:color w:val="auto"/>
                <w:w w:val="99"/>
              </w:rPr>
              <w:t>Deutsche Bank Securities</w:t>
            </w:r>
          </w:p>
        </w:tc>
        <w:tc>
          <w:tcPr>
            <w:tcW w:w="2320" w:type="dxa"/>
            <w:vAlign w:val="bottom"/>
          </w:tcPr>
          <w:p>
            <w:pPr>
              <w:ind w:left="940"/>
              <w:spacing w:after="0"/>
              <w:rPr>
                <w:sz w:val="20"/>
                <w:szCs w:val="20"/>
                <w:color w:val="auto"/>
              </w:rPr>
            </w:pPr>
            <w:r>
              <w:rPr>
                <w:rFonts w:ascii="Arial" w:cs="Arial" w:eastAsia="Arial" w:hAnsi="Arial"/>
                <w:sz w:val="20"/>
                <w:szCs w:val="20"/>
                <w:b w:val="1"/>
                <w:bCs w:val="1"/>
                <w:color w:val="auto"/>
              </w:rPr>
              <w:t>Credit Suisse</w:t>
            </w:r>
          </w:p>
        </w:tc>
        <w:tc>
          <w:tcPr>
            <w:tcW w:w="3000" w:type="dxa"/>
            <w:vAlign w:val="bottom"/>
          </w:tcPr>
          <w:p>
            <w:pPr>
              <w:jc w:val="right"/>
              <w:ind w:right="566"/>
              <w:spacing w:after="0"/>
              <w:rPr>
                <w:sz w:val="20"/>
                <w:szCs w:val="20"/>
                <w:color w:val="auto"/>
              </w:rPr>
            </w:pPr>
            <w:r>
              <w:rPr>
                <w:rFonts w:ascii="Arial" w:cs="Arial" w:eastAsia="Arial" w:hAnsi="Arial"/>
                <w:sz w:val="20"/>
                <w:szCs w:val="20"/>
                <w:b w:val="1"/>
                <w:bCs w:val="1"/>
                <w:color w:val="auto"/>
              </w:rPr>
              <w:t>Morgan Stanley</w:t>
            </w:r>
          </w:p>
        </w:tc>
        <w:tc>
          <w:tcPr>
            <w:tcW w:w="1360" w:type="dxa"/>
            <w:vAlign w:val="bottom"/>
          </w:tcPr>
          <w:p>
            <w:pPr>
              <w:jc w:val="right"/>
              <w:spacing w:after="0"/>
              <w:rPr>
                <w:sz w:val="20"/>
                <w:szCs w:val="20"/>
                <w:color w:val="auto"/>
              </w:rPr>
            </w:pPr>
            <w:r>
              <w:rPr>
                <w:rFonts w:ascii="Arial" w:cs="Arial" w:eastAsia="Arial" w:hAnsi="Arial"/>
                <w:sz w:val="20"/>
                <w:szCs w:val="20"/>
                <w:b w:val="1"/>
                <w:bCs w:val="1"/>
                <w:color w:val="auto"/>
              </w:rPr>
              <w:t>SMBC Nikko</w:t>
            </w:r>
          </w:p>
        </w:tc>
      </w:tr>
      <w:tr>
        <w:trPr>
          <w:trHeight w:val="171"/>
        </w:trPr>
        <w:tc>
          <w:tcPr>
            <w:tcW w:w="1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4"/>
        </w:trPr>
        <w:tc>
          <w:tcPr>
            <w:tcW w:w="1360" w:type="dxa"/>
            <w:vAlign w:val="bottom"/>
          </w:tcPr>
          <w:p>
            <w:pPr>
              <w:spacing w:after="0"/>
              <w:rPr>
                <w:sz w:val="21"/>
                <w:szCs w:val="21"/>
                <w:color w:val="auto"/>
              </w:rPr>
            </w:pPr>
          </w:p>
        </w:tc>
        <w:tc>
          <w:tcPr>
            <w:tcW w:w="5300" w:type="dxa"/>
            <w:vAlign w:val="bottom"/>
            <w:gridSpan w:val="2"/>
          </w:tcPr>
          <w:p>
            <w:pPr>
              <w:ind w:left="1940"/>
              <w:spacing w:after="0"/>
              <w:rPr>
                <w:sz w:val="20"/>
                <w:szCs w:val="20"/>
                <w:color w:val="auto"/>
              </w:rPr>
            </w:pPr>
            <w:r>
              <w:rPr>
                <w:rFonts w:ascii="Arial" w:cs="Arial" w:eastAsia="Arial" w:hAnsi="Arial"/>
                <w:sz w:val="16"/>
                <w:szCs w:val="16"/>
                <w:color w:val="auto"/>
              </w:rPr>
              <w:t>The date of this prospectus supplement is</w:t>
            </w:r>
          </w:p>
        </w:tc>
        <w:tc>
          <w:tcPr>
            <w:tcW w:w="3000" w:type="dxa"/>
            <w:vAlign w:val="bottom"/>
          </w:tcPr>
          <w:p>
            <w:pPr>
              <w:jc w:val="right"/>
              <w:ind w:right="1866"/>
              <w:spacing w:after="0"/>
              <w:rPr>
                <w:sz w:val="20"/>
                <w:szCs w:val="20"/>
                <w:color w:val="auto"/>
              </w:rPr>
            </w:pPr>
            <w:r>
              <w:rPr>
                <w:rFonts w:ascii="Arial" w:cs="Arial" w:eastAsia="Arial" w:hAnsi="Arial"/>
                <w:sz w:val="16"/>
                <w:szCs w:val="16"/>
                <w:color w:val="auto"/>
              </w:rPr>
              <w:t>, 2020</w:t>
            </w:r>
          </w:p>
        </w:tc>
        <w:tc>
          <w:tcPr>
            <w:tcW w:w="1360" w:type="dxa"/>
            <w:vAlign w:val="bottom"/>
          </w:tcPr>
          <w:p>
            <w:pPr>
              <w:spacing w:after="0"/>
              <w:rPr>
                <w:sz w:val="21"/>
                <w:szCs w:val="21"/>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460" w:type="dxa"/>
            <w:vAlign w:val="bottom"/>
          </w:tcPr>
          <w:p>
            <w:pPr>
              <w:jc w:val="center"/>
              <w:ind w:left="45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6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Prospectus Supplement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Presentation of Information</w:t>
              </w:r>
            </w:hyperlink>
          </w:p>
        </w:tc>
        <w:tc>
          <w:tcPr>
            <w:tcW w:w="5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S-iii</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About Forward-Looking Statements</w:t>
              </w:r>
            </w:hyperlink>
          </w:p>
        </w:tc>
        <w:tc>
          <w:tcPr>
            <w:tcW w:w="140" w:type="dxa"/>
            <w:vAlign w:val="bottom"/>
          </w:tcPr>
          <w:p>
            <w:pPr>
              <w:spacing w:after="0"/>
              <w:rPr>
                <w:sz w:val="17"/>
                <w:szCs w:val="17"/>
                <w:color w:val="auto"/>
              </w:rPr>
            </w:pPr>
          </w:p>
        </w:tc>
        <w:tc>
          <w:tcPr>
            <w:tcW w:w="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140" w:type="dxa"/>
            <w:vAlign w:val="bottom"/>
          </w:tcPr>
          <w:p>
            <w:pPr>
              <w:spacing w:after="0"/>
              <w:rPr>
                <w:sz w:val="17"/>
                <w:szCs w:val="17"/>
                <w:color w:val="auto"/>
              </w:rPr>
            </w:pPr>
          </w:p>
        </w:tc>
        <w:tc>
          <w:tcPr>
            <w:tcW w:w="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The Offering</w:t>
              </w:r>
            </w:hyperlink>
          </w:p>
        </w:tc>
        <w:tc>
          <w:tcPr>
            <w:tcW w:w="140" w:type="dxa"/>
            <w:vAlign w:val="bottom"/>
          </w:tcPr>
          <w:p>
            <w:pPr>
              <w:spacing w:after="0"/>
              <w:rPr>
                <w:sz w:val="17"/>
                <w:szCs w:val="17"/>
                <w:color w:val="auto"/>
              </w:rPr>
            </w:pPr>
          </w:p>
        </w:tc>
        <w:tc>
          <w:tcPr>
            <w:tcW w:w="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Summary Financial Information and Operating Data</w:t>
              </w:r>
            </w:hyperlink>
          </w:p>
        </w:tc>
        <w:tc>
          <w:tcPr>
            <w:tcW w:w="140" w:type="dxa"/>
            <w:vAlign w:val="bottom"/>
          </w:tcPr>
          <w:p>
            <w:pPr>
              <w:spacing w:after="0"/>
              <w:rPr>
                <w:sz w:val="17"/>
                <w:szCs w:val="17"/>
                <w:color w:val="auto"/>
              </w:rPr>
            </w:pPr>
          </w:p>
        </w:tc>
        <w:tc>
          <w:tcPr>
            <w:tcW w:w="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140" w:type="dxa"/>
            <w:vAlign w:val="bottom"/>
          </w:tcPr>
          <w:p>
            <w:pPr>
              <w:spacing w:after="0"/>
              <w:rPr>
                <w:sz w:val="17"/>
                <w:szCs w:val="17"/>
                <w:color w:val="auto"/>
              </w:rPr>
            </w:pPr>
          </w:p>
        </w:tc>
        <w:tc>
          <w:tcPr>
            <w:tcW w:w="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Capitalization</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Dividend Policy</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the Concurrent Transactions</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S-48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Certain U.S. Federal Income Tax Considerations For Non-U.S. Holders</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S-51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Underwriting</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S-55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Legal Matters</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S-65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S-65</w:t>
            </w:r>
          </w:p>
        </w:tc>
        <w:tc>
          <w:tcPr>
            <w:tcW w:w="0" w:type="dxa"/>
            <w:vAlign w:val="bottom"/>
          </w:tcPr>
          <w:p>
            <w:pPr>
              <w:spacing w:after="0"/>
              <w:rPr>
                <w:sz w:val="1"/>
                <w:szCs w:val="1"/>
                <w:color w:val="auto"/>
              </w:rPr>
            </w:pPr>
          </w:p>
        </w:tc>
      </w:tr>
      <w:tr>
        <w:trPr>
          <w:trHeight w:val="217"/>
        </w:trPr>
        <w:tc>
          <w:tcPr>
            <w:tcW w:w="104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Incorporation of Certain Documents By Reference</w:t>
              </w:r>
            </w:hyperlink>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S-66</w:t>
            </w:r>
          </w:p>
        </w:tc>
        <w:tc>
          <w:tcPr>
            <w:tcW w:w="0" w:type="dxa"/>
            <w:vAlign w:val="bottom"/>
          </w:tcPr>
          <w:p>
            <w:pPr>
              <w:spacing w:after="0"/>
              <w:rPr>
                <w:sz w:val="1"/>
                <w:szCs w:val="1"/>
                <w:color w:val="auto"/>
              </w:rPr>
            </w:pPr>
          </w:p>
        </w:tc>
      </w:tr>
      <w:tr>
        <w:trPr>
          <w:trHeight w:val="418"/>
        </w:trPr>
        <w:tc>
          <w:tcPr>
            <w:tcW w:w="1046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Prospectus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60" w:type="dxa"/>
            <w:vAlign w:val="bottom"/>
            <w:vMerge w:val="restart"/>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ABOUT THIS PROSPECTUS</w:t>
              </w:r>
            </w:hyperlink>
          </w:p>
        </w:tc>
        <w:tc>
          <w:tcPr>
            <w:tcW w:w="14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WHERE YOU CAN FIND MORE INFORMATION; INCORPORATION BY REFERENCE</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THE COMPANY</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RISK FACTORS</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10460" w:type="dxa"/>
            <w:vAlign w:val="bottom"/>
          </w:tcPr>
          <w:p>
            <w:pPr>
              <w:spacing w:after="0" w:line="202"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USE OF PROCEEDS</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CAPITAL STOCK</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DESCRIPTION OF DEBT SECURITIES</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DESCRIPTION OF OTHER SECURITIES</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GLOBAL SECURITIES</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PLAN OF DISTRIBUTION</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LEGAL MATTERS</w:t>
              </w:r>
            </w:hyperlink>
          </w:p>
        </w:tc>
        <w:tc>
          <w:tcPr>
            <w:tcW w:w="5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1046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EXPERTS</w:t>
              </w:r>
            </w:hyperlink>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7"/>
          <w:szCs w:val="17"/>
          <w:color w:val="auto"/>
        </w:rPr>
        <w:t>This prospectus supplement is part of a registration statement that American Airlines Group Inc. and American Airlines, Inc. filed jointly with the U.S. Securities and Exchange Commission, or the SEC, each as a “well-known seasoned issuer” as defined in Rule 405 under the Securities Act of 1933, as amended, using a “shelf” registration process. This document consists of two parts. The first part is this prospectus supplement, which describes the specific terms of this offering. The second part is the accompanying prospectus, which describes more general information, some of which may not apply to this offering. If there is any inconsistency between the information in the accompanying prospectus and this prospectus supplement, you should rely on this prospectus supplement. Before purchasing any securities, you should carefully read both this prospectus supplement and the accompanying prospectus, together with the documents incorporated by reference and the additional information described under the heading “Incorporation of Certain Documents by Reference.”</w:t>
      </w:r>
    </w:p>
    <w:p>
      <w:pPr>
        <w:spacing w:after="0" w:line="19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We have not, and the underwriters have not, authorized anyone to provide you with any information or to make any representations other than those contained in this prospectus supplement,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accompanying prospectus or any related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supplement and the accompanying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supplement incorporates by reference, and any related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“Risk Factors” contained in this prospectus supplement, the accompanying prospectus and any applicable free writing prospectus, and under similar headings in other documents that are incorporated by reference into this prospectus supplement. Accordingly, investors should not place undue reliance on this information.</w:t>
      </w:r>
    </w:p>
    <w:p>
      <w:pPr>
        <w:spacing w:after="0" w:line="21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This prospectus supplement, the accompanying prospectus, any related free writing prospectus issued by us (which we refer to as a “company free writing prospectus”) and the documents incorporated by reference in this prospectus supplement and the accompanying prospectus, or to which we have referred you, contain and incorporate by reference information that you should consider when making your investment decision.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PRESENTATION OF INFORMATION</w:t>
      </w:r>
    </w:p>
    <w:p>
      <w:pPr>
        <w:spacing w:after="0" w:line="23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this prospectus supplement, all references to “AAG” refer to American Airlines Group Inc. All references to “we,” “us,” “our,” the “Company” and similar designations refer to AAG and its consolidated subsidiaries, unless otherwise indicated or the context otherwise requires. All references to “American” refer to AAG’s direct wholly-owned subsidiary, American Airlines, Inc.</w:t>
      </w:r>
    </w:p>
    <w:p>
      <w:pPr>
        <w:spacing w:after="0" w:line="203" w:lineRule="exact"/>
        <w:rPr>
          <w:sz w:val="20"/>
          <w:szCs w:val="20"/>
          <w:color w:val="auto"/>
        </w:rPr>
      </w:pPr>
    </w:p>
    <w:p>
      <w:pPr>
        <w:jc w:val="center"/>
        <w:ind w:left="580" w:right="400"/>
        <w:spacing w:after="0" w:line="418" w:lineRule="auto"/>
        <w:rPr>
          <w:sz w:val="20"/>
          <w:szCs w:val="20"/>
          <w:color w:val="auto"/>
        </w:rPr>
      </w:pPr>
      <w:r>
        <w:rPr>
          <w:rFonts w:ascii="Arial" w:cs="Arial" w:eastAsia="Arial" w:hAnsi="Arial"/>
          <w:sz w:val="18"/>
          <w:szCs w:val="18"/>
          <w:color w:val="auto"/>
        </w:rPr>
        <w:t>References in this prospectus supplement to “mainline” refer to the operations of American and exclude regional operations. S-iii</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Certain of the statements contained in this prospectus supplement, the accompanying prospectus, the documents incorporated by reference into this prospectus supplement and the accompanying prospectus or any related free writing prospectus, the documents incorporated by reference herein and therein and other materials filed or to be filed with the Securities and Exchange Commission (“SEC”) represent our expectations or beliefs concerning future events and should be considered “forward-looking statements” within the meaning of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the outbreak and global spread of COVID-19 and resulting severe decline in demand for air travel and the duration and severity of the COVID-19 pandemic; competitive practices in our industry, including the impact of low cost carriers, competing airline alliances and industry consolidation; downturns in economic conditions that could adversely affect our business; the impact of changing economic and other conditions beyond our control, including global events that affect travel behavior such as the outbreak of the COVID-19 pandemic, and volatility and fluctuations in our results of operations due to seasonality; our ability to preserve cash and improve our overall liquidity position in response to the impact of COVID-19; the impact of continued periods of high volatility in fuel costs, increased fuel prices or significant disruptions in the supply of aircraft fuel; the effect our high level of debt and other obligations may have on our ability to fund general corporate requirements, our ability to obtain additional financing and respond to competitive developments and adverse economic and industry conditions; an inability to obtain sufficient financing or other capital, including in response to the impact of COVID-19, to operate successfully and in accordance with our current business plan; the loss of key personnel upon whom we depend to operate our business or the inability to attract additional qualified personnel; the impact of union disputes, employee strikes and other labor-related disruptions, or our inability to otherwise maintain labor costs at competitive levels; our significant pension and other postretirement benefit funding obligations; the impact of any damage to our reputation or brand image; losses and adverse publicity stemming from any public incident involving our company, our people or our brand, including any accident or other public incident involving our personnel or aircraft, a type of aircraft in our fleet, or the personnel or aircraft of our regional or codeshare or joint venture operators; extensive government regulation, which may result in increases in our costs, disruptions to our operations, limits on our operating flexibility, reductions in the demand for air travel, including in response to the impact of COVID-19, and competitive disadvantages;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and risks associated deterioration in global trade relations, including shifts in the trade policies of individual nations and risks associated with the legal and regulatory uncertainty resulting from the exit of the United Kingdom from the EU and the consequences that will flow from such exit; the impact of conflicts overseas, terrorist attacks and ongoing security concerns; the impact associated with climate change, including increased regulation to reduce emissions of greenhouse gases; the impact of environmental and noise regulation; our dependence on a limited number of suppliers for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aircraft, aircraft engines and parts; delays in scheduled aircraft deliveries, or other loss of anticipated fleet capacity, and failure of new aircraft to perform as expected, including as a result of the March 2019 order from the FAA grounding all Boeing 737 Max aircraft; our reliance on technology and automated systems and the impact of any failure of these technologies or systems; challenges in integrating our computer, communications and other technology systems; costs of evolving data security and privacy requirements and the impact of any significant data security incident;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any inability to obtain and maintain adequate facilities, infrastructure and slots to operate our flight schedule and expand or change our route network; interruptions or disruptions in service at one or more of our key facilities; changes to our business model that may not successfully increase revenues and may cause operational difficulties or decreased demand; the inability to protect our intellectual property rights, particularly our branding rights; the effect on our financial position and liquidity of being party to or involved in litigation; the effect of a higher than normal number of pilot retirements, more stringent duty time regulations and increased training requirements, causing a continuing shortage of commercial pilots; the impact of possible future increases in insurance costs or reductions in available insurance coverage; the impact of the heavy taxation on the airline industry; an inability to use net operating losses carried over from prior taxable years; any inability to produce the results we expect from the commercial relationships that we have with other airlines, including any related equity investments; provisions in credit card processing and other commercial agreements that may materially reduce our liquidity; any impairment in our significant amount of goodwill and an inability to realize the full value of our intangible or long-lived assets and any material impairment charges that would be recorded as a result; price volatility of our common stock; the effects of our capital deployment program and the limitation, the suspension and discontinuation of our share repurchase program and dividend payments thereunder as required by the CARES Act and any future repurchases of or payment of dividends on our common stock; the effect of provisions of our Restated Certificate of Incorporation and Amended and Restated Bylaws that limit ownership and voting of our equity interests, including our common stock; the effect of provisions of our Restated Certificate of Incorporation and Amended and Restated Bylaws that may delay or prevent stockholders’ ability to change the composition of our Board of Directors and the effect this may have on takeover attempts that some of our stockholders might consider beneficial; and other economic, business, competitive, and/or regulatory factors affecting our business. These risks and uncertainties include, but are not limited to, those set forth: (i) under the heading “Risk Factors” set forth elsewhere in this prospectus supplement, (ii) in our Quarterly Report on Form 10-Q for the quarterly period ended March 31, 2020 (especially in Part I, Item 2—Management’s Discussion and Analysis of Financial Condition and Results of Operations, Part I, Item 3—Quantitative and Qualitative Disclosures About Market Risk and Part II, Item 1A—Risk Factors) and (iii) in the Company’s other filings with the SEC.</w:t>
      </w:r>
    </w:p>
    <w:p>
      <w:pPr>
        <w:spacing w:after="0" w:line="21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All forward-looking statements in this prospectus supplement, the accompanying prospectus, the documents incorporated by reference into this prospectus supplement and the accompanying prospectus and other materials filed or to be filed with the SEC are based upon information available to us on the date of this prospectus supplement or such document. There may be other factors of which we are not currently aware that may affect matters discussed in the forward-looking statements and may also cause actual results to differ materially from those discussed. Forward-looking statements speak only as of the date hereof or as of the dates indicated in such statements. We do not assume any obligation to publicly update or supplement any forward-looking statement to reflect actual results, changes in assumptions or changes in other factors affecting such statements other than as required by law.</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16" w:lineRule="exact"/>
        <w:rPr>
          <w:sz w:val="20"/>
          <w:szCs w:val="20"/>
          <w:color w:val="auto"/>
        </w:rPr>
      </w:pPr>
    </w:p>
    <w:p>
      <w:pPr>
        <w:ind w:left="300" w:firstLine="532"/>
        <w:spacing w:after="0"/>
        <w:rPr>
          <w:sz w:val="20"/>
          <w:szCs w:val="20"/>
          <w:color w:val="auto"/>
        </w:rPr>
      </w:pPr>
      <w:r>
        <w:rPr>
          <w:rFonts w:ascii="Arial" w:cs="Arial" w:eastAsia="Arial" w:hAnsi="Arial"/>
          <w:sz w:val="18"/>
          <w:szCs w:val="18"/>
          <w:i w:val="1"/>
          <w:iCs w:val="1"/>
          <w:color w:val="auto"/>
        </w:rPr>
        <w:t>This summary highlights selected information about us and this offering. This summary is not complete and does not contain all of the information that may be important to you. You should read carefully this prospectus supplement, the accompanying prospectus and any related company free writing prospectus, including the “Risk factors” section, and the other documents that we refer to and incorporate by reference herein, including Part II, Item 1A—Risk Factors in our Quarterly Report on Form 10-Q for the quarterly period ended March 31, 2020, for a more complete understanding of us and this offering. In particular, we incorporate by reference important business and financial information in this prospectus supplement. See “Incorporation of Certain Documents by Reference” in this prospectus supplement.</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Company</w:t>
      </w:r>
    </w:p>
    <w:p>
      <w:pPr>
        <w:spacing w:after="0" w:line="234" w:lineRule="exact"/>
        <w:rPr>
          <w:sz w:val="20"/>
          <w:szCs w:val="20"/>
          <w:color w:val="auto"/>
        </w:rPr>
      </w:pPr>
    </w:p>
    <w:p>
      <w:pPr>
        <w:ind w:left="300" w:right="40" w:firstLine="532"/>
        <w:spacing w:after="0" w:line="237" w:lineRule="auto"/>
        <w:rPr>
          <w:sz w:val="20"/>
          <w:szCs w:val="20"/>
          <w:color w:val="auto"/>
        </w:rPr>
      </w:pPr>
      <w:r>
        <w:rPr>
          <w:rFonts w:ascii="Arial" w:cs="Arial" w:eastAsia="Arial" w:hAnsi="Arial"/>
          <w:sz w:val="18"/>
          <w:szCs w:val="18"/>
          <w:color w:val="auto"/>
        </w:rPr>
        <w:t xml:space="preserve">American Airlines Group Inc. (“AAG”), a Delaware corporation, is a holding company and its principal, wholly-owned subsidiary is American Airlines, Inc. (“American”). AAG was formed in 1982 under the name AMR Corporation as the parent company of American, which was founded in 1934. All of American’s common stock is owned by AAG. American operates principally through its hubs and gateways in Charlotte, Chicago, Dallas/Fort Worth, London Heathrow, Los Angeles, Miami, New York, Philadelphia, Phoenix and Washington, D.C. 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15"/>
          <w:szCs w:val="15"/>
          <w:color w:val="auto"/>
        </w:rPr>
        <w:t>®</w:t>
      </w:r>
      <w:r>
        <w:rPr>
          <w:rFonts w:ascii="Arial" w:cs="Arial" w:eastAsia="Arial" w:hAnsi="Arial"/>
          <w:sz w:val="18"/>
          <w:szCs w:val="18"/>
          <w:color w:val="auto"/>
        </w:rPr>
        <w:t xml:space="preserve"> alliance. American’s cargo division provides a wide range of freight and mail services, with facilities and interline connections available across the globe.</w:t>
      </w:r>
    </w:p>
    <w:p>
      <w:pPr>
        <w:spacing w:after="0" w:line="205" w:lineRule="exact"/>
        <w:rPr>
          <w:sz w:val="20"/>
          <w:szCs w:val="20"/>
          <w:color w:val="auto"/>
        </w:rPr>
      </w:pPr>
    </w:p>
    <w:p>
      <w:pPr>
        <w:ind w:left="300" w:right="180" w:firstLine="532"/>
        <w:spacing w:after="0"/>
        <w:rPr>
          <w:sz w:val="20"/>
          <w:szCs w:val="20"/>
          <w:color w:val="auto"/>
        </w:rPr>
      </w:pPr>
      <w:r>
        <w:rPr>
          <w:rFonts w:ascii="Arial" w:cs="Arial" w:eastAsia="Arial" w:hAnsi="Arial"/>
          <w:sz w:val="18"/>
          <w:szCs w:val="18"/>
          <w:color w:val="auto"/>
        </w:rPr>
        <w:t>AAG’s principal executive office is located at 1 Skyview Drive, Fort Worth, Texas 76155. AAG’s telephone number is 817-963-1234 and its website is www.aa.com. Information contained on American’s website is not and should not be deemed a part of this prospectus supplement or any report or filing filed with or furnished to the SEC.</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Concurrent Transactions</w:t>
      </w:r>
    </w:p>
    <w:p>
      <w:pPr>
        <w:spacing w:after="0" w:line="126" w:lineRule="exact"/>
        <w:rPr>
          <w:sz w:val="20"/>
          <w:szCs w:val="20"/>
          <w:color w:val="auto"/>
        </w:rPr>
      </w:pPr>
    </w:p>
    <w:p>
      <w:pPr>
        <w:ind w:left="300" w:right="40" w:firstLine="532"/>
        <w:spacing w:after="0" w:line="236" w:lineRule="auto"/>
        <w:rPr>
          <w:sz w:val="20"/>
          <w:szCs w:val="20"/>
          <w:color w:val="auto"/>
        </w:rPr>
      </w:pPr>
      <w:r>
        <w:rPr>
          <w:rFonts w:ascii="Arial" w:cs="Arial" w:eastAsia="Arial" w:hAnsi="Arial"/>
          <w:sz w:val="18"/>
          <w:szCs w:val="18"/>
          <w:color w:val="auto"/>
        </w:rPr>
        <w:t>Concurrently with this offering, (i) we are conducting a public offering of $750.0 million aggregate principal amount of our convertible senior notes due 2025 guaranteed by American (or up to $862.5 million aggregate principal amount if the underwriters in the Concurrent Convertible Notes Offering exercise their option to purchase additional convertible notes solely to cover over-allotments) (the “Concurrent Convertible Notes Offering”), (ii) American has announced its intention to conduct a private offering (the “Concurrent Senior Secured Notes Offering”) of $1,500.0 million aggregate principal amount of its senior secured notes due 2025 guaranteed by AAG and (iii) American has announced its intention to borrow up to $500.0 million in aggregate principal amount of term loans under new senior secured credit facilities (the “Concurrent Term Loan Financing” and, together with the Concurrent Convertible Notes Offering and the Concurrent Senior Secured Notes Offering, the “Concurrent Transactions”). The Concurrent Convertible Notes Offering is being made pursuant to a separate prospectus supplement and the Concurrent Senior Secured Notes Offering is being made pursuant to a separate offering memorandum. Nothing contained herein shall constitute an offer to sell or the solicitation of an offer to buy convertible notes in the Concurrent Convertible Notes Offering or senior secured notes in the Concurrent Senior Secured Notes Offering.</w:t>
      </w:r>
    </w:p>
    <w:p>
      <w:pPr>
        <w:spacing w:after="0" w:line="204" w:lineRule="exact"/>
        <w:rPr>
          <w:sz w:val="20"/>
          <w:szCs w:val="20"/>
          <w:color w:val="auto"/>
        </w:rPr>
      </w:pPr>
    </w:p>
    <w:p>
      <w:pPr>
        <w:ind w:left="300" w:right="40" w:firstLine="532"/>
        <w:spacing w:after="0" w:line="246" w:lineRule="auto"/>
        <w:rPr>
          <w:sz w:val="20"/>
          <w:szCs w:val="20"/>
          <w:color w:val="auto"/>
        </w:rPr>
      </w:pPr>
      <w:r>
        <w:rPr>
          <w:rFonts w:ascii="Arial" w:cs="Arial" w:eastAsia="Arial" w:hAnsi="Arial"/>
          <w:sz w:val="18"/>
          <w:szCs w:val="18"/>
          <w:color w:val="auto"/>
        </w:rPr>
        <w:t>Neither this offering nor any of the Concurrent Transactions is conditioned upon the completion of any of the other offerings, so it is possible that this offering occurs and one or more of the Concurrent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300"/>
        <w:spacing w:after="0" w:line="246" w:lineRule="auto"/>
        <w:rPr>
          <w:sz w:val="20"/>
          <w:szCs w:val="20"/>
          <w:color w:val="auto"/>
        </w:rPr>
      </w:pPr>
      <w:r>
        <w:rPr>
          <w:rFonts w:ascii="Arial" w:cs="Arial" w:eastAsia="Arial" w:hAnsi="Arial"/>
          <w:sz w:val="18"/>
          <w:szCs w:val="18"/>
          <w:color w:val="auto"/>
        </w:rPr>
        <w:t>Transactions do not occur, and vice versa. We cannot assure you that the Concurrent Transactions will be completed on the terms described herein, on significantly different terms, or at all. See “Description of the Concurrent Transactions.”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Performance Update</w:t>
      </w:r>
    </w:p>
    <w:p>
      <w:pPr>
        <w:spacing w:after="0" w:line="126" w:lineRule="exact"/>
        <w:rPr>
          <w:sz w:val="20"/>
          <w:szCs w:val="20"/>
          <w:color w:val="auto"/>
        </w:rPr>
      </w:pPr>
    </w:p>
    <w:p>
      <w:pPr>
        <w:ind w:left="300" w:right="140" w:firstLine="532"/>
        <w:spacing w:after="0"/>
        <w:rPr>
          <w:sz w:val="20"/>
          <w:szCs w:val="20"/>
          <w:color w:val="auto"/>
        </w:rPr>
      </w:pPr>
      <w:r>
        <w:rPr>
          <w:rFonts w:ascii="Arial" w:cs="Arial" w:eastAsia="Arial" w:hAnsi="Arial"/>
          <w:sz w:val="18"/>
          <w:szCs w:val="18"/>
          <w:color w:val="auto"/>
        </w:rPr>
        <w:t>Due to the recent decline in demand caused by the COVID-19 pandemic, we expect our second quarter 2020 revenue to be down approximately 90% versus the second quarter of 2019, with total system capacity down approximately 75% versus the second quarter of 2019.</w:t>
      </w:r>
    </w:p>
    <w:p>
      <w:pPr>
        <w:spacing w:after="0" w:line="203"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To preserve our liquidity position, we have taken significant cost reduction actions that have removed more than $ 13.5 billion from our operating and capital budgets for 2020. These savings have been achieved through reductions in maintenance expense, marketing expense, event and training expenses, airport facilities expense, salaries and benefits expense, and other volume-related expense reductions, including fuel. Along with these cost-saving actions, we have recently experienced improving demand conditions and we believe we have passed the peak in cash refund activity. As a result, our cash burn rate has decelerated from a peak of over $100 million per day in April to approximately $40 million per day forecasted for the month of June. This marks a $10 million per day improvement for the month of June when compared to our previous forecast for the month of $50 million per day. We are seeking to continue to reduce our cash burn rate as expected demand conditions continue to improve and our cost initiatives continue to gain traction. We define cash burn as the sum of all net cash receipts less all cash disbursements but excluding the effect of new financings and new aircraft purchases.</w:t>
      </w:r>
    </w:p>
    <w:p>
      <w:pPr>
        <w:spacing w:after="0" w:line="206" w:lineRule="exact"/>
        <w:rPr>
          <w:sz w:val="20"/>
          <w:szCs w:val="20"/>
          <w:color w:val="auto"/>
        </w:rPr>
      </w:pPr>
    </w:p>
    <w:p>
      <w:pPr>
        <w:ind w:left="300" w:right="420" w:firstLine="532"/>
        <w:spacing w:after="0"/>
        <w:rPr>
          <w:sz w:val="20"/>
          <w:szCs w:val="20"/>
          <w:color w:val="auto"/>
        </w:rPr>
      </w:pPr>
      <w:r>
        <w:rPr>
          <w:rFonts w:ascii="Arial" w:cs="Arial" w:eastAsia="Arial" w:hAnsi="Arial"/>
          <w:sz w:val="18"/>
          <w:szCs w:val="18"/>
          <w:color w:val="auto"/>
        </w:rPr>
        <w:t>We continue to expect that our liquidity, assuming the secured CARES Act loan of $4.75 billion is committed in June, will amount to approximately $11 billion as of June 30, 2020 without giving effect to any additional financing transactions that may be completed, including the Concurrent Transactions.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Demand and Capacity Update</w:t>
      </w:r>
    </w:p>
    <w:p>
      <w:pPr>
        <w:spacing w:after="0" w:line="126" w:lineRule="exact"/>
        <w:rPr>
          <w:sz w:val="20"/>
          <w:szCs w:val="20"/>
          <w:color w:val="auto"/>
        </w:rPr>
      </w:pPr>
    </w:p>
    <w:p>
      <w:pPr>
        <w:ind w:left="300" w:right="460" w:firstLine="532"/>
        <w:spacing w:after="0"/>
        <w:rPr>
          <w:sz w:val="20"/>
          <w:szCs w:val="20"/>
          <w:color w:val="auto"/>
        </w:rPr>
      </w:pPr>
      <w:r>
        <w:rPr>
          <w:rFonts w:ascii="Arial" w:cs="Arial" w:eastAsia="Arial" w:hAnsi="Arial"/>
          <w:sz w:val="18"/>
          <w:szCs w:val="18"/>
          <w:color w:val="auto"/>
        </w:rPr>
        <w:t>In mid-March, we first observed negative net bookings, where cancellations exceeded new bookings. To better align our capacity with lower expected demand, we reduced our capacity through a combination of schedule reductions and close-in flight cancellations. This negative net booking trend persisted until late April.</w:t>
      </w:r>
    </w:p>
    <w:p>
      <w:pPr>
        <w:spacing w:after="0" w:line="203" w:lineRule="exact"/>
        <w:rPr>
          <w:sz w:val="20"/>
          <w:szCs w:val="20"/>
          <w:color w:val="auto"/>
        </w:rPr>
      </w:pPr>
    </w:p>
    <w:p>
      <w:pPr>
        <w:ind w:left="300" w:right="80" w:firstLine="532"/>
        <w:spacing w:after="0" w:line="246" w:lineRule="auto"/>
        <w:rPr>
          <w:sz w:val="20"/>
          <w:szCs w:val="20"/>
          <w:color w:val="auto"/>
        </w:rPr>
      </w:pPr>
      <w:r>
        <w:rPr>
          <w:rFonts w:ascii="Arial" w:cs="Arial" w:eastAsia="Arial" w:hAnsi="Arial"/>
          <w:sz w:val="18"/>
          <w:szCs w:val="18"/>
          <w:color w:val="auto"/>
        </w:rPr>
        <w:t>Our flown system capacity was down approximately 75% year-over-year in April, and down approximately 80% year-over-year in May. Our June system capacity is expected to be down approximately 75% year-over-year.</w:t>
      </w:r>
    </w:p>
    <w:p>
      <w:pPr>
        <w:spacing w:after="0" w:line="197" w:lineRule="exact"/>
        <w:rPr>
          <w:sz w:val="20"/>
          <w:szCs w:val="20"/>
          <w:color w:val="auto"/>
        </w:rPr>
      </w:pPr>
    </w:p>
    <w:p>
      <w:pPr>
        <w:ind w:left="300" w:right="120" w:firstLine="532"/>
        <w:spacing w:after="0" w:line="237" w:lineRule="auto"/>
        <w:rPr>
          <w:sz w:val="20"/>
          <w:szCs w:val="20"/>
          <w:color w:val="auto"/>
        </w:rPr>
      </w:pPr>
      <w:r>
        <w:rPr>
          <w:rFonts w:ascii="Arial" w:cs="Arial" w:eastAsia="Arial" w:hAnsi="Arial"/>
          <w:sz w:val="18"/>
          <w:szCs w:val="18"/>
          <w:color w:val="auto"/>
        </w:rPr>
        <w:t>As state and local shelter in place restrictions were relaxed, we observed improved passenger demand, particularly in our domestic network. Since the first week of May, our net bookings have been consistently positive and have shown continued signs of improvement. Since the middle of May, we have observed positive net bookings in each of the seven advanced purchase windows that we regularly monitor. These windows include tickets purchased between 1 to 6 days, 7 to 13 days, 14 to 30 days, 31 to 60 days, 61 to 90 days, 91 to 150 days, and 151 to 331 days prior to departure. We believe these trends are an indication of improving passenger demand although at levels significantly below those experienced in the same period in 2019.</w:t>
      </w:r>
    </w:p>
    <w:p>
      <w:pPr>
        <w:spacing w:after="0" w:line="205"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In response to the improving trends in demand, we announced on June 4, 2020 that we are planning to fly 55% of our domestic schedule and nearly 20% of our international schedule in July 2020 compared to the same period last year. Our July system-wide capacity amounts to approximately 40% of July 2019 flying.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0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table below summarizes recent domestic capacity, load factor and customer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Domestic</w:t>
            </w:r>
          </w:p>
        </w:tc>
        <w:tc>
          <w:tcPr>
            <w:tcW w:w="5140" w:type="dxa"/>
            <w:vAlign w:val="bottom"/>
          </w:tcPr>
          <w:p>
            <w:pPr>
              <w:spacing w:after="0"/>
              <w:rPr>
                <w:sz w:val="16"/>
                <w:szCs w:val="16"/>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April</w:t>
            </w: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w:t>
            </w: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w:t>
            </w:r>
          </w:p>
        </w:tc>
      </w:tr>
      <w:tr>
        <w:trPr>
          <w:trHeight w:val="153"/>
        </w:trPr>
        <w:tc>
          <w:tcPr>
            <w:tcW w:w="5800" w:type="dxa"/>
            <w:vAlign w:val="bottom"/>
            <w:tcBorders>
              <w:top w:val="single" w:sz="8" w:color="CCEEFF"/>
            </w:tcBorders>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Capacity</w:t>
            </w:r>
          </w:p>
        </w:tc>
        <w:tc>
          <w:tcPr>
            <w:tcW w:w="7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239"/>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over Year)</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Down 70%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Down 75%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Down 70%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Down 45%</w:t>
            </w:r>
          </w:p>
        </w:tc>
      </w:tr>
      <w:tr>
        <w:trPr>
          <w:trHeight w:val="203"/>
        </w:trPr>
        <w:tc>
          <w:tcPr>
            <w:tcW w:w="5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Load Factor</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47%</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w:t>
            </w: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Passengers per Day</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31,000</w:t>
            </w:r>
          </w:p>
        </w:tc>
        <w:tc>
          <w:tcPr>
            <w:tcW w:w="5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85,000</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129,000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ind w:left="600" w:right="460" w:hanging="302"/>
        <w:spacing w:after="0" w:line="26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June Load Factor and Passenger data MTD as of June 8, 2020; July Capacity represents anticipated capacity as of the date hereof</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CARES Act</w:t>
      </w:r>
    </w:p>
    <w:p>
      <w:pPr>
        <w:spacing w:after="0" w:line="126"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have applied for a secured loan in the amount of approximately $4.75 billion through the loan program under the CARES Act. Pursuant to this program, the loan is expected to be a five year, senior secured obligation at a variable interest rate of LIBOR plus 3.50% and prepayable at any time without premium. It is our current intention to pledge our domestic AAdvantage loyalty program assets as security for this loan. The most recent third-party appraisal has estimated the value of these assets to be between $19.5 billion and $31.5 billion, a significant portion of which will be pledged as collateral to support the CARES Act loan. Based on this appraisal, we believe there is sufficient collateral to support the CARES Act loan and potentially additional financings, subject to compliance with the ultimate terms and conditions of the CARES Act loan.</w:t>
      </w:r>
    </w:p>
    <w:p>
      <w:pPr>
        <w:spacing w:after="0" w:line="203"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Also in connection with this loan, we would issue to the United States Department of the Treasury (the “Treasury”) additional warrants to purchase approximately 38 million shares of our common stock (assuming a secured loan of approximately $4.75 billion) at an exercise price of $12.51 per share. The loan program warrants will be in addition to, and have the same terms and conditions as, the approximately 13.7 million warrants issuable under the payroll financial assistance program (the “Payroll Support Program”) provided under the CARES Act upon our receipt of the full $5.8 billion of payroll assistance to be provided by the Treasury thereunder, which we expect will occur by the end of July 2020. Because these warrants provide for exercise on a “net exercise” basis, the ultimate dilutive impact of these warrants will be dependent on the market price of our common stock at the time the warrants are exercised.</w:t>
      </w:r>
    </w:p>
    <w:p>
      <w:pPr>
        <w:spacing w:after="0" w:line="20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Treasury loan program continues to progress, and we presently expect to obtain a binding commitment for the loan in June</w:t>
      </w:r>
    </w:p>
    <w:p>
      <w:pPr>
        <w:spacing w:after="0" w:line="7" w:lineRule="exact"/>
        <w:rPr>
          <w:sz w:val="20"/>
          <w:szCs w:val="20"/>
          <w:color w:val="auto"/>
        </w:rPr>
      </w:pPr>
    </w:p>
    <w:p>
      <w:pPr>
        <w:jc w:val="both"/>
        <w:ind w:left="300" w:right="220"/>
        <w:spacing w:after="0"/>
        <w:rPr>
          <w:sz w:val="20"/>
          <w:szCs w:val="20"/>
          <w:color w:val="auto"/>
        </w:rPr>
      </w:pPr>
      <w:r>
        <w:rPr>
          <w:rFonts w:ascii="Arial" w:cs="Arial" w:eastAsia="Arial" w:hAnsi="Arial"/>
          <w:sz w:val="18"/>
          <w:szCs w:val="18"/>
          <w:color w:val="auto"/>
        </w:rPr>
        <w:t>2020. However, we have not yet finalized the terms of a binding commitment or a definitive agreement related to this loan, and thus final terms and conditions and closing remain subject to ongoing negotiation, entry by the parties into definitive documentation and satisfaction of closing conditions.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Unencumbered Assets Available for Potential Financings</w:t>
      </w:r>
    </w:p>
    <w:p>
      <w:pPr>
        <w:spacing w:after="0" w:line="126"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As of the date hereof, based on the most recent third-party appraisals and certain internal estimates and after giving effect to the Concurrent Transactions, we estimate we have approximately $3-4 billion in unencumbered assets available to serve as collateral for additional financing, exclusive of the value of the AAdvantage loyalty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0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16" w:lineRule="exact"/>
        <w:rPr>
          <w:sz w:val="20"/>
          <w:szCs w:val="20"/>
          <w:color w:val="auto"/>
        </w:rPr>
      </w:pPr>
    </w:p>
    <w:p>
      <w:pPr>
        <w:ind w:left="300" w:right="40" w:firstLine="532"/>
        <w:spacing w:after="0" w:line="267" w:lineRule="auto"/>
        <w:rPr>
          <w:sz w:val="20"/>
          <w:szCs w:val="20"/>
          <w:color w:val="auto"/>
        </w:rPr>
      </w:pPr>
      <w:r>
        <w:rPr>
          <w:rFonts w:ascii="Arial" w:cs="Arial" w:eastAsia="Arial" w:hAnsi="Arial"/>
          <w:sz w:val="18"/>
          <w:szCs w:val="18"/>
          <w:i w:val="1"/>
          <w:iCs w:val="1"/>
          <w:color w:val="auto"/>
        </w:rPr>
        <w:t>The summary below describes the principal terms of the offering. As used in this section, “we,” “our” and “us” refer to American Airlines Group Inc. and not to its subsidiaries.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Issuer</w:t>
            </w: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American Airlines Group Inc.</w:t>
            </w:r>
          </w:p>
        </w:tc>
        <w:tc>
          <w:tcPr>
            <w:tcW w:w="880" w:type="dxa"/>
            <w:vAlign w:val="bottom"/>
          </w:tcPr>
          <w:p>
            <w:pPr>
              <w:spacing w:after="0"/>
              <w:rPr>
                <w:sz w:val="18"/>
                <w:szCs w:val="18"/>
                <w:color w:val="auto"/>
              </w:rPr>
            </w:pPr>
          </w:p>
        </w:tc>
      </w:tr>
      <w:tr>
        <w:trPr>
          <w:trHeight w:val="297"/>
        </w:trPr>
        <w:tc>
          <w:tcPr>
            <w:tcW w:w="5300" w:type="dxa"/>
            <w:vAlign w:val="bottom"/>
          </w:tcPr>
          <w:p>
            <w:pPr>
              <w:spacing w:after="0"/>
              <w:rPr>
                <w:sz w:val="20"/>
                <w:szCs w:val="20"/>
                <w:color w:val="auto"/>
              </w:rPr>
            </w:pPr>
            <w:r>
              <w:rPr>
                <w:rFonts w:ascii="Arial" w:cs="Arial" w:eastAsia="Arial" w:hAnsi="Arial"/>
                <w:sz w:val="18"/>
                <w:szCs w:val="18"/>
                <w:color w:val="auto"/>
              </w:rPr>
              <w:t>Shares of Common Stock Offered</w:t>
            </w: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$750.0 million of shares.</w:t>
            </w:r>
          </w:p>
        </w:tc>
        <w:tc>
          <w:tcPr>
            <w:tcW w:w="880" w:type="dxa"/>
            <w:vAlign w:val="bottom"/>
          </w:tcPr>
          <w:p>
            <w:pPr>
              <w:spacing w:after="0"/>
              <w:rPr>
                <w:sz w:val="24"/>
                <w:szCs w:val="24"/>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rPr>
              <w:t>We have granted the underwriters an option to purchase, in</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whole or in part, for a period of 30 days from the date this</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prospectus supplement up to $112.5 million shares of our</w:t>
            </w:r>
          </w:p>
        </w:tc>
      </w:tr>
      <w:tr>
        <w:trPr>
          <w:trHeight w:val="217"/>
        </w:trPr>
        <w:tc>
          <w:tcPr>
            <w:tcW w:w="5300" w:type="dxa"/>
            <w:vAlign w:val="bottom"/>
          </w:tcPr>
          <w:p>
            <w:pPr>
              <w:spacing w:after="0"/>
              <w:rPr>
                <w:sz w:val="18"/>
                <w:szCs w:val="18"/>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w w:val="99"/>
              </w:rPr>
              <w:t>common stock solely to cover over-allotments, if any.</w:t>
            </w:r>
          </w:p>
        </w:tc>
        <w:tc>
          <w:tcPr>
            <w:tcW w:w="880" w:type="dxa"/>
            <w:vAlign w:val="bottom"/>
          </w:tcPr>
          <w:p>
            <w:pPr>
              <w:spacing w:after="0"/>
              <w:rPr>
                <w:sz w:val="18"/>
                <w:szCs w:val="18"/>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Common Stock Outstanding Immediately Following this Offering</w:t>
            </w:r>
          </w:p>
        </w:tc>
        <w:tc>
          <w:tcPr>
            <w:tcW w:w="1720" w:type="dxa"/>
            <w:vAlign w:val="bottom"/>
          </w:tcPr>
          <w:p>
            <w:pPr>
              <w:ind w:left="820"/>
              <w:spacing w:after="0"/>
              <w:rPr>
                <w:sz w:val="20"/>
                <w:szCs w:val="20"/>
                <w:color w:val="auto"/>
              </w:rPr>
            </w:pPr>
            <w:r>
              <w:rPr>
                <w:rFonts w:ascii="Arial" w:cs="Arial" w:eastAsia="Arial" w:hAnsi="Arial"/>
                <w:sz w:val="18"/>
                <w:szCs w:val="18"/>
                <w:color w:val="auto"/>
              </w:rPr>
              <w:t>shares.</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w w:val="99"/>
              </w:rPr>
              <w:t>We estimate that the net proceeds to us from this offering will be</w:t>
            </w:r>
          </w:p>
        </w:tc>
      </w:tr>
      <w:tr>
        <w:trPr>
          <w:trHeight w:val="203"/>
        </w:trPr>
        <w:tc>
          <w:tcPr>
            <w:tcW w:w="5300" w:type="dxa"/>
            <w:vAlign w:val="bottom"/>
          </w:tcPr>
          <w:p>
            <w:pPr>
              <w:spacing w:after="0"/>
              <w:rPr>
                <w:sz w:val="17"/>
                <w:szCs w:val="17"/>
                <w:color w:val="auto"/>
              </w:rPr>
            </w:pPr>
          </w:p>
        </w:tc>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approximately $</w:t>
            </w:r>
          </w:p>
        </w:tc>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million (or approximately $</w:t>
            </w:r>
          </w:p>
        </w:tc>
        <w:tc>
          <w:tcPr>
            <w:tcW w:w="880" w:type="dxa"/>
            <w:vAlign w:val="bottom"/>
          </w:tcPr>
          <w:p>
            <w:pPr>
              <w:ind w:left="20"/>
              <w:spacing w:after="0" w:line="202" w:lineRule="exact"/>
              <w:rPr>
                <w:sz w:val="20"/>
                <w:szCs w:val="20"/>
                <w:color w:val="auto"/>
              </w:rPr>
            </w:pPr>
            <w:r>
              <w:rPr>
                <w:rFonts w:ascii="Arial" w:cs="Arial" w:eastAsia="Arial" w:hAnsi="Arial"/>
                <w:sz w:val="18"/>
                <w:szCs w:val="18"/>
                <w:color w:val="auto"/>
              </w:rPr>
              <w:t>million if</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the underwriters fully exercise their option to purchase</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additional shares of our common stock), after deducting the</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underwriters’ discounts and commissions and our estimated</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offering expenses. We intend to use the net proceeds for</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general corporate purposes and to enhance our liquidity</w:t>
            </w:r>
          </w:p>
        </w:tc>
      </w:tr>
      <w:tr>
        <w:trPr>
          <w:trHeight w:val="217"/>
        </w:trPr>
        <w:tc>
          <w:tcPr>
            <w:tcW w:w="5300" w:type="dxa"/>
            <w:vAlign w:val="bottom"/>
          </w:tcPr>
          <w:p>
            <w:pPr>
              <w:spacing w:after="0"/>
              <w:rPr>
                <w:sz w:val="18"/>
                <w:szCs w:val="18"/>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position. See “Use of Proceeds.”</w:t>
            </w:r>
          </w:p>
        </w:tc>
        <w:tc>
          <w:tcPr>
            <w:tcW w:w="880" w:type="dxa"/>
            <w:vAlign w:val="bottom"/>
          </w:tcPr>
          <w:p>
            <w:pPr>
              <w:spacing w:after="0"/>
              <w:rPr>
                <w:sz w:val="18"/>
                <w:szCs w:val="18"/>
                <w:color w:val="auto"/>
              </w:rPr>
            </w:pPr>
          </w:p>
        </w:tc>
      </w:tr>
      <w:tr>
        <w:trPr>
          <w:trHeight w:val="269"/>
        </w:trPr>
        <w:tc>
          <w:tcPr>
            <w:tcW w:w="5300" w:type="dxa"/>
            <w:vAlign w:val="bottom"/>
          </w:tcPr>
          <w:p>
            <w:pPr>
              <w:spacing w:after="0"/>
              <w:rPr>
                <w:sz w:val="20"/>
                <w:szCs w:val="20"/>
                <w:color w:val="auto"/>
              </w:rPr>
            </w:pPr>
            <w:r>
              <w:rPr>
                <w:rFonts w:ascii="Arial" w:cs="Arial" w:eastAsia="Arial" w:hAnsi="Arial"/>
                <w:sz w:val="18"/>
                <w:szCs w:val="18"/>
                <w:color w:val="auto"/>
              </w:rPr>
              <w:t>Concurrent Transactions</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rPr>
              <w:t>Concurrently with this offering, (i) we are offering $750.0 million</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aggregate principal amount of our convertible senior notes due</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2025 guaranteed by American (or up to $862.5 million</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aggregate principal amount if the underwriters in the Concurrent</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Convertible Notes Offering exercise their option to purchase</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additional convertible notes solely to cover over-allotments), (ii)</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American has announced its intention to conduct a private</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offering of $1,500.0 million aggregate principal amount of its</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senior secured notes due 2025 guaranteed by AAG and</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(iii) American has announced its intention to borrow up to</w:t>
            </w:r>
          </w:p>
        </w:tc>
      </w:tr>
      <w:tr>
        <w:trPr>
          <w:trHeight w:val="203"/>
        </w:trPr>
        <w:tc>
          <w:tcPr>
            <w:tcW w:w="5300" w:type="dxa"/>
            <w:vAlign w:val="bottom"/>
          </w:tcPr>
          <w:p>
            <w:pPr>
              <w:spacing w:after="0"/>
              <w:rPr>
                <w:sz w:val="17"/>
                <w:szCs w:val="17"/>
                <w:color w:val="auto"/>
              </w:rPr>
            </w:pPr>
          </w:p>
        </w:tc>
        <w:tc>
          <w:tcPr>
            <w:tcW w:w="53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$500.0 million in aggregate principal amount of term loans</w:t>
            </w:r>
          </w:p>
        </w:tc>
      </w:tr>
    </w:tbl>
    <w:p>
      <w:pPr>
        <w:ind w:left="5820"/>
        <w:spacing w:after="0" w:line="234" w:lineRule="auto"/>
        <w:rPr>
          <w:sz w:val="20"/>
          <w:szCs w:val="20"/>
          <w:color w:val="auto"/>
        </w:rPr>
      </w:pPr>
      <w:r>
        <w:rPr>
          <w:rFonts w:ascii="Arial" w:cs="Arial" w:eastAsia="Arial" w:hAnsi="Arial"/>
          <w:sz w:val="18"/>
          <w:szCs w:val="18"/>
          <w:color w:val="auto"/>
        </w:rPr>
        <w:t>under new senior secured credit facilities. Neither this offering</w:t>
      </w:r>
    </w:p>
    <w:p>
      <w:pPr>
        <w:ind w:left="5820"/>
        <w:spacing w:after="0" w:line="235" w:lineRule="auto"/>
        <w:rPr>
          <w:sz w:val="20"/>
          <w:szCs w:val="20"/>
          <w:color w:val="auto"/>
        </w:rPr>
      </w:pPr>
      <w:r>
        <w:rPr>
          <w:rFonts w:ascii="Arial" w:cs="Arial" w:eastAsia="Arial" w:hAnsi="Arial"/>
          <w:sz w:val="18"/>
          <w:szCs w:val="18"/>
          <w:color w:val="auto"/>
        </w:rPr>
        <w:t>nor any of the Concurrent Transactions is conditioned upon the</w:t>
      </w:r>
    </w:p>
    <w:p>
      <w:pPr>
        <w:ind w:left="5820"/>
        <w:spacing w:after="0" w:line="235" w:lineRule="auto"/>
        <w:rPr>
          <w:sz w:val="20"/>
          <w:szCs w:val="20"/>
          <w:color w:val="auto"/>
        </w:rPr>
      </w:pPr>
      <w:r>
        <w:rPr>
          <w:rFonts w:ascii="Arial" w:cs="Arial" w:eastAsia="Arial" w:hAnsi="Arial"/>
          <w:sz w:val="18"/>
          <w:szCs w:val="18"/>
          <w:color w:val="auto"/>
        </w:rPr>
        <w:t>completion of any of the other offerings, so it is possible that this</w:t>
      </w:r>
    </w:p>
    <w:p>
      <w:pPr>
        <w:ind w:left="5820"/>
        <w:spacing w:after="0" w:line="235" w:lineRule="auto"/>
        <w:rPr>
          <w:sz w:val="20"/>
          <w:szCs w:val="20"/>
          <w:color w:val="auto"/>
        </w:rPr>
      </w:pPr>
      <w:r>
        <w:rPr>
          <w:rFonts w:ascii="Arial" w:cs="Arial" w:eastAsia="Arial" w:hAnsi="Arial"/>
          <w:sz w:val="18"/>
          <w:szCs w:val="18"/>
          <w:color w:val="auto"/>
        </w:rPr>
        <w:t>offering occurs and one or more of the Concurrent Transactions</w:t>
      </w:r>
    </w:p>
    <w:p>
      <w:pPr>
        <w:ind w:left="5820"/>
        <w:spacing w:after="0" w:line="235" w:lineRule="auto"/>
        <w:rPr>
          <w:sz w:val="20"/>
          <w:szCs w:val="20"/>
          <w:color w:val="auto"/>
        </w:rPr>
      </w:pPr>
      <w:r>
        <w:rPr>
          <w:rFonts w:ascii="Arial" w:cs="Arial" w:eastAsia="Arial" w:hAnsi="Arial"/>
          <w:sz w:val="18"/>
          <w:szCs w:val="18"/>
          <w:color w:val="auto"/>
        </w:rPr>
        <w:t>do not occur, and vice versa. We cannot assure you that any of</w:t>
      </w:r>
    </w:p>
    <w:p>
      <w:pPr>
        <w:ind w:left="5820"/>
        <w:spacing w:after="0" w:line="234" w:lineRule="auto"/>
        <w:rPr>
          <w:sz w:val="20"/>
          <w:szCs w:val="20"/>
          <w:color w:val="auto"/>
        </w:rPr>
      </w:pPr>
      <w:r>
        <w:rPr>
          <w:rFonts w:ascii="Arial" w:cs="Arial" w:eastAsia="Arial" w:hAnsi="Arial"/>
          <w:sz w:val="18"/>
          <w:szCs w:val="18"/>
          <w:color w:val="auto"/>
        </w:rPr>
        <w:t>the Concurrent Transactions will be completed on the terms</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described herein, on significantly different terms or at all.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75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375920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Nasdaq Global Select Market Exchange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common stock is listed on Nasdaq under the symbol “AAL.” On June 19, 2020, the last reported sale price of our common stock was $16.00 per share.</w:t>
      </w:r>
    </w:p>
    <w:p>
      <w:pPr>
        <w:spacing w:after="0" w:line="68"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200"/>
        <w:spacing w:after="0" w:line="238" w:lineRule="auto"/>
        <w:rPr>
          <w:sz w:val="20"/>
          <w:szCs w:val="20"/>
          <w:color w:val="auto"/>
        </w:rPr>
      </w:pPr>
      <w:r>
        <w:rPr>
          <w:rFonts w:ascii="Arial" w:cs="Arial" w:eastAsia="Arial" w:hAnsi="Arial"/>
          <w:sz w:val="18"/>
          <w:szCs w:val="18"/>
          <w:color w:val="auto"/>
        </w:rPr>
        <w:t>Investing in our common stock involves risks. You should carefully consider the information under “Risk Factors” and all other information included or incorporated by reference in this prospectus supplement and accompanying prospectus before investing in our common stock.</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2" w:lineRule="exact"/>
        <w:rPr>
          <w:sz w:val="20"/>
          <w:szCs w:val="20"/>
          <w:color w:val="auto"/>
        </w:rPr>
      </w:pPr>
    </w:p>
    <w:p>
      <w:pPr>
        <w:ind w:left="840"/>
        <w:spacing w:after="0"/>
        <w:tabs>
          <w:tab w:leader="none" w:pos="2800" w:val="left"/>
        </w:tabs>
        <w:rPr>
          <w:sz w:val="20"/>
          <w:szCs w:val="20"/>
          <w:color w:val="auto"/>
        </w:rPr>
      </w:pPr>
      <w:r>
        <w:rPr>
          <w:rFonts w:ascii="Arial" w:cs="Arial" w:eastAsia="Arial" w:hAnsi="Arial"/>
          <w:sz w:val="18"/>
          <w:szCs w:val="18"/>
          <w:color w:val="auto"/>
        </w:rPr>
        <w:t>We expect that</w:t>
      </w:r>
      <w:r>
        <w:rPr>
          <w:sz w:val="20"/>
          <w:szCs w:val="20"/>
          <w:color w:val="auto"/>
        </w:rPr>
        <w:tab/>
      </w:r>
      <w:r>
        <w:rPr>
          <w:rFonts w:ascii="Arial" w:cs="Arial" w:eastAsia="Arial" w:hAnsi="Arial"/>
          <w:sz w:val="17"/>
          <w:szCs w:val="17"/>
          <w:color w:val="auto"/>
        </w:rPr>
        <w:t>shares of our common stock will be outstanding immediately after this offering and the Concurrent</w:t>
      </w:r>
    </w:p>
    <w:p>
      <w:pPr>
        <w:sectPr>
          <w:pgSz w:w="11900" w:h="16838" w:orient="portrait"/>
          <w:cols w:equalWidth="0" w:num="1">
            <w:col w:w="10940"/>
          </w:cols>
          <w:pgMar w:left="320" w:top="459" w:right="639" w:bottom="1440" w:gutter="0" w:footer="0" w:header="0"/>
          <w:type w:val="continuous"/>
        </w:sectPr>
      </w:pP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Convertible Notes Offering, based on 422,894,501 shares outstanding as of April 24, 2020, excluding:</w:t>
      </w:r>
    </w:p>
    <w:p>
      <w:pPr>
        <w:spacing w:after="0" w:line="107" w:lineRule="exact"/>
        <w:rPr>
          <w:sz w:val="20"/>
          <w:szCs w:val="20"/>
          <w:color w:val="auto"/>
        </w:rPr>
      </w:pPr>
    </w:p>
    <w:p>
      <w:pPr>
        <w:ind w:left="1020" w:hanging="19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8,935,105 shares of common stock issuable upon the exercise of outstanding restricted stock units, as of March 31, 2020;</w:t>
      </w:r>
    </w:p>
    <w:p>
      <w:pPr>
        <w:spacing w:after="0" w:line="117"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13,703,876 shares underlying the warrants issuable in connection with the Payroll Support Program Agreement (as defined herein);</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25,633,346 shares available for issuance under our 2013 Equity Incentive Plan, as of March 31, 2020; and</w:t>
      </w:r>
    </w:p>
    <w:p>
      <w:pPr>
        <w:spacing w:after="0" w:line="117" w:lineRule="exact"/>
        <w:rPr>
          <w:rFonts w:ascii="Arial" w:cs="Arial" w:eastAsia="Arial" w:hAnsi="Arial"/>
          <w:sz w:val="18"/>
          <w:szCs w:val="18"/>
          <w:color w:val="auto"/>
        </w:rPr>
      </w:pPr>
    </w:p>
    <w:p>
      <w:pPr>
        <w:ind w:left="1020" w:right="280" w:hanging="195"/>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of common stock to be reserved for issuance upon the conversion of the convertible notes being offered in the Concurrent Convertible Notes Offering.</w:t>
      </w:r>
    </w:p>
    <w:p>
      <w:pPr>
        <w:spacing w:after="0" w:line="197" w:lineRule="exact"/>
        <w:rPr>
          <w:sz w:val="20"/>
          <w:szCs w:val="20"/>
          <w:color w:val="auto"/>
        </w:rPr>
      </w:pPr>
    </w:p>
    <w:p>
      <w:pPr>
        <w:ind w:left="300" w:right="400" w:firstLine="532"/>
        <w:spacing w:after="0"/>
        <w:rPr>
          <w:sz w:val="20"/>
          <w:szCs w:val="20"/>
          <w:color w:val="auto"/>
        </w:rPr>
      </w:pPr>
      <w:r>
        <w:rPr>
          <w:rFonts w:ascii="Arial" w:cs="Arial" w:eastAsia="Arial" w:hAnsi="Arial"/>
          <w:sz w:val="18"/>
          <w:szCs w:val="18"/>
          <w:color w:val="auto"/>
        </w:rPr>
        <w:t>See also “Summary—Recent Developments—CARES Act” for information regarding additional warrants for approximately 38 million shares of our common stock that we expect to provide the Treasury in connection with the approximately $4.75 billion secured loan we are in the process of obtaining pursuant to the CARES Act.</w:t>
      </w:r>
    </w:p>
    <w:p>
      <w:pPr>
        <w:spacing w:after="0" w:line="203"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Unless otherwise indicated, all information in this prospectus supplement assumes the underwriters do not exercise their option to purchase additional shares of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5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INFORMATION AND OPERATING DATA</w:t>
      </w:r>
    </w:p>
    <w:p>
      <w:pPr>
        <w:spacing w:after="0" w:line="234" w:lineRule="exact"/>
        <w:rPr>
          <w:sz w:val="20"/>
          <w:szCs w:val="20"/>
          <w:color w:val="auto"/>
        </w:rPr>
      </w:pPr>
    </w:p>
    <w:p>
      <w:pPr>
        <w:ind w:left="300" w:right="340" w:firstLine="532"/>
        <w:spacing w:after="0" w:line="237" w:lineRule="auto"/>
        <w:rPr>
          <w:sz w:val="20"/>
          <w:szCs w:val="20"/>
          <w:color w:val="auto"/>
        </w:rPr>
      </w:pPr>
      <w:r>
        <w:rPr>
          <w:rFonts w:ascii="Arial" w:cs="Arial" w:eastAsia="Arial" w:hAnsi="Arial"/>
          <w:sz w:val="18"/>
          <w:szCs w:val="18"/>
          <w:color w:val="auto"/>
        </w:rPr>
        <w:t>The summary consolidated financial information as of December 31, 2019 and for the years ended December 31, 2019, 2018 and 2017 presented below is derived from our audited consolidated financial statements for such periods appearing in our Annual Report on Form 10-K for the year ended December 31, 2019, which is incorporated by reference into this prospectus supplement. The summary consolidated financial information as of March 31, 2020 and for the three months ended March 31, 2020 and 2019 presented below is derived from our unaudited condensed consolidated financial statements for such periods appearing in our Quarterly Report on Form 10-Q for the three-month period ended March 31, 2020, which is incorporated by reference into this prospectus supplement.</w:t>
      </w:r>
    </w:p>
    <w:p>
      <w:pPr>
        <w:spacing w:after="0" w:line="203" w:lineRule="exact"/>
        <w:rPr>
          <w:sz w:val="20"/>
          <w:szCs w:val="20"/>
          <w:color w:val="auto"/>
        </w:rPr>
      </w:pPr>
    </w:p>
    <w:p>
      <w:pPr>
        <w:ind w:left="300" w:right="200" w:firstLine="532"/>
        <w:spacing w:after="0" w:line="237" w:lineRule="auto"/>
        <w:rPr>
          <w:sz w:val="20"/>
          <w:szCs w:val="20"/>
          <w:color w:val="auto"/>
        </w:rPr>
      </w:pPr>
      <w:r>
        <w:rPr>
          <w:rFonts w:ascii="Arial" w:cs="Arial" w:eastAsia="Arial" w:hAnsi="Arial"/>
          <w:sz w:val="18"/>
          <w:szCs w:val="18"/>
          <w:color w:val="auto"/>
        </w:rPr>
        <w:t>We adopted three new accounting standards as of January 1, 2018: Accounting Standards Update (“ASU”) 2016-02: Leases (Topic 842) (the “New Lease Standard”), ASU 2014-09: Revenue from Contracts with Customers (the “New Revenue Standard”) and ASU 2017-07: Compensation—Retirement Benefits (the “New Retirement Standard”). The 2017 financial information presented below has been recast to reflect the impact of the adoption of the New Revenue Standard and the New Retirement Standard. The New Lease Standard did not require the recast of prior periods. See Note 1(b) to AAG’s Consolidated Financial Statements in Part II, Item 8A of AAG’s Annual Report on Form 10-K for the year ended December 31, 2018, which is not incorporated by reference into this prospectus supplement, for further information on the impacts of these new accounting standards.</w:t>
      </w:r>
    </w:p>
    <w:p>
      <w:pPr>
        <w:spacing w:after="0" w:line="203" w:lineRule="exact"/>
        <w:rPr>
          <w:sz w:val="20"/>
          <w:szCs w:val="20"/>
          <w:color w:val="auto"/>
        </w:rPr>
      </w:pPr>
    </w:p>
    <w:p>
      <w:pPr>
        <w:ind w:left="300" w:right="240" w:firstLine="532"/>
        <w:spacing w:after="0" w:line="236" w:lineRule="auto"/>
        <w:rPr>
          <w:sz w:val="20"/>
          <w:szCs w:val="20"/>
          <w:color w:val="auto"/>
        </w:rPr>
      </w:pPr>
      <w:r>
        <w:rPr>
          <w:rFonts w:ascii="Arial" w:cs="Arial" w:eastAsia="Arial" w:hAnsi="Arial"/>
          <w:sz w:val="18"/>
          <w:szCs w:val="18"/>
          <w:color w:val="auto"/>
        </w:rPr>
        <w:t>Our historical financial information is not necessarily indicative of our future performance. You should read the information set forth below in conjunction with: (i) the section appearing under the heading “Capitalization,” which is included elsewhere in this prospectus supplement, (ii) Part II, Item 7—Management’s Discussion and Analysis of Financial Condition and Results of Operations, which appears in our Annual Report on Form 10-K for the year ended December 31, 2019, which is incorporated by reference into this prospectus supplement and (iii) Part I, Item 2—Management’s Discussion and Analysis of Financial Condition and Results of Operations and Part II, Item 1A—Risk Factors and the financial statements and notes to those financial statements, which appear in our Quarterly Report on Form 10-Q for the three months ended March 31, 2020, which is incorporated by reference into this prospectus supplement.</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11"/>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1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Total operating revenues</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8,515</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10,584</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45,768</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44,541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42,622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11,064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10,209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42,703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41,885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38,391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nonoperating expense, net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(836)</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tax provision (benefit)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1,686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S-6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1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410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60" w:type="dxa"/>
            <w:vAlign w:val="bottom"/>
          </w:tcPr>
          <w:p>
            <w:pPr>
              <w:spacing w:after="0"/>
              <w:rPr>
                <w:sz w:val="15"/>
                <w:szCs w:val="15"/>
                <w:color w:val="auto"/>
              </w:rPr>
            </w:pPr>
          </w:p>
        </w:tc>
        <w:tc>
          <w:tcPr>
            <w:tcW w:w="26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5"/>
                <w:szCs w:val="15"/>
                <w:color w:val="auto"/>
              </w:rPr>
            </w:pPr>
          </w:p>
        </w:tc>
        <w:tc>
          <w:tcPr>
            <w:tcW w:w="68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56"/>
        </w:trPr>
        <w:tc>
          <w:tcPr>
            <w:tcW w:w="6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 (at end of period):</w:t>
            </w:r>
          </w:p>
        </w:tc>
        <w:tc>
          <w:tcPr>
            <w:tcW w:w="1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3,576</w:t>
            </w:r>
          </w:p>
        </w:tc>
        <w:tc>
          <w:tcPr>
            <w:tcW w:w="86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3,826</w:t>
            </w:r>
          </w:p>
        </w:tc>
        <w:tc>
          <w:tcPr>
            <w:tcW w:w="120" w:type="dxa"/>
            <w:vAlign w:val="bottom"/>
          </w:tcPr>
          <w:p>
            <w:pPr>
              <w:spacing w:after="0"/>
              <w:rPr>
                <w:sz w:val="17"/>
                <w:szCs w:val="17"/>
                <w:color w:val="auto"/>
              </w:rPr>
            </w:pP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58,580</w:t>
            </w: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59,995</w:t>
            </w:r>
          </w:p>
        </w:tc>
        <w:tc>
          <w:tcPr>
            <w:tcW w:w="120" w:type="dxa"/>
            <w:vAlign w:val="bottom"/>
            <w:shd w:val="clear" w:color="auto" w:fill="CCEEFF"/>
          </w:tcPr>
          <w:p>
            <w:pPr>
              <w:spacing w:after="0"/>
              <w:rPr>
                <w:sz w:val="17"/>
                <w:szCs w:val="17"/>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Debt and finance leases</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25,082</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24,315</w:t>
            </w:r>
          </w:p>
        </w:tc>
        <w:tc>
          <w:tcPr>
            <w:tcW w:w="120" w:type="dxa"/>
            <w:vAlign w:val="bottom"/>
          </w:tcPr>
          <w:p>
            <w:pPr>
              <w:spacing w:after="0"/>
              <w:rPr>
                <w:sz w:val="17"/>
                <w:szCs w:val="17"/>
                <w:color w:val="auto"/>
              </w:rPr>
            </w:pP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Pension and postretirement obligations(1)</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6,137</w:t>
            </w: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6,081</w:t>
            </w:r>
          </w:p>
        </w:tc>
        <w:tc>
          <w:tcPr>
            <w:tcW w:w="120" w:type="dxa"/>
            <w:vAlign w:val="bottom"/>
            <w:shd w:val="clear" w:color="auto" w:fill="CCEEFF"/>
          </w:tcPr>
          <w:p>
            <w:pPr>
              <w:spacing w:after="0"/>
              <w:rPr>
                <w:sz w:val="17"/>
                <w:szCs w:val="17"/>
                <w:color w:val="auto"/>
              </w:rPr>
            </w:pPr>
          </w:p>
        </w:tc>
      </w:tr>
      <w:tr>
        <w:trPr>
          <w:trHeight w:val="202"/>
        </w:trPr>
        <w:tc>
          <w:tcPr>
            <w:tcW w:w="6360" w:type="dxa"/>
            <w:vAlign w:val="bottom"/>
          </w:tcPr>
          <w:p>
            <w:pPr>
              <w:ind w:left="360"/>
              <w:spacing w:after="0" w:line="201" w:lineRule="exact"/>
              <w:rPr>
                <w:sz w:val="20"/>
                <w:szCs w:val="20"/>
                <w:color w:val="auto"/>
              </w:rPr>
            </w:pPr>
            <w:r>
              <w:rPr>
                <w:rFonts w:ascii="Arial" w:cs="Arial" w:eastAsia="Arial" w:hAnsi="Arial"/>
                <w:sz w:val="18"/>
                <w:szCs w:val="18"/>
                <w:color w:val="auto"/>
              </w:rPr>
              <w:t>Operating lease liabilities</w:t>
            </w:r>
          </w:p>
        </w:tc>
        <w:tc>
          <w:tcPr>
            <w:tcW w:w="26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8,991</w:t>
            </w:r>
          </w:p>
        </w:tc>
        <w:tc>
          <w:tcPr>
            <w:tcW w:w="86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9,129</w:t>
            </w:r>
          </w:p>
        </w:tc>
        <w:tc>
          <w:tcPr>
            <w:tcW w:w="12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61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Stockholders’ deficit</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72"/>
              <w:spacing w:after="0" w:line="203" w:lineRule="exact"/>
              <w:rPr>
                <w:sz w:val="20"/>
                <w:szCs w:val="20"/>
                <w:color w:val="auto"/>
              </w:rPr>
            </w:pPr>
            <w:r>
              <w:rPr>
                <w:rFonts w:ascii="Arial" w:cs="Arial" w:eastAsia="Arial" w:hAnsi="Arial"/>
                <w:sz w:val="18"/>
                <w:szCs w:val="18"/>
                <w:color w:val="auto"/>
              </w:rPr>
              <w:t>(2,636)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(118)</w:t>
            </w:r>
          </w:p>
        </w:tc>
      </w:tr>
      <w:tr>
        <w:trPr>
          <w:trHeight w:val="392"/>
        </w:trPr>
        <w:tc>
          <w:tcPr>
            <w:tcW w:w="6160" w:type="dxa"/>
            <w:vAlign w:val="bottom"/>
          </w:tcPr>
          <w:p>
            <w:pPr>
              <w:spacing w:after="0"/>
              <w:rPr>
                <w:sz w:val="24"/>
                <w:szCs w:val="24"/>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6160" w:type="dxa"/>
            <w:vAlign w:val="bottom"/>
          </w:tcPr>
          <w:p>
            <w:pPr>
              <w:spacing w:after="0"/>
              <w:rPr>
                <w:sz w:val="15"/>
                <w:szCs w:val="15"/>
                <w:color w:val="auto"/>
              </w:rPr>
            </w:pPr>
          </w:p>
        </w:tc>
        <w:tc>
          <w:tcPr>
            <w:tcW w:w="1640" w:type="dxa"/>
            <w:vAlign w:val="bottom"/>
            <w:gridSpan w:val="4"/>
          </w:tcPr>
          <w:p>
            <w:pPr>
              <w:ind w:left="180"/>
              <w:spacing w:after="0"/>
              <w:rPr>
                <w:sz w:val="20"/>
                <w:szCs w:val="20"/>
                <w:color w:val="auto"/>
              </w:rPr>
            </w:pPr>
            <w:r>
              <w:rPr>
                <w:rFonts w:ascii="Arial" w:cs="Arial" w:eastAsia="Arial" w:hAnsi="Arial"/>
                <w:sz w:val="14"/>
                <w:szCs w:val="14"/>
                <w:b w:val="1"/>
                <w:bCs w:val="1"/>
                <w:color w:val="auto"/>
              </w:rPr>
              <w:t>Ended March 31,</w:t>
            </w:r>
          </w:p>
        </w:tc>
        <w:tc>
          <w:tcPr>
            <w:tcW w:w="28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83"/>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statistics:</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Revenue passenger miles (millions)(2)</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45,171</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54,802</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241,252</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231,160</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226,346</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Available seat miles (millions)(3)</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62,099</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66,674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285,088</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282,054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276,493</w:t>
            </w:r>
          </w:p>
        </w:tc>
        <w:tc>
          <w:tcPr>
            <w:tcW w:w="60" w:type="dxa"/>
            <w:vAlign w:val="bottom"/>
            <w:shd w:val="clear" w:color="auto" w:fill="CCEEFF"/>
          </w:tcPr>
          <w:p>
            <w:pPr>
              <w:spacing w:after="0"/>
              <w:rPr>
                <w:sz w:val="17"/>
                <w:szCs w:val="17"/>
                <w:color w:val="auto"/>
              </w:rPr>
            </w:pP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Passenger load factor (percent)(4)</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Yield (cents)(5)</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w:t>
            </w:r>
          </w:p>
        </w:tc>
        <w:tc>
          <w:tcPr>
            <w:tcW w:w="60" w:type="dxa"/>
            <w:vAlign w:val="bottom"/>
            <w:shd w:val="clear" w:color="auto" w:fill="CCEEFF"/>
          </w:tcPr>
          <w:p>
            <w:pPr>
              <w:spacing w:after="0"/>
              <w:rPr>
                <w:sz w:val="17"/>
                <w:szCs w:val="17"/>
                <w:color w:val="auto"/>
              </w:rPr>
            </w:pP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Passenger revenue per ASM (cents)(6)</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14.49</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14.74</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14.42</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14.15</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revenue per available seat mile (cents)(7)</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15.79</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15.42</w:t>
            </w:r>
          </w:p>
        </w:tc>
        <w:tc>
          <w:tcPr>
            <w:tcW w:w="60" w:type="dxa"/>
            <w:vAlign w:val="bottom"/>
            <w:shd w:val="clear" w:color="auto" w:fill="CCEEFF"/>
          </w:tcPr>
          <w:p>
            <w:pPr>
              <w:spacing w:after="0"/>
              <w:rPr>
                <w:sz w:val="17"/>
                <w:szCs w:val="17"/>
                <w:color w:val="auto"/>
              </w:rPr>
            </w:pPr>
          </w:p>
        </w:tc>
      </w:tr>
      <w:tr>
        <w:trPr>
          <w:trHeight w:val="217"/>
        </w:trPr>
        <w:tc>
          <w:tcPr>
            <w:tcW w:w="6160" w:type="dxa"/>
            <w:vAlign w:val="bottom"/>
          </w:tcPr>
          <w:p>
            <w:pPr>
              <w:ind w:left="360"/>
              <w:spacing w:after="0"/>
              <w:rPr>
                <w:sz w:val="20"/>
                <w:szCs w:val="20"/>
                <w:color w:val="auto"/>
              </w:rPr>
            </w:pPr>
            <w:r>
              <w:rPr>
                <w:rFonts w:ascii="Arial" w:cs="Arial" w:eastAsia="Arial" w:hAnsi="Arial"/>
                <w:sz w:val="18"/>
                <w:szCs w:val="18"/>
                <w:color w:val="auto"/>
              </w:rPr>
              <w:t>Operating cost per ASM (cents)(8)</w:t>
            </w:r>
          </w:p>
        </w:tc>
        <w:tc>
          <w:tcPr>
            <w:tcW w:w="68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8"/>
                <w:szCs w:val="18"/>
                <w:color w:val="auto"/>
              </w:rPr>
            </w:pPr>
          </w:p>
        </w:tc>
      </w:tr>
    </w:tbl>
    <w:p>
      <w:pPr>
        <w:spacing w:after="0" w:line="174" w:lineRule="exact"/>
        <w:rPr>
          <w:sz w:val="20"/>
          <w:szCs w:val="20"/>
          <w:color w:val="auto"/>
        </w:rPr>
      </w:pPr>
    </w:p>
    <w:p>
      <w:pPr>
        <w:ind w:left="820" w:right="28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Substantially all defined benefit pension plans were frozen effective November 1, 2012. See Note 10 to AAG’s Consolidated Financial Statements in Part II, Item 8A in AAG’s Annual Report on Form 10-K for the year ended December 31, 2019 for further information on pension and postretirement benefits.</w:t>
      </w:r>
    </w:p>
    <w:p>
      <w:pPr>
        <w:spacing w:after="0" w:line="2" w:lineRule="exact"/>
        <w:rPr>
          <w:rFonts w:ascii="Arial" w:cs="Arial" w:eastAsia="Arial" w:hAnsi="Arial"/>
          <w:sz w:val="18"/>
          <w:szCs w:val="18"/>
          <w:color w:val="auto"/>
        </w:rPr>
      </w:pPr>
    </w:p>
    <w:p>
      <w:pPr>
        <w:ind w:left="82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passenger mile (RPM)—A basic measure of sales volume. One RPM represents one passenger flown one mile.</w:t>
      </w:r>
    </w:p>
    <w:p>
      <w:pPr>
        <w:ind w:left="82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Available seat mile (ASM)—A basic measure of production. One ASM represents one seat flown one mile.</w:t>
      </w:r>
    </w:p>
    <w:p>
      <w:pPr>
        <w:ind w:left="82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Passenger load factor—The percentage of available seats that are filled with revenue passengers.</w:t>
      </w:r>
    </w:p>
    <w:p>
      <w:pPr>
        <w:ind w:left="82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Yield—A measure of airline revenue derived by dividing passenger revenue by RPMs.</w:t>
      </w:r>
    </w:p>
    <w:p>
      <w:pPr>
        <w:ind w:left="82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Passenger revenue per available seat mile (PRASM)—Passenger revenue divided by ASMs.</w:t>
      </w:r>
    </w:p>
    <w:p>
      <w:pPr>
        <w:ind w:left="820" w:hanging="522"/>
        <w:spacing w:after="0" w:line="23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per available seat mile (TRASM)—Total revenues divided by ASMs.</w:t>
      </w:r>
    </w:p>
    <w:p>
      <w:pPr>
        <w:ind w:left="820" w:hanging="52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cost per available seat mile (CASM)—Operating expenses divided by ASMs.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i w:val="1"/>
          <w:iCs w:val="1"/>
          <w:color w:val="auto"/>
        </w:rPr>
        <w:t>An investment in our common stock involves certain risks. You should carefully consider the risks described below and those discussed under Part II, Item 1A—Risk Factors in our Quarterly Report on Form 10-Q for the quarterly period ended March 31, 2020, as well as the other information included or incorporated by reference in this prospectus supplement, before making an investment decision. Our business, financial condition or results of operations could be materially adversely affected by any of these risks. The market or trading price of our common stock could decline due to any of these risks, and you may lose all or part of your investment. In addition, please read “Special note about forward-looking statements” in this prospectus supplement, where we describe additional uncertainties associated with our business and the forward-looking statements included or incorporated by reference in this prospectus supplement. Please note that additional risks not presently known to us or that we currently deem immaterial may also impair our business, financial condition or results of operations. To the extent COVID-19 adversely affects our business, operations, financial condition and operating results, it may also have the effect of heightening many of the other risks described in this “Risk Factors” section and those described in our reports incorporated by reference herein, such as those relating to our high level of indebtedness, our need to generate sufficient cash flows to service our indebtedness, and our ability to comply with the covenants contained in the agreements that govern our indebtedness.</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Recent Developments in our Business</w:t>
      </w:r>
    </w:p>
    <w:p>
      <w:pPr>
        <w:spacing w:after="0" w:line="2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8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ranging from travel restrictions, “shelter in place” and quarantine orders, limitations on public gatherings to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determined to retire certain mainline aircraft earlier than planned including Boeing 757, Boeing 767, Airbus A330-300 and Embraer 190 aircraft as well as regional aircraft, including certain Embraer 140 and Bombardier CRJ200 aircraft, which we expect will allow us to be more efficient by reducing the number of sub-fleets we operate, and we have also placed a significant number of aircraft, including our A330-200 fleet and a number of Boeing 737-800 aircraft, into temporary storage. We have moved quickly to attempt to better align our costs with our reduced schedule and made other cost-saving initiatives (including reductions in maintenance expense, marketing expense, event and training expenses, airport facilities expense, salaries and benefits expense, and other volume-related expense reductions, including fuel). Nonetheless, we incurred significant negative cash flow in the first quarter of 2020, we continue to do so, and we expect to continue to do so until there is a significant recovery in demand for air travel. The duration and severity of the COVID-19 pandemic remain uncertain, and there can be no assurance that these actions will suffice to sustain our business and operations through this pandemic. We expect our results of operations for fiscal 2020 to be materially impacted.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We have been approved to receive approximately $ 5.8 billion from the Treasury through the Payroll Support Program under the CARES Act of which $4.1 billion has been received as of June 1, 2020. In connection with the financial assistance we have received and expect to receive under the Payroll Support Program, we will be required to comply with certain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AAG’s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We also applied for a secured loan in the amount of approximately $4.75 billion through the loan program under the CARES Act and are in the process of obtaining such secured loan, the timing and terms of which remain subject to ongoing negotiation, entry by the parties into definitive documentation and certain closing conditions. If we receive a secured loan from the Treasury under the loan program, the stock repurchase, dividend and executive compensation restrictions will remain in place through the date that is one year after such secured loan is fully repaid. The substance and duration of these restrictions may materially affect our operations, and we may not be successful in managing these impacts.</w:t>
      </w:r>
    </w:p>
    <w:p>
      <w:pPr>
        <w:spacing w:after="0" w:line="21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intend to pursue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and could impose significant covenants and restrictions to which we are not currently subject. The measures we have taken to reduce our expenditures and to improve our liquidity, and any other strategic actions that we may take in the future in response to COVID-19 may not be effective in offsetting decreased demand, and we will not be permitted to take certain strategic actions, such as prescribed levels of furloughs and lay-offs or reductions in capacity as a result of the restrictions imposed by the CARES Act, which could result in a material adverse effect on our business, operating results and financial condition.</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our control, including the effectiveness of the mitigation strategies discussed above, the duration and spread of COVID-19, including any recurrence of the pandemic, and related travel advisories and restrictions, the impact of COVID-19 on overall long-term demand for air travel, the impact on demand and capacity which could result from government mandates on air service including, for instance, any requirement for passengers to wear face coverings while traveling or have their temperature checked or have administered other tests or examinations prior to entering an airport or boarding an airplane, or which would limit the number of seats that can be occupied on an aircraft to allow for social distancing, if our employees are unable to work because they are quarantined or sickened as a result of exposure to COVID-19, or if they are subject to additional governmental COVID-19 curfews or “shelter in place” health orders or similar restrictions, the impact of COVID-19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“teleconferencing” products and more broadly a general reluctance to travel by consumers, each of which could have a material impact on our business.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pre-pandemic levels, if at all. Accordingly, we cannot predict the ultimate impact of COVID-19 on our business, financial condition and results of operations. See also “Risk Factors—The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and “Risk Factors—The airline industry is intensely competitive and dynamic.”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2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March 31, 2020, our planned aggregate expenditures for aircraft purchase commitments and certain engines on a consolidated basis for calendar years 2020-2024 would be approximately $8.4 billion. We may also require financing to refinance maturing obligations and to provide liquidity to fund other corporate requirements, in particular given the severe decline in revenue we have experienced as a result of COVID-19. If needed to meet our liquidity needs, it may be difficult for us to raise additional capital on acceptable terms, or at all, due to, among other factors: our substantial level of existing indebtedness, particularly following the additional liquidity transactions completed and contemplated in response to the impact of COVID-19; our non-investment grade credit rating; market conditions; the availability of assets to use as collateral for loans or other indebtedness, which has been reduced as a result of certain financing transactions we have undertaken since the beginning of 2020 and may be further reduced as we continue to seek significant additional liquidity; and the effect the COVID-19 pandemic has had on the global economy generally and the air transportation industry in particular.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91"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8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08" w:lineRule="exact"/>
        <w:rPr>
          <w:sz w:val="20"/>
          <w:szCs w:val="20"/>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02"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02"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08"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17" w:lineRule="exact"/>
        <w:rPr>
          <w:rFonts w:ascii="Arial" w:cs="Arial" w:eastAsia="Arial" w:hAnsi="Arial"/>
          <w:sz w:val="18"/>
          <w:szCs w:val="18"/>
          <w:color w:val="auto"/>
        </w:rPr>
      </w:pPr>
    </w:p>
    <w:p>
      <w:pPr>
        <w:ind w:left="1320" w:right="200" w:hanging="435"/>
        <w:spacing w:after="0" w:line="246"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currently anticipate that it will be necessary to obtain a significant amount of additional financing in the near-term from a variety of sources. Such financing may include the issuance of additional unsecured or secured debt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and could impose significant covenants and restrictions to which we are not currently subject. In particular, in connection with the financial assistance we have received and expect to receive through the Payroll Support Program and loan program under the CARES Act, we will be required to comply with the relevant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213"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The obligations discussed above, including those imposed as a result of the CARES Act and any additional financings we may be required to undertake as a result of the impact of COVID-19, could also impact our ability to obtain additional financing, if needed, and our flexibility in the conduct of our business, and could materially adversely affect our liquidity, results of operations and financial condition.</w:t>
      </w:r>
    </w:p>
    <w:p>
      <w:pPr>
        <w:spacing w:after="0" w:line="186"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91"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60"/>
        <w:spacing w:after="0" w:line="246" w:lineRule="auto"/>
        <w:rPr>
          <w:sz w:val="20"/>
          <w:szCs w:val="20"/>
          <w:color w:val="auto"/>
        </w:rPr>
      </w:pPr>
      <w:r>
        <w:rPr>
          <w:rFonts w:ascii="Arial" w:cs="Arial" w:eastAsia="Arial" w:hAnsi="Arial"/>
          <w:sz w:val="18"/>
          <w:szCs w:val="18"/>
          <w:color w:val="auto"/>
        </w:rPr>
        <w:t>Quantitative and Qualitative Disclosures about Market Risk—Interest in our Quarterly Report on Form 10-Q for the quarter ended March 31, 2020.</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an agreement with our lenders on any such amendments. As of March 31, 2020, we had $10.7 billion of borrowings based on LIBOR. The replacement of LIBOR with a comparable or successor rate could cause the amount of interest payable on our long-term debt to be different or higher than expected.</w:t>
      </w:r>
    </w:p>
    <w:p>
      <w:pPr>
        <w:spacing w:after="0" w:line="291"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Among other things, the CARES Act imposes significant restrictions on executive compensation which, assuming we receive a secured loan from the Treasury, will remain in place through the date that is one year after such secured loan is fully repaid. Such restrictions, over time, will likely result in lower executive compensation in the airline industry than is prevailing in other industries which may present retention challenges in the case of executives presented with alternative, non-airline opportunities. Any inability to retain or attract significant numbers of qualified management and other personnel would have a material adverse effect on our business, results of operations and financial condition.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structures intended to achieve near-term survival rather than long-term viability.</w:t>
      </w:r>
    </w:p>
    <w:p>
      <w:pPr>
        <w:spacing w:after="0" w:line="20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The actions of existing or future low-cost carriers, including those described above, could have a material adverse effect on our operations and financial performance.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 carriers in the Gulf region, including their affiliated carriers, benefit from significant government subsidies, which have allowed them to grow quickly, reinvest in their product and expand their global presence.</w:t>
      </w:r>
    </w:p>
    <w:p>
      <w:pPr>
        <w:spacing w:after="0" w:line="20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“Risk Factors—Our business is subject to extensive government regulation, which may result in increases in our costs, disruptions to our operations, limits on our operating flexibility, reductions in the demand for air travel, and competitive disadvantages.”</w:t>
      </w:r>
    </w:p>
    <w:p>
      <w:pPr>
        <w:spacing w:after="0" w:line="208"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205"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American has established a transatlantic joint business agreement (the “JBA”) with British Airways, Iberia and Finnair, a transpacific JBA with Japan Airlines and a JBA relating to Australia and New Zealand with Qantas Airways, each of which has been granted antitrust immunity. The transatlantic JBA relationship benefits from a grant of antitrust immunity from the Department of Transportation (the “DOT”) and was reviewed by the European Commission (the “EC”) in July 2010. In connection with this review, we provided certain commitments to the EC regarding, among other things, the availability of take-off and landing slots at London Heathrow (“LHR”) or London Gatwick</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(“LGW”) airports. The commitments accepted by the EC are binding for 10 years. In October 2018, in anticipation of the exit of the United Kingdom from the European Union (the “EU”), commonly referred to as “Brexit”, and the expiry of the EC commitments in July 2020, the United Kingdom Competition and Markets Authority (the “CMA”) opened an investigation into the transatlantic JBA. We continue to fully cooperate with the CMA and in May 2020, the CMA published a notice of intention to accept certain commitments related to the transatlantic JBA offered by the carriers and invited representations from interested third parties. An application for antitrust immunity is also pending with the DOT to add Aer Lingus, which is owned by the parent company of British Airways and Iberia, to the transatlantic JBA.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20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88"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83"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02" w:lineRule="exact"/>
        <w:rPr>
          <w:sz w:val="20"/>
          <w:szCs w:val="20"/>
          <w:color w:val="auto"/>
        </w:rPr>
      </w:pPr>
    </w:p>
    <w:p>
      <w:pPr>
        <w:ind w:left="880" w:right="240" w:hanging="224"/>
        <w:spacing w:after="0" w:line="246"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potential disruptions to the United States National Airspace System (the “ATC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COVID-19 or any other similar illness, if it were to become associated with air travel or persist for an extended period, could materially affect the airline industry and us by reducing revenues and adversely impacting our operations and passengers’ travel behavior. See also “Risk Factors—The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92"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Accordingly, as of March 31, 2020, we did not have any fuel hedging contracts outstanding to hedge our fuel consumption. As such, and assuming we do not enter into any future transactions to hedge our fuel consumption, we will continue to be fully exposed to fluctuations in fuel prices and, while the price of fuel has been at historically low levels during the COVID-19 pandemic, there is no assurance that it will remain so and any increase in fuel prices, coupled with the severe reduction in demand we are experiencing, during the COVID-19 pandemic will materially affect our business in an adverse manner. See also the discussion in Part I, Item 3. Quantitative and Qualitative Disclosures About Market Risk—Aircraft Fuel in our Quarterly Report on Form 10-Q for the quarter ended March 31, 2020.</w:t>
      </w:r>
    </w:p>
    <w:p>
      <w:pPr>
        <w:spacing w:after="0" w:line="290"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6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Relations between air carriers and labor unions in the U.S. are governed by the Railway Labor Act (the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(the “NMB”). For the dates that the CBAs with our major work groups become amendable under the RLA, see Part I, Item 1. Business—“Employees and Labor Relations” in our Annual Report on Form 10-K for the year ended December 31, 2019.</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Business—“Employees and Labor Relations” in our Annual Report on Form 10-K for the year ended December 31, 2019.</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As of December 31, 2019, approximately 85%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88"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have significant obligations for retiree medical and other postretirement benefits. Additionally, we participate in the International Association of Machinists &amp; Aerospace Workers (the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could have a material adverse effect on the public’s perception of us, which could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COVID-19 will be sufficient to restore the confidence of consumers in the safety of air travel.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8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131,000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9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Federal Aviation Administration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hereof),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20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2020, the DOT is expected to implement a number of new regulations that will impact us, including disability rules for accessible lavatories and refunds for checked bag fees in the event of certain delays in delivery.</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205"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02" w:lineRule="exact"/>
        <w:rPr>
          <w:sz w:val="20"/>
          <w:szCs w:val="20"/>
          <w:color w:val="auto"/>
        </w:rPr>
      </w:pPr>
    </w:p>
    <w:p>
      <w:pPr>
        <w:ind w:left="880" w:right="8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02"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17"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w:t>
      </w:r>
    </w:p>
    <w:p>
      <w:pPr>
        <w:spacing w:after="0" w:line="21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20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in a timely manner and the substantial costs that may be imposed on airlines, including ourselves, in order to fund a modernized ATC system may have a material adverse effect on our business.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ATC and security screening resources and related travel delays, as well as disruption in the ability of the FAA to grant required regulatory approvals, such as those that are involved when a new aircraft is first placed into service.</w:t>
      </w:r>
    </w:p>
    <w:p>
      <w:pPr>
        <w:spacing w:after="0" w:line="202"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21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However, Brexit will mandate further modification in the current regulatory regime, including in relation to commercial air service.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has severely impacted the demand for international travel and has resulted in the imposition of significant governmental restrictions on commercial air service to or from certain regions. We have responded by suspending a significant majority of our international flights through at least June 2020 and delaying the introduction of certain new international routes. We can provide no assurance as to when such restrictions will be eased or lifted, when demand for international travel will return to pre-pandemic levels, if at all, or whether certain international destinations we previously served will be economical in the future.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03" w:lineRule="exact"/>
        <w:rPr>
          <w:sz w:val="20"/>
          <w:szCs w:val="20"/>
          <w:color w:val="auto"/>
        </w:rPr>
      </w:pPr>
    </w:p>
    <w:p>
      <w:pPr>
        <w:jc w:val="both"/>
        <w:ind w:left="120" w:right="140" w:firstLine="551"/>
        <w:spacing w:after="0" w:line="248" w:lineRule="auto"/>
        <w:rPr>
          <w:sz w:val="20"/>
          <w:szCs w:val="20"/>
          <w:color w:val="auto"/>
        </w:rPr>
      </w:pPr>
      <w:r>
        <w:rPr>
          <w:rFonts w:ascii="Arial" w:cs="Arial" w:eastAsia="Arial" w:hAnsi="Arial"/>
          <w:sz w:val="17"/>
          <w:szCs w:val="17"/>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w:t>
      </w:r>
    </w:p>
    <w:p>
      <w:pPr>
        <w:spacing w:after="0" w:line="2"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(the “USTR”), as part of an ongoing dispute with the EU before the World Trade Organization (the “WTO”) concerning, among other things, aircraft subsidies, was authorized by an arbitration tribunal of the WTO to impose up to</w:t>
      </w:r>
    </w:p>
    <w:p>
      <w:pPr>
        <w:spacing w:after="0" w:line="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$7.5 billion per year in import tariffs on certain goods originating from the EU. In October 2019, the USTR imposed tariffs on certain imports from the EU, including certain Airbus aircraft that we previously contracted to purchase, which were initially subject to an ad valorem duty of 10%. On February 14, 2020, the USTR increased such duty to 15% effective March 18, 2020.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would increase.</w:t>
      </w:r>
    </w:p>
    <w:p>
      <w:pPr>
        <w:spacing w:after="0" w:line="202"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Brexit occurred on January 31, 2020 under the terms of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w:t>
      </w:r>
    </w:p>
    <w:p>
      <w:pPr>
        <w:spacing w:after="0" w:line="207"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JBA. We continue to fully cooperate with the CMA, and in May 2020, the CMA published a notice of intention to accept certain commitments related to the transatlantic JBA offered by the carriers and invited representations from interested third parties.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9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9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CO2 emissions and the potential increased impacts of severe weather events on our operations and infrastructure.</w:t>
      </w:r>
    </w:p>
    <w:p>
      <w:pPr>
        <w:spacing w:after="0" w:line="68"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There is increasing global regulatory focus on climate change and greenhouse gas (“GHG”) emissions, including carbon dioxide (CO2). In particular, the International Civil Aviation Organization is in the process of adopting rules, including the Carbon Offsetting and Reduction Scheme for International Aviation (“CORSIA”), that will require American to limit the CO2 emissions of a significant majority of our international flights to a baseline level equal to our 2019-2020 average emissions from such flights.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At this time, the costs of our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there is uncertainty with respect to the future supply, demand and price of sustainable or lower carbon aircraft fuel, carbon offset credits and technologies that could allow airlines to reduce their emissions of CO2.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203"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will often affect global competitors differently and frequently offer no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to regulate domestic GHG emissions. Finally, certain airports have adopted, and others could in the future adopt, GHG emission or climate-neutral goals that could impact our operations or require us to make changes or investments in our infrastructure.</w:t>
      </w:r>
    </w:p>
    <w:p>
      <w:pPr>
        <w:spacing w:after="0" w:line="20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modernize certain aspects of our operations, purchase carbon offset credits, or otherwise incur additional costs related to our emissions. Such activity may also impact us indirectly by increasing our operating costs, including fuel costs.</w:t>
      </w:r>
    </w:p>
    <w:p>
      <w:pPr>
        <w:spacing w:after="0" w:line="205"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Finally, the potential physical effects of climate change, such as increased frequency and severity of storms, floods, fires, sea-level rise and other climate-related events, could affect our operations, infrastructure and financial results. Operational impacts, such as the canceling of flights, could result in loss of revenue. We could incur significant costs to improve the climate resiliency of our infrastructure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and otherwise prepare for, respond to, and mitigate such physical effects of climate change. We are not able to accurately predict the materiality of any potential losses or costs associated with the physical effects of climate change.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the end of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 transactions involving Airbus and Bombardier and the pending transactions involving Boeing and Embraer,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In particular, in March 2019, the FAA ordered the grounding of all Boeing 737 MAX aircraft, which remains in place as of the date hereof.</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aircraft, including the 24 aircraft in our fleet. For the duration of the Boeing 737 MAX grounding, we have been unable to take delivery of the Boeing 737 MAX aircraft we have on order from Boeing and have in some instances been required to extend the service lives of older, less efficient aircraft and delay service that we planned to offer. Further, deliveries of Boeing 737 MAX aircraft have remained suspended following the grounding, and Boeing is not currently manufacturing new 737 MAX aircraft. Depending on the ultimate duration of the grounding, various Boeing 737 MAX aircraft financings and financing commitments we previously obtained may be terminated and, as a result, we may be required to obtain alternate financing and financing commitments for these aircraft, which may not be available on terms and conditions as favorable as the previously obtained financings and financing commitments. Further, once the grounding has been lifted, we are likely to be subject to training requirements. Boeing has recommended that pilots receive special flight simulator training before operating the Boeing 737 MAX aircraft, and although the FAA is ultimately responsible for establishing training requirements for operating the Boeing 737 MAX, such additional training would further delay the aircraft’s return to service and impose restrictions on our ability to optimize our fleet. This and other operational requirements and uncertainties regarding the timing of the delivery of Boeing 737 MAX aircraft we have on order and how rapidly we will be able to take delivery of and integrate such Boeing 737 MAX aircraft into our fleet could potentially result in further significant constraints on our operating efficiency, capacity and growth plans. In addition, the timing of the 737 MAX’s recertification and return to service, and the resumption of deliveries, could be significantly impacted by the COVID-19 pandemic.</w:t>
      </w:r>
    </w:p>
    <w:p>
      <w:pPr>
        <w:spacing w:after="0" w:line="298"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26" w:lineRule="exact"/>
        <w:rPr>
          <w:sz w:val="20"/>
          <w:szCs w:val="20"/>
          <w:color w:val="auto"/>
        </w:rPr>
      </w:pPr>
    </w:p>
    <w:p>
      <w:pPr>
        <w:ind w:left="120" w:right="80" w:firstLine="551"/>
        <w:spacing w:after="0" w:line="252" w:lineRule="auto"/>
        <w:rPr>
          <w:sz w:val="20"/>
          <w:szCs w:val="20"/>
          <w:color w:val="auto"/>
        </w:rPr>
      </w:pPr>
      <w:r>
        <w:rPr>
          <w:rFonts w:ascii="Arial" w:cs="Arial" w:eastAsia="Arial" w:hAnsi="Arial"/>
          <w:sz w:val="17"/>
          <w:szCs w:val="17"/>
          <w:color w:val="auto"/>
        </w:rPr>
        <w:t>While we have to date successfully integrated many of our computer, communication and other technology systems in connection with the merger of US Airways, Inc.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94"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91"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8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68"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prospectus supplement,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significant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9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w:t>
      </w:r>
      <w:r>
        <w:rPr>
          <w:rFonts w:ascii="Arial" w:cs="Arial" w:eastAsia="Arial" w:hAnsi="Arial"/>
          <w:sz w:val="18"/>
          <w:szCs w:val="18"/>
          <w:i w:val="1"/>
          <w:iCs w:val="1"/>
          <w:color w:val="auto"/>
        </w:rPr>
        <w:t xml:space="preserve"> </w:t>
      </w:r>
      <w:r>
        <w:rPr>
          <w:rFonts w:ascii="Arial" w:cs="Arial" w:eastAsia="Arial" w:hAnsi="Arial"/>
          <w:sz w:val="18"/>
          <w:szCs w:val="18"/>
          <w:color w:val="auto"/>
        </w:rPr>
        <w:t>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90"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8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202"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208" w:lineRule="exact"/>
        <w:rPr>
          <w:sz w:val="20"/>
          <w:szCs w:val="20"/>
          <w:color w:val="auto"/>
        </w:rPr>
      </w:pPr>
    </w:p>
    <w:p>
      <w:pPr>
        <w:ind w:left="120" w:right="80" w:firstLine="551"/>
        <w:spacing w:after="0" w:line="251" w:lineRule="auto"/>
        <w:rPr>
          <w:sz w:val="20"/>
          <w:szCs w:val="20"/>
          <w:color w:val="auto"/>
        </w:rPr>
      </w:pPr>
      <w:r>
        <w:rPr>
          <w:rFonts w:ascii="Arial" w:cs="Arial" w:eastAsia="Arial" w:hAnsi="Arial"/>
          <w:sz w:val="17"/>
          <w:szCs w:val="17"/>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regarding the allocation of slots, the continued enforcement of a perimeter rule or similar regulatory authority will not have a material adverse impact on our operations.</w:t>
      </w:r>
    </w:p>
    <w:p>
      <w:pPr>
        <w:spacing w:after="0" w:line="205"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203" w:lineRule="exact"/>
        <w:rPr>
          <w:sz w:val="20"/>
          <w:szCs w:val="20"/>
          <w:color w:val="auto"/>
        </w:rPr>
      </w:pPr>
    </w:p>
    <w:p>
      <w:pPr>
        <w:ind w:left="120" w:firstLine="551"/>
        <w:spacing w:after="0" w:line="274" w:lineRule="auto"/>
        <w:rPr>
          <w:sz w:val="20"/>
          <w:szCs w:val="20"/>
          <w:color w:val="auto"/>
        </w:rPr>
      </w:pPr>
      <w:r>
        <w:rPr>
          <w:rFonts w:ascii="Arial" w:cs="Arial" w:eastAsia="Arial" w:hAnsi="Arial"/>
          <w:sz w:val="17"/>
          <w:szCs w:val="17"/>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91"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89"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6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89"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w:t>
      </w:r>
    </w:p>
    <w:p>
      <w:pPr>
        <w:spacing w:after="0" w:line="300"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83"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51" w:lineRule="auto"/>
        <w:rPr>
          <w:sz w:val="20"/>
          <w:szCs w:val="20"/>
          <w:color w:val="auto"/>
        </w:rPr>
      </w:pPr>
      <w:r>
        <w:rPr>
          <w:rFonts w:ascii="Arial" w:cs="Arial" w:eastAsia="Arial" w:hAnsi="Arial"/>
          <w:sz w:val="17"/>
          <w:szCs w:val="17"/>
          <w:color w:val="auto"/>
        </w:rPr>
        <w:t>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7"/>
          <w:szCs w:val="17"/>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2019, we had available NOL Carryforwards of approximately $9.1 billion for regular federal income tax purposes that will expire, if unused, beginning in 2023, and approximately $3.0 billion for state income tax purposes that will expire, if unused, between 2020 and 2039. Our NOL Carryforwards are subject to adjustment on audit by the Internal Revenue Service and the respective state taxing authorities.</w:t>
      </w:r>
    </w:p>
    <w:p>
      <w:pPr>
        <w:spacing w:after="0" w:line="20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We presently do not have a valuation allowance on our net deferred tax assets. If our financial results continue to be adversely impacted by COVID-19, there can be no assurance that a valuation allowance on our net deferred tax assets will not be required in the future. Such valuation allowance could be material. Additionally, the NOL Carryforwards may expire before we can generate sufficient taxable income to use them.</w:t>
      </w:r>
    </w:p>
    <w:p>
      <w:pPr>
        <w:spacing w:after="0" w:line="20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Inc. (“US Airways Group”) experienced an ownership change in connection with the acquisition of US Airways Group by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$ 7.3 billion of unlimited NOL still remaining at December 31, 2019)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a government acquisition of warrants, stock options, common or preferred stock or other equity acquired in relation to the program does not result in an ownership change for purposes of section 382. This exception does not apply for companies issuing warrants, stock options, common or preferred stock or other equity pursuant to the Payroll Support Program and accordingly will not apply to the warrants issued by us under that program.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21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an ownership change will not occur even with these restrictions in place. See also “Risk Factors—Certain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28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Company Limited,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the timely execution of our strategic operating plans, including the finalization, approval and implementation of new strategic relationships or the expansion of existing relationships. These events could have a material adverse effect on our business, results of operations and financial condition.</w:t>
      </w:r>
    </w:p>
    <w:p>
      <w:pPr>
        <w:spacing w:after="0" w:line="289"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68"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In light of the effect COVID-19 is having on demand for air travel and, in turn, capacity, we have seen an increase in demand from consumers for refunds on their tickets, and we anticipate this will continue to be the case for the near future. Requests for refunds may reduce our liquidity and risk triggering liquidity covenants in these processing agreements and, in doing so, could force us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68"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the first quarter of 2020, we recorded an $ 815 million impairment charge associated with our decision to retire certain mainline aircraft, principally Boeing 757, Boeing 767, Airbus A330-300 and Embraer 190 aircraft as well as regional aircraft, including certain Embraer 140 and Bombardier CRJ200 aircraft, earlier than previously planned as a result of the decline in demand for air travel due to COVID-19. We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Such impairment charges could have a material adverse effect on our business, results of operations and financial condition.</w:t>
      </w: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1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Payroll Support Program and in connection with the CARES Act loan, could depress the trading price of our common stock and the notes.</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to fund acquisitions, or for other purposes. In addition, as of March 31, 2020, we had reserved 8,935,105 shares issuable upon the exercise of outstanding restricted stock units and we had 25,633,346 shares available for issuance under our 2013 Equity Incentive Plan. See also “Summary—Recent Developments—CARES Act” for information regarding approximately 13.7 million shares of our common stock underlying the warrants issuable in connection with the Payroll Support Program Agreement (the “Payroll Support Program Agreement”) pursuant to the CARES Act and 38 million shares of our common stock that we expect to issue to the Treasury in connection with the approximately $4.75 billion secured loan we are in the process of obtaining pursuant to the CARES Act. If these additional shares are sold, or if it is perceived that they will be sold, into the public market, the price of our common stock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and our executive officers and our board members have entered into lock-up agreements with the underwriters of this offering and the underwriters of the Concurrent Convertible Notes Offering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which we, for a period of 60 days from the date of this prospectus supplement, and they, for a period of 60 days from the date of this prospectus supplement, have agreed, subject to certain exceptions, not to sell, directly or indirectly, any of their shares of our common stock without the permission of Goldman Sachs &amp; Co. LLC, Citigroup Global Markets Inc., BofA Securities, Inc. and J.P. Morgan Securities LLC. We refer to such period as the lock-up period. When the lock-up period expires, we, our executive officers and our board members will be able to sell our common stock in the public market, subject to compliance with applicable securities laws restrictions. Sales of a substantial number of such shares of our common stock upon expiration of the lock-up period or otherwise, the perception that such sales may occur, or early release of these agreements, could cause the market price of our common stock to fall or make it more difficult for you to sell your shares at a time and price that you deem appropriate.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26"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102"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17" w:lineRule="exact"/>
        <w:rPr>
          <w:rFonts w:ascii="Arial" w:cs="Arial" w:eastAsia="Arial" w:hAnsi="Arial"/>
          <w:sz w:val="18"/>
          <w:szCs w:val="18"/>
          <w:color w:val="auto"/>
        </w:rPr>
      </w:pPr>
    </w:p>
    <w:p>
      <w:pPr>
        <w:ind w:left="880" w:right="200" w:hanging="224"/>
        <w:spacing w:after="0" w:line="238"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17" w:lineRule="exact"/>
        <w:rPr>
          <w:rFonts w:ascii="Arial" w:cs="Arial" w:eastAsia="Arial" w:hAnsi="Arial"/>
          <w:sz w:val="18"/>
          <w:szCs w:val="18"/>
          <w:color w:val="auto"/>
        </w:rPr>
      </w:pPr>
    </w:p>
    <w:p>
      <w:pPr>
        <w:ind w:left="880" w:right="1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98"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Our management may spend the proceeds of this offering and the Concurrent Transactions in ways with which you may disagree or that may not be profitable.</w:t>
      </w:r>
    </w:p>
    <w:p>
      <w:pPr>
        <w:spacing w:after="0" w:line="68"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intend to use a portion of the net proceeds from this offering and the Concurrent Transactions not used to refinance our delayed draw term loan credit facilities (in the case of the Concurrent Senior Secured Notes Offering and Concurrent Term Loan Financing, only) for general corporate purposes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and to enhance our liquidity position. However, our management will have broad discretion to apply the net proceeds, and investors will rely on our management’s judgment in spending the net proceeds. Our management may use the proceeds in ways that do not earn a profit or otherwise result in the creation of stockholder value. In addition, pending our use of the proceeds, we may invest the proceeds primarily in instruments that do not produce significant income or that may lose value.</w:t>
      </w:r>
    </w:p>
    <w:p>
      <w:pPr>
        <w:spacing w:after="0" w:line="29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68"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“Description of Our Capital Stock” elsewhere in this prospectus supplement and in Part II, Item 5. Market for American Airlines Group’s Common Stock, Related Stockholder Matters and Issuer Purchases of Equity Securities—“Ownership Restrictions” in our Annual Report on Form 10-K for the year ended December 31, 2019. These restrictions may adversely affect the ability of certain holders of our common stock and our other equity interests to vote such interests and adversely affect the ability of persons to acquire shares of our common stock and our other equity interests.</w:t>
      </w:r>
    </w:p>
    <w:p>
      <w:pPr>
        <w:spacing w:after="0" w:line="29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make it difficult for stockholders to change the composition of our Board of Directors and may discourage takeover attempts that some of our stockholders might consider beneficial.</w:t>
      </w:r>
    </w:p>
    <w:p>
      <w:pPr>
        <w:spacing w:after="0" w:line="68"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08"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02"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Following the end of those restrictions, if we do decide to make repurchases of or pay dividends on our common stock, we cannot guarantee that we will continue to do so or that our capital deployment program will enhance long-term stockholder value. Our capital deployment program could increase the volatility of the price of our common stock and diminish our cash reserves.</w:t>
      </w:r>
    </w:p>
    <w:p>
      <w:pPr>
        <w:spacing w:after="0" w:line="90"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Since July 2014, as part of our capital deployment program, our Board of Directors had approved seven share repurchase programs aggregating $13.0 billion of authority. As of March 31, 2020, there was $420 million of remaining authority to repurchase shares under our current $2.0 billion share repurchase program. In connection with our receipt of payroll support under the CARES Act, we agreed not to repurchase shares of our common stock through September 30, 2021. If we receive a secured loan from the U.S. Treasury Department pursuant to the CARES Act, we will be prohibited from repurchasing shares of our common stock through the date that is one year after such secured loan is fully repaid.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and other relevant factors. Our repurchase of our common stock may be limited, suspended or discontinued at any time at our discretion and without prior notice.</w:t>
      </w:r>
    </w:p>
    <w:p>
      <w:pPr>
        <w:spacing w:after="0" w:line="20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In connection with our receipt of payroll support under the CARES Act, we agreed not to pay dividends on our common stock through September 30, 2021. If we receive a secured loan from the U.S. Treasury Department pursuant to the CARES Act, we will be prohibited from paying dividends on our common stock through the date that is one year after such secured loan is fully repaid.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20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any future repurchases of our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our common stock or payment of dividends will diminish our cash reserves, which may impact our ability to finance future growth and to pursue possible future strategic opportunities and acquisitions. Further, our repurchase of our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the Concurrent Transactions</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Conversion of the convertible notes may dilute the ownership interest of existing stockholders, including noteholders who have previously converted their notes</w:t>
      </w:r>
    </w:p>
    <w:p>
      <w:pPr>
        <w:spacing w:after="0" w:line="68"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7"/>
          <w:szCs w:val="17"/>
          <w:color w:val="auto"/>
        </w:rPr>
        <w:t>At our election, we may settle convertible notes tendered for conversion entirely or partly in shares of our common stock. As a result, the conversion of some or all of the convertible notes may dilute the ownership interests of existing stockholders. Any sales in the public market of the common stock issuable upon such conversion of the convertible notes could adversely affect prevailing market prices of our common stock and, in turn, the price of the convertible notes. In addition, the existence of the convertible notes may encourage short selling by market participants because the conversion of the convertible notes could depress the price of our common stock.</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This offering is not conditioned on the consummation of any other financing, including any of the Concurrent Transactions.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Neither the completion of this offering nor any of the Concurrent Transactions is contingent on the completion of the others, so it is possible that this offering occurs and the Concurrent Convertible Notes Offering, the Concurrent Senior Secured Notes Offering and/or the Concurrent Term Loan Financing does not occur. This prospectus supplement is not an offer to sell or a solicitation of an offer to buy any securities being offered in the Concurrent Transactions. We cannot assure you that the Concurrent Convertible Notes Offering, the Concurrent Senior Secured Notes or the Concurrent Term Loan Financing will be completed on the terms described herein, on significantly different terms, or at all. See “Description of the Concurrent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Hedging activity by investors in the convertible notes could depress the trading price of our common stock.</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expect that many investors in the convertible notes being offered in the Concurrent Convertible Notes Offering, including potential purchasers of the convertible notes following the Concurrent Convertible Notes Offering, will seek to employ a convertible note arbitrage strategy. Under this strategy, investors typically short sell a certain number of shares of our common stock and adjust their short position over time while they continue to hold the convertible notes. Investors may also implement this type of strategy by entering into swaps on our common stock in lieu of, or in addition to, short selling shares of our common stock. This market activity, or the market’s perception that it will occur, could depress the trading price of our common stock.</w:t>
      </w:r>
    </w:p>
    <w:p>
      <w:pPr>
        <w:spacing w:after="0" w:line="291"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Provisions in the indentures governing the convertible notes and the senior secured notes or the credit agreement governing the new senior secured credit facilities could delay or prevent an otherwise beneficial takeover of us.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Certain provisions in the indentures governing the convertible notes and the senior secured notes and the credit agreement governing the new senior secured credit facilities could make a third-party attempt to acquire us more difficult or expensive. For example, if a takeover constitutes (i) a “fundamental change” (which will be defined in the indenture governing the convertible notes to include certain change-of-control events and the delisting of our common stock), then noteholders will have the right to require us to repurchase their convertible notes for cash or (ii) a “change of control” (as defined in the indenture governing the senior secured notes or the credit agreement governing the new senior secured credit facilities), we will be required to make an offer to repurchase all outstanding senior secured notes or will be required to prepay the new senior secured credit facilities, as applicable. In addition, if a takeover constitutes a “make-whole fundamental change” (which will be defined in the indenture governing the convertible notes to include fundamental changes and certain additional</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business combination transactions), then we may be required to temporarily increase the conversion rate for the convertible notes. In either case, and in other cases, our obligations under the indentures governing the convertible notes and the senior secured notes and the credit agreement governing the new senior secured credit facilities, as well as the instruments governing other indebtedness we have outstanding, could increase the cost of acquiring us or otherwise discourage a third-party from acquiring us or removing incumbent management, including in a transaction that holders of our common stock may view as favorable.</w:t>
      </w:r>
    </w:p>
    <w:p>
      <w:pPr>
        <w:spacing w:after="0" w:line="28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convertible notes for cash following a fundamental change or the senior secured notes following a change of control, or to pay any cash amounts due upon conversion of the convertible notes, and our other indebtedness may limit our ability to repurchase the convertible notes or the senior secured notes or pay cash upon the conversion of the convertible notes.</w:t>
      </w:r>
    </w:p>
    <w:p>
      <w:pPr>
        <w:spacing w:after="0" w:line="8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Noteholders may require us to repurchase the convertible notes following a fundamental change and the senior secured notes following a change of control. In addition, upon conversion of the convertible notes, we will satisfy part or all of our conversion obligation in cash unless we elect to settle conversions solely in shares of our common stock. We may not have enough available cash or be able to obtain financing at the time we are required to repurchase the convertible notes or the senior secured notes or pay the cash amounts due upon conversion of the convertible notes. In addition, applicable law, regulatory authorities and the agreements governing our other indebtedness may restrict our ability to repurchase the convertible notes or the senior secured notes or pay the cash amounts due upon conversion of the convertible notes. Our failure to repurchase convertible notes or senior secured notes or to pay the cash amounts due upon conversion of the convertible notes when required will constitute a default under the indentures governing the convertible notes and senior secured notes, as applicable.</w:t>
      </w:r>
    </w:p>
    <w:p>
      <w:pPr>
        <w:spacing w:after="0" w:line="293" w:lineRule="exact"/>
        <w:rPr>
          <w:sz w:val="20"/>
          <w:szCs w:val="20"/>
          <w:color w:val="auto"/>
        </w:rPr>
      </w:pPr>
    </w:p>
    <w:p>
      <w:pPr>
        <w:ind w:left="120" w:right="700"/>
        <w:spacing w:after="0" w:line="301" w:lineRule="auto"/>
        <w:rPr>
          <w:sz w:val="20"/>
          <w:szCs w:val="20"/>
          <w:color w:val="auto"/>
        </w:rPr>
      </w:pPr>
      <w:r>
        <w:rPr>
          <w:rFonts w:ascii="Arial" w:cs="Arial" w:eastAsia="Arial" w:hAnsi="Arial"/>
          <w:sz w:val="17"/>
          <w:szCs w:val="17"/>
          <w:b w:val="1"/>
          <w:bCs w:val="1"/>
          <w:i w:val="1"/>
          <w:iCs w:val="1"/>
          <w:color w:val="auto"/>
        </w:rPr>
        <w:t>The accounting method for convertible debt securities that may be settled in cash, such as the convertible notes offered pursuant to the Concurrent Convertible Notes Offering, could have a material effect on our reported financial results.</w:t>
      </w:r>
    </w:p>
    <w:p>
      <w:pPr>
        <w:spacing w:after="0" w:line="4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Under Accounting Standards Codification 470-20, Debt with Conversion and Other Options (“ASC 470-20”), an entity must separately account for the liability and equity components of the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would be treated as debt discount for purposes of accounting for the debt component of the convertible notes. As a result, we will be required to record a greater amount of non-cash interest expense in all periods presented as a result of the amortization of the discounted carrying value of the convertible notes to their face amount over the terms of the convertible notes. We will report lower net income (or larger net losses) in our financial results because ASC 470-20 will require interest to include both the associated period’s amortization of the debt discount and the instrument’s non-convertible interest rate, which could adversely affect our reported or future financial results, the trading price of our common stock, and the trading price of the convertible notes.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that would be necessary to settle such excess, if we elected to settle such excess in shares, are issued.</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July 2019, the Financial Accounting Standards Board issued an exposure draft that proposes to change the accounting for such convertible debt instruments as described above. Under the exposure draft, an entity may no longer be required to separately account for the liability and equity components of convertible debt instruments. This could have the impact of reducing non-cash interest expense, and thereby increasing net income (or decreasing net losses). Additionally, as currently proposed, the treasury stock method for calculating earnings per share will no longer be allowed for convertible debt instruments whose principal amount may be settled using shares. Rather, the if-converted method may be required, which could decrease our diluted earnings per share. We cannot be sure that the proposed changes in this exposure draft will be adopted, or will be adopted in their current format. We also cannot be sure whether other changes may be made to the current accounting standards related to the convertible notes, or otherwise, that could have an adverse impact on our financial statements.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tabs>
          <w:tab w:leader="none" w:pos="7240" w:val="left"/>
          <w:tab w:leader="none" w:pos="1000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 the</w:t>
      </w:r>
    </w:p>
    <w:p>
      <w:pPr>
        <w:ind w:left="120" w:right="220"/>
        <w:spacing w:after="0" w:line="246" w:lineRule="auto"/>
        <w:rPr>
          <w:sz w:val="20"/>
          <w:szCs w:val="20"/>
          <w:color w:val="auto"/>
        </w:rPr>
      </w:pPr>
      <w:r>
        <w:rPr>
          <w:rFonts w:ascii="Arial" w:cs="Arial" w:eastAsia="Arial" w:hAnsi="Arial"/>
          <w:sz w:val="18"/>
          <w:szCs w:val="18"/>
          <w:color w:val="auto"/>
        </w:rPr>
        <w:t>underwriters fully exercise their option to purchase additional shares), after deducting the underwriters’ discounts and estimated offering expenses.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the net proceeds to us from the Concurrent Convertible Notes Offering, if it is consummated as currently</w:t>
      </w:r>
    </w:p>
    <w:p>
      <w:pPr>
        <w:ind w:left="120" w:right="180"/>
        <w:spacing w:after="0"/>
        <w:rPr>
          <w:sz w:val="20"/>
          <w:szCs w:val="20"/>
          <w:color w:val="auto"/>
        </w:rPr>
      </w:pPr>
      <w:r>
        <w:rPr>
          <w:rFonts w:ascii="Arial" w:cs="Arial" w:eastAsia="Arial" w:hAnsi="Arial"/>
          <w:sz w:val="18"/>
          <w:szCs w:val="18"/>
          <w:color w:val="auto"/>
        </w:rPr>
        <w:t>contemplated, will be approximately $ million (or approximately $ million if the underwriters in the Concurrent Convertible Notes Offering exercise their option to purchase additional convertible notes solely to cover over-allotments), after deducting the underwriters’ discounts and commissions and our estimated offering expenses.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intend to use the net proceeds from this offering, together with the net proceeds from the Concurrent Convertible Notes Offering for general corporate purposes and to enhance our liquidity position. In addition, if the Concurrent Senior Secured Notes Offering and/or the Concurrent Term Loan Financing are consummated, a portion of the net proceeds therefrom will be used to refinance our delayed draw term loan credit facility with an interest rate of LIBOR plus a margin of 2.00% and a maturity date of March 17, 2021, with any remaining proceeds from such issuance and borrowings for general corporate purposes and to enhance our liquidity position. The closing of this offering is not contingent upon any of the Concurrent Transactions.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and short-term investments and our capitalization as of March 31, 2020:</w:t>
      </w:r>
    </w:p>
    <w:p>
      <w:pPr>
        <w:spacing w:after="0" w:line="117"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880" w:hanging="224"/>
        <w:spacing w:after="0" w:line="23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as adjusted basis to give effect to (i) outstanding amounts under the Promissory Note as of June 1, 2020 issued in connection with the Payroll Support Program; (ii) the drawdown of an additional $2.8 billion of revolving loans under the 2013 Revolving Facility, the 2014 Revolving Facility and the April 2016 Revolving Facility in April and May 2020 and an amortization payment of $10.0 million made under the April 2016 Credit Facility in April 2020; (iii) the completion of this offering (assuming no exercise of the option of the underwriters to purchase additional shares of our common stock), assuming a public offering price of $16.00 per share of common stock, which is the last reported sale price per share of our common stock on June 19, 2020, after deducting the underwriting discounts and commissions and our estimated offering expenses; and (iv) the Concurrent Convertible Notes Offering.</w:t>
      </w:r>
    </w:p>
    <w:p>
      <w:pPr>
        <w:spacing w:after="0" w:line="20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This table should be read in conjunction with the other information included or incorporated by reference this prospectus supplement, including our consolidated financial statements and related notes. Because the completion of this offering is not contingent on the completion of the Concurrent Convertible Notes Offering, you should not assume that the Concurrent Convertible Notes Offering, as reflected in the as adjusted column in the table below, will take place.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As of</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6"/>
        </w:trPr>
        <w:tc>
          <w:tcPr>
            <w:tcW w:w="89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Actual</w:t>
            </w:r>
          </w:p>
        </w:tc>
        <w:tc>
          <w:tcPr>
            <w:tcW w:w="4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center"/>
              <w:ind w:right="10"/>
              <w:spacing w:after="0" w:line="143" w:lineRule="exact"/>
              <w:rPr>
                <w:sz w:val="20"/>
                <w:szCs w:val="20"/>
                <w:color w:val="auto"/>
              </w:rPr>
            </w:pPr>
            <w:r>
              <w:rPr>
                <w:rFonts w:ascii="Arial" w:cs="Arial" w:eastAsia="Arial" w:hAnsi="Arial"/>
                <w:sz w:val="14"/>
                <w:szCs w:val="14"/>
                <w:b w:val="1"/>
                <w:bCs w:val="1"/>
                <w:color w:val="auto"/>
              </w:rPr>
              <w:t>(In millions, except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90"/>
        </w:trPr>
        <w:tc>
          <w:tcPr>
            <w:tcW w:w="8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3,576</w:t>
            </w:r>
          </w:p>
        </w:tc>
        <w:tc>
          <w:tcPr>
            <w:tcW w:w="68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15"/>
                <w:szCs w:val="15"/>
                <w:color w:val="auto"/>
              </w:rPr>
              <w:t>(1)</w:t>
            </w: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Enhanced equipment trust certificates (EETCs), fixed interest rates ranging from 3.00% to 8.39%,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averaging 4.03%, maturing from 2020 to 2032</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11,712</w:t>
            </w:r>
          </w:p>
        </w:tc>
        <w:tc>
          <w:tcPr>
            <w:tcW w:w="680" w:type="dxa"/>
            <w:vAlign w:val="bottom"/>
            <w:gridSpan w:val="2"/>
            <w:shd w:val="clear" w:color="auto" w:fill="CCEEFF"/>
          </w:tcPr>
          <w:p>
            <w:pPr>
              <w:jc w:val="right"/>
              <w:ind w:right="108"/>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1.87% to</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540"/>
              <w:spacing w:after="0" w:line="203" w:lineRule="exact"/>
              <w:rPr>
                <w:sz w:val="20"/>
                <w:szCs w:val="20"/>
                <w:color w:val="auto"/>
              </w:rPr>
            </w:pPr>
            <w:r>
              <w:rPr>
                <w:rFonts w:ascii="Arial" w:cs="Arial" w:eastAsia="Arial" w:hAnsi="Arial"/>
                <w:sz w:val="18"/>
                <w:szCs w:val="18"/>
                <w:color w:val="auto"/>
              </w:rPr>
              <w:t>7.31%, averaging 3.02%, maturing from 2020 to 2032</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4,755</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199"/>
        </w:trPr>
        <w:tc>
          <w:tcPr>
            <w:tcW w:w="8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Special facility revenue bonds, fixed interest rates ranging from 5.00% to 8.00%, maturing from 2020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00" w:type="dxa"/>
            <w:vAlign w:val="bottom"/>
            <w:shd w:val="clear" w:color="auto" w:fill="CCEEFF"/>
          </w:tcPr>
          <w:p>
            <w:pPr>
              <w:ind w:left="540"/>
              <w:spacing w:after="0" w:line="206" w:lineRule="exact"/>
              <w:rPr>
                <w:sz w:val="20"/>
                <w:szCs w:val="20"/>
                <w:color w:val="auto"/>
              </w:rPr>
            </w:pPr>
            <w:r>
              <w:rPr>
                <w:rFonts w:ascii="Arial" w:cs="Arial" w:eastAsia="Arial" w:hAnsi="Arial"/>
                <w:sz w:val="18"/>
                <w:szCs w:val="18"/>
                <w:color w:val="auto"/>
              </w:rPr>
              <w:t>to 2031</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6" w:lineRule="exact"/>
              <w:rPr>
                <w:sz w:val="20"/>
                <w:szCs w:val="20"/>
                <w:color w:val="auto"/>
              </w:rPr>
            </w:pPr>
            <w:r>
              <w:rPr>
                <w:rFonts w:ascii="Arial" w:cs="Arial" w:eastAsia="Arial" w:hAnsi="Arial"/>
                <w:sz w:val="18"/>
                <w:szCs w:val="18"/>
                <w:color w:val="auto"/>
              </w:rPr>
              <w:t>754</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2013 Credit Facilities, variable interest rate of 2.71%, installments through 2025</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1,807</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2014 Credit Facilities, variable interest rate of 2.69%, installments through 2027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1,220</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April 2016 Credit Facilities, variable interest rate of 2.94%, installments through 2023</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970</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December 2016 Credit Facilities, variable interest rate of 2.70%, installments through 2023</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1,213</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199"/>
        </w:trPr>
        <w:tc>
          <w:tcPr>
            <w:tcW w:w="8900" w:type="dxa"/>
            <w:vAlign w:val="bottom"/>
          </w:tcPr>
          <w:p>
            <w:pPr>
              <w:ind w:left="360"/>
              <w:spacing w:after="0" w:line="199" w:lineRule="exact"/>
              <w:rPr>
                <w:sz w:val="20"/>
                <w:szCs w:val="20"/>
                <w:color w:val="auto"/>
              </w:rPr>
            </w:pPr>
            <w:r>
              <w:rPr>
                <w:rFonts w:ascii="Arial" w:cs="Arial" w:eastAsia="Arial" w:hAnsi="Arial"/>
                <w:sz w:val="18"/>
                <w:szCs w:val="18"/>
                <w:color w:val="auto"/>
              </w:rPr>
              <w:t>Delayed Draw Term Loan Credit Facility, variable interest rate of 3.00%, interest only payments until</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00" w:type="dxa"/>
            <w:vAlign w:val="bottom"/>
          </w:tcPr>
          <w:p>
            <w:pPr>
              <w:ind w:left="540"/>
              <w:spacing w:after="0" w:line="206" w:lineRule="exact"/>
              <w:rPr>
                <w:sz w:val="20"/>
                <w:szCs w:val="20"/>
                <w:color w:val="auto"/>
              </w:rPr>
            </w:pPr>
            <w:r>
              <w:rPr>
                <w:rFonts w:ascii="Arial" w:cs="Arial" w:eastAsia="Arial" w:hAnsi="Arial"/>
                <w:sz w:val="18"/>
                <w:szCs w:val="18"/>
                <w:color w:val="auto"/>
              </w:rPr>
              <w:t>due March 2021</w:t>
            </w: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1,000</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2013 Revolving Facility</w:t>
            </w: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2014 Revolving Facility</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April 2016 Revolving Facility</w:t>
            </w: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Finance lease obligations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secured debt and finance lease obligations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24,065</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26,898</w:t>
            </w:r>
          </w:p>
        </w:tc>
        <w:tc>
          <w:tcPr>
            <w:tcW w:w="0" w:type="dxa"/>
            <w:vAlign w:val="bottom"/>
          </w:tcPr>
          <w:p>
            <w:pPr>
              <w:spacing w:after="0"/>
              <w:rPr>
                <w:sz w:val="1"/>
                <w:szCs w:val="1"/>
                <w:color w:val="auto"/>
              </w:rPr>
            </w:pPr>
          </w:p>
        </w:tc>
      </w:tr>
      <w:tr>
        <w:trPr>
          <w:trHeight w:val="365"/>
        </w:trPr>
        <w:tc>
          <w:tcPr>
            <w:tcW w:w="8900" w:type="dxa"/>
            <w:vAlign w:val="bottom"/>
          </w:tcPr>
          <w:p>
            <w:pPr>
              <w:ind w:left="5320"/>
              <w:spacing w:after="0"/>
              <w:rPr>
                <w:sz w:val="20"/>
                <w:szCs w:val="20"/>
                <w:color w:val="auto"/>
              </w:rPr>
            </w:pPr>
            <w:r>
              <w:rPr>
                <w:rFonts w:ascii="Arial" w:cs="Arial" w:eastAsia="Arial" w:hAnsi="Arial"/>
                <w:sz w:val="18"/>
                <w:szCs w:val="18"/>
                <w:color w:val="auto"/>
              </w:rPr>
              <w:t>S-44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Actual</w:t>
            </w: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millions,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convertible senior notes due 2025 we are offering</w:t>
            </w:r>
            <w:r>
              <w:rPr>
                <w:rFonts w:ascii="Arial" w:cs="Arial" w:eastAsia="Arial" w:hAnsi="Arial"/>
                <w:sz w:val="15"/>
                <w:szCs w:val="15"/>
                <w:color w:val="auto"/>
              </w:rPr>
              <w:t>(5)</w:t>
            </w:r>
          </w:p>
        </w:tc>
        <w:tc>
          <w:tcPr>
            <w:tcW w:w="36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2"/>
        </w:trPr>
        <w:tc>
          <w:tcPr>
            <w:tcW w:w="89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5.000% senior notes, interest only payments until due in June 2022</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7"/>
                <w:szCs w:val="17"/>
                <w:color w:val="auto"/>
              </w:rPr>
            </w:pP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3.75% senior notes, interest only payments until due in March 2025</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5260" w:type="dxa"/>
            <w:vAlign w:val="bottom"/>
          </w:tcPr>
          <w:p>
            <w:pPr>
              <w:ind w:left="360"/>
              <w:spacing w:after="0" w:line="202" w:lineRule="exact"/>
              <w:rPr>
                <w:sz w:val="20"/>
                <w:szCs w:val="20"/>
                <w:color w:val="auto"/>
              </w:rPr>
            </w:pPr>
            <w:r>
              <w:rPr>
                <w:rFonts w:ascii="Arial" w:cs="Arial" w:eastAsia="Arial" w:hAnsi="Arial"/>
                <w:sz w:val="18"/>
                <w:szCs w:val="18"/>
                <w:color w:val="auto"/>
              </w:rPr>
              <w:t>Payroll Support Program Promissory Note</w:t>
            </w:r>
            <w:r>
              <w:rPr>
                <w:rFonts w:ascii="Arial" w:cs="Arial" w:eastAsia="Arial" w:hAnsi="Arial"/>
                <w:sz w:val="15"/>
                <w:szCs w:val="15"/>
                <w:color w:val="auto"/>
              </w:rPr>
              <w:t>(4)</w:t>
            </w:r>
          </w:p>
        </w:tc>
        <w:tc>
          <w:tcPr>
            <w:tcW w:w="3640" w:type="dxa"/>
            <w:vAlign w:val="bottom"/>
          </w:tcPr>
          <w:p>
            <w:pPr>
              <w:spacing w:after="0"/>
              <w:rPr>
                <w:sz w:val="18"/>
                <w:szCs w:val="18"/>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unsecured debt</w:t>
            </w:r>
          </w:p>
        </w:tc>
        <w:tc>
          <w:tcPr>
            <w:tcW w:w="364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Total debt and finance lease obligations</w:t>
            </w:r>
          </w:p>
        </w:tc>
        <w:tc>
          <w:tcPr>
            <w:tcW w:w="3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25,315</w:t>
            </w: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94"/>
        </w:trPr>
        <w:tc>
          <w:tcPr>
            <w:tcW w:w="52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lease liabilities</w:t>
            </w:r>
          </w:p>
        </w:tc>
        <w:tc>
          <w:tcPr>
            <w:tcW w:w="3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8,991</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311"/>
        </w:trPr>
        <w:tc>
          <w:tcPr>
            <w:tcW w:w="52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9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 422,886,533 shares issued and</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outstanding, actual, 1,750,000,000 shares authorized,</w:t>
            </w:r>
          </w:p>
        </w:tc>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shares issued and outstanding as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adjusted</w:t>
            </w:r>
          </w:p>
        </w:tc>
        <w:tc>
          <w:tcPr>
            <w:tcW w:w="3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3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36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(6,480)</w:t>
            </w:r>
          </w:p>
        </w:tc>
        <w:tc>
          <w:tcPr>
            <w:tcW w:w="13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03"/>
        </w:trPr>
        <w:tc>
          <w:tcPr>
            <w:tcW w:w="5260" w:type="dxa"/>
            <w:vAlign w:val="bottom"/>
          </w:tcPr>
          <w:p>
            <w:pPr>
              <w:ind w:left="360"/>
              <w:spacing w:after="0" w:line="202" w:lineRule="exact"/>
              <w:rPr>
                <w:sz w:val="20"/>
                <w:szCs w:val="20"/>
                <w:color w:val="auto"/>
              </w:rPr>
            </w:pPr>
            <w:r>
              <w:rPr>
                <w:rFonts w:ascii="Arial" w:cs="Arial" w:eastAsia="Arial" w:hAnsi="Arial"/>
                <w:sz w:val="18"/>
                <w:szCs w:val="18"/>
                <w:color w:val="auto"/>
              </w:rPr>
              <w:t>Retained deficit</w:t>
            </w:r>
          </w:p>
        </w:tc>
        <w:tc>
          <w:tcPr>
            <w:tcW w:w="36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13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deficit</w:t>
            </w:r>
            <w:r>
              <w:rPr>
                <w:rFonts w:ascii="Arial" w:cs="Arial" w:eastAsia="Arial" w:hAnsi="Arial"/>
                <w:sz w:val="15"/>
                <w:szCs w:val="15"/>
                <w:b w:val="1"/>
                <w:bCs w:val="1"/>
                <w:color w:val="auto"/>
              </w:rPr>
              <w:t>(5)</w:t>
            </w:r>
          </w:p>
        </w:tc>
        <w:tc>
          <w:tcPr>
            <w:tcW w:w="36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(2,636)</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capitalization</w:t>
            </w:r>
            <w:r>
              <w:rPr>
                <w:rFonts w:ascii="Arial" w:cs="Arial" w:eastAsia="Arial" w:hAnsi="Arial"/>
                <w:sz w:val="15"/>
                <w:szCs w:val="15"/>
                <w:color w:val="auto"/>
              </w:rPr>
              <w:t>(5)</w:t>
            </w:r>
          </w:p>
        </w:tc>
        <w:tc>
          <w:tcPr>
            <w:tcW w:w="3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$ 31,670</w:t>
            </w:r>
          </w:p>
        </w:tc>
        <w:tc>
          <w:tcPr>
            <w:tcW w:w="100" w:type="dxa"/>
            <w:vAlign w:val="bottom"/>
          </w:tcPr>
          <w:p>
            <w:pPr>
              <w:spacing w:after="0"/>
              <w:rPr>
                <w:sz w:val="18"/>
                <w:szCs w:val="18"/>
                <w:color w:val="auto"/>
              </w:rPr>
            </w:pPr>
          </w:p>
        </w:tc>
        <w:tc>
          <w:tcPr>
            <w:tcW w:w="124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40" w:hanging="544"/>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principal amount outstanding, without deduction for debt discounts or issuance costs. The “As Adjusted” column does not reflect (i) approximately $360 million in aggregate principal amount of New York Transportation Development Corporation Special Facility Revenue Bonds related to an approximately $350 million renovation project at John F. Kennedy International Airport that we are scheduled to issue on June 22, 2020, (ii) the approximately $4.75 billion secured loan through the loan program under the CARES Act we are in the process of obtaining and warrants to purchase approximately 38 million shares of common stock of the Company (assuming a secured loan of approximately $4.75 billion) at an exercise price of $12.51 per share in connection therewith (see “Summary—Recent Developments—CARES Act”), (iii) the Concurrent Senior Secured Notes Offering or (iv) the Concurrent Term Loan Financing.</w:t>
      </w:r>
    </w:p>
    <w:p>
      <w:pPr>
        <w:spacing w:after="0" w:line="5" w:lineRule="exact"/>
        <w:rPr>
          <w:rFonts w:ascii="Arial" w:cs="Arial" w:eastAsia="Arial" w:hAnsi="Arial"/>
          <w:sz w:val="18"/>
          <w:szCs w:val="18"/>
          <w:color w:val="auto"/>
        </w:rPr>
      </w:pPr>
    </w:p>
    <w:p>
      <w:pPr>
        <w:ind w:left="660" w:right="120" w:hanging="544"/>
        <w:spacing w:after="0" w:line="23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March 31, 2020, we had available and undrawn $3.2 billion of revolving loans under the revolving credit facilities of the 2013 Credit Facilities, the 2014 Credit Facilities, the April 2016 Credit Facilities and the short-term revolving facility we entered into in December 2019. In April and May 2020, American borrowed $750 million under the 2013 Revolving Facility, $1.6 billion under the 2014 Revolving Facility and $450 million under the April 2016 Revolving Facility. Following the April and May 2020 draws, we had no remaining borrowing capacity available under the 2013 Revolving Facility, the 2014 Revolving Facility and the April 2016 Revolving Facility. For more information regarding the 2013 Credit Facilities, the 2014 Credit Facilities, the April 2016 Credit Facilities, the December 2016 Credit Facilities and the short-term revolving facility we entered into in December 2019 (of which $400.0 million of available capacity remains undrawn as of the date hereof), see (i) our Consolidated Financial Statements, Part II, Item 8A in our Annual Report on Form 10-K for the year ended December 31, 2019 and (ii) Note 6. Debt and Note 14. Subsequent Events to our Condensed Consolidated Financial Statements in Part I, Item 1A in our Quarterly Report on Form 10-Q for the quarterly period ended March 31, 2020, in each case incorporated by reference into this prospectus supplement.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60" w:hanging="544"/>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Concurrent Senior Secured Notes Offering and/or the Concurrent Term Loan Financing, the delayed draw term loan credit agreement will be repaid in full and terminated.</w:t>
      </w:r>
    </w:p>
    <w:p>
      <w:pPr>
        <w:spacing w:after="0" w:line="1" w:lineRule="exact"/>
        <w:rPr>
          <w:rFonts w:ascii="Arial" w:cs="Arial" w:eastAsia="Arial" w:hAnsi="Arial"/>
          <w:sz w:val="18"/>
          <w:szCs w:val="18"/>
          <w:color w:val="auto"/>
        </w:rPr>
      </w:pPr>
    </w:p>
    <w:p>
      <w:pPr>
        <w:ind w:left="660" w:right="260" w:hanging="544"/>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June 1, 2020, we had received approximately $4.1 billion, or 70%, of $5.8 billion in expected proceeds from the Treasury through the Payroll Support Program of the CARES Act, for which we have provided consideration in the form of a $1.2 billion unsecured promissory note. The remainder of the funds are expected to be received and the aggregate principal amount of the unsecured promissory note is expected to be increased by $523 million, in two installments in June and July 2020. We expect to issue 13.7 million warrants under the Payroll Support Program upon our receipt of the full $5.8 billion of payroll assistance to be provided by the Treasury. The issuance of these warrants is not reflected in the as adjusted column.</w:t>
      </w:r>
    </w:p>
    <w:p>
      <w:pPr>
        <w:spacing w:after="0" w:line="4" w:lineRule="exact"/>
        <w:rPr>
          <w:rFonts w:ascii="Arial" w:cs="Arial" w:eastAsia="Arial" w:hAnsi="Arial"/>
          <w:sz w:val="18"/>
          <w:szCs w:val="18"/>
          <w:color w:val="auto"/>
        </w:rPr>
      </w:pPr>
    </w:p>
    <w:p>
      <w:pPr>
        <w:ind w:left="660" w:hanging="544"/>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shown in the table above for the convertible notes we are offering in the Concurrent Convertible Notes Transaction represent their principal amount. However, applicable accounting standards require separate accounting for the debt and equity components of convertible notes that, like the convertible notes we are offering, can be settled partially or fully in cash upon conversion. We expect the initial carrying amount of the debt component of the convertible notes, which will be reflected as a liability on our balance sheet, to be the fair value of a similar debt instrument that does not have a conversion feature (that is, the present value of the principal and interest payments on the convertible notes, discounted using an interest rate equal to our cost of capital for straight, unconvertible debt), net of issuance costs attributable to the debt component. The excess of the net proceeds of the convertible notes over this initial liability carrying amount will be deemed to be the equity component of the convertible notes. We expect to record the amount of the equity component as an increase to additional paid-in capital in the stockholders’ equity section of our balance sheet and as a debt discount on the convertible notes for accounting purposes. This debt discount will be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net income or larger reported net loss. Future accounting standards may change the manner in which we reflect the convertible notes in our financial statements.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During 2014, our Board of Directors commenced declaring quarterly cash dividends as part of our capital deployment program. In January 2020, our Board of Directors declared a cash dividend of $ 0.10 per share for stockholders of record as of February 5, 2020 and paid such dividend on February 19, 2020, totaling $ 43.0 million. As of March 31, 2020, we have suspended our capital deployment program, including the payment of future dividends. In connection with our receipt of payroll support under the CARES Act, we agreed to not make dividend payments in respect of our stock through September 30, 2021. If we draw a secured loan from the Treasury under the CARES Act, as we plan to do, the foregoing dividend restriction will continue in effect until one year after such loan is paid in full.</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 In addition, our credit facilities and other debt obligations impose restrictions on the amount we could pay in annual cash dividends, including certain restrictions on the amount of additional indebtedness and requirements to maintain a certain fixed charge coverage ratio under certain circumstance. These restrictions do not materially limit our ability to pay future dividends.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060"/>
          </w:cols>
          <w:pgMar w:left="32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CONCURRENT TRANSACTIONS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Concurrently with this common stock offering, (i) we are offering $750.0 million aggregate principal amount of our convertible senior notes due 2025 guaranteed by American (or $862.5 million aggregate principal amount if the underwriters exercise in full their option to purchase additional convertible notes solely to cover over-allotments) pursuant to a separate prospectus supplement in an underwritten public offering, (ii) American has announced its intention to conduct a private offering of $1,500.0 million aggregate principal amount of its senior secured notes due 2025 guaranteed by AAG pursuant to a separate offering memorandum and (iii) American has announced its intention to borrow up to $500.0 million in aggregate principal amount of term loans under new senior secured credit facilities. The closing of this offering is not conditioned upon the closing of any of the Concurrent Transactions, and the closings of one or more of the Concurrent Transactions are not conditioned upon the closing of this offering. We cannot assure you that any of the Concurrent Transactions will be completed or, if completed, on what terms they will be completed. The Concurrent Convertible Notes Offering is being made pursuant to a separate prospectus supplement and the Concurrent Senior Secured Notes Offering is being made pursuant to a separate offering memorandum, and nothing contained herein shall constitute an offer to sell or the solicitation of an offer to buy securities in the Concurrent Convertible Notes Offering or the Concurrent Senior Secured Notes Offering.</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Convertible Notes Offering</w:t>
      </w:r>
    </w:p>
    <w:p>
      <w:pPr>
        <w:spacing w:after="0" w:line="12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We are offering $750.0 million aggregate principal amount of our % convertible senior notes due 2025. The convertible notes will be fully and unconditionally guaranteed by American, our wholly-owned subsidiary. The convertible notes will mature on July 1, 2025 unless repurchased, redeemed or converted prior to the maturity date. The convertible notes will bear interest at a rate of % per year, payable semiannually in arrears on January 1 and July 1 of each year, beginning on January 1, 2021. Holders of the convertible notes may convert their notes at their option only under the following circumstances: (1) during any calendar quarter commencing after the calendar quarter ending on September 30, 2020, if the last reported sale price per share of our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our common stock; (4) if we call such notes for redemption; and (5) at any time from, and including, April 1, 2025 until the close of business on the second scheduled trading day immediately before the maturity date. We will settle conversions by paying or delivering, as applicable, cash, shares of our common stock or a combination of cash and shares of our common stock, at our election,</w:t>
      </w:r>
    </w:p>
    <w:p>
      <w:pPr>
        <w:spacing w:after="0" w:line="7"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based on the applicable conversion rate(s). The initial conversion rate is shares of common stock per $1,000 principal amount of convertible notes, which represents an initial conversion price of approximately $ per share of common stock. The conversion rate</w:t>
      </w:r>
    </w:p>
    <w:p>
      <w:pPr>
        <w:spacing w:after="0" w:line="1"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and conversion price will be subject to adjustment upon the occurrence of certain events. If a “make-whole fundamental change” (which will be defined in the indenture governing the convertible notes to include certain business combination transactions involving us, the delisting of our common stock or our calling the notes for redemption (only with respect to the notes so called)) occurs, then we will in certain circumstances increase the conversion rate for a specified period of time.</w:t>
      </w:r>
    </w:p>
    <w:p>
      <w:pPr>
        <w:spacing w:after="0" w:line="205"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The convertible notes will be redeemable, in whole or in part, at our option at any time, and from time to time, on or after July 5, 2023 and on or before the 20</w:t>
      </w:r>
      <w:r>
        <w:rPr>
          <w:rFonts w:ascii="Arial" w:cs="Arial" w:eastAsia="Arial" w:hAnsi="Arial"/>
          <w:sz w:val="15"/>
          <w:szCs w:val="15"/>
          <w:color w:val="auto"/>
        </w:rPr>
        <w:t>th</w:t>
      </w:r>
      <w:r>
        <w:rPr>
          <w:rFonts w:ascii="Arial" w:cs="Arial" w:eastAsia="Arial" w:hAnsi="Arial"/>
          <w:sz w:val="18"/>
          <w:szCs w:val="18"/>
          <w:color w:val="auto"/>
        </w:rPr>
        <w:t xml:space="preserve"> scheduled trading day immediately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color w:val="auto"/>
        </w:rPr>
        <w:t>before their maturity date, at a cash redemption price equal to the principal amount of the convertible notes to be redeemed, plus accrued and unpaid interest, if any, but only if the last reported sale price per share of our common stock exceeds 130% of the conversion price on</w:t>
      </w:r>
    </w:p>
    <w:p>
      <w:pPr>
        <w:spacing w:after="0" w:line="1" w:lineRule="exact"/>
        <w:rPr>
          <w:sz w:val="20"/>
          <w:szCs w:val="20"/>
          <w:color w:val="auto"/>
        </w:rPr>
      </w:pPr>
    </w:p>
    <w:p>
      <w:pPr>
        <w:ind w:left="120" w:right="60" w:hanging="4"/>
        <w:spacing w:after="0" w:line="238" w:lineRule="auto"/>
        <w:tabs>
          <w:tab w:leader="none" w:pos="3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convertible note for redemption will constitute a make-whole fundamental change with respect to that convertible note, in which case the conversion rate applicable to the conversion of that convertible note will be increased in certain circumstances if it is converted after it is called for redemption.</w:t>
      </w:r>
    </w:p>
    <w:p>
      <w:pPr>
        <w:spacing w:after="0" w:line="20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If a “fundamental change” (as defined in the indenture governing the convertible notes) occurs, then noteholders may require us to repurchase their convertible notes at a cash repurchase price equal to the principal amount of the convertible notes to be repurchased, plus accrued and unpaid interest, if any.</w:t>
      </w:r>
    </w:p>
    <w:p>
      <w:pPr>
        <w:spacing w:after="0" w:line="185"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 xml:space="preserve">The convertible notes and the guarantee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our and the guarantor’s respective existing and future senior indebtedness and senior in right of payment to all of our and the guarantor’s respective future subordinated indebtedness. The convertible notes and the guarantee will be effectively subordinated to all of our and the guarantor’s respective existing and future secured indebtedness to the extent of the value of the assets pledged to secure those obligations. The convertible notes and the guarantee will also be structurally subordinated to all existing and future indebtedness of our non-guarantor subsidiaries.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“Use of Proceeds” for additional information regarding the use of proceeds from the Concurrent Convertible Notes Offering.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Senior Secured Notes Offering</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American has announced its intention to offer $1,500.0 million aggregate principal amount of senior secured notes due 2025. The obligations of American under the senior secured notes will be fully and unconditionally guaranteed by AAG. It is expected that interest under the senior secured notes will be paid semi-annually at a fixed rate, subject to an increase in rate if American does not satisfy, on a semi-annual basis, a certain minimum ratio of appraised value of first lien collateral to outstanding indebtedness secured by the first lien collateral.</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American may redeem the senior secured notes, in whole at any time or in part from time to time, at a redemption price equal to the greater of (1) 100% of the principal amount of the senior secured notes being redeemed and (2) a make whole amount, if any, plus in either case accrued and unpaid interest, if any, to (but not including) the redemption date, as set forth in that certain offering memorandum pertaining to the senior secured notes. In addition, American or a third-party will have the right to redeem certain senior secured notes in the circumstances.</w:t>
      </w:r>
    </w:p>
    <w:p>
      <w:pPr>
        <w:spacing w:after="0" w:line="202" w:lineRule="exact"/>
        <w:rPr>
          <w:sz w:val="20"/>
          <w:szCs w:val="20"/>
          <w:color w:val="auto"/>
        </w:rPr>
      </w:pPr>
    </w:p>
    <w:p>
      <w:pPr>
        <w:ind w:left="120" w:right="420" w:firstLine="551"/>
        <w:spacing w:after="0"/>
        <w:rPr>
          <w:sz w:val="20"/>
          <w:szCs w:val="20"/>
          <w:color w:val="auto"/>
        </w:rPr>
      </w:pPr>
      <w:r>
        <w:rPr>
          <w:rFonts w:ascii="Arial" w:cs="Arial" w:eastAsia="Arial" w:hAnsi="Arial"/>
          <w:sz w:val="18"/>
          <w:szCs w:val="18"/>
          <w:color w:val="auto"/>
        </w:rPr>
        <w:t>If certain change of control transactions occur, each holder of the senior secured notes may require us to repurchase its senior secured notes in whole or in part at a repurchase price of 101% of the aggregate principal amount thereof, plus accrued and unpaid interest, if any, to (but not including) the repurchase date.</w:t>
      </w:r>
    </w:p>
    <w:p>
      <w:pPr>
        <w:spacing w:after="0" w:line="203"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Subject to certain exceptions and qualifications described in that certain offering memorandum pertaining to the senior secured notes, the senior secured notes will be issued under an indenture containing covenants that, among other things, will restrict the ability of American and the ability of its restricted subsidiaries to:</w:t>
      </w:r>
    </w:p>
    <w:p>
      <w:pPr>
        <w:spacing w:after="0" w:line="108" w:lineRule="exact"/>
        <w:rPr>
          <w:sz w:val="20"/>
          <w:szCs w:val="20"/>
          <w:color w:val="auto"/>
        </w:rPr>
      </w:pPr>
    </w:p>
    <w:p>
      <w:pPr>
        <w:ind w:left="5440" w:right="2760" w:hanging="4784"/>
        <w:spacing w:after="0" w:line="418" w:lineRule="auto"/>
        <w:tabs>
          <w:tab w:leader="none" w:pos="8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redeem or repurchase stock or make other distributions or restricted payments; S-49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repay subordinated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loans and investments;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indebtedness or issue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sell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undergo certain change of control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 subsidiaries as unrestricted;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liens on the collateral securing the senior secured notes.</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senior secured notes will be American’s senior secured obligations, secured on a first-lien basis by security interests in certain slots, route authorities and international airport gate leasehold rights (“SGR”) used by American to provide non-stop scheduled air carrier services between certain airports in the U.S. and certain airports in Australia, Canada, the Caribbean, Central America, China, Hong Kong, Japan, Mexico, South Korea, and Switzerland, and secured on a second-lien basis by security interests in certain SGR used by American to provide non-stop scheduled air carrier services between certain airports in the U.S. and certain airports in European Union and the United Kingdom. American has the ability to make future modifications to the collateral pledged, subject to certain restrictions. American may be required to pledge additional collateral in the future under the terms of the senior secured notes. The collateral (including any additional collateral) will also secure American’s obligations under the Concurrent Term Loan Financing. The guarantee of the senior secured notes will be AAG’s senior unsecured obligations. None of the obligations of AAG with respect to the senior secured notes will be secured by the collateral (all of which collateral is owned by American). The senior secured notes are expected to contain events of default customary for similar financings.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Term Loan Financing</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American has announced its intention to borrow up to $500.0 million in aggregate principal amount of term loans under new senior secured credit facilities. Borrowings under the term loans will be secured on a pari passu basis with the senior secured notes issued in the Concurrent Senior Secured Notes Offering by the same collateral. American’s obligations under the credit agreement for the term loans will be guaranteed by AAG on an unsecured basis.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the terms loans are expected to bear interest at a variable rate equal to LIBOR plus an applicable margin.</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credit agreement for the term loans is expected to contain customary affirmative, negative and financial covenants. In particular, it is expected that the credit agreement will require American to satisfy, on a semi-annual basis, a certain minimum ratio of appraised value of first lien collateral to outstanding indebtedness secured by the first lien collateral. The credit agreement is also expected to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 The credit agreement is expected to contain events of default customary for similar financings, including cross-default to other material indebtedness. Upon the occurrence of an event of default, the outstanding obligations under the credit agreement may be accelerated and become due and payable immediately. In addition, if a “change of control” occurs, American will (absent an amendment or waiver) be required to repay at par the loans outstanding.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“Use of Proceeds” for additional information regarding the use of proceeds from the Concurrent Transactions.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 FOR NON-U.S. HOLDERS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0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0"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880" w:right="66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880" w:right="86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02"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 of a Non-U.S. Holder</w:t>
      </w:r>
    </w:p>
    <w:p>
      <w:pPr>
        <w:spacing w:after="0" w:line="23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08"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880" w:right="4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02"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00" w:firstLine="551"/>
        <w:spacing w:after="0" w:line="238"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 or Other Taxable Disposition</w:t>
      </w:r>
    </w:p>
    <w:p>
      <w:pPr>
        <w:spacing w:after="0" w:line="234"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02" w:lineRule="exact"/>
        <w:rPr>
          <w:sz w:val="20"/>
          <w:szCs w:val="20"/>
          <w:color w:val="auto"/>
        </w:rPr>
      </w:pPr>
    </w:p>
    <w:p>
      <w:pPr>
        <w:ind w:left="880" w:right="24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2"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w:t>
      </w:r>
    </w:p>
    <w:p>
      <w:pPr>
        <w:spacing w:after="0" w:line="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5% or less of our common stock throughout the shorter of the five-year period ending on the date of the sale or other taxable disposition or the Non-U.S. Holder’s holding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ind w:left="120"/>
        <w:spacing w:after="0"/>
        <w:rPr>
          <w:sz w:val="20"/>
          <w:szCs w:val="20"/>
          <w:color w:val="auto"/>
        </w:rPr>
      </w:pPr>
      <w:r>
        <w:rPr>
          <w:rFonts w:ascii="Arial" w:cs="Arial" w:eastAsia="Arial" w:hAnsi="Arial"/>
          <w:sz w:val="18"/>
          <w:szCs w:val="18"/>
          <w:color w:val="auto"/>
        </w:rPr>
        <w:t>rules.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8"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left="120" w:right="120" w:firstLine="551"/>
        <w:spacing w:after="0" w:line="274"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 No such final Treasury Regulations have been issued as of the date of this prospectus supplement.</w:t>
      </w:r>
    </w:p>
    <w:p>
      <w:pPr>
        <w:spacing w:after="0" w:line="202"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AAG and the representatives (as defined herein) on behalf of the underwriters named below have entered into an underwriting agreement with respect to the shares being offered. Subject to certain conditions, each underwriter has severally agreed to purchase the amount of shares indicated in the following table. Goldman Sachs &amp; Co. LLC, Citigroup Global Markets Inc., BofA Securities, Inc. and J.P. Morgan Securities LLC are the representatives of the underwriters (the “representatives”).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2"/>
        </w:trPr>
        <w:tc>
          <w:tcPr>
            <w:tcW w:w="9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Deutsche Bank Securities Inc.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SMBC Nikko Securities America, Inc.</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750,000,000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AAG has agreed to indemnify the several underwriters against certain liabilities, including liabilities under the Securities Act.</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underwriters have an option to buy up to an additional $ 112.5 million of shares from AAG solely to cover over-allotments, if any. They may exercise that option, in whole or in part, for a period of 30 days from the date of this prospectus supplement. If any shares are purchased pursuant to this option, the underwriters will severally purchase shares in approximately the same proportion as set forth in the table above.</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Commissions and Expenses</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AAG. Such amounts are shown assuming both no exercise and full exercise of the underwriters’ option to purchase $112.5 million of additional shares.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Paid by AAG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9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1"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8"/>
          <w:szCs w:val="18"/>
          <w:color w:val="auto"/>
        </w:rPr>
        <w:t>may be sold at a discount of up to $</w:t>
      </w:r>
      <w:r>
        <w:rPr>
          <w:sz w:val="20"/>
          <w:szCs w:val="20"/>
          <w:color w:val="auto"/>
        </w:rPr>
        <w:tab/>
      </w:r>
      <w:r>
        <w:rPr>
          <w:rFonts w:ascii="Arial" w:cs="Arial" w:eastAsia="Arial" w:hAnsi="Arial"/>
          <w:sz w:val="17"/>
          <w:szCs w:val="17"/>
          <w:color w:val="auto"/>
        </w:rPr>
        <w:t>per share from the initial public offering price. After the initial offering of the shares, the</w:t>
      </w:r>
    </w:p>
    <w:p>
      <w:pPr>
        <w:ind w:left="120" w:right="460"/>
        <w:spacing w:after="0" w:line="246" w:lineRule="auto"/>
        <w:rPr>
          <w:sz w:val="20"/>
          <w:szCs w:val="20"/>
          <w:color w:val="auto"/>
        </w:rPr>
      </w:pPr>
      <w:r>
        <w:rPr>
          <w:rFonts w:ascii="Arial" w:cs="Arial" w:eastAsia="Arial" w:hAnsi="Arial"/>
          <w:sz w:val="18"/>
          <w:szCs w:val="18"/>
          <w:color w:val="auto"/>
        </w:rPr>
        <w:t>representatives may change the offering price and the other selling terms. The offering of the shares by the underwriters is subject to receipt and acceptance and subject to the underwriters’ right to reject any order in whole or in part.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AAG estimates that the total expenses of the offering, excluding underwriting discounts and commissions, will be approximately</w:t>
      </w:r>
    </w:p>
    <w:p>
      <w:pPr>
        <w:ind w:left="1060" w:hanging="94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Sale of Similar Securities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AAG has agreed with the underwriters, during the period beginning on the date hereof and continuing until the date 60 days after the date of this prospectus supplement, and subject to certain exceptions, not to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common stock or any securities convertible into or exercisable or exchangeable for common stock (other than any registration statement on Form S-8 or any successor forms thereto, or relating solely to any of the employee benefit plans of AAG and/or American), or publicly disclose the intention to undertake any of the foregoing, or (ii) enter into any swap or other agreement that transfers, in whole or in part, any of the economic consequences of ownership of the common stock or any such other securities or publicly disclose the intention to undertake any of the foregoing, whether any such transaction described in clause (i) or (ii) above is to be settled by delivery of common stock or such other securities, in cash or otherwise, without the prior written consent of the representatives.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such limitations shall not apply to: (a) the shares of common stock sold pursuant to this offering;</w:t>
      </w:r>
    </w:p>
    <w:p>
      <w:pPr>
        <w:ind w:left="120" w:hanging="4"/>
        <w:spacing w:after="0" w:line="236" w:lineRule="auto"/>
        <w:tabs>
          <w:tab w:leader="none" w:pos="3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convertible notes sold in the Concurrent Convertible Notes Offering and any shares of common stock of AAG issued upon the conversion of thereof; (c) any shares of common stock of AAG issued (or withheld) upon the exercise or conversion of any options, warrants or other securities or restricted stock units outstanding on the date of this prospectus supplement or other equity-based awards under existing equity compensation plans and incentive retention plans; (d) any options, restricted stock units or other equity-based awards granted under existing equity compensation plans and incentive retention plans; (e) any warrants of AAG issued to the United States government, the U.S. Department of the Treasury or any similar agency under the CARES Act, or any other similar government aid program (and any shares of common stock of AAG issued upon the exercise thereof) or (f) any of the actions described in the above paragraph with respect to the issuance of up to 10% of outstanding shares of common stock of AAG (or any securities convertible into or exercisable or exchangeable for such shares) in connection with any acquisitions, strategic partnerships or other commercial relationships, provided that the recipient of any such issuances described clause (f) sign a lock-up agreement described below.</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Lock-Ups</w:t>
      </w:r>
    </w:p>
    <w:p>
      <w:pPr>
        <w:spacing w:after="0" w:line="23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color w:val="auto"/>
        </w:rPr>
        <w:t>All of the directors and executive officers of AAG have agreed that, during the period beginning on the date hereof and continuing until the date 60 days after the date of this prospectus supplement, and subject to limited exceptions, they will not (a) offer, pledge, sell, contract to sell, sell any option or contract to purchase, purchase any option or contract to sell, grant any option, right or warrant to purchase, lend, or otherwise transfer or dispose of, directly or indirectly, any shares of common stock of AAG or any securities convertible into or exercisable or exchangeable for common stock (including without limitation, common stock or such other securities which may be deemed to be beneficially owned by the undersigned in accordance with the rules and regulations of the SEC and securities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which may be issued upon exercise of a stock option or warrant) (collectively with the common stock, the “Lock-Up Securities”), (b) enter into any hedging, swap or other agreement or transaction that transfers, in whole or in part, any of the economic consequences of ownership of the Lock-Up Securities, whether any such transaction described in clause (a) or (b) above is to be settled by delivery of Lock-Up Securities, in cash or otherwise, (c) make any demand for, or exercise any right with respect to, the registration of any Lock-Up Securities, or (d) publicly disclose the intention to do any of the foregoing, without the prior written consent of the representatives.</w:t>
      </w:r>
    </w:p>
    <w:p>
      <w:pPr>
        <w:spacing w:after="0" w:line="20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Notwithstanding the foregoing, such limitations shall not apply to: (a) any disposition of shares of common stock, any other class of the AAG’s capital stock, or other securities convertible into or exercisable or exchangeable for common stock by bona fide gift, by will or by intestacy; (b) transactions relating to shares of common stock or other securities convertible into or exercisable or exchangeable for common stock acquired in open market transactions after the completion of this offering (provided that no filing under Section 16(a) of the Exchange Act shall be required or shall be voluntarily made during the Restricted Period in connection with subsequent sales of common stock or other securities acquired in such open market transactions); (c) transfers of shares of common stock or any security convertible into or exercisable or exchangeable for common stock to partnerships or limited liability companies for the benefit of the immediate family of the undersigned and the partners and members of which are only the undersigned and the immediate family of the undersigned (“immediate family” shall mean any relationship by blood, current or former marriage or adoption, not more remote than first cousin) or to any trust for the direct or indirect benefit of the undersigned or the immediate family of the undersigned or to a trustor or beneficiary of such trust; (d) distributions of shares of common stock or any security convertible into or exercisable or exchangeable for common stock pursuant to a court or regulatory agency order, a qualified domestic order or in connection with a divorce settlement; (e) dispositions of shares of common stock or any security convertible into or exercisable or exchangeable for common stock to AAG to satisfy tax withholding or exercise price obligations in connection with the exercise of options to purchase common stock on a “cashless” or “net exercise” basis (provided that the net underlying shares issued thereunder shall be subject to the restrictions on transfer to AAG); (f) the establishment of a trading plan pursuant to Rule 10b5-1 under the Exchange Act for the transfer of shares of common stock or any security convertible into or exercisable or exchangeable for common stock (provided that such plan does not provide for the transfer of common stock or any security convertible into or exercisable or exchangeable for common stock during the Restricted Period and to the extent a public announcement or filing under the Exchange Act, if any, is required of or voluntarily made by or on behalf of the undersigned or AAG regarding the establishment of such plan, such announcement or filing shall include a statement to the effect that no transfer of common stock may be made under such plan during the Restricted Period); (g) transfers of shares of common stock or any security convertible into or exercisable or exchangeable for common stock pursuant to a trading plan pursuant to Rule 10b5-1 under the Exchange Act that was in effect as of, and only shares scheduled for sale thereunder on, the date hereof; (h) the exercise or settlement of equity-based compensation awards of AAG granted under any stock incentive plan or stock purchase plan described (including through incorporation by reference) in this prospectus supplement, including the withholding or sale of shares to satisfy exercise price, tax withholding obligations or both (provided that the net underlying shares issued thereunder shall be subject to the restrictions on transfer to AAG, and provided further, that any public report or filing shall clearly indicate in footnotes the reason for such transfer and that no public filings or reports would be made voluntarily during the Restricted Period); and (i) transfers of shares of common stock, any other class of the AAG’s capital stock, or any security convertible into or exercisable or exchangeable for common stock pursuant to a bona fide third-party tender offer, merger, consolidation or other similar transaction made to all holders of the common stock involving a change of control of AAG approved by the board of director of AAG.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AAG’s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05"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AAG may enter into derivative transactions with third parties, or sell securities not covered by this prospectus supplement to third parties in privately negotiated transactions. In connection with those derivatives, the third parties may sell securities covered by this prospectus supplement, including in short sale transactions. If so, the third-party may use securities pledged by AAG or borrowed from AAG or others to settle those sales or to close out any related open borrowings of stock, and may use securities received from AAG in settlement of those derivatives to close out any related open borrowings of stock. The third-party in such sale transactions will be an underwriter or will be identified in a post-effective amendment.</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stock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040"/>
          </w:cols>
          <w:pgMar w:left="320" w:top="459"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Relevant State, all in accordance with the Prospectus Regulation), except that offers of Shares may be made to the public in that Relevant State at any time under the following exemptions under the Prospectus Regulation:</w:t>
      </w:r>
    </w:p>
    <w:p>
      <w:pPr>
        <w:spacing w:after="0" w:line="10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300" w:right="420" w:hanging="644"/>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 or</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provided that no such offer of Shares shall require AAG or any Representative to publish a prospectus pursuant to Article 3 of the</w:t>
      </w:r>
    </w:p>
    <w:p>
      <w:pPr>
        <w:ind w:left="120"/>
        <w:spacing w:after="0" w:line="234" w:lineRule="auto"/>
        <w:rPr>
          <w:sz w:val="20"/>
          <w:szCs w:val="20"/>
          <w:color w:val="auto"/>
        </w:rPr>
      </w:pPr>
      <w:r>
        <w:rPr>
          <w:rFonts w:ascii="Arial" w:cs="Arial" w:eastAsia="Arial" w:hAnsi="Arial"/>
          <w:sz w:val="18"/>
          <w:szCs w:val="18"/>
          <w:color w:val="auto"/>
        </w:rPr>
        <w:t>Prospectus Regulation or supplement a prospectus pursuant to Article 23 of the Prospectus Regulation and each person who initially</w:t>
      </w:r>
    </w:p>
    <w:p>
      <w:pPr>
        <w:ind w:left="120"/>
        <w:spacing w:after="0" w:line="235" w:lineRule="auto"/>
        <w:rPr>
          <w:sz w:val="20"/>
          <w:szCs w:val="20"/>
          <w:color w:val="auto"/>
        </w:rPr>
      </w:pPr>
      <w:r>
        <w:rPr>
          <w:rFonts w:ascii="Arial" w:cs="Arial" w:eastAsia="Arial" w:hAnsi="Arial"/>
          <w:sz w:val="18"/>
          <w:szCs w:val="18"/>
          <w:color w:val="auto"/>
        </w:rPr>
        <w:t>acquires any Shares or to whom any offer is made will be deemed to have represented, warranted and agreed to and with each of the</w:t>
      </w:r>
    </w:p>
    <w:p>
      <w:pPr>
        <w:ind w:left="120"/>
        <w:spacing w:after="0" w:line="235" w:lineRule="auto"/>
        <w:rPr>
          <w:sz w:val="20"/>
          <w:szCs w:val="20"/>
          <w:color w:val="auto"/>
        </w:rPr>
      </w:pPr>
      <w:r>
        <w:rPr>
          <w:rFonts w:ascii="Arial" w:cs="Arial" w:eastAsia="Arial" w:hAnsi="Arial"/>
          <w:sz w:val="18"/>
          <w:szCs w:val="18"/>
          <w:color w:val="auto"/>
        </w:rPr>
        <w:t>Representatives and AAG that it is a</w:t>
      </w:r>
    </w:p>
    <w:p>
      <w:pPr>
        <w:ind w:left="120"/>
        <w:spacing w:after="0"/>
        <w:rPr>
          <w:sz w:val="20"/>
          <w:szCs w:val="20"/>
          <w:color w:val="auto"/>
        </w:rPr>
      </w:pPr>
      <w:r>
        <w:rPr>
          <w:rFonts w:ascii="Arial" w:cs="Arial" w:eastAsia="Arial" w:hAnsi="Arial"/>
          <w:sz w:val="18"/>
          <w:szCs w:val="18"/>
          <w:color w:val="auto"/>
        </w:rPr>
        <w:t>qualified investor.</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1(4) of the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Relevant State to qualified investors as so defined or in circumstances in which the prior consent of the Representatives has been obtained to each such proposed offer or resale. AAG, the Representatives and their affiliates will rely upon the truth and accuracy of the foregoing representations, warranties and agreements. Notwithstanding the above, a person who is not a “qualified investor” and who has notified the Representatives of such fact in writing may, with the prior consent of the Representatives be permitted to acquire Shares in the offer.</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05"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Solely for the purposes of the product governance requirements contained within: (a) EU Directive 2014/65/EU on Markets in Financial Instruments, as amended (“MiFID II”); (b) Articles 9 and 10 of Commission Delegated Directive (EU) 2017/593 supplementing MiFID II; and (c) local implementing measures (together, the “MiFID II Product Governance Requirements”), and disclaiming all and any liability, whether arising in tort, contract or otherwise, which any “manufacturer” (a “Manufacturer”) (for the purposes of the MiFID II Product Governance Requirements) may otherwise have with respect thereto, the Shares have been subject to a product approval process, which has determined that: (i) the target market for Shares is eligible counterparties and professional clients only, each as defined in MiFID II; and (ii) all channels for distribution of the Shares to eligible counterparties and professional clients are appropriate. Any person subsequently offering, selling or recommending the Shares (a “distributor”) should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or (iii) are persons to whom an invitation or inducement to engage in investment activity (within the meaning of section 21 of the FSMA (defined below)) in connection with the issue or sale of any notes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300" w:right="260" w:hanging="644"/>
        <w:spacing w:after="0" w:line="23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AAG; and</w:t>
      </w:r>
    </w:p>
    <w:p>
      <w:pPr>
        <w:spacing w:after="0" w:line="110" w:lineRule="exact"/>
        <w:rPr>
          <w:rFonts w:ascii="Arial" w:cs="Arial" w:eastAsia="Arial" w:hAnsi="Arial"/>
          <w:sz w:val="18"/>
          <w:szCs w:val="18"/>
          <w:color w:val="auto"/>
        </w:rPr>
      </w:pPr>
    </w:p>
    <w:p>
      <w:pPr>
        <w:ind w:left="1300" w:right="160" w:hanging="644"/>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7"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120" w:right="680" w:firstLine="551"/>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 prospectus supplement and the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02"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shares of common stock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20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This prospectus supplement and the accompanying prospectus contain general information only and does not take account of the investment objectives, financial situation or particular needs of any particular person. It does not contain any securities recommendations or financial product advice.</w:t>
      </w:r>
    </w:p>
    <w:p>
      <w:pPr>
        <w:spacing w:after="0" w:line="20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Before making an investment decision, investors need to consider whether the information in this prospectus supplement and the accompanying prospectus is appropriate to their needs, objectives and circumstances, and, if necessary, seek expert advice on those matters.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the Company, the shares have been or will be filed with or approved by any Swiss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of common stock to which this prospectus supplement relates may be illiquid and/or subject to restrictions on their resale. Prospective purchasers of the shares of common stock offered should conduct their own due diligence on the shares. If you do not understand the contents of this prospectus supplement you should consult an authorized financial advisor.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France</w:t>
      </w:r>
    </w:p>
    <w:p>
      <w:pPr>
        <w:spacing w:after="0" w:line="126"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Neither this prospectus supplement nor any other offering material relating to the shares of common stock described in this prospectus supplement has been submitted to the clearance procedures of the Autorité des Marchés Financiers or of the competent authority of another member state of the European Economic Area and notified to the Autorité des Marchés Financiers. The shares of common stock have not been offered or sold and will not be offered or sold, directly or indirectly, to the public in France. Neither this prospectus supplement nor any other offering material relating to the shares of common stock has been or will be:</w:t>
      </w:r>
    </w:p>
    <w:p>
      <w:pPr>
        <w:spacing w:after="0" w:line="10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 used in connection with any offer for subscription or sale of the shares to the public in France.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99" w:lineRule="exact"/>
        <w:rPr>
          <w:sz w:val="20"/>
          <w:szCs w:val="20"/>
          <w:color w:val="auto"/>
        </w:rPr>
      </w:pPr>
    </w:p>
    <w:p>
      <w:pPr>
        <w:ind w:left="1300" w:right="300" w:hanging="644"/>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 -or-2° -or 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 l’épargne</w:t>
      </w:r>
      <w:r>
        <w:rPr>
          <w:rFonts w:ascii="Arial" w:cs="Arial" w:eastAsia="Arial" w:hAnsi="Arial"/>
          <w:sz w:val="18"/>
          <w:szCs w:val="18"/>
          <w:color w:val="auto"/>
        </w:rPr>
        <w:t>).</w:t>
      </w:r>
    </w:p>
    <w:p>
      <w:pPr>
        <w:spacing w:after="0" w:line="195"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 xml:space="preserve">The shares of common stock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02"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shares offered hereby. Any such credit default swaps or short positions could adversely affect future trading prices of the shares offered hereby.</w:t>
      </w:r>
    </w:p>
    <w:p>
      <w:pPr>
        <w:spacing w:after="0" w:line="190"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7"/>
          <w:szCs w:val="17"/>
          <w:color w:val="auto"/>
        </w:rPr>
        <w:t>Certain of the underwriters are also acting as underwriters in the Concurrent Convertible Notes Offering and as initial purchasers in the Concurrent Senior Secured Notes Offering, for which they will receive customary discounts and commissions. In addition, certain of the underwriters or affiliates of the underwriters are expected to be lenders, and in some cases agents or managers for the lenders, under the Concurrent Term Loan Financing. Affiliates of certain of the underwriters are lenders under the delayed draw term loan credit facility and if the Concurrent Senior Secured Notes Offering and/or the Concurrent Term Loan Financing are consummated they are expected to receive a portion of the net proceeds therefrom. Furthermore, an affiliate of Citigroup Global Markets Inc. and Barclays Capital Inc. are each counterparties to certain agreements with American whereby they issue general purpose consumer and small business credit cards that are co-branded with American marks. In addition, certain of the underwriters are lenders under our revolving credit facilities.</w:t>
      </w:r>
    </w:p>
    <w:p>
      <w:pPr>
        <w:spacing w:after="0" w:line="19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validity of the common stock offered hereby will be passed upon for us by Latham &amp; Watkins LLP, New York, New York and for the underwriters by Milbank LLP, New York, New York.</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consolidated financial statements of American Airlines Group Inc. and American Airlines, Inc. as of December 31, 2019 and 2018, and for each of the years in the three-year period ended December 31, 2019, and management’s assessment of the effectiveness of internal control over financial reporting as of December 31, 2019 have been incorporated by reference in this prospectus supplement in reliance upon the reports of KPMG LLP, independent registered public accounting firm, incorporated by reference herein, and upon the authority of said firm as experts in accounting and auditing. The audit report covering the December 31, 2019 financial statements refers to a change to the method of accounting for leases.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supplement is part of a registration statement on Form S-3 that we filed with the Securities and Exchange Commission (the “SEC”) related to the securities to be offered. This prospectus supplement does not contain all of the information set forth in the registration statement and the exhibits and schedules thereto. Some items are omitted in accordance with the rules and regulations of the SEC. For further information with respect to us and the securities offered hereby, we refer you to the registration statement and the exhibits and schedules filed therewith. Statements contained in this prospectus supplement as to the contents of any contract, agreement or any other document referred to are summaries of the material terms of the respective contract, agreement or other document. With respect to each of these contracts, agreements or other documents filed as an exhibit to the registration statement, reference is made to the exhibits for a more complete description of the matter involved.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subject to the information requirements of the Exchange Act. In accordance with the Exchange Act, we file annual, quarterly and current reports, proxy statements (in the case of AAG only) and other information with the SEC. Our SEC filings are also available to the public from the SEC’s website at www.sec.gov. In addition, our filings are available from our website at www.aa.com. None of the information on our website constitutes a part of this prospectus supplement.</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are “incorporating by reference” into this prospectus supplement certain information that we or AAG file with the SEC,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statement so modified or superseded shall not be deemed, except as so modified or superseded, to constitute a part of this prospectus supplement. We incorporate by reference the documents listed below (other than information that we have furnished (rather than filed) on Form 8-K, which information is expressly not incorporated by reference herein):</w:t>
      </w:r>
    </w:p>
    <w:p>
      <w:pPr>
        <w:spacing w:after="0" w:line="108" w:lineRule="exact"/>
        <w:rPr>
          <w:sz w:val="20"/>
          <w:szCs w:val="20"/>
          <w:color w:val="auto"/>
        </w:rPr>
      </w:pPr>
    </w:p>
    <w:p>
      <w:pPr>
        <w:ind w:left="880" w:right="18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Annual Report of AAG and American on </w:t>
      </w:r>
      <w:hyperlink r:id="rId9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19, 2020;</w:t>
      </w:r>
    </w:p>
    <w:p>
      <w:pPr>
        <w:spacing w:after="0" w:line="102"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Quarterly Report of AAG and American on </w:t>
      </w:r>
      <w:hyperlink r:id="rId9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2020, filed with the SEC on April 30, 2020;</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Current Reports of AAG on Form 8-K filed with the SEC on </w:t>
      </w:r>
      <w:hyperlink r:id="rId94">
        <w:r>
          <w:rPr>
            <w:rFonts w:ascii="Arial" w:cs="Arial" w:eastAsia="Arial" w:hAnsi="Arial"/>
            <w:sz w:val="18"/>
            <w:szCs w:val="18"/>
            <w:u w:val="single" w:color="auto"/>
            <w:color w:val="0000EE"/>
          </w:rPr>
          <w:t>January 29,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5">
        <w:r>
          <w:rPr>
            <w:rFonts w:ascii="Arial" w:cs="Arial" w:eastAsia="Arial" w:hAnsi="Arial"/>
            <w:sz w:val="18"/>
            <w:szCs w:val="18"/>
            <w:u w:val="single" w:color="auto"/>
            <w:color w:val="0000EE"/>
          </w:rPr>
          <w:t>June 10,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right="40" w:hanging="224"/>
        <w:spacing w:after="0"/>
        <w:tabs>
          <w:tab w:leader="none" w:pos="880" w:val="left"/>
        </w:tabs>
        <w:numPr>
          <w:ilvl w:val="0"/>
          <w:numId w:val="26"/>
        </w:numPr>
        <w:rPr>
          <w:rFonts w:ascii="Arial" w:cs="Arial" w:eastAsia="Arial" w:hAnsi="Arial"/>
          <w:sz w:val="18"/>
          <w:szCs w:val="18"/>
          <w:color w:val="0000EE"/>
        </w:rPr>
      </w:pPr>
      <w:hyperlink r:id="rId96">
        <w:r>
          <w:rPr>
            <w:rFonts w:ascii="Arial" w:cs="Arial" w:eastAsia="Arial" w:hAnsi="Arial"/>
            <w:sz w:val="18"/>
            <w:szCs w:val="18"/>
            <w:u w:val="single" w:color="auto"/>
            <w:color w:val="auto"/>
          </w:rPr>
          <w:t xml:space="preserve">Current Reports of American on Form 8-K and 8-K/A filed with the SEC on </w:t>
        </w:r>
        <w:r>
          <w:rPr>
            <w:rFonts w:ascii="Arial" w:cs="Arial" w:eastAsia="Arial" w:hAnsi="Arial"/>
            <w:sz w:val="18"/>
            <w:szCs w:val="18"/>
            <w:u w:val="single" w:color="auto"/>
            <w:color w:val="0000EE"/>
          </w:rPr>
          <w:t>January 29, 2020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February 20, 2020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February 20,</w:t>
        </w:r>
      </w:hyperlink>
      <w:r>
        <w:rPr>
          <w:rFonts w:ascii="Arial" w:cs="Arial" w:eastAsia="Arial" w:hAnsi="Arial"/>
          <w:sz w:val="18"/>
          <w:szCs w:val="18"/>
          <w:u w:val="single" w:color="auto"/>
          <w:color w:val="auto"/>
        </w:rPr>
        <w:t xml:space="preserve"> </w:t>
      </w:r>
      <w:hyperlink r:id="rId96">
        <w:r>
          <w:rPr>
            <w:rFonts w:ascii="Arial" w:cs="Arial" w:eastAsia="Arial" w:hAnsi="Arial"/>
            <w:sz w:val="18"/>
            <w:szCs w:val="18"/>
            <w:u w:val="single" w:color="auto"/>
            <w:color w:val="0000EE"/>
          </w:rPr>
          <w:t>2020</w:t>
        </w:r>
        <w:r>
          <w:rPr>
            <w:rFonts w:ascii="Arial" w:cs="Arial" w:eastAsia="Arial" w:hAnsi="Arial"/>
            <w:sz w:val="18"/>
            <w:szCs w:val="18"/>
            <w:u w:val="single" w:color="auto"/>
            <w:color w:val="000000"/>
          </w:rPr>
          <w:t>,</w:t>
        </w:r>
        <w:r>
          <w:rPr>
            <w:rFonts w:ascii="Arial" w:cs="Arial" w:eastAsia="Arial" w:hAnsi="Arial"/>
            <w:sz w:val="18"/>
            <w:szCs w:val="18"/>
            <w:color w:val="0000EE"/>
          </w:rPr>
          <w:t xml:space="preserve"> </w:t>
        </w:r>
      </w:hyperlink>
      <w:hyperlink r:id="rId97">
        <w:r>
          <w:rPr>
            <w:rFonts w:ascii="Arial" w:cs="Arial" w:eastAsia="Arial" w:hAnsi="Arial"/>
            <w:sz w:val="18"/>
            <w:szCs w:val="18"/>
            <w:u w:val="single" w:color="auto"/>
            <w:color w:val="0000EE"/>
          </w:rPr>
          <w:t>February 26, 2020</w:t>
        </w:r>
      </w:hyperlink>
      <w:hyperlink r:id="rId9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98">
        <w:r>
          <w:rPr>
            <w:rFonts w:ascii="Arial" w:cs="Arial" w:eastAsia="Arial" w:hAnsi="Arial"/>
            <w:sz w:val="18"/>
            <w:szCs w:val="18"/>
            <w:u w:val="single" w:color="auto"/>
            <w:color w:val="0000EE"/>
          </w:rPr>
          <w:t>March 19, 2020</w:t>
        </w:r>
      </w:hyperlink>
      <w:hyperlink r:id="rId9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99">
        <w:r>
          <w:rPr>
            <w:rFonts w:ascii="Arial" w:cs="Arial" w:eastAsia="Arial" w:hAnsi="Arial"/>
            <w:sz w:val="18"/>
            <w:szCs w:val="18"/>
            <w:u w:val="single" w:color="auto"/>
            <w:color w:val="0000EE"/>
          </w:rPr>
          <w:t>March 25, 2020</w:t>
        </w:r>
      </w:hyperlink>
      <w:hyperlink r:id="rId9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00">
        <w:r>
          <w:rPr>
            <w:rFonts w:ascii="Arial" w:cs="Arial" w:eastAsia="Arial" w:hAnsi="Arial"/>
            <w:sz w:val="18"/>
            <w:szCs w:val="18"/>
            <w:u w:val="single" w:color="auto"/>
            <w:color w:val="0000EE"/>
          </w:rPr>
          <w:t>March 27, 2020</w:t>
        </w:r>
      </w:hyperlink>
      <w:hyperlink r:id="rId9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01">
        <w:r>
          <w:rPr>
            <w:rFonts w:ascii="Arial" w:cs="Arial" w:eastAsia="Arial" w:hAnsi="Arial"/>
            <w:sz w:val="18"/>
            <w:szCs w:val="18"/>
            <w:u w:val="single" w:color="auto"/>
            <w:color w:val="0000EE"/>
          </w:rPr>
          <w:t>April 1, 2020</w:t>
        </w:r>
      </w:hyperlink>
      <w:hyperlink r:id="rId9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02">
        <w:r>
          <w:rPr>
            <w:rFonts w:ascii="Arial" w:cs="Arial" w:eastAsia="Arial" w:hAnsi="Arial"/>
            <w:sz w:val="18"/>
            <w:szCs w:val="18"/>
            <w:u w:val="single" w:color="auto"/>
            <w:color w:val="0000EE"/>
          </w:rPr>
          <w:t xml:space="preserve">April 15, 2020 </w:t>
        </w:r>
      </w:hyperlink>
      <w:hyperlink r:id="rId96">
        <w:r>
          <w:rPr>
            <w:rFonts w:ascii="Arial" w:cs="Arial" w:eastAsia="Arial" w:hAnsi="Arial"/>
            <w:sz w:val="18"/>
            <w:szCs w:val="18"/>
            <w:u w:val="single" w:color="auto"/>
            <w:color w:val="000000"/>
          </w:rPr>
          <w:t>and</w:t>
        </w:r>
        <w:r>
          <w:rPr>
            <w:rFonts w:ascii="Arial" w:cs="Arial" w:eastAsia="Arial" w:hAnsi="Arial"/>
            <w:sz w:val="18"/>
            <w:szCs w:val="18"/>
            <w:u w:val="single" w:color="auto"/>
            <w:color w:val="0000EE"/>
          </w:rPr>
          <w:t xml:space="preserve"> </w:t>
        </w:r>
      </w:hyperlink>
      <w:hyperlink r:id="rId103">
        <w:r>
          <w:rPr>
            <w:rFonts w:ascii="Arial" w:cs="Arial" w:eastAsia="Arial" w:hAnsi="Arial"/>
            <w:sz w:val="18"/>
            <w:szCs w:val="18"/>
            <w:u w:val="single" w:color="auto"/>
            <w:color w:val="0000EE"/>
          </w:rPr>
          <w:t>April 22, 2020</w:t>
        </w:r>
      </w:hyperlink>
      <w:hyperlink r:id="rId96">
        <w:r>
          <w:rPr>
            <w:rFonts w:ascii="Arial" w:cs="Arial" w:eastAsia="Arial" w:hAnsi="Arial"/>
            <w:sz w:val="18"/>
            <w:szCs w:val="18"/>
            <w:color w:val="000000"/>
          </w:rPr>
          <w:t>;</w:t>
        </w:r>
      </w:hyperlink>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08" w:lineRule="exact"/>
        <w:rPr>
          <w:rFonts w:ascii="Arial" w:cs="Arial" w:eastAsia="Arial" w:hAnsi="Arial"/>
          <w:sz w:val="18"/>
          <w:szCs w:val="18"/>
          <w:color w:val="0000EE"/>
        </w:rPr>
      </w:pPr>
    </w:p>
    <w:p>
      <w:pPr>
        <w:ind w:left="880" w:right="12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portions of AAG and American’s Definitive Proxy Statement on </w:t>
      </w:r>
      <w:hyperlink r:id="rId10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supplemented by the Definitive Additional Materials on Schedule 14A, filed with the SEC on April 28, 2020, that are incorporated by reference into Part III of its Annual Report on Form 10-K for the year ended December 31, 2019.</w:t>
      </w:r>
    </w:p>
    <w:p>
      <w:pPr>
        <w:spacing w:after="0" w:line="203" w:lineRule="exact"/>
        <w:rPr>
          <w:rFonts w:ascii="Arial" w:cs="Arial" w:eastAsia="Arial" w:hAnsi="Arial"/>
          <w:sz w:val="18"/>
          <w:szCs w:val="18"/>
          <w:color w:val="0000EE"/>
        </w:rPr>
      </w:pPr>
    </w:p>
    <w:p>
      <w:pPr>
        <w:ind w:left="120" w:right="20" w:firstLine="551"/>
        <w:spacing w:after="0" w:line="238" w:lineRule="auto"/>
        <w:rPr>
          <w:sz w:val="20"/>
          <w:szCs w:val="20"/>
          <w:color w:val="auto"/>
        </w:rPr>
      </w:pPr>
      <w:r>
        <w:rPr>
          <w:rFonts w:ascii="Arial" w:cs="Arial" w:eastAsia="Arial" w:hAnsi="Arial"/>
          <w:sz w:val="18"/>
          <w:szCs w:val="18"/>
          <w:color w:val="auto"/>
        </w:rPr>
        <w:t>All documents that we and AAG file pursuant to Section 13(a), 13(c), 14, or 15(d) of the Exchange Act on or subsequent to the date of this prospectus supplement, and, in all events, prior to the termination of this offering, shall be deemed to be incorporated by reference into this prospectus supplement and to be a part of this prospectus supplement from the respective dates of filing of such documents, except for information furnished under Item 2.02 and Item 7.01 of Form 8-K and related exhibits, which is not deemed filed and not incorporated by reference herein.</w:t>
      </w:r>
    </w:p>
    <w:p>
      <w:pPr>
        <w:spacing w:after="0" w:line="135"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Investor Relations</w:t>
      </w:r>
    </w:p>
    <w:p>
      <w:pPr>
        <w:jc w:val="center"/>
        <w:ind w:right="-379"/>
        <w:spacing w:after="0" w:line="234" w:lineRule="auto"/>
        <w:rPr>
          <w:sz w:val="20"/>
          <w:szCs w:val="20"/>
          <w:color w:val="auto"/>
        </w:rPr>
      </w:pPr>
      <w:r>
        <w:rPr>
          <w:rFonts w:ascii="Arial" w:cs="Arial" w:eastAsia="Arial" w:hAnsi="Arial"/>
          <w:sz w:val="18"/>
          <w:szCs w:val="18"/>
          <w:color w:val="auto"/>
        </w:rPr>
        <w:t>1 Skyview Drive</w:t>
      </w:r>
    </w:p>
    <w:p>
      <w:pPr>
        <w:jc w:val="center"/>
        <w:ind w:right="-379"/>
        <w:spacing w:after="0" w:line="235" w:lineRule="auto"/>
        <w:rPr>
          <w:sz w:val="20"/>
          <w:szCs w:val="20"/>
          <w:color w:val="auto"/>
        </w:rPr>
      </w:pPr>
      <w:r>
        <w:rPr>
          <w:rFonts w:ascii="Arial" w:cs="Arial" w:eastAsia="Arial" w:hAnsi="Arial"/>
          <w:sz w:val="18"/>
          <w:szCs w:val="18"/>
          <w:color w:val="auto"/>
        </w:rPr>
        <w:t>Mail Drop 8B351</w:t>
      </w:r>
    </w:p>
    <w:p>
      <w:pPr>
        <w:jc w:val="center"/>
        <w:ind w:right="-379"/>
        <w:spacing w:after="0" w:line="235" w:lineRule="auto"/>
        <w:rPr>
          <w:sz w:val="20"/>
          <w:szCs w:val="20"/>
          <w:color w:val="auto"/>
        </w:rPr>
      </w:pPr>
      <w:r>
        <w:rPr>
          <w:rFonts w:ascii="Arial" w:cs="Arial" w:eastAsia="Arial" w:hAnsi="Arial"/>
          <w:sz w:val="18"/>
          <w:szCs w:val="18"/>
          <w:color w:val="auto"/>
        </w:rPr>
        <w:t>Fort Worth, Texas 76155</w:t>
      </w:r>
    </w:p>
    <w:p>
      <w:pPr>
        <w:jc w:val="center"/>
        <w:ind w:right="-379"/>
        <w:spacing w:after="0"/>
        <w:rPr>
          <w:sz w:val="20"/>
          <w:szCs w:val="20"/>
          <w:color w:val="auto"/>
        </w:rPr>
      </w:pPr>
      <w:r>
        <w:rPr>
          <w:rFonts w:ascii="Arial" w:cs="Arial" w:eastAsia="Arial" w:hAnsi="Arial"/>
          <w:sz w:val="18"/>
          <w:szCs w:val="18"/>
          <w:color w:val="auto"/>
        </w:rPr>
        <w:t>Tel: (817) 963-1234</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0880"/>
          </w:cols>
          <w:pgMar w:left="320" w:top="459" w:right="6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334645</wp:posOffset>
            </wp:positionV>
            <wp:extent cx="2425700" cy="531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24257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AMERICAN AIRLINES GROUP INC.</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2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7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 AND ANY SIMILAR SECTION CONTAINED IN THE APPLICABLE PROSPECTUS SUPPLEMENT CONCERNING FACTORS YOU SHOULD CONSIDER BEFORE INVESTING IN OUR SECURITIES.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“AAL.”</w:t>
      </w:r>
    </w:p>
    <w:p>
      <w:pPr>
        <w:spacing w:after="0" w:line="221"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February 19, 2020.</w:t>
      </w:r>
    </w:p>
    <w:p>
      <w:pPr>
        <w:sectPr>
          <w:pgSz w:w="11900" w:h="16838" w:orient="portrait"/>
          <w:cols w:equalWidth="0" w:num="1">
            <w:col w:w="11060"/>
          </w:cols>
          <w:pgMar w:left="32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86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ABOUT THIS PROSPECTUS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WHERE YOU CAN FIND MORE INFORMATION; INCORPORATION BY REFERENCE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THE COMPANY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RISK FACTORS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USE OF PROCEEDS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CAPITAL STOCK</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DESCRIPTION OF DEBT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DESCRIPTION OF OTHER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GLOBAL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PLAN OF DISTRIBUTION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LEGAL MATTERS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6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EXPERTS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This prospectus is part of a registration statement that American Airlines Group Inc. and American Airlines, Inc. filed jointly with the U.S. Securities and Exchange Commission, or the SEC, each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described under the heading “Where You Can Find More Information; Incorporation by Reference.”</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When we refer to “AAG,” “we,” “our,” “us” and the “Company” in this prospectus, we mean American Airlines Group Inc. and its consolidated subsidiaries, unless otherwise specified. When we refer to “AAI,” we mean American Airlines, Inc. When we refer to “you,” we mean the potential holders of the applicable series of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Each of AAG and AAI files reports, proxy statements and other information with the SEC as required under the Exchange Act. 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http://www.aa.com</w:t>
      </w:r>
      <w:r>
        <w:rPr>
          <w:rFonts w:ascii="Arial" w:cs="Arial" w:eastAsia="Arial" w:hAnsi="Arial"/>
          <w:sz w:val="18"/>
          <w:szCs w:val="18"/>
          <w:color w:val="auto"/>
        </w:rPr>
        <w:t>. The information on our website, however, is not, and should not be deemed to be, a part of this prospectus.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Annual Report of AAG and AAI on </w:t>
      </w:r>
      <w:hyperlink r:id="rId114">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2019, filed with the SEC on February 19, 2020;</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Annual Report of AAG and AAI on Form 10-K from AAG’s Definitive Proxy Statement on </w:t>
      </w:r>
      <w:hyperlink r:id="rId115">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29,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Current Reports of AAG and AAI on </w:t>
      </w:r>
      <w:hyperlink r:id="rId94">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January 29, 2020;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of AAG contained in its registration statement on </w:t>
      </w:r>
      <w:hyperlink r:id="rId116">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December 3, 2013, and any amendment or report filed with the SEC for the purpose of updating the description.</w:t>
      </w:r>
    </w:p>
    <w:p>
      <w:pPr>
        <w:spacing w:after="0" w:line="170" w:lineRule="exact"/>
        <w:rPr>
          <w:rFonts w:ascii="Arial" w:cs="Arial" w:eastAsia="Arial" w:hAnsi="Arial"/>
          <w:sz w:val="18"/>
          <w:szCs w:val="18"/>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For the avoidance of doubt, we are not incorporating by reference any documents or portions thereof, whether specifically listed above or filed in the future, that are not deemed</w:t>
      </w:r>
    </w:p>
    <w:p>
      <w:pPr>
        <w:spacing w:after="0" w:line="120"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“filed” with the SEC, including our Compensation Committee Report and performance graph or any information furnished pursuant to Items 2.02 or 7.01 of Form 8-K or related exhibits furnished pursuant to Item 9.01 to Form 8-K.</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American Airlines Group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 Skyview Drive</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(817) 963-1234</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(“AAI”), Envoy Aviation Group Inc., PSA Airlines, Inc. and Piedmont Airlines, Inc. AAG was formed in 1982 under the name AMR Corporation as the parent company of AAI, which was founded in 1934.</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Our principal executive offices are located at 1 Skyview Drive, Fort Worth, Texas 76155. Our telephone number is (817) 963-1234, and our internet address is www.aa.com. Information contained on our and/or our subsidiaries’ websites is not and should not be deemed a part of this prospectus or any other report or filing filed with or furnished to the SEC.</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w:t>
      </w:r>
    </w:p>
    <w:p>
      <w:pPr>
        <w:ind w:left="120" w:right="40"/>
        <w:spacing w:after="0" w:line="253" w:lineRule="auto"/>
        <w:rPr>
          <w:sz w:val="20"/>
          <w:szCs w:val="20"/>
          <w:color w:val="auto"/>
        </w:rPr>
      </w:pPr>
      <w:r>
        <w:rPr>
          <w:rFonts w:ascii="Arial" w:cs="Arial" w:eastAsia="Arial" w:hAnsi="Arial"/>
          <w:sz w:val="18"/>
          <w:szCs w:val="18"/>
          <w:color w:val="auto"/>
        </w:rPr>
        <w:t>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description of AAG’s capital stock is not complete and may not contain all the information you should consider before investing in our capital stock. This description is summarized from, and qualified in its entirety by reference to, our certificate of incorporation and bylaws, which have been publicly filed with the SEC. See “Where You Can Find More Information; Incorporation by Reference.”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AAG’s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1.75 billion shares of common stock, $0.01 par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 million shares of preferred stock, $0.01 par value.</w:t>
      </w:r>
    </w:p>
    <w:p>
      <w:pPr>
        <w:spacing w:after="0" w:line="329" w:lineRule="exact"/>
        <w:rPr>
          <w:sz w:val="20"/>
          <w:szCs w:val="20"/>
          <w:color w:val="auto"/>
        </w:rPr>
      </w:pPr>
    </w:p>
    <w:p>
      <w:pPr>
        <w:jc w:val="right"/>
        <w:ind w:right="9800"/>
        <w:spacing w:after="0"/>
        <w:rPr>
          <w:sz w:val="20"/>
          <w:szCs w:val="20"/>
          <w:color w:val="auto"/>
        </w:rPr>
      </w:pPr>
      <w:r>
        <w:rPr>
          <w:rFonts w:ascii="Arial" w:cs="Arial" w:eastAsia="Arial" w:hAnsi="Arial"/>
          <w:sz w:val="17"/>
          <w:szCs w:val="17"/>
          <w:b w:val="1"/>
          <w:bCs w:val="1"/>
          <w:color w:val="auto"/>
        </w:rPr>
        <w:t>Common Stock</w:t>
      </w:r>
    </w:p>
    <w:p>
      <w:pPr>
        <w:spacing w:after="0" w:line="133" w:lineRule="exact"/>
        <w:rPr>
          <w:sz w:val="20"/>
          <w:szCs w:val="20"/>
          <w:color w:val="auto"/>
        </w:rPr>
      </w:pPr>
    </w:p>
    <w:p>
      <w:pPr>
        <w:jc w:val="right"/>
        <w:ind w:right="98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Holders of AAG common stock are entitled to receive dividends or other distributions in cash, stock or property of AAG when, as and if declared on the common stock by AAG’s board of directors from time to time out of assets or funds of AAG legally available therefor, subject to the rights of holders of any outstanding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Holders of AAG common stock are entitled to one vote per share on all matters submitted to a vote of common stockholders, except that voting rights of non-U.S. citizens are limited as described below under “—Other Provisions Restricting Transfer and Ownership.” Holders of AAG common stock have no right to cumulate their votes.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event of any voluntary or involuntary liquidation, dissolution, or winding up of AAG, holders of AAG common stock are entitled to receive the assets and funds legally available for distribution in proportion to the number of shares held by them after payments to creditors and of preferential amounts, if any, to which any holders of AAG preferred stock may be entitled. If AAG has any preferred stock outstanding at such time, holders of the preferred stock may be entitled to distributions and/or liquidation preferences. In such case, AAG must pay the applicable distribution to holders of its preferred stock, if required pursuant to the terms of any such preferred stock, before it may pay distributions to holders of AAG common stock.</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the event of a merger or consolidation of AAG with or into another entity, the holders of AAG common stock are entitled to receive the same per share consideration on a per share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AAG’s common stock are not entitled to preemptive rights to purchase additional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AAG’s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AAG’s certificate of incorporation authorizes the issuance of up to 200 million shares of preferred stock from time to time, in one or more series, with such voting powers, full or limited, or without voting powers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with such designations, preferences, and relative, participating, optional, or other special rights, and qualifications, limitations, or restrictions thereof, as are stated and expressed in the resolution or resolutions providing for the issuance thereof adopted by AAG’s board of directors.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shares of AAG’s preferred stock are not entitled to preemptive rights to purchase additional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AAG’s Certificate of Incorporation and Bylaws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Certain provisions of AAG’s certificate of incorporation and bylaws may have the effect of delaying or preventing a change in control if AAG’s board of directors determines such change in control is not in the best interests of AAG and its stockholders. These provisions include, among other things, the following:</w:t>
      </w:r>
    </w:p>
    <w:p>
      <w:pPr>
        <w:spacing w:after="0" w:line="89" w:lineRule="exact"/>
        <w:rPr>
          <w:sz w:val="20"/>
          <w:szCs w:val="20"/>
          <w:color w:val="auto"/>
        </w:rPr>
      </w:pPr>
    </w:p>
    <w:p>
      <w:pPr>
        <w:ind w:left="1080" w:right="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authorize undesignated preferred stock with super voting, special approval, dividend, or other rights or preferences that could impede the success of any attempt to acquire AAG;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AAG’s board of directors to fill vacancies on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prohibition against stockholders calling a special meeting of stockholders, except by written demand, delivered in compliance with the requirements of AAG’s bylaws, of stockholders holding at least 20% of the outstanding voting power of AAG’s shares;</w:t>
      </w:r>
    </w:p>
    <w:p>
      <w:pPr>
        <w:spacing w:after="0" w:line="51" w:lineRule="exact"/>
        <w:rPr>
          <w:rFonts w:ascii="Arial" w:cs="Arial" w:eastAsia="Arial" w:hAnsi="Arial"/>
          <w:sz w:val="17"/>
          <w:szCs w:val="17"/>
          <w:color w:val="auto"/>
        </w:rPr>
      </w:pPr>
    </w:p>
    <w:p>
      <w:pPr>
        <w:ind w:left="1080" w:right="6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restrictions on security ownership by persons who are not citizens of the U.S. (see the section entitled “—Other Provisions Restricting Transfer and Ownership” below);</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restrictions on transfer of securities by persons or groups holding 4.75% or more of AAG’s capital stock or transfers resulting in a new person or group holding 4.75% or more of AAG’s capital stock (see the section entitled “—Other Provisions Restricting Transfer and Ownership” below);</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the approval of holders of at least 80% of the voting power of the shares entitled to vote in the election of directors to modify or amend the AAG bylaws;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the AAG certificate of incorporation.</w:t>
      </w:r>
    </w:p>
    <w:p>
      <w:pPr>
        <w:spacing w:after="0" w:line="22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AAG is also subject to the provisions of Section 203 of the Delaware General Corporation Law. Under Section 203, we would generally be prohibited from engaging in any business combination with any interested stockholder for a period of three years following the time that such stockholder became an interested stockholder unless:</w:t>
      </w:r>
    </w:p>
    <w:p>
      <w:pPr>
        <w:spacing w:after="0" w:line="89" w:lineRule="exact"/>
        <w:rPr>
          <w:sz w:val="20"/>
          <w:szCs w:val="20"/>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such stockholder becoming an interested stockholder;</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such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Section 203, a “business combination” includes:</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Provisions Restricting Transfer and Ownership</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AAG certificate of incorporation and bylaws also impose certain restrictions on the transferability and ownership of AAG common stock, preferred stock, warrants, rights or options to purchase AAG common stock and certain other equity-type interests of AAG, which we refer to collectively as AAG Securities, in order to comply with U.S. law and related rules and regulations of the U.S. Department of Transportation, which we refer to as the DOT, and to reduce the possibility that subsequent changes in the ownership of AAG Securities could result in limitations on the use of the significant deductions in any year for net operating losses carried over from prior taxable years, and other valuable income tax attributes of AAG and its subsidiaries.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Transfer</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Subject to certain exceptions, or the prior approval of AAG’s board of directors, the AAG certificate of incorporation restricts any person or entity (including certain groups of persons) from directly or indirectly acquiring or accumulating AAG Securities if such person or entity would become a Substantial Stockholder, which the AAG certificate of incorporation defines generally as a person or entity with a percentage ownership of 4.75% or more of the outstanding capital stock of AAG or if such acquisition would increase the percentage stock ownership (as determined under applicable tax law principles) of a Substantial Stockholder. These restrictions may remain in effect until December 9, 2021 and may be waived by the board of directors of AAG on a case-by-case basis.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Ownership Limitations</w:t>
      </w:r>
    </w:p>
    <w:p>
      <w:pPr>
        <w:spacing w:after="0" w:line="117"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AAG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or (b) 49.0% of our outstanding equity securities. The AAG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 In addition, any attempt to transfer AAG Securities to a non-U.S. person in excess of 49.0% of our outstanding equity securities will be void and of no effect and will not be recorded in our books and records.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description, together with the additional information we include in any prospectus supplement or free writing prospectus, as applicable, summarizes certain general terms and provisions of the debt securities that we may offer under this prospectus. When we offer to sell one or more particular series of debt securities, we will describe the specific terms of such series in a supplement to this prospectus. We will also indicate in the supplement to what extent the general terms and provisions described in this prospectus apply to a particular series of debt securities.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and guarantees, if any, may be our senior, senior subordinated or subordinated obligations and, unless otherwise specified in a supplement to this prospectus, the debt securities will be our direct, unsecured obligations and may be issued in one or more series. The debt securities issued by AAG may be fully and unconditionally guaranteed on a secured or unsecured, senior or subordinated basis by AAI or any of AAG’s other subsidiaries.</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Wilmington Trust,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used in this section only, “AAG,” “we,” “our” or “us” refer to American Airlines Group Inc. excluding our subsidiaries, unless expressly stated or the context otherwise requires, and “AAI” refers to American Airlines, Inc. excluding its subsidiaries, unless expressly stated or the context otherwise requires.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accrual of interest will commence and be payable and any regular record date for the interest payable on any interest payment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if any, and interest on the debt securities will be made;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set forth in the indenture with respect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AAI or any of its other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i w:val="1"/>
          <w:iCs w:val="1"/>
          <w:color w:val="auto"/>
        </w:rPr>
        <w:t xml:space="preserve">Global Debt Securities and Book-Entry System. </w:t>
      </w:r>
      <w:r>
        <w:rPr>
          <w:rFonts w:ascii="Arial" w:cs="Arial" w:eastAsia="Arial" w:hAnsi="Arial"/>
          <w:sz w:val="17"/>
          <w:szCs w:val="17"/>
          <w:color w:val="auto"/>
        </w:rPr>
        <w:t>Each global debt security representing book-entry debt securities will be deposited with,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AAG)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Notwithstanding the above, any subsidiary of AAG may consolidate with, merge into or transfer all or part of its properties to AAG. (Section 5.1)</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AAG;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may also modify and amend the indenture with the consent of the holders of at least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54"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a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Legal Defeasance. </w:t>
      </w:r>
      <w:r>
        <w:rPr>
          <w:rFonts w:ascii="Arial" w:cs="Arial" w:eastAsia="Arial" w:hAnsi="Arial"/>
          <w:sz w:val="17"/>
          <w:szCs w:val="17"/>
          <w:color w:val="auto"/>
        </w:rPr>
        <w:t>The indenture provides that, unless otherwise provided by the terms of the applicable series of debt securities, we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1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20" w:hanging="424"/>
        <w:spacing w:after="0" w:line="273"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such debt securities; and</w:t>
      </w:r>
    </w:p>
    <w:p>
      <w:pPr>
        <w:spacing w:after="0" w:line="83"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the debt securities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rights, purchase contracts, units or guarantees issued by us that may be offered and sold pursuant to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Redemption proceeds, distributions and dividend payments, as applicable,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obtained, securities certificates are required to be printed and delivered to the holders of beneficial interests in the securities.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offered securities from time to time:</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320" w:top="459" w:right="6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Unless we tell you otherwise in the applicable prospectus supplement, Latham &amp; Watkins LLP will pass upon certain legal matters relating to the issuance and sale of the securities offered hereby on behalf of AAG.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American Airlines Group Inc. (AAG) as of December 31, 2019 and 2018, and for each of the years in the three-year period ended December 31, 2019, and management’s assessment of the effectiveness of internal control over financial reporting as of December 31, 2019 have been incorporated by reference herein in reliance upon the reports of KPMG LLP, independent registered public accounting firm, incorporated by reference herein, and upon the authority of said firm as experts in accounting and auditing. The audit report covering the December 31, 2019 financial statements refers to a change to the method of accounting for leases.</w:t>
      </w:r>
    </w:p>
    <w:p>
      <w:pPr>
        <w:spacing w:after="0" w:line="176" w:lineRule="exact"/>
        <w:rPr>
          <w:sz w:val="20"/>
          <w:szCs w:val="20"/>
          <w:color w:val="auto"/>
        </w:rPr>
      </w:pPr>
    </w:p>
    <w:p>
      <w:pPr>
        <w:jc w:val="both"/>
        <w:ind w:left="120" w:right="400" w:firstLine="440"/>
        <w:spacing w:after="0" w:line="342" w:lineRule="auto"/>
        <w:rPr>
          <w:sz w:val="20"/>
          <w:szCs w:val="20"/>
          <w:color w:val="auto"/>
        </w:rPr>
      </w:pPr>
      <w:r>
        <w:rPr>
          <w:rFonts w:ascii="Arial" w:cs="Arial" w:eastAsia="Arial" w:hAnsi="Arial"/>
          <w:sz w:val="16"/>
          <w:szCs w:val="16"/>
          <w:color w:val="auto"/>
        </w:rPr>
        <w:t>To the extent that KPMG LLP audits and reports on financial statements of AAG issued at future dates, and consents to the use of its reports thereon, such financial statements also will be incorporated by reference in the registration statement in reliance upon its reports and said authority.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6829425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6880860</wp:posOffset>
            </wp:positionV>
            <wp:extent cx="699516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1917700</wp:posOffset>
            </wp:positionV>
            <wp:extent cx="5031740" cy="1097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5031740" cy="109728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lvl w:ilvl="1">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2"/>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jpe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jpeg"/><Relationship Id="rId92" Type="http://schemas.openxmlformats.org/officeDocument/2006/relationships/hyperlink" Target="http://www.sec.gov/Archives/edgar/data/4515/000000620120000023/a10k123119.htm" TargetMode="External"/><Relationship Id="rId93" Type="http://schemas.openxmlformats.org/officeDocument/2006/relationships/hyperlink" Target="http://www.sec.gov/Archives/edgar/data/4515/000000620120000066/q1202010-q033120.htm" TargetMode="External"/><Relationship Id="rId94" Type="http://schemas.openxmlformats.org/officeDocument/2006/relationships/hyperlink" Target="http://www.sec.gov/Archives/edgar/data/4515/000000620120000014/a8k012920-lhrcreditagr.htm" TargetMode="External"/><Relationship Id="rId95" Type="http://schemas.openxmlformats.org/officeDocument/2006/relationships/hyperlink" Target="http://www.sec.gov/Archives/edgar/data/6201/000000620120000075/a8k0610202020annualmee.htm" TargetMode="External"/><Relationship Id="rId96" Type="http://schemas.openxmlformats.org/officeDocument/2006/relationships/hyperlink" Target="http://www.sec.gov/ix?doc=/Archives/edgar/data/4515/000000620120000028/a8k022020pricingofunse.htm" TargetMode="External"/><Relationship Id="rId97" Type="http://schemas.openxmlformats.org/officeDocument/2006/relationships/hyperlink" Target="http://www.sec.gov/ix?doc=/Archives/edgar/data/4515/000119312520050082/d894981d8k.htm" TargetMode="External"/><Relationship Id="rId98" Type="http://schemas.openxmlformats.org/officeDocument/2006/relationships/hyperlink" Target="http://www.sec.gov/ix?doc=/Archives/edgar/data/4515/000000620120000038/a8k031820-entryintonew.htm" TargetMode="External"/><Relationship Id="rId99" Type="http://schemas.openxmlformats.org/officeDocument/2006/relationships/hyperlink" Target="http://www.sec.gov/ix?doc=/Archives/edgar/data/4515/000000620120000043/a8-k032520borrowingfro.htm" TargetMode="External"/><Relationship Id="rId100" Type="http://schemas.openxmlformats.org/officeDocument/2006/relationships/hyperlink" Target="http://www.sec.gov/ix?doc=/Archives/edgar/data/4515/000000620120000049/a8k032720announcements.htm" TargetMode="External"/><Relationship Id="rId101" Type="http://schemas.openxmlformats.org/officeDocument/2006/relationships/hyperlink" Target="http://www.sec.gov/ix?doc=/Archives/edgar/data/4515/000000620120000051/a8k040120drawdownofrev.htm" TargetMode="External"/><Relationship Id="rId102" Type="http://schemas.openxmlformats.org/officeDocument/2006/relationships/hyperlink" Target="http://www.sec.gov/ix?doc=/Archives/edgar/data/4515/000000620120000059/a8k041420caresactterms.htm" TargetMode="External"/><Relationship Id="rId103" Type="http://schemas.openxmlformats.org/officeDocument/2006/relationships/hyperlink" Target="http://www.sec.gov/ix?doc=/Archives/edgar/data/4515/000119312520114148/d879155d8k.htm" TargetMode="External"/><Relationship Id="rId104" Type="http://schemas.openxmlformats.org/officeDocument/2006/relationships/hyperlink" Target="http://www.sec.gov/Archives/edgar/data/6201/000119312520123363/d826751ddef14a.htm" TargetMode="External"/><Relationship Id="rId114" Type="http://schemas.openxmlformats.org/officeDocument/2006/relationships/hyperlink" Target="http://www.sec.gov/ix?doc=/Archives/edgar/data/4515/000000620120000023/a10k123119.htm" TargetMode="External"/><Relationship Id="rId115" Type="http://schemas.openxmlformats.org/officeDocument/2006/relationships/hyperlink" Target="http://www.sec.gov/Archives/edgar/data/6201/000119312519125401/d672951ddef14a.htm" TargetMode="External"/><Relationship Id="rId116" Type="http://schemas.openxmlformats.org/officeDocument/2006/relationships/hyperlink" Target="http://www.sec.gov/Archives/edgar/data/6201/000119312513460503/d63733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2020-06-22T05:23:57Z</dcterms:created>
  <dcterms:modified xsi:type="dcterms:W3CDTF">2020-06-22T05:23:57Z</dcterms:modified>
</cp:coreProperties>
</file>