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74930</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7"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48895</wp:posOffset>
            </wp:positionV>
            <wp:extent cx="2640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7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131"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92075</wp:posOffset>
            </wp:positionV>
            <wp:extent cx="3960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46990</wp:posOffset>
            </wp:positionV>
            <wp:extent cx="3960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00" w:lineRule="exact"/>
        <w:rPr>
          <w:sz w:val="24"/>
          <w:szCs w:val="24"/>
          <w:color w:val="auto"/>
        </w:rPr>
      </w:pPr>
    </w:p>
    <w:tbl>
      <w:tblPr>
        <w:tblLayout w:type="fixed"/>
        <w:tblInd w:w="1180" w:type="dxa"/>
        <w:tblCellMar>
          <w:top w:w="0" w:type="dxa"/>
          <w:left w:w="0" w:type="dxa"/>
          <w:bottom w:w="0" w:type="dxa"/>
          <w:right w:w="0" w:type="dxa"/>
        </w:tblCellMar>
      </w:tblPr>
      <w:tr>
        <w:trPr>
          <w:trHeight w:val="227"/>
        </w:trPr>
        <w:tc>
          <w:tcPr>
            <w:tcW w:w="4160" w:type="dxa"/>
            <w:vAlign w:val="bottom"/>
          </w:tcPr>
          <w:p>
            <w:pPr>
              <w:jc w:val="center"/>
              <w:ind w:right="384"/>
              <w:spacing w:after="0"/>
              <w:rPr>
                <w:sz w:val="20"/>
                <w:szCs w:val="20"/>
                <w:color w:val="auto"/>
              </w:rPr>
            </w:pPr>
            <w:r>
              <w:rPr>
                <w:rFonts w:ascii="Arial" w:cs="Arial" w:eastAsia="Arial" w:hAnsi="Arial"/>
                <w:sz w:val="16"/>
                <w:szCs w:val="16"/>
                <w:b w:val="1"/>
                <w:bCs w:val="1"/>
                <w:color w:val="auto"/>
                <w:w w:val="99"/>
              </w:rPr>
              <w:t>Delaware</w:t>
            </w:r>
          </w:p>
        </w:tc>
        <w:tc>
          <w:tcPr>
            <w:tcW w:w="3820" w:type="dxa"/>
            <w:vAlign w:val="bottom"/>
          </w:tcPr>
          <w:p>
            <w:pPr>
              <w:jc w:val="center"/>
              <w:ind w:left="364"/>
              <w:spacing w:after="0"/>
              <w:rPr>
                <w:sz w:val="20"/>
                <w:szCs w:val="20"/>
                <w:color w:val="auto"/>
              </w:rPr>
            </w:pPr>
            <w:r>
              <w:rPr>
                <w:rFonts w:ascii="Arial" w:cs="Arial" w:eastAsia="Arial" w:hAnsi="Arial"/>
                <w:sz w:val="16"/>
                <w:szCs w:val="16"/>
                <w:b w:val="1"/>
                <w:bCs w:val="1"/>
                <w:color w:val="auto"/>
              </w:rPr>
              <w:t>75-1825172</w:t>
            </w:r>
          </w:p>
        </w:tc>
      </w:tr>
      <w:tr>
        <w:trPr>
          <w:trHeight w:val="178"/>
        </w:trPr>
        <w:tc>
          <w:tcPr>
            <w:tcW w:w="4160" w:type="dxa"/>
            <w:vAlign w:val="bottom"/>
          </w:tcPr>
          <w:p>
            <w:pPr>
              <w:jc w:val="center"/>
              <w:ind w:right="384"/>
              <w:spacing w:after="0"/>
              <w:rPr>
                <w:sz w:val="20"/>
                <w:szCs w:val="20"/>
                <w:color w:val="auto"/>
              </w:rPr>
            </w:pPr>
            <w:r>
              <w:rPr>
                <w:rFonts w:ascii="Arial" w:cs="Arial" w:eastAsia="Arial" w:hAnsi="Arial"/>
                <w:sz w:val="14"/>
                <w:szCs w:val="14"/>
                <w:color w:val="auto"/>
              </w:rPr>
              <w:t>(State or other jurisdiction of incorporation or organization)</w:t>
            </w:r>
          </w:p>
        </w:tc>
        <w:tc>
          <w:tcPr>
            <w:tcW w:w="3820" w:type="dxa"/>
            <w:vAlign w:val="bottom"/>
          </w:tcPr>
          <w:p>
            <w:pPr>
              <w:jc w:val="center"/>
              <w:ind w:left="364"/>
              <w:spacing w:after="0"/>
              <w:rPr>
                <w:sz w:val="20"/>
                <w:szCs w:val="20"/>
                <w:color w:val="auto"/>
              </w:rPr>
            </w:pPr>
            <w:r>
              <w:rPr>
                <w:rFonts w:ascii="Arial" w:cs="Arial" w:eastAsia="Arial" w:hAnsi="Arial"/>
                <w:sz w:val="14"/>
                <w:szCs w:val="14"/>
                <w:color w:val="auto"/>
              </w:rPr>
              <w:t>(I.R.S. Employer Identification No.)</w:t>
            </w:r>
          </w:p>
        </w:tc>
      </w:tr>
      <w:tr>
        <w:trPr>
          <w:trHeight w:val="227"/>
        </w:trPr>
        <w:tc>
          <w:tcPr>
            <w:tcW w:w="4160" w:type="dxa"/>
            <w:vAlign w:val="bottom"/>
          </w:tcPr>
          <w:p>
            <w:pPr>
              <w:ind w:left="380"/>
              <w:spacing w:after="0"/>
              <w:rPr>
                <w:sz w:val="20"/>
                <w:szCs w:val="20"/>
                <w:color w:val="auto"/>
              </w:rPr>
            </w:pPr>
            <w:r>
              <w:rPr>
                <w:rFonts w:ascii="Arial" w:cs="Arial" w:eastAsia="Arial" w:hAnsi="Arial"/>
                <w:sz w:val="16"/>
                <w:szCs w:val="16"/>
                <w:b w:val="1"/>
                <w:bCs w:val="1"/>
                <w:color w:val="auto"/>
              </w:rPr>
              <w:t>1 Skyview Drive, Fort Worth,   Texas    76155</w:t>
            </w:r>
          </w:p>
        </w:tc>
        <w:tc>
          <w:tcPr>
            <w:tcW w:w="3820" w:type="dxa"/>
            <w:vAlign w:val="bottom"/>
          </w:tcPr>
          <w:p>
            <w:pPr>
              <w:jc w:val="right"/>
              <w:ind w:right="884"/>
              <w:spacing w:after="0"/>
              <w:rPr>
                <w:sz w:val="20"/>
                <w:szCs w:val="20"/>
                <w:color w:val="auto"/>
              </w:rPr>
            </w:pPr>
            <w:r>
              <w:rPr>
                <w:rFonts w:ascii="Arial" w:cs="Arial" w:eastAsia="Arial" w:hAnsi="Arial"/>
                <w:sz w:val="16"/>
                <w:szCs w:val="16"/>
                <w:b w:val="1"/>
                <w:bCs w:val="1"/>
                <w:color w:val="auto"/>
              </w:rPr>
              <w:t>(682) 278-9000</w:t>
            </w:r>
          </w:p>
        </w:tc>
      </w:tr>
      <w:tr>
        <w:trPr>
          <w:trHeight w:val="184"/>
        </w:trPr>
        <w:tc>
          <w:tcPr>
            <w:tcW w:w="4160" w:type="dxa"/>
            <w:vAlign w:val="bottom"/>
          </w:tcPr>
          <w:p>
            <w:pPr>
              <w:jc w:val="center"/>
              <w:ind w:right="404"/>
              <w:spacing w:after="0"/>
              <w:rPr>
                <w:sz w:val="20"/>
                <w:szCs w:val="20"/>
                <w:color w:val="auto"/>
              </w:rPr>
            </w:pPr>
            <w:r>
              <w:rPr>
                <w:rFonts w:ascii="Arial" w:cs="Arial" w:eastAsia="Arial" w:hAnsi="Arial"/>
                <w:sz w:val="14"/>
                <w:szCs w:val="14"/>
                <w:color w:val="auto"/>
              </w:rPr>
              <w:t>(Address of principal executive offices, including zip code)</w:t>
            </w:r>
          </w:p>
        </w:tc>
        <w:tc>
          <w:tcPr>
            <w:tcW w:w="3820" w:type="dxa"/>
            <w:vAlign w:val="bottom"/>
          </w:tcPr>
          <w:p>
            <w:pPr>
              <w:jc w:val="center"/>
              <w:ind w:left="364"/>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92075</wp:posOffset>
            </wp:positionV>
            <wp:extent cx="396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38100</wp:posOffset>
            </wp:positionV>
            <wp:extent cx="3960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980" w:type="dxa"/>
            <w:vAlign w:val="bottom"/>
            <w:gridSpan w:val="3"/>
          </w:tcPr>
          <w:p>
            <w:pPr>
              <w:jc w:val="center"/>
              <w:ind w:left="1001"/>
              <w:spacing w:after="0"/>
              <w:rPr>
                <w:sz w:val="20"/>
                <w:szCs w:val="20"/>
                <w:color w:val="auto"/>
              </w:rPr>
            </w:pPr>
            <w:r>
              <w:rPr>
                <w:rFonts w:ascii="Arial" w:cs="Arial" w:eastAsia="Arial" w:hAnsi="Arial"/>
                <w:sz w:val="16"/>
                <w:szCs w:val="16"/>
                <w:b w:val="1"/>
                <w:bCs w:val="1"/>
                <w:color w:val="auto"/>
                <w:w w:val="99"/>
              </w:rPr>
              <w:t>Delaware</w:t>
            </w:r>
          </w:p>
        </w:tc>
        <w:tc>
          <w:tcPr>
            <w:tcW w:w="1780" w:type="dxa"/>
            <w:vAlign w:val="bottom"/>
          </w:tcPr>
          <w:p>
            <w:pPr>
              <w:spacing w:after="0"/>
              <w:rPr>
                <w:sz w:val="19"/>
                <w:szCs w:val="19"/>
                <w:color w:val="auto"/>
              </w:rPr>
            </w:pPr>
          </w:p>
        </w:tc>
        <w:tc>
          <w:tcPr>
            <w:tcW w:w="4480" w:type="dxa"/>
            <w:vAlign w:val="bottom"/>
            <w:gridSpan w:val="3"/>
          </w:tcPr>
          <w:p>
            <w:pPr>
              <w:jc w:val="center"/>
              <w:ind w:right="2979"/>
              <w:spacing w:after="0"/>
              <w:rPr>
                <w:sz w:val="20"/>
                <w:szCs w:val="20"/>
                <w:color w:val="auto"/>
              </w:rPr>
            </w:pPr>
            <w:r>
              <w:rPr>
                <w:rFonts w:ascii="Arial" w:cs="Arial" w:eastAsia="Arial" w:hAnsi="Arial"/>
                <w:sz w:val="16"/>
                <w:szCs w:val="16"/>
                <w:b w:val="1"/>
                <w:bCs w:val="1"/>
                <w:color w:val="auto"/>
              </w:rPr>
              <w:t>13-1502798</w:t>
            </w:r>
          </w:p>
        </w:tc>
        <w:tc>
          <w:tcPr>
            <w:tcW w:w="0" w:type="dxa"/>
            <w:vAlign w:val="bottom"/>
          </w:tcPr>
          <w:p>
            <w:pPr>
              <w:spacing w:after="0"/>
              <w:rPr>
                <w:sz w:val="1"/>
                <w:szCs w:val="1"/>
                <w:color w:val="auto"/>
              </w:rPr>
            </w:pPr>
          </w:p>
        </w:tc>
      </w:tr>
      <w:tr>
        <w:trPr>
          <w:trHeight w:val="185"/>
        </w:trPr>
        <w:tc>
          <w:tcPr>
            <w:tcW w:w="4980" w:type="dxa"/>
            <w:vAlign w:val="bottom"/>
            <w:gridSpan w:val="3"/>
          </w:tcPr>
          <w:p>
            <w:pPr>
              <w:jc w:val="center"/>
              <w:ind w:left="1001"/>
              <w:spacing w:after="0"/>
              <w:rPr>
                <w:sz w:val="20"/>
                <w:szCs w:val="20"/>
                <w:color w:val="auto"/>
              </w:rPr>
            </w:pPr>
            <w:r>
              <w:rPr>
                <w:rFonts w:ascii="Arial" w:cs="Arial" w:eastAsia="Arial" w:hAnsi="Arial"/>
                <w:sz w:val="14"/>
                <w:szCs w:val="14"/>
                <w:color w:val="auto"/>
              </w:rPr>
              <w:t>(State or other jurisdiction of incorporation or organization)</w:t>
            </w:r>
          </w:p>
        </w:tc>
        <w:tc>
          <w:tcPr>
            <w:tcW w:w="6260" w:type="dxa"/>
            <w:vAlign w:val="bottom"/>
            <w:gridSpan w:val="4"/>
          </w:tcPr>
          <w:p>
            <w:pPr>
              <w:jc w:val="center"/>
              <w:ind w:right="119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34"/>
        </w:trPr>
        <w:tc>
          <w:tcPr>
            <w:tcW w:w="4980" w:type="dxa"/>
            <w:vAlign w:val="bottom"/>
            <w:gridSpan w:val="3"/>
          </w:tcPr>
          <w:p>
            <w:pPr>
              <w:ind w:left="1560"/>
              <w:spacing w:after="0"/>
              <w:rPr>
                <w:sz w:val="20"/>
                <w:szCs w:val="20"/>
                <w:color w:val="auto"/>
              </w:rPr>
            </w:pPr>
            <w:r>
              <w:rPr>
                <w:rFonts w:ascii="Arial" w:cs="Arial" w:eastAsia="Arial" w:hAnsi="Arial"/>
                <w:sz w:val="16"/>
                <w:szCs w:val="16"/>
                <w:b w:val="1"/>
                <w:bCs w:val="1"/>
                <w:color w:val="auto"/>
              </w:rPr>
              <w:t>1 Skyview Drive, Fort Worth,   Texas    76155</w:t>
            </w:r>
          </w:p>
        </w:tc>
        <w:tc>
          <w:tcPr>
            <w:tcW w:w="1780" w:type="dxa"/>
            <w:vAlign w:val="bottom"/>
          </w:tcPr>
          <w:p>
            <w:pPr>
              <w:spacing w:after="0"/>
              <w:rPr>
                <w:sz w:val="20"/>
                <w:szCs w:val="20"/>
                <w:color w:val="auto"/>
              </w:rPr>
            </w:pPr>
          </w:p>
        </w:tc>
        <w:tc>
          <w:tcPr>
            <w:tcW w:w="4480" w:type="dxa"/>
            <w:vAlign w:val="bottom"/>
            <w:gridSpan w:val="3"/>
          </w:tcPr>
          <w:p>
            <w:pPr>
              <w:jc w:val="right"/>
              <w:ind w:right="2959"/>
              <w:spacing w:after="0"/>
              <w:rPr>
                <w:sz w:val="20"/>
                <w:szCs w:val="20"/>
                <w:color w:val="auto"/>
              </w:rPr>
            </w:pPr>
            <w:r>
              <w:rPr>
                <w:rFonts w:ascii="Arial" w:cs="Arial" w:eastAsia="Arial" w:hAnsi="Arial"/>
                <w:sz w:val="16"/>
                <w:szCs w:val="16"/>
                <w:b w:val="1"/>
                <w:bCs w:val="1"/>
                <w:color w:val="auto"/>
              </w:rPr>
              <w:t>(682) 278-9000</w:t>
            </w:r>
          </w:p>
        </w:tc>
        <w:tc>
          <w:tcPr>
            <w:tcW w:w="0" w:type="dxa"/>
            <w:vAlign w:val="bottom"/>
          </w:tcPr>
          <w:p>
            <w:pPr>
              <w:spacing w:after="0"/>
              <w:rPr>
                <w:sz w:val="1"/>
                <w:szCs w:val="1"/>
                <w:color w:val="auto"/>
              </w:rPr>
            </w:pPr>
          </w:p>
        </w:tc>
      </w:tr>
      <w:tr>
        <w:trPr>
          <w:trHeight w:val="185"/>
        </w:trPr>
        <w:tc>
          <w:tcPr>
            <w:tcW w:w="4980" w:type="dxa"/>
            <w:vAlign w:val="bottom"/>
            <w:gridSpan w:val="3"/>
          </w:tcPr>
          <w:p>
            <w:pPr>
              <w:jc w:val="center"/>
              <w:ind w:left="981"/>
              <w:spacing w:after="0"/>
              <w:rPr>
                <w:sz w:val="20"/>
                <w:szCs w:val="20"/>
                <w:color w:val="auto"/>
              </w:rPr>
            </w:pPr>
            <w:r>
              <w:rPr>
                <w:rFonts w:ascii="Arial" w:cs="Arial" w:eastAsia="Arial" w:hAnsi="Arial"/>
                <w:sz w:val="14"/>
                <w:szCs w:val="14"/>
                <w:color w:val="auto"/>
              </w:rPr>
              <w:t>(Address of principal executive offices, including zip code)</w:t>
            </w:r>
          </w:p>
        </w:tc>
        <w:tc>
          <w:tcPr>
            <w:tcW w:w="6260" w:type="dxa"/>
            <w:vAlign w:val="bottom"/>
            <w:gridSpan w:val="4"/>
          </w:tcPr>
          <w:p>
            <w:pPr>
              <w:jc w:val="center"/>
              <w:ind w:right="1199"/>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357"/>
        </w:trPr>
        <w:tc>
          <w:tcPr>
            <w:tcW w:w="498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980" w:type="dxa"/>
            <w:vAlign w:val="bottom"/>
            <w:gridSpan w:val="3"/>
          </w:tcPr>
          <w:p>
            <w:pPr>
              <w:jc w:val="center"/>
              <w:ind w:right="1100"/>
              <w:spacing w:after="0"/>
              <w:rPr>
                <w:sz w:val="20"/>
                <w:szCs w:val="20"/>
                <w:color w:val="auto"/>
              </w:rPr>
            </w:pPr>
            <w:r>
              <w:rPr>
                <w:rFonts w:ascii="Arial" w:cs="Arial" w:eastAsia="Arial" w:hAnsi="Arial"/>
                <w:sz w:val="16"/>
                <w:szCs w:val="16"/>
                <w:b w:val="1"/>
                <w:bCs w:val="1"/>
                <w:color w:val="auto"/>
              </w:rPr>
              <w:t>Title of each class</w:t>
            </w:r>
          </w:p>
        </w:tc>
        <w:tc>
          <w:tcPr>
            <w:tcW w:w="1780" w:type="dxa"/>
            <w:vAlign w:val="bottom"/>
          </w:tcPr>
          <w:p>
            <w:pPr>
              <w:jc w:val="center"/>
              <w:ind w:right="123"/>
              <w:spacing w:after="0"/>
              <w:rPr>
                <w:sz w:val="20"/>
                <w:szCs w:val="20"/>
                <w:color w:val="auto"/>
              </w:rPr>
            </w:pPr>
            <w:r>
              <w:rPr>
                <w:rFonts w:ascii="Arial" w:cs="Arial" w:eastAsia="Arial" w:hAnsi="Arial"/>
                <w:sz w:val="16"/>
                <w:szCs w:val="16"/>
                <w:b w:val="1"/>
                <w:bCs w:val="1"/>
                <w:color w:val="auto"/>
              </w:rPr>
              <w:t>Trading Symbol(s)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56"/>
        </w:trPr>
        <w:tc>
          <w:tcPr>
            <w:tcW w:w="38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rPr>
              <w:t>Common Stock, $0.01 par value per share</w:t>
            </w: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123"/>
              <w:spacing w:after="0" w:line="156" w:lineRule="exact"/>
              <w:rPr>
                <w:sz w:val="20"/>
                <w:szCs w:val="20"/>
                <w:color w:val="auto"/>
              </w:rPr>
            </w:pPr>
            <w:r>
              <w:rPr>
                <w:rFonts w:ascii="Arial" w:cs="Arial" w:eastAsia="Arial" w:hAnsi="Arial"/>
                <w:sz w:val="16"/>
                <w:szCs w:val="16"/>
                <w:b w:val="1"/>
                <w:bCs w:val="1"/>
                <w:color w:val="auto"/>
              </w:rPr>
              <w:t>AAL</w:t>
            </w: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145"/>
        </w:trPr>
        <w:tc>
          <w:tcPr>
            <w:tcW w:w="4980" w:type="dxa"/>
            <w:vAlign w:val="bottom"/>
            <w:gridSpan w:val="3"/>
            <w:vMerge w:val="restart"/>
          </w:tcPr>
          <w:p>
            <w:pPr>
              <w:jc w:val="center"/>
              <w:ind w:right="1100"/>
              <w:spacing w:after="0"/>
              <w:rPr>
                <w:sz w:val="20"/>
                <w:szCs w:val="20"/>
                <w:color w:val="auto"/>
              </w:rPr>
            </w:pPr>
            <w:r>
              <w:rPr>
                <w:rFonts w:ascii="Arial" w:cs="Arial" w:eastAsia="Arial" w:hAnsi="Arial"/>
                <w:sz w:val="16"/>
                <w:szCs w:val="16"/>
                <w:b w:val="1"/>
                <w:bCs w:val="1"/>
                <w:color w:val="auto"/>
              </w:rPr>
              <w:t>Preferred Stock Purchase Rights</w:t>
            </w:r>
          </w:p>
        </w:tc>
        <w:tc>
          <w:tcPr>
            <w:tcW w:w="1780" w:type="dxa"/>
            <w:vAlign w:val="bottom"/>
            <w:vMerge w:val="restart"/>
          </w:tcPr>
          <w:p>
            <w:pPr>
              <w:jc w:val="center"/>
              <w:ind w:right="123"/>
              <w:spacing w:after="0"/>
              <w:rPr>
                <w:sz w:val="20"/>
                <w:szCs w:val="20"/>
                <w:color w:val="auto"/>
              </w:rPr>
            </w:pPr>
            <w:r>
              <w:rPr>
                <w:rFonts w:ascii="Arial" w:cs="Arial" w:eastAsia="Arial" w:hAnsi="Arial"/>
                <w:sz w:val="16"/>
                <w:szCs w:val="16"/>
                <w:color w:val="auto"/>
              </w:rPr>
              <w:t>—</w:t>
            </w:r>
          </w:p>
        </w:tc>
        <w:tc>
          <w:tcPr>
            <w:tcW w:w="4480" w:type="dxa"/>
            <w:vAlign w:val="bottom"/>
            <w:gridSpan w:val="3"/>
          </w:tcPr>
          <w:p>
            <w:pPr>
              <w:jc w:val="center"/>
              <w:ind w:left="808"/>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130"/>
        </w:trPr>
        <w:tc>
          <w:tcPr>
            <w:tcW w:w="4980" w:type="dxa"/>
            <w:vAlign w:val="bottom"/>
            <w:gridSpan w:val="3"/>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5" w:lineRule="exact"/>
        <w:rPr>
          <w:sz w:val="24"/>
          <w:szCs w:val="24"/>
          <w:color w:val="auto"/>
        </w:rPr>
      </w:pPr>
    </w:p>
    <w:p>
      <w:pPr>
        <w:ind w:left="180" w:hanging="172"/>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Attached to the Common Stock</w:t>
      </w:r>
    </w:p>
    <w:p>
      <w:pPr>
        <w:spacing w:after="0" w:line="118" w:lineRule="exact"/>
        <w:rPr>
          <w:sz w:val="24"/>
          <w:szCs w:val="24"/>
          <w:color w:val="auto"/>
        </w:rPr>
      </w:pPr>
    </w:p>
    <w:p>
      <w:pPr>
        <w:jc w:val="both"/>
        <w:ind w:firstLine="162"/>
        <w:spacing w:after="0" w:line="27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5" w:lineRule="exact"/>
        <w:rPr>
          <w:sz w:val="24"/>
          <w:szCs w:val="24"/>
          <w:color w:val="auto"/>
        </w:rPr>
      </w:pPr>
    </w:p>
    <w:p>
      <w:pPr>
        <w:ind w:left="20"/>
        <w:spacing w:after="0" w:line="184" w:lineRule="exact"/>
        <w:tabs>
          <w:tab w:leader="none" w:pos="9260" w:val="left"/>
          <w:tab w:leader="none" w:pos="986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260" w:val="left"/>
          <w:tab w:leader="none" w:pos="986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72" w:lineRule="exact"/>
        <w:rPr>
          <w:sz w:val="24"/>
          <w:szCs w:val="24"/>
          <w:color w:val="auto"/>
        </w:rPr>
      </w:pPr>
    </w:p>
    <w:p>
      <w:pPr>
        <w:jc w:val="both"/>
        <w:ind w:firstLine="162"/>
        <w:spacing w:after="0" w:line="27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0" w:lineRule="exact"/>
        <w:rPr>
          <w:sz w:val="24"/>
          <w:szCs w:val="24"/>
          <w:color w:val="auto"/>
        </w:rPr>
      </w:pPr>
    </w:p>
    <w:p>
      <w:pPr>
        <w:ind w:left="20"/>
        <w:spacing w:after="0" w:line="184" w:lineRule="exact"/>
        <w:tabs>
          <w:tab w:leader="none" w:pos="9260" w:val="left"/>
          <w:tab w:leader="none" w:pos="986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260" w:val="left"/>
          <w:tab w:leader="none" w:pos="986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72" w:lineRule="exact"/>
        <w:rPr>
          <w:sz w:val="24"/>
          <w:szCs w:val="24"/>
          <w:color w:val="auto"/>
        </w:rPr>
      </w:pPr>
    </w:p>
    <w:p>
      <w:pPr>
        <w:jc w:val="both"/>
        <w:ind w:firstLine="162"/>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93" w:right="339" w:bottom="192" w:gutter="0" w:footer="0" w:header="0"/>
        </w:sectPr>
      </w:pPr>
    </w:p>
    <w:p>
      <w:pPr>
        <w:spacing w:after="0" w:line="168"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2" w:lineRule="exact"/>
        <w:rPr>
          <w:sz w:val="24"/>
          <w:szCs w:val="24"/>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4"/>
          <w:szCs w:val="24"/>
          <w:color w:val="auto"/>
        </w:rPr>
      </w:pPr>
      <w:r>
        <w:rPr>
          <w:sz w:val="24"/>
          <w:szCs w:val="24"/>
          <w:color w:val="auto"/>
        </w:rPr>
        <w:br w:type="column"/>
      </w:r>
    </w:p>
    <w:p>
      <w:pPr>
        <w:spacing w:after="0" w:line="383" w:lineRule="exact"/>
        <w:tabs>
          <w:tab w:leader="none" w:pos="280" w:val="left"/>
          <w:tab w:leader="none" w:pos="18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52" w:lineRule="exact"/>
        <w:tabs>
          <w:tab w:leader="none" w:pos="280" w:val="left"/>
          <w:tab w:leader="none" w:pos="1860" w:val="left"/>
        </w:tabs>
        <w:rPr>
          <w:sz w:val="20"/>
          <w:szCs w:val="20"/>
          <w:color w:val="auto"/>
        </w:rPr>
      </w:pPr>
      <w:r>
        <w:rPr>
          <w:rFonts w:ascii="MS PGothic" w:cs="MS PGothic" w:eastAsia="MS PGothic" w:hAnsi="MS PGothic"/>
          <w:sz w:val="29"/>
          <w:szCs w:val="29"/>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83" w:lineRule="exact"/>
        <w:tabs>
          <w:tab w:leader="none" w:pos="280" w:val="left"/>
          <w:tab w:leader="none" w:pos="178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52" w:lineRule="exact"/>
        <w:tabs>
          <w:tab w:leader="none" w:pos="280" w:val="left"/>
          <w:tab w:leader="none" w:pos="1780" w:val="left"/>
        </w:tabs>
        <w:rPr>
          <w:sz w:val="20"/>
          <w:szCs w:val="20"/>
          <w:color w:val="auto"/>
        </w:rPr>
      </w:pPr>
      <w:r>
        <w:rPr>
          <w:rFonts w:ascii="MS PGothic" w:cs="MS PGothic" w:eastAsia="MS PGothic" w:hAnsi="MS PGothic"/>
          <w:sz w:val="29"/>
          <w:szCs w:val="29"/>
          <w:color w:val="auto"/>
          <w:vertAlign w:val="subscript"/>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3">
            <w:col w:w="1620" w:space="300"/>
            <w:col w:w="3020" w:space="300"/>
            <w:col w:w="6000"/>
          </w:cols>
          <w:pgMar w:left="320" w:top="1093" w:right="339" w:bottom="192" w:gutter="0" w:footer="0" w:header="0"/>
          <w:type w:val="continuous"/>
        </w:sectPr>
      </w:pPr>
    </w:p>
    <w:p>
      <w:pPr>
        <w:spacing w:after="0" w:line="181" w:lineRule="exact"/>
        <w:rPr>
          <w:sz w:val="24"/>
          <w:szCs w:val="24"/>
          <w:color w:val="auto"/>
        </w:rPr>
      </w:pPr>
    </w:p>
    <w:p>
      <w:pPr>
        <w:ind w:firstLine="162"/>
        <w:spacing w:after="0" w:line="27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5" w:lineRule="exact"/>
        <w:rPr>
          <w:sz w:val="24"/>
          <w:szCs w:val="24"/>
          <w:color w:val="auto"/>
        </w:rPr>
      </w:pPr>
    </w:p>
    <w:p>
      <w:pPr>
        <w:ind w:left="20"/>
        <w:spacing w:after="0" w:line="184" w:lineRule="exact"/>
        <w:tabs>
          <w:tab w:leader="none" w:pos="97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113" w:lineRule="exact"/>
        <w:rPr>
          <w:sz w:val="24"/>
          <w:szCs w:val="24"/>
          <w:color w:val="auto"/>
        </w:rPr>
      </w:pPr>
    </w:p>
    <w:p>
      <w:pPr>
        <w:ind w:left="20"/>
        <w:spacing w:after="0" w:line="184" w:lineRule="exact"/>
        <w:tabs>
          <w:tab w:leader="none" w:pos="97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189"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0" w:lineRule="exact"/>
        <w:rPr>
          <w:sz w:val="24"/>
          <w:szCs w:val="24"/>
          <w:color w:val="auto"/>
        </w:rPr>
      </w:pPr>
    </w:p>
    <w:p>
      <w:pPr>
        <w:ind w:left="20"/>
        <w:spacing w:after="0" w:line="184" w:lineRule="exact"/>
        <w:tabs>
          <w:tab w:leader="none" w:pos="9260" w:val="left"/>
          <w:tab w:leader="none" w:pos="986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260" w:val="left"/>
          <w:tab w:leader="none" w:pos="986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05"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14, 2023, there were 653,362,436 shares of American Airlines Group Inc. common stock outstanding.</w:t>
      </w:r>
    </w:p>
    <w:p>
      <w:pPr>
        <w:spacing w:after="0" w:line="11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14, 2023,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3" w:right="339" w:bottom="19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419100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June 30,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940" w:type="dxa"/>
            <w:vAlign w:val="bottom"/>
            <w:gridSpan w:val="11"/>
            <w:vMerge w:val="restart"/>
          </w:tcPr>
          <w:p>
            <w:pPr>
              <w:jc w:val="center"/>
              <w:ind w:right="3020"/>
              <w:spacing w:after="0"/>
              <w:rPr>
                <w:sz w:val="20"/>
                <w:szCs w:val="20"/>
                <w:color w:val="auto"/>
              </w:rPr>
            </w:pPr>
            <w:r>
              <w:rPr>
                <w:rFonts w:ascii="Arial" w:cs="Arial" w:eastAsia="Arial" w:hAnsi="Arial"/>
                <w:sz w:val="18"/>
                <w:szCs w:val="18"/>
                <w:b w:val="1"/>
                <w:bCs w:val="1"/>
                <w:color w:val="auto"/>
                <w:w w:val="98"/>
              </w:rPr>
              <w:t>PART I: FINANCIAL INFORMATION</w:t>
            </w:r>
          </w:p>
        </w:tc>
        <w:tc>
          <w:tcPr>
            <w:tcW w:w="6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40" w:type="dxa"/>
            <w:vAlign w:val="bottom"/>
            <w:gridSpan w:val="11"/>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40" w:type="dxa"/>
            <w:vAlign w:val="bottom"/>
            <w:gridSpan w:val="2"/>
          </w:tcPr>
          <w:p>
            <w:pPr>
              <w:spacing w:after="0" w:line="190" w:lineRule="exact"/>
              <w:rPr>
                <w:sz w:val="20"/>
                <w:szCs w:val="20"/>
                <w:color w:val="auto"/>
              </w:rPr>
            </w:pPr>
            <w:r>
              <w:rPr>
                <w:rFonts w:ascii="Arial" w:cs="Arial" w:eastAsia="Arial" w:hAnsi="Arial"/>
                <w:sz w:val="18"/>
                <w:szCs w:val="18"/>
                <w:color w:val="auto"/>
              </w:rPr>
              <w:t>Item 1A.</w:t>
            </w:r>
          </w:p>
        </w:tc>
        <w:tc>
          <w:tcPr>
            <w:tcW w:w="6280" w:type="dxa"/>
            <w:vAlign w:val="bottom"/>
            <w:tcBorders>
              <w:bottom w:val="single" w:sz="8" w:color="0000FF"/>
            </w:tcBorders>
            <w:gridSpan w:val="14"/>
          </w:tcPr>
          <w:p>
            <w:pPr>
              <w:spacing w:after="0" w:line="190" w:lineRule="exact"/>
              <w:rPr>
                <w:sz w:val="20"/>
                <w:szCs w:val="20"/>
                <w:color w:val="auto"/>
              </w:rPr>
            </w:pPr>
            <w:r>
              <w:rPr>
                <w:rFonts w:ascii="Arial" w:cs="Arial" w:eastAsia="Arial" w:hAnsi="Arial"/>
                <w:sz w:val="18"/>
                <w:szCs w:val="18"/>
                <w:color w:val="0000FF"/>
                <w:w w:val="99"/>
              </w:rPr>
              <w:t>Condensed Consolidated Financial Statements of American Airlines Group Inc.</w:t>
            </w:r>
          </w:p>
        </w:tc>
        <w:tc>
          <w:tcPr>
            <w:tcW w:w="2660" w:type="dxa"/>
            <w:vAlign w:val="bottom"/>
            <w:gridSpan w:val="2"/>
          </w:tcPr>
          <w:p>
            <w:pPr>
              <w:spacing w:after="0"/>
              <w:rPr>
                <w:sz w:val="16"/>
                <w:szCs w:val="16"/>
                <w:color w:val="auto"/>
              </w:rPr>
            </w:pPr>
          </w:p>
        </w:tc>
        <w:tc>
          <w:tcPr>
            <w:tcW w:w="52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4820" w:type="dxa"/>
            <w:vAlign w:val="bottom"/>
            <w:gridSpan w:val="9"/>
          </w:tcPr>
          <w:p>
            <w:pPr>
              <w:spacing w:after="0"/>
              <w:rPr>
                <w:sz w:val="18"/>
                <w:szCs w:val="18"/>
                <w:color w:val="auto"/>
              </w:rPr>
            </w:pPr>
          </w:p>
        </w:tc>
        <w:tc>
          <w:tcPr>
            <w:tcW w:w="5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94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62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2340" w:type="dxa"/>
            <w:vAlign w:val="bottom"/>
            <w:tcBorders>
              <w:top w:val="single" w:sz="8" w:color="0000FF"/>
            </w:tcBorders>
            <w:gridSpan w:val="6"/>
          </w:tcPr>
          <w:p>
            <w:pPr>
              <w:spacing w:after="0"/>
              <w:rPr>
                <w:sz w:val="19"/>
                <w:szCs w:val="19"/>
                <w:color w:val="auto"/>
              </w:rPr>
            </w:pPr>
          </w:p>
        </w:tc>
        <w:tc>
          <w:tcPr>
            <w:tcW w:w="3260" w:type="dxa"/>
            <w:vAlign w:val="bottom"/>
            <w:gridSpan w:val="4"/>
          </w:tcPr>
          <w:p>
            <w:pPr>
              <w:spacing w:after="0"/>
              <w:rPr>
                <w:sz w:val="19"/>
                <w:szCs w:val="19"/>
                <w:color w:val="auto"/>
              </w:rPr>
            </w:pPr>
          </w:p>
        </w:tc>
        <w:tc>
          <w:tcPr>
            <w:tcW w:w="520" w:type="dxa"/>
            <w:vAlign w:val="bottom"/>
            <w:gridSpan w:val="2"/>
          </w:tcPr>
          <w:p>
            <w:pPr>
              <w:spacing w:after="0"/>
              <w:rPr>
                <w:sz w:val="19"/>
                <w:szCs w:val="19"/>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760" w:type="dxa"/>
            <w:vAlign w:val="bottom"/>
            <w:gridSpan w:val="8"/>
          </w:tcPr>
          <w:p>
            <w:pPr>
              <w:spacing w:after="0"/>
              <w:rPr>
                <w:sz w:val="18"/>
                <w:szCs w:val="18"/>
                <w:color w:val="auto"/>
              </w:rPr>
            </w:pPr>
          </w:p>
        </w:tc>
        <w:tc>
          <w:tcPr>
            <w:tcW w:w="5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Condensed Consolidated Statements of Stockholders’ Deficit</w:t>
            </w:r>
          </w:p>
        </w:tc>
        <w:tc>
          <w:tcPr>
            <w:tcW w:w="4080" w:type="dxa"/>
            <w:vAlign w:val="bottom"/>
            <w:gridSpan w:val="5"/>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780" w:type="dxa"/>
            <w:vAlign w:val="bottom"/>
            <w:gridSpan w:val="10"/>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4160" w:type="dxa"/>
            <w:vAlign w:val="bottom"/>
            <w:gridSpan w:val="6"/>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0000FF"/>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7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Financial Statements of American Airlines, Inc.</w:t>
            </w:r>
          </w:p>
        </w:tc>
        <w:tc>
          <w:tcPr>
            <w:tcW w:w="31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4820" w:type="dxa"/>
            <w:vAlign w:val="bottom"/>
            <w:gridSpan w:val="9"/>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94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620" w:type="dxa"/>
            <w:vAlign w:val="bottom"/>
            <w:gridSpan w:val="3"/>
          </w:tcPr>
          <w:p>
            <w:pPr>
              <w:jc w:val="right"/>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2340" w:type="dxa"/>
            <w:vAlign w:val="bottom"/>
            <w:tcBorders>
              <w:top w:val="single" w:sz="8" w:color="0000FF"/>
            </w:tcBorders>
            <w:gridSpan w:val="6"/>
          </w:tcPr>
          <w:p>
            <w:pPr>
              <w:spacing w:after="0"/>
              <w:rPr>
                <w:sz w:val="18"/>
                <w:szCs w:val="18"/>
                <w:color w:val="auto"/>
              </w:rPr>
            </w:pPr>
          </w:p>
        </w:tc>
        <w:tc>
          <w:tcPr>
            <w:tcW w:w="3260" w:type="dxa"/>
            <w:vAlign w:val="bottom"/>
            <w:gridSpan w:val="4"/>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760" w:type="dxa"/>
            <w:vAlign w:val="bottom"/>
            <w:gridSpan w:val="8"/>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94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620" w:type="dxa"/>
            <w:vAlign w:val="bottom"/>
            <w:gridSpan w:val="3"/>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80" w:type="dxa"/>
            <w:vAlign w:val="bottom"/>
            <w:tcBorders>
              <w:top w:val="single" w:sz="8" w:color="0000FF"/>
            </w:tcBorders>
          </w:tcPr>
          <w:p>
            <w:pPr>
              <w:spacing w:after="0"/>
              <w:rPr>
                <w:sz w:val="18"/>
                <w:szCs w:val="18"/>
                <w:color w:val="auto"/>
              </w:rPr>
            </w:pPr>
          </w:p>
        </w:tc>
        <w:tc>
          <w:tcPr>
            <w:tcW w:w="4080" w:type="dxa"/>
            <w:vAlign w:val="bottom"/>
            <w:gridSpan w:val="5"/>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2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Controls and Procedures</w:t>
            </w:r>
          </w:p>
        </w:tc>
        <w:tc>
          <w:tcPr>
            <w:tcW w:w="4240" w:type="dxa"/>
            <w:vAlign w:val="bottom"/>
            <w:gridSpan w:val="7"/>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6940" w:type="dxa"/>
            <w:vAlign w:val="bottom"/>
            <w:gridSpan w:val="11"/>
          </w:tcPr>
          <w:p>
            <w:pPr>
              <w:jc w:val="center"/>
              <w:ind w:right="3020"/>
              <w:spacing w:after="0"/>
              <w:rPr>
                <w:sz w:val="20"/>
                <w:szCs w:val="20"/>
                <w:color w:val="auto"/>
              </w:rPr>
            </w:pPr>
            <w:r>
              <w:rPr>
                <w:rFonts w:ascii="Arial" w:cs="Arial" w:eastAsia="Arial" w:hAnsi="Arial"/>
                <w:sz w:val="18"/>
                <w:szCs w:val="18"/>
                <w:b w:val="1"/>
                <w:bCs w:val="1"/>
                <w:color w:val="auto"/>
                <w:w w:val="99"/>
              </w:rPr>
              <w:t>PART II: OTHER INFORMATION</w:t>
            </w:r>
          </w:p>
        </w:tc>
        <w:tc>
          <w:tcPr>
            <w:tcW w:w="44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6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line="190" w:lineRule="exact"/>
              <w:rPr>
                <w:sz w:val="20"/>
                <w:szCs w:val="20"/>
                <w:color w:val="auto"/>
              </w:rPr>
            </w:pPr>
            <w:r>
              <w:rPr>
                <w:rFonts w:ascii="Arial" w:cs="Arial" w:eastAsia="Arial" w:hAnsi="Arial"/>
                <w:sz w:val="18"/>
                <w:szCs w:val="18"/>
                <w:color w:val="0000FF"/>
                <w:w w:val="99"/>
              </w:rPr>
              <w:t>Legal Proceedings</w:t>
            </w:r>
          </w:p>
        </w:tc>
        <w:tc>
          <w:tcPr>
            <w:tcW w:w="7440" w:type="dxa"/>
            <w:vAlign w:val="bottom"/>
            <w:gridSpan w:val="12"/>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94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620" w:type="dxa"/>
            <w:vAlign w:val="bottom"/>
            <w:gridSpan w:val="3"/>
          </w:tcPr>
          <w:p>
            <w:pPr>
              <w:jc w:val="right"/>
              <w:spacing w:after="0"/>
              <w:rPr>
                <w:sz w:val="20"/>
                <w:szCs w:val="20"/>
                <w:color w:val="auto"/>
              </w:rPr>
            </w:pPr>
            <w:r>
              <w:rPr>
                <w:rFonts w:ascii="Arial" w:cs="Arial" w:eastAsia="Arial" w:hAnsi="Arial"/>
                <w:sz w:val="18"/>
                <w:szCs w:val="18"/>
                <w:color w:val="0000FF"/>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9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620" w:type="dxa"/>
            <w:vAlign w:val="bottom"/>
            <w:gridSpan w:val="3"/>
          </w:tcPr>
          <w:p>
            <w:pPr>
              <w:jc w:val="right"/>
              <w:spacing w:after="0"/>
              <w:rPr>
                <w:sz w:val="20"/>
                <w:szCs w:val="20"/>
                <w:color w:val="auto"/>
              </w:rPr>
            </w:pPr>
            <w:r>
              <w:rPr>
                <w:rFonts w:ascii="Arial" w:cs="Arial" w:eastAsia="Arial" w:hAnsi="Arial"/>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2"/>
          </w:tcPr>
          <w:p>
            <w:pPr>
              <w:spacing w:after="0"/>
              <w:rPr>
                <w:sz w:val="19"/>
                <w:szCs w:val="19"/>
                <w:color w:val="auto"/>
              </w:rPr>
            </w:pPr>
          </w:p>
        </w:tc>
        <w:tc>
          <w:tcPr>
            <w:tcW w:w="7540" w:type="dxa"/>
            <w:vAlign w:val="bottom"/>
            <w:gridSpan w:val="13"/>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0000FF"/>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0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Downturns in economic conditions could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189" w:lineRule="exact"/>
        <w:rPr>
          <w:rFonts w:ascii="Arial" w:cs="Arial" w:eastAsia="Arial" w:hAnsi="Arial"/>
          <w:sz w:val="22"/>
          <w:szCs w:val="22"/>
          <w:color w:val="auto"/>
        </w:rPr>
      </w:pPr>
    </w:p>
    <w:p>
      <w:pPr>
        <w:jc w:val="both"/>
        <w:ind w:left="660" w:hanging="328"/>
        <w:spacing w:after="0" w:line="24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188"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189"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89"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loss of key personnel upon whom we depend to operate our business or the inability to attract and develop additional qualified personnel could adversely affect our business.</w:t>
      </w:r>
    </w:p>
    <w:p>
      <w:pPr>
        <w:spacing w:after="0" w:line="189"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89" w:lineRule="exact"/>
        <w:rPr>
          <w:rFonts w:ascii="Arial" w:cs="Arial" w:eastAsia="Arial" w:hAnsi="Arial"/>
          <w:sz w:val="22"/>
          <w:szCs w:val="22"/>
          <w:color w:val="auto"/>
        </w:rPr>
      </w:pPr>
    </w:p>
    <w:p>
      <w:pPr>
        <w:ind w:left="660" w:hanging="328"/>
        <w:spacing w:after="0" w:line="239"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or our inability to otherwise maintain labor costs at competitive levels and hire and retain a sufficient number of employees may adversely affect our operations and financial performance.</w:t>
      </w:r>
    </w:p>
    <w:p>
      <w:pPr>
        <w:spacing w:after="0" w:line="189"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89"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to our business model that are designed to increase revenues may not be successful and may cause operational difficulties or decreased demand.</w:t>
      </w:r>
    </w:p>
    <w:p>
      <w:pPr>
        <w:spacing w:after="0" w:line="189"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utilize our NOLs and other carryforwards may be limited.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328"/>
        <w:spacing w:after="0" w:line="232"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189" w:lineRule="exact"/>
        <w:rPr>
          <w:rFonts w:ascii="Arial" w:cs="Arial" w:eastAsia="Arial" w:hAnsi="Arial"/>
          <w:sz w:val="22"/>
          <w:szCs w:val="22"/>
          <w:color w:val="auto"/>
        </w:rPr>
      </w:pPr>
    </w:p>
    <w:p>
      <w:pPr>
        <w:ind w:left="660" w:hanging="328"/>
        <w:spacing w:after="0" w:line="239"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89" w:lineRule="exact"/>
        <w:rPr>
          <w:rFonts w:ascii="Arial" w:cs="Arial" w:eastAsia="Arial" w:hAnsi="Arial"/>
          <w:sz w:val="22"/>
          <w:szCs w:val="22"/>
          <w:color w:val="auto"/>
        </w:rPr>
      </w:pPr>
    </w:p>
    <w:p>
      <w:pPr>
        <w:jc w:val="both"/>
        <w:ind w:left="660" w:hanging="328"/>
        <w:spacing w:after="0" w:line="23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191"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89"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89"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or terrorist attacks; the travel industry continues to face ongoing security concerns.</w:t>
      </w:r>
    </w:p>
    <w:p>
      <w:pPr>
        <w:spacing w:after="0" w:line="120" w:lineRule="exact"/>
        <w:rPr>
          <w:rFonts w:ascii="Arial" w:cs="Arial" w:eastAsia="Arial" w:hAnsi="Arial"/>
          <w:sz w:val="22"/>
          <w:szCs w:val="22"/>
          <w:color w:val="auto"/>
        </w:rPr>
      </w:pPr>
    </w:p>
    <w:p>
      <w:pPr>
        <w:ind w:left="660" w:hanging="328"/>
        <w:spacing w:after="0" w:line="305"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changing consumer preferences and the potential increased impacts of severe weather events on our operations and infrastructure.</w:t>
      </w:r>
    </w:p>
    <w:p>
      <w:pPr>
        <w:spacing w:after="0" w:line="9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 shortage of pilots or other personnel has in the past and could continue to materially adversely affect our business.</w:t>
      </w:r>
    </w:p>
    <w:p>
      <w:pPr>
        <w:spacing w:after="0" w:line="189" w:lineRule="exact"/>
        <w:rPr>
          <w:rFonts w:ascii="Arial" w:cs="Arial" w:eastAsia="Arial" w:hAnsi="Arial"/>
          <w:sz w:val="22"/>
          <w:szCs w:val="22"/>
          <w:color w:val="auto"/>
        </w:rPr>
      </w:pPr>
    </w:p>
    <w:p>
      <w:pPr>
        <w:jc w:val="both"/>
        <w:ind w:left="660" w:hanging="328"/>
        <w:spacing w:after="0" w:line="23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 Delays in scheduled aircraft deliveries or other loss of anticipated fleet capacity, and failure of new aircraft to perform as expected, may adversely impact our business, results of operations and financial condition.</w:t>
      </w:r>
    </w:p>
    <w:p>
      <w:pPr>
        <w:spacing w:after="0" w:line="191"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189" w:lineRule="exact"/>
        <w:rPr>
          <w:rFonts w:ascii="Arial" w:cs="Arial" w:eastAsia="Arial" w:hAnsi="Arial"/>
          <w:sz w:val="22"/>
          <w:szCs w:val="22"/>
          <w:color w:val="auto"/>
        </w:rPr>
      </w:pPr>
    </w:p>
    <w:p>
      <w:pPr>
        <w:jc w:val="both"/>
        <w:ind w:left="660" w:hanging="328"/>
        <w:spacing w:after="0" w:line="24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Evolving cybersecurity and data privacy requirements (in particular, compliance with applicable federal, state and foreign laws relating to handling of personal information about individuals)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16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rely on third-party distribution channels and must manage effectively the costs, rights and functionality of these channels.</w:t>
      </w:r>
    </w:p>
    <w:p>
      <w:pPr>
        <w:spacing w:after="0" w:line="189" w:lineRule="exact"/>
        <w:rPr>
          <w:rFonts w:ascii="Arial" w:cs="Arial" w:eastAsia="Arial" w:hAnsi="Arial"/>
          <w:sz w:val="22"/>
          <w:szCs w:val="22"/>
          <w:color w:val="auto"/>
        </w:rPr>
      </w:pPr>
    </w:p>
    <w:p>
      <w:pPr>
        <w:jc w:val="both"/>
        <w:ind w:left="66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0"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5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12,978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12,223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24,081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20,041</w:t>
            </w: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5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r>
      <w:tr>
        <w:trPr>
          <w:trHeight w:val="223"/>
        </w:trPr>
        <w:tc>
          <w:tcPr>
            <w:tcW w:w="5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22,321</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6,389</w:t>
            </w: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36"/>
        </w:trPr>
        <w:tc>
          <w:tcPr>
            <w:tcW w:w="59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3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5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r>
      <w:tr>
        <w:trPr>
          <w:trHeight w:val="223"/>
        </w:trPr>
        <w:tc>
          <w:tcPr>
            <w:tcW w:w="5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23,027</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30"/>
        </w:trPr>
        <w:tc>
          <w:tcPr>
            <w:tcW w:w="5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5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653,602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652,801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649,925</w:t>
            </w:r>
          </w:p>
        </w:tc>
      </w:tr>
      <w:tr>
        <w:trPr>
          <w:trHeight w:val="23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649,925</w:t>
            </w: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5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3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9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2022</w:t>
            </w:r>
          </w:p>
        </w:tc>
      </w:tr>
      <w:tr>
        <w:trPr>
          <w:trHeight w:val="183"/>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40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440</w:t>
            </w:r>
          </w:p>
        </w:tc>
      </w:tr>
      <w:tr>
        <w:trPr>
          <w:trHeight w:val="194"/>
        </w:trPr>
        <w:tc>
          <w:tcPr>
            <w:tcW w:w="760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11,447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8,525</w:t>
            </w:r>
          </w:p>
        </w:tc>
      </w:tr>
      <w:tr>
        <w:trPr>
          <w:trHeight w:val="22"/>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995</w:t>
            </w:r>
          </w:p>
        </w:tc>
      </w:tr>
      <w:tr>
        <w:trPr>
          <w:trHeight w:val="198"/>
        </w:trPr>
        <w:tc>
          <w:tcPr>
            <w:tcW w:w="760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2,073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2,138</w:t>
            </w:r>
          </w:p>
        </w:tc>
      </w:tr>
      <w:tr>
        <w:trPr>
          <w:trHeight w:val="200"/>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2,280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2,279</w:t>
            </w:r>
          </w:p>
        </w:tc>
      </w:tr>
      <w:tr>
        <w:trPr>
          <w:trHeight w:val="198"/>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892</w:t>
            </w:r>
          </w:p>
        </w:tc>
      </w:tr>
      <w:tr>
        <w:trPr>
          <w:trHeight w:val="200"/>
        </w:trPr>
        <w:tc>
          <w:tcPr>
            <w:tcW w:w="76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15,269</w:t>
            </w:r>
          </w:p>
        </w:tc>
      </w:tr>
      <w:tr>
        <w:trPr>
          <w:trHeight w:val="214"/>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4"/>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39,703</w:t>
            </w:r>
          </w:p>
        </w:tc>
      </w:tr>
      <w:tr>
        <w:trPr>
          <w:trHeight w:val="198"/>
        </w:trPr>
        <w:tc>
          <w:tcPr>
            <w:tcW w:w="760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9,996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9,913</w:t>
            </w:r>
          </w:p>
        </w:tc>
      </w:tr>
      <w:tr>
        <w:trPr>
          <w:trHeight w:val="220"/>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613</w:t>
            </w:r>
          </w:p>
        </w:tc>
      </w:tr>
      <w:tr>
        <w:trPr>
          <w:trHeight w:val="192"/>
        </w:trPr>
        <w:tc>
          <w:tcPr>
            <w:tcW w:w="760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51,333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50,229</w:t>
            </w:r>
          </w:p>
        </w:tc>
      </w:tr>
      <w:tr>
        <w:trPr>
          <w:trHeight w:val="203"/>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(21,062)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(20,029)</w:t>
            </w:r>
          </w:p>
        </w:tc>
      </w:tr>
      <w:tr>
        <w:trPr>
          <w:trHeight w:val="192"/>
        </w:trPr>
        <w:tc>
          <w:tcPr>
            <w:tcW w:w="760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30,271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30,200</w:t>
            </w:r>
          </w:p>
        </w:tc>
      </w:tr>
      <w:tr>
        <w:trPr>
          <w:trHeight w:val="22"/>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8,094</w:t>
            </w:r>
          </w:p>
        </w:tc>
      </w:tr>
      <w:tr>
        <w:trPr>
          <w:trHeight w:val="203"/>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r>
      <w:tr>
        <w:trPr>
          <w:trHeight w:val="198"/>
        </w:trPr>
        <w:tc>
          <w:tcPr>
            <w:tcW w:w="760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$830 and $827, respectively</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2,055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2,059</w:t>
            </w:r>
          </w:p>
        </w:tc>
      </w:tr>
      <w:tr>
        <w:trPr>
          <w:trHeight w:val="207"/>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3,099</w:t>
            </w:r>
          </w:p>
        </w:tc>
      </w:tr>
      <w:tr>
        <w:trPr>
          <w:trHeight w:val="194"/>
        </w:trPr>
        <w:tc>
          <w:tcPr>
            <w:tcW w:w="7600" w:type="dxa"/>
            <w:vAlign w:val="bottom"/>
          </w:tcPr>
          <w:p>
            <w:pPr>
              <w:ind w:left="360"/>
              <w:spacing w:after="0"/>
              <w:rPr>
                <w:sz w:val="20"/>
                <w:szCs w:val="20"/>
                <w:color w:val="auto"/>
              </w:rPr>
            </w:pPr>
            <w:r>
              <w:rPr>
                <w:rFonts w:ascii="Arial" w:cs="Arial" w:eastAsia="Arial" w:hAnsi="Arial"/>
                <w:sz w:val="15"/>
                <w:szCs w:val="15"/>
                <w:color w:val="auto"/>
              </w:rPr>
              <w:t>Other assets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1,887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1,904</w:t>
            </w:r>
          </w:p>
        </w:tc>
      </w:tr>
      <w:tr>
        <w:trPr>
          <w:trHeight w:val="22"/>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10,693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11,153</w:t>
            </w:r>
          </w:p>
        </w:tc>
      </w:tr>
      <w:tr>
        <w:trPr>
          <w:trHeight w:val="196"/>
        </w:trPr>
        <w:tc>
          <w:tcPr>
            <w:tcW w:w="760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67,260</w:t>
            </w:r>
          </w:p>
        </w:tc>
        <w:tc>
          <w:tcPr>
            <w:tcW w:w="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64,716</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 (DEFICIT)</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3,274</w:t>
            </w:r>
          </w:p>
        </w:tc>
      </w:tr>
      <w:tr>
        <w:trPr>
          <w:trHeight w:val="194"/>
        </w:trPr>
        <w:tc>
          <w:tcPr>
            <w:tcW w:w="760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2,406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2,149</w:t>
            </w:r>
          </w:p>
        </w:tc>
      </w:tr>
      <w:tr>
        <w:trPr>
          <w:trHeight w:val="22"/>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1,713</w:t>
            </w:r>
          </w:p>
        </w:tc>
      </w:tr>
      <w:tr>
        <w:trPr>
          <w:trHeight w:val="198"/>
        </w:trPr>
        <w:tc>
          <w:tcPr>
            <w:tcW w:w="760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8,530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6,745</w:t>
            </w:r>
          </w:p>
        </w:tc>
      </w:tr>
      <w:tr>
        <w:trPr>
          <w:trHeight w:val="207"/>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3,169</w:t>
            </w:r>
          </w:p>
        </w:tc>
      </w:tr>
      <w:tr>
        <w:trPr>
          <w:trHeight w:val="194"/>
        </w:trPr>
        <w:tc>
          <w:tcPr>
            <w:tcW w:w="760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1,431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1,465</w:t>
            </w:r>
          </w:p>
        </w:tc>
      </w:tr>
      <w:tr>
        <w:trPr>
          <w:trHeight w:val="22"/>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9"/>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2,981</w:t>
            </w:r>
          </w:p>
        </w:tc>
      </w:tr>
      <w:tr>
        <w:trPr>
          <w:trHeight w:val="196"/>
        </w:trPr>
        <w:tc>
          <w:tcPr>
            <w:tcW w:w="760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24,316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21,496</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198"/>
        </w:trPr>
        <w:tc>
          <w:tcPr>
            <w:tcW w:w="760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30,772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32,389</w:t>
            </w:r>
          </w:p>
        </w:tc>
      </w:tr>
      <w:tr>
        <w:trPr>
          <w:trHeight w:val="207"/>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2,837</w:t>
            </w:r>
          </w:p>
        </w:tc>
      </w:tr>
      <w:tr>
        <w:trPr>
          <w:trHeight w:val="195"/>
        </w:trPr>
        <w:tc>
          <w:tcPr>
            <w:tcW w:w="760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5,884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5,976</w:t>
            </w:r>
          </w:p>
        </w:tc>
      </w:tr>
      <w:tr>
        <w:trPr>
          <w:trHeight w:val="22"/>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6,559</w:t>
            </w:r>
          </w:p>
        </w:tc>
      </w:tr>
      <w:tr>
        <w:trPr>
          <w:trHeight w:val="198"/>
        </w:trPr>
        <w:tc>
          <w:tcPr>
            <w:tcW w:w="7600" w:type="dxa"/>
            <w:vAlign w:val="bottom"/>
          </w:tcPr>
          <w:p>
            <w:pPr>
              <w:ind w:left="36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1,258</w:t>
            </w:r>
          </w:p>
        </w:tc>
      </w:tr>
      <w:tr>
        <w:trPr>
          <w:trHeight w:val="193"/>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47,329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49,019</w:t>
            </w:r>
          </w:p>
        </w:tc>
      </w:tr>
      <w:tr>
        <w:trPr>
          <w:trHeight w:val="203"/>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5"/>
                <w:szCs w:val="15"/>
                <w:color w:val="auto"/>
              </w:rPr>
              <w:t>Common stock, $0.01 par value; 1,750,000,000 shares authorized, 653,286,761 shares issued and</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98"/>
        </w:trPr>
        <w:tc>
          <w:tcPr>
            <w:tcW w:w="7600" w:type="dxa"/>
            <w:vAlign w:val="bottom"/>
          </w:tcPr>
          <w:p>
            <w:pPr>
              <w:ind w:left="360"/>
              <w:spacing w:after="0"/>
              <w:rPr>
                <w:sz w:val="20"/>
                <w:szCs w:val="20"/>
                <w:color w:val="auto"/>
              </w:rPr>
            </w:pPr>
            <w:r>
              <w:rPr>
                <w:rFonts w:ascii="Arial" w:cs="Arial" w:eastAsia="Arial" w:hAnsi="Arial"/>
                <w:sz w:val="15"/>
                <w:szCs w:val="15"/>
                <w:color w:val="auto"/>
              </w:rPr>
              <w:t>outstanding at June 30, 2023; 650,642,461 shares issued and outstanding at December 31, 2022</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w:t>
            </w:r>
          </w:p>
        </w:tc>
      </w:tr>
      <w:tr>
        <w:trPr>
          <w:trHeight w:val="207"/>
        </w:trPr>
        <w:tc>
          <w:tcPr>
            <w:tcW w:w="7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7,291</w:t>
            </w:r>
          </w:p>
        </w:tc>
      </w:tr>
      <w:tr>
        <w:trPr>
          <w:trHeight w:val="195"/>
        </w:trPr>
        <w:tc>
          <w:tcPr>
            <w:tcW w:w="760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(4,550)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(4,585)</w:t>
            </w:r>
          </w:p>
        </w:tc>
      </w:tr>
      <w:tr>
        <w:trPr>
          <w:trHeight w:val="21"/>
        </w:trPr>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9"/>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(7,163)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(8,511)</w:t>
            </w:r>
          </w:p>
        </w:tc>
      </w:tr>
      <w:tr>
        <w:trPr>
          <w:trHeight w:val="196"/>
        </w:trPr>
        <w:tc>
          <w:tcPr>
            <w:tcW w:w="7600" w:type="dxa"/>
            <w:vAlign w:val="bottom"/>
          </w:tcPr>
          <w:p>
            <w:pPr>
              <w:ind w:left="680"/>
              <w:spacing w:after="0"/>
              <w:rPr>
                <w:sz w:val="20"/>
                <w:szCs w:val="20"/>
                <w:color w:val="auto"/>
              </w:rPr>
            </w:pPr>
            <w:r>
              <w:rPr>
                <w:rFonts w:ascii="Arial" w:cs="Arial" w:eastAsia="Arial" w:hAnsi="Arial"/>
                <w:sz w:val="15"/>
                <w:szCs w:val="15"/>
                <w:color w:val="auto"/>
              </w:rPr>
              <w:t>Total stockholders’ deficit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(5,799)</w:t>
            </w:r>
          </w:p>
        </w:tc>
      </w:tr>
      <w:tr>
        <w:trPr>
          <w:trHeight w:val="234"/>
        </w:trPr>
        <w:tc>
          <w:tcPr>
            <w:tcW w:w="7600" w:type="dxa"/>
            <w:vAlign w:val="bottom"/>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67,260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64,716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80" w:type="dxa"/>
            <w:vAlign w:val="bottom"/>
          </w:tcPr>
          <w:p>
            <w:pPr>
              <w:spacing w:after="0"/>
              <w:rPr>
                <w:sz w:val="17"/>
                <w:szCs w:val="17"/>
                <w:color w:val="auto"/>
              </w:rPr>
            </w:pPr>
          </w:p>
        </w:tc>
        <w:tc>
          <w:tcPr>
            <w:tcW w:w="3460" w:type="dxa"/>
            <w:vAlign w:val="bottom"/>
            <w:tcBorders>
              <w:bottom w:val="single" w:sz="8" w:color="auto"/>
            </w:tcBorders>
            <w:gridSpan w:val="5"/>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7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r>
      <w:tr>
        <w:trPr>
          <w:trHeight w:val="23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36"/>
        </w:trPr>
        <w:tc>
          <w:tcPr>
            <w:tcW w:w="778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(10,083)</w:t>
            </w:r>
          </w:p>
        </w:tc>
      </w:tr>
      <w:tr>
        <w:trPr>
          <w:trHeight w:val="24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Decrease (increase) in restricted short-term investments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equity investment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investing activities</w:t>
            </w:r>
          </w:p>
        </w:tc>
        <w:tc>
          <w:tcPr>
            <w:tcW w:w="10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7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57"/>
        </w:trPr>
        <w:tc>
          <w:tcPr>
            <w:tcW w:w="77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20" w:type="dxa"/>
            <w:vAlign w:val="bottom"/>
          </w:tcPr>
          <w:p>
            <w:pPr>
              <w:jc w:val="right"/>
              <w:ind w:right="83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617</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4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debt</w:t>
            </w: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78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201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37" w:lineRule="exact"/>
        <w:rPr>
          <w:sz w:val="20"/>
          <w:szCs w:val="20"/>
          <w:color w:val="auto"/>
        </w:rPr>
      </w:pPr>
    </w:p>
    <w:p>
      <w:pPr>
        <w:ind w:left="340" w:hanging="332"/>
        <w:spacing w:after="0" w:line="226" w:lineRule="auto"/>
        <w:tabs>
          <w:tab w:leader="none" w:pos="3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56"/>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75"/>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75"/>
              <w:spacing w:after="0" w:line="14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5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Issuance of 2,175,213 shares of AAG common stock pursuant to</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Issuance of 469,087 shares of AAG common stock pursuant to</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75"/>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75"/>
              <w:spacing w:after="0" w:line="14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line="189" w:lineRule="exact"/>
              <w:rPr>
                <w:sz w:val="20"/>
                <w:szCs w:val="20"/>
                <w:color w:val="auto"/>
              </w:rPr>
            </w:pPr>
            <w:r>
              <w:rPr>
                <w:rFonts w:ascii="Arial" w:cs="Arial" w:eastAsia="Arial" w:hAnsi="Arial"/>
                <w:sz w:val="18"/>
                <w:szCs w:val="18"/>
                <w:color w:val="auto"/>
              </w:rPr>
              <w:t>Issuance of 1,770,173 shares of AAG common stock pursuant to</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0"/>
        </w:trPr>
        <w:tc>
          <w:tcPr>
            <w:tcW w:w="5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 281,593 shares of AAG common stock pursuant to</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2022.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Labor Negotiations</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May 2023, American and the Allied Pilots Association (APA), the union representing our approximately 13,900 mainline pilots, reached an agreement in principle on a new collective bargaining agreement. In July 2023, a tentative agreement was approved by the APA Board of Directors and is subject to ratification by American’s pilots through a vote that is presently scheduled to close on August 7, 2023. Upon pilot ratification, the ratified agreement will include a provision for a one-time payment of approximately $750 million and provisions for other benefit-related items. Since the tentative agreement has not yet been ratified and there is uncertainty about the outcome of that process, we have not accrued for the one-time payment or the other benefit-related expenses as of June 30,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80" w:type="dxa"/>
            <w:vAlign w:val="bottom"/>
          </w:tcPr>
          <w:p>
            <w:pPr>
              <w:spacing w:after="0"/>
              <w:rPr>
                <w:sz w:val="17"/>
                <w:szCs w:val="17"/>
                <w:color w:val="auto"/>
              </w:rPr>
            </w:pPr>
          </w:p>
        </w:tc>
        <w:tc>
          <w:tcPr>
            <w:tcW w:w="2920" w:type="dxa"/>
            <w:vAlign w:val="bottom"/>
            <w:gridSpan w:val="7"/>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3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9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37"/>
        </w:trPr>
        <w:tc>
          <w:tcPr>
            <w:tcW w:w="59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860" w:type="dxa"/>
            <w:vAlign w:val="bottom"/>
          </w:tcPr>
          <w:p>
            <w:pPr>
              <w:spacing w:after="0"/>
              <w:rPr>
                <w:sz w:val="19"/>
                <w:szCs w:val="19"/>
                <w:color w:val="auto"/>
              </w:rPr>
            </w:pPr>
          </w:p>
        </w:tc>
        <w:tc>
          <w:tcPr>
            <w:tcW w:w="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8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70"/>
        </w:trPr>
        <w:tc>
          <w:tcPr>
            <w:tcW w:w="59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Debt refinancing and extinguishment</w:t>
            </w:r>
          </w:p>
        </w:tc>
        <w:tc>
          <w:tcPr>
            <w:tcW w:w="8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9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(3)</w:t>
            </w: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7"/>
        </w:trPr>
        <w:tc>
          <w:tcPr>
            <w:tcW w:w="59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860" w:type="dxa"/>
            <w:vAlign w:val="bottom"/>
          </w:tcPr>
          <w:p>
            <w:pPr>
              <w:spacing w:after="0"/>
              <w:rPr>
                <w:sz w:val="19"/>
                <w:szCs w:val="19"/>
                <w:color w:val="auto"/>
              </w:rPr>
            </w:pPr>
          </w:p>
        </w:tc>
        <w:tc>
          <w:tcPr>
            <w:tcW w:w="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201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37" w:lineRule="exact"/>
        <w:rPr>
          <w:sz w:val="20"/>
          <w:szCs w:val="20"/>
          <w:color w:val="auto"/>
        </w:rPr>
      </w:pPr>
    </w:p>
    <w:p>
      <w:pPr>
        <w:ind w:left="340" w:hanging="332"/>
        <w:spacing w:after="0" w:line="226" w:lineRule="auto"/>
        <w:tabs>
          <w:tab w:leader="none" w:pos="3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Severance expenses for the six months ended June 30, 2023 primarily included costs associated with headcount reductions in certain corporate functions.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3" w:lineRule="exact"/>
        <w:rPr>
          <w:sz w:val="20"/>
          <w:szCs w:val="20"/>
          <w:color w:val="auto"/>
        </w:rPr>
      </w:pPr>
    </w:p>
    <w:p>
      <w:pPr>
        <w:jc w:val="both"/>
        <w:ind w:left="340" w:hanging="332"/>
        <w:spacing w:after="0" w:line="233"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2022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115"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Common Share</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The following table provides the computation of basic and diluted earnings (loss) per common share (EPS) (in millions,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653,602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650,346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652,801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649,925</w:t>
            </w:r>
          </w:p>
        </w:tc>
        <w:tc>
          <w:tcPr>
            <w:tcW w:w="0" w:type="dxa"/>
            <w:vAlign w:val="bottom"/>
          </w:tcPr>
          <w:p>
            <w:pPr>
              <w:spacing w:after="0"/>
              <w:rPr>
                <w:sz w:val="1"/>
                <w:szCs w:val="1"/>
                <w:color w:val="auto"/>
              </w:rPr>
            </w:pPr>
          </w:p>
        </w:tc>
      </w:tr>
      <w:tr>
        <w:trPr>
          <w:trHeight w:val="223"/>
        </w:trPr>
        <w:tc>
          <w:tcPr>
            <w:tcW w:w="5940" w:type="dxa"/>
            <w:vAlign w:val="bottom"/>
          </w:tcPr>
          <w:p>
            <w:pPr>
              <w:ind w:left="140"/>
              <w:spacing w:after="0"/>
              <w:rPr>
                <w:sz w:val="20"/>
                <w:szCs w:val="20"/>
                <w:color w:val="auto"/>
              </w:rPr>
            </w:pPr>
            <w:r>
              <w:rPr>
                <w:rFonts w:ascii="Arial" w:cs="Arial" w:eastAsia="Arial" w:hAnsi="Arial"/>
                <w:sz w:val="18"/>
                <w:szCs w:val="18"/>
                <w:color w:val="auto"/>
              </w:rPr>
              <w:t>Basic EPS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Interest expense on 6.50% convertible senior notes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shares outstanding</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652,801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649,925</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 awards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certain PSP Warrants and Treasury Loan Warrants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Assumed conversion of 6.50% convertible senior notes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718,890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649,925</w:t>
            </w:r>
          </w:p>
        </w:tc>
        <w:tc>
          <w:tcPr>
            <w:tcW w:w="0" w:type="dxa"/>
            <w:vAlign w:val="bottom"/>
          </w:tcPr>
          <w:p>
            <w:pPr>
              <w:spacing w:after="0"/>
              <w:rPr>
                <w:sz w:val="1"/>
                <w:szCs w:val="1"/>
                <w:color w:val="auto"/>
              </w:rPr>
            </w:pPr>
          </w:p>
        </w:tc>
      </w:tr>
      <w:tr>
        <w:trPr>
          <w:trHeight w:val="223"/>
        </w:trPr>
        <w:tc>
          <w:tcPr>
            <w:tcW w:w="5940" w:type="dxa"/>
            <w:vAlign w:val="bottom"/>
          </w:tcPr>
          <w:p>
            <w:pPr>
              <w:ind w:left="680"/>
              <w:spacing w:after="0"/>
              <w:rPr>
                <w:sz w:val="20"/>
                <w:szCs w:val="20"/>
                <w:color w:val="auto"/>
              </w:rPr>
            </w:pPr>
            <w:r>
              <w:rPr>
                <w:rFonts w:ascii="Arial" w:cs="Arial" w:eastAsia="Arial" w:hAnsi="Arial"/>
                <w:sz w:val="18"/>
                <w:szCs w:val="18"/>
                <w:color w:val="auto"/>
              </w:rPr>
              <w:t>Diluted EPS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were excluded from the calculation of diluted EPS because inclusion of such shares would be antidilutive (in thousands):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5980" w:type="dxa"/>
            <w:vAlign w:val="bottom"/>
          </w:tcPr>
          <w:p>
            <w:pPr>
              <w:spacing w:after="0"/>
              <w:rPr>
                <w:sz w:val="17"/>
                <w:szCs w:val="17"/>
                <w:color w:val="auto"/>
              </w:rPr>
            </w:pPr>
          </w:p>
        </w:tc>
        <w:tc>
          <w:tcPr>
            <w:tcW w:w="25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25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980" w:type="dxa"/>
            <w:vAlign w:val="bottom"/>
          </w:tcPr>
          <w:p>
            <w:pPr>
              <w:spacing w:after="0"/>
              <w:rPr>
                <w:sz w:val="15"/>
                <w:szCs w:val="15"/>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23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6.50% convertible senior notes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61,728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Restricted stock unit awards</w:t>
            </w:r>
          </w:p>
        </w:tc>
        <w:tc>
          <w:tcPr>
            <w:tcW w:w="1240" w:type="dxa"/>
            <w:vAlign w:val="bottom"/>
          </w:tcPr>
          <w:p>
            <w:pPr>
              <w:jc w:val="right"/>
              <w:spacing w:after="0"/>
              <w:rPr>
                <w:sz w:val="20"/>
                <w:szCs w:val="20"/>
                <w:color w:val="auto"/>
              </w:rPr>
            </w:pPr>
            <w:r>
              <w:rPr>
                <w:rFonts w:ascii="Arial" w:cs="Arial" w:eastAsia="Arial" w:hAnsi="Arial"/>
                <w:sz w:val="18"/>
                <w:szCs w:val="18"/>
                <w:color w:val="auto"/>
              </w:rPr>
              <w:t>3,680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3,889</w:t>
            </w:r>
          </w:p>
        </w:tc>
        <w:tc>
          <w:tcPr>
            <w:tcW w:w="1340" w:type="dxa"/>
            <w:vAlign w:val="bottom"/>
            <w:gridSpan w:val="2"/>
          </w:tcPr>
          <w:p>
            <w:pPr>
              <w:jc w:val="right"/>
              <w:ind w:right="8"/>
              <w:spacing w:after="0"/>
              <w:rPr>
                <w:sz w:val="20"/>
                <w:szCs w:val="20"/>
                <w:color w:val="auto"/>
              </w:rPr>
            </w:pPr>
            <w:r>
              <w:rPr>
                <w:rFonts w:ascii="Arial" w:cs="Arial" w:eastAsia="Arial" w:hAnsi="Arial"/>
                <w:sz w:val="18"/>
                <w:szCs w:val="18"/>
                <w:color w:val="auto"/>
              </w:rPr>
              <w:t>4,965</w:t>
            </w:r>
          </w:p>
        </w:tc>
      </w:tr>
    </w:tbl>
    <w:p>
      <w:pPr>
        <w:spacing w:after="0" w:line="24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for the three and six months ended June 30, 2023 and 2022, excluded from the calculation of diluted EPS because inclusion of such shares would be antidilutive, are certain shares underlying the warrants we issued to the U.S. Department of Treasury (Treasury) pursuant to (i) the payroll support program established under the Coronavirus Aid, Relief, and Economic Security Act (PSP1), (ii) the payroll support program established under the Subtitle A of Title IV of Division N of the Consolidated Appropriations Act, 2021 (PSP2), (iii) the payroll support program established under the American Rescue Plan Act of 2021 (PSP3) (collectively, the PSP Warrants) and (iv) the Loan and Guarantee Agreement with Treasury (Treasury Loan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provides a summary of the PSP Warrants and the Treasury Loan Warrants: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2040" w:type="dxa"/>
            <w:vAlign w:val="bottom"/>
          </w:tcPr>
          <w:p>
            <w:pPr>
              <w:jc w:val="right"/>
              <w:ind w:right="8"/>
              <w:spacing w:after="0"/>
              <w:rPr>
                <w:sz w:val="20"/>
                <w:szCs w:val="20"/>
                <w:color w:val="auto"/>
              </w:rPr>
            </w:pPr>
            <w:r>
              <w:rPr>
                <w:rFonts w:ascii="Arial" w:cs="Arial" w:eastAsia="Arial" w:hAnsi="Arial"/>
                <w:sz w:val="14"/>
                <w:szCs w:val="14"/>
                <w:b w:val="1"/>
                <w:bCs w:val="1"/>
                <w:color w:val="auto"/>
              </w:rPr>
              <w:t>Warrants Issued (shares, in</w:t>
            </w:r>
          </w:p>
        </w:tc>
        <w:tc>
          <w:tcPr>
            <w:tcW w:w="1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Exercise Price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PSP1 Warrants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1620" w:type="dxa"/>
            <w:vAlign w:val="bottom"/>
            <w:gridSpan w:val="2"/>
            <w:shd w:val="clear" w:color="auto" w:fill="CCEEFF"/>
          </w:tcPr>
          <w:p>
            <w:pPr>
              <w:jc w:val="right"/>
              <w:ind w:right="13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12.51</w:t>
            </w:r>
          </w:p>
        </w:tc>
        <w:tc>
          <w:tcPr>
            <w:tcW w:w="8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April 2025 to September 2025</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PSP2 Warrants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15.66</w:t>
            </w:r>
          </w:p>
        </w:tc>
        <w:tc>
          <w:tcPr>
            <w:tcW w:w="8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9"/>
              </w:rPr>
              <w:t>January 2026 to April 2026</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PSP3 Warrants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21.75</w:t>
            </w:r>
          </w:p>
        </w:tc>
        <w:tc>
          <w:tcPr>
            <w:tcW w:w="8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April 2026 to June 2026</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Treasury Loan Warrants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12.51</w:t>
            </w:r>
          </w:p>
        </w:tc>
        <w:tc>
          <w:tcPr>
            <w:tcW w:w="8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9"/>
              </w:rPr>
              <w:t>September 2025</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60" w:right="9200" w:hanging="252"/>
        <w:spacing w:after="0" w:line="370" w:lineRule="auto"/>
        <w:tabs>
          <w:tab w:leader="none" w:pos="217"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operating revenues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20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2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6"/>
        </w:trPr>
        <w:tc>
          <w:tcPr>
            <w:tcW w:w="596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12,057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22,348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18,613</w:t>
            </w:r>
          </w:p>
        </w:tc>
      </w:tr>
      <w:tr>
        <w:trPr>
          <w:trHeight w:val="236"/>
        </w:trPr>
        <w:tc>
          <w:tcPr>
            <w:tcW w:w="5960" w:type="dxa"/>
            <w:vAlign w:val="bottom"/>
            <w:gridSpan w:val="2"/>
            <w:shd w:val="clear" w:color="auto" w:fill="CCEEFF"/>
          </w:tcPr>
          <w:p>
            <w:pPr>
              <w:ind w:left="220"/>
              <w:spacing w:after="0" w:line="236"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23"/>
        </w:trPr>
        <w:tc>
          <w:tcPr>
            <w:tcW w:w="596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20,041</w:t>
            </w:r>
          </w:p>
        </w:tc>
      </w:tr>
      <w:tr>
        <w:trPr>
          <w:trHeight w:val="24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2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37"/>
        </w:trPr>
        <w:tc>
          <w:tcPr>
            <w:tcW w:w="5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5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23"/>
        </w:trPr>
        <w:tc>
          <w:tcPr>
            <w:tcW w:w="596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14,055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13,422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26,244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22,321</w:t>
            </w:r>
          </w:p>
        </w:tc>
      </w:tr>
      <w:tr>
        <w:trPr>
          <w:trHeight w:val="21"/>
        </w:trPr>
        <w:tc>
          <w:tcPr>
            <w:tcW w:w="20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82" w:lineRule="exact"/>
        <w:rPr>
          <w:sz w:val="20"/>
          <w:szCs w:val="20"/>
          <w:color w:val="auto"/>
        </w:rPr>
      </w:pPr>
    </w:p>
    <w:p>
      <w:pPr>
        <w:ind w:left="340" w:hanging="332"/>
        <w:spacing w:after="0" w:line="226"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5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37"/>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r>
      <w:tr>
        <w:trPr>
          <w:trHeight w:val="237"/>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5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 -air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2022</w:t>
            </w:r>
          </w:p>
        </w:tc>
      </w:tr>
      <w:tr>
        <w:trPr>
          <w:trHeight w:val="183"/>
        </w:trPr>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gridSpan w:val="4"/>
          </w:tcPr>
          <w:p>
            <w:pPr>
              <w:jc w:val="right"/>
              <w:ind w:right="1315"/>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r>
      <w:tr>
        <w:trPr>
          <w:trHeight w:val="243"/>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7"/>
              </w:rPr>
              <w:t>9,145</w:t>
            </w:r>
          </w:p>
        </w:tc>
      </w:tr>
      <w:tr>
        <w:trPr>
          <w:trHeight w:val="236"/>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00" w:type="dxa"/>
            <w:vAlign w:val="bottom"/>
          </w:tcPr>
          <w:p>
            <w:pPr>
              <w:spacing w:after="0"/>
              <w:rPr>
                <w:sz w:val="20"/>
                <w:szCs w:val="20"/>
                <w:color w:val="auto"/>
              </w:rPr>
            </w:pPr>
          </w:p>
        </w:tc>
        <w:tc>
          <w:tcPr>
            <w:tcW w:w="1100" w:type="dxa"/>
            <w:vAlign w:val="bottom"/>
          </w:tcPr>
          <w:p>
            <w:pPr>
              <w:jc w:val="center"/>
              <w:ind w:left="410"/>
              <w:spacing w:after="0"/>
              <w:rPr>
                <w:sz w:val="20"/>
                <w:szCs w:val="20"/>
                <w:color w:val="auto"/>
              </w:rPr>
            </w:pPr>
            <w:r>
              <w:rPr>
                <w:rFonts w:ascii="Arial" w:cs="Arial" w:eastAsia="Arial" w:hAnsi="Arial"/>
                <w:sz w:val="18"/>
                <w:szCs w:val="18"/>
                <w:color w:val="auto"/>
                <w:w w:val="97"/>
              </w:rPr>
              <w:t>2,002</w:t>
            </w:r>
          </w:p>
        </w:tc>
      </w:tr>
      <w:tr>
        <w:trPr>
          <w:trHeight w:val="236"/>
        </w:trPr>
        <w:tc>
          <w:tcPr>
            <w:tcW w:w="9540" w:type="dxa"/>
            <w:vAlign w:val="bottom"/>
            <w:gridSpan w:val="2"/>
            <w:shd w:val="clear" w:color="auto" w:fill="CCEEFF"/>
          </w:tcPr>
          <w:p>
            <w:pPr>
              <w:ind w:left="220"/>
              <w:spacing w:after="0" w:line="236"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rPr>
              <w:t>(1,771)</w:t>
            </w:r>
          </w:p>
        </w:tc>
      </w:tr>
      <w:tr>
        <w:trPr>
          <w:trHeight w:val="223"/>
        </w:trPr>
        <w:tc>
          <w:tcPr>
            <w:tcW w:w="95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June 30, 2023 </w:t>
            </w:r>
            <w:r>
              <w:rPr>
                <w:rFonts w:ascii="Arial" w:cs="Arial" w:eastAsia="Arial" w:hAnsi="Arial"/>
                <w:sz w:val="23"/>
                <w:szCs w:val="23"/>
                <w:color w:val="auto"/>
                <w:vertAlign w:val="superscript"/>
              </w:rPr>
              <w:t>(2)</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7"/>
              </w:rPr>
              <w:t>9,376</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7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82" w:lineRule="exact"/>
        <w:rPr>
          <w:sz w:val="20"/>
          <w:szCs w:val="20"/>
          <w:color w:val="auto"/>
        </w:rPr>
      </w:pPr>
    </w:p>
    <w:p>
      <w:pPr>
        <w:jc w:val="both"/>
        <w:ind w:left="340" w:hanging="332"/>
        <w:spacing w:after="0" w:line="237" w:lineRule="auto"/>
        <w:tabs>
          <w:tab w:leader="none" w:pos="3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51" w:lineRule="exact"/>
        <w:rPr>
          <w:rFonts w:ascii="Arial" w:cs="Arial" w:eastAsia="Arial" w:hAnsi="Arial"/>
          <w:sz w:val="23"/>
          <w:szCs w:val="23"/>
          <w:color w:val="auto"/>
          <w:vertAlign w:val="superscript"/>
        </w:rPr>
      </w:pPr>
    </w:p>
    <w:p>
      <w:pPr>
        <w:jc w:val="both"/>
        <w:ind w:left="340" w:hanging="332"/>
        <w:spacing w:after="0"/>
        <w:tabs>
          <w:tab w:leader="none" w:pos="3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June 30, 2023, our current loyalty program liability was $3.5 billion and represents our current estimate of revenue expected to be recognized in the next 12 months based on historical as well as projected trends, with the balance reflected in long-term loyalty program liability expected to be recognized as revenue in periods thereafter.</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our air traffic liability also fluctuates with seasonal travel patterns. The contract duration of passenger tickets is one year. Accordingly, any revenue associated with tickets sold for future travel will be recognized within 12 months. For the six months ended June 30, 2023, $4.7 billion of revenue was recognized in passenger revenue that was included in our air traffic liability at December 31, 2022. Substantially all tickets issued in 2022 and thereafter are no longer subject to change fees which provides more flexibility for customers to change travel plans. Given this new flexibility offered to our customers, our estimate of revenue that will be recognized from the air traffic liability for future flown or unused tickets may be subject to variability and differ from historical experience.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2013 Term Loan Facility, variable interest rate of 8.15%, installments through 2028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6"/>
        </w:trPr>
        <w:tc>
          <w:tcPr>
            <w:tcW w:w="7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6.51%, installments through 2027</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30"/>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(1)</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AAdvantage Term Loan Facility, variable interest rate of 10.00%, installments beginning in</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2"/>
        </w:trPr>
        <w:tc>
          <w:tcPr>
            <w:tcW w:w="7580" w:type="dxa"/>
            <w:vAlign w:val="bottom"/>
            <w:gridSpan w:val="2"/>
          </w:tcPr>
          <w:p>
            <w:pPr>
              <w:ind w:left="300"/>
              <w:spacing w:after="0" w:line="242" w:lineRule="exact"/>
              <w:rPr>
                <w:sz w:val="20"/>
                <w:szCs w:val="20"/>
                <w:color w:val="auto"/>
              </w:rPr>
            </w:pPr>
            <w:r>
              <w:rPr>
                <w:rFonts w:ascii="Arial" w:cs="Arial" w:eastAsia="Arial" w:hAnsi="Arial"/>
                <w:sz w:val="18"/>
                <w:szCs w:val="18"/>
                <w:color w:val="auto"/>
              </w:rPr>
              <w:t xml:space="preserve">July 2023 through April 2028 </w:t>
            </w:r>
            <w:r>
              <w:rPr>
                <w:rFonts w:ascii="Arial" w:cs="Arial" w:eastAsia="Arial" w:hAnsi="Arial"/>
                <w:sz w:val="23"/>
                <w:szCs w:val="23"/>
                <w:color w:val="auto"/>
                <w:vertAlign w:val="superscript"/>
              </w:rPr>
              <w:t>(1)</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7.13%, averaging 3.67%, maturing from 2023 to 2034</w:t>
            </w:r>
          </w:p>
        </w:tc>
        <w:tc>
          <w:tcPr>
            <w:tcW w:w="28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5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300"/>
              <w:spacing w:after="0"/>
              <w:rPr>
                <w:sz w:val="20"/>
                <w:szCs w:val="20"/>
                <w:color w:val="auto"/>
              </w:rPr>
            </w:pPr>
            <w:r>
              <w:rPr>
                <w:rFonts w:ascii="Arial" w:cs="Arial" w:eastAsia="Arial" w:hAnsi="Arial"/>
                <w:sz w:val="18"/>
                <w:szCs w:val="18"/>
                <w:color w:val="auto"/>
              </w:rPr>
              <w:t>2.55% to 8.71%, averaging 6.71%, maturing from 2023 to 2035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176"/>
        </w:trPr>
        <w:tc>
          <w:tcPr>
            <w:tcW w:w="75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spacing w:after="0"/>
              <w:rPr>
                <w:sz w:val="20"/>
                <w:szCs w:val="20"/>
                <w:color w:val="auto"/>
              </w:rPr>
            </w:pPr>
          </w:p>
        </w:tc>
        <w:tc>
          <w:tcPr>
            <w:tcW w:w="5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30,043</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PSP1 Promissory Note, interest only payments until due in April 2030</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6"/>
        </w:trPr>
        <w:tc>
          <w:tcPr>
            <w:tcW w:w="7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PSP2 Promissory Note, interest only payments until due in January 2031</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PSP3 Promissory Note, interest only payments until due in April 2031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3.75% senior notes, interest only payments until due in March 2025</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23"/>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34,442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35,289</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2023, the maximum availability under our revolving credit and other facilities is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55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short-term facility</w:t>
            </w:r>
          </w:p>
        </w:tc>
        <w:tc>
          <w:tcPr>
            <w:tcW w:w="55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15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39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American currently has $50 million of available borrowing base under a cargo receivables facility that is set to expire in December 2023. As a result of the below amendments to the 2013, 2014 and April 2016 Revolving Facilities, the aggregate commitments under these facilities will be $2.8 billion through October 11, 2024, and thereafter through October 13, 2026, such aggregate commitments will decrease to $2.2 billion.</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10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At June 30, 2023, the if-converted value of the 6.50% convertible senior notes due 2025 (the Convertible Notes) exceeded the principal amount by $107 million. The last reported sale price per share of our common stock (as defined in the indenture governing our Convertible Notes, the Convertible Notes Indenture) did not exceed 130% of the conversion price of the Convertible Notes for at least 20 of the 30 consecutive trading days ending on June 30, 2023. Accordingly, pursuant to the terms of the Convertible Notes Indenture, the holders of the Convertible Notes cannot convert at their option at any time during the quarter ending September 30, 2023.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2023 Financing Activities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Credit Facilities</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February 2023, American and AAG refinanced approximately $1.8 billion in aggregate principal amount of term loans outstanding under the 2013 Term Loan Facility (the 2013 Term Loan Facility Refinancing) through the combination of (i) the issuance of $750 million in aggregate principal amount of 7.25% senior secured notes due 2028 and (ii) the entry into the Seventh Amendment to the 2013 Credit Agreement, pursuant to which the maturity of $1.0 billion in term loans under the 2013 Term Loan Facility was extended to February 2028 from June 2025. The Seventh Amendment also amended certain other terms of the 2013 Credit Agreement, including the interest rate and amortization schedule for the 2013 Term Loan Facility, the requirements for delivery of appraisals and certain covenants relating to dispositions of collateral. Additionally, the Seventh Amendment transitioned the benchmark interest rate from LIBOR to the Secured Overnight Financing Rate (SOFR). As a result, the 2013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and an applicable margin of 2.75%.</w:t>
      </w:r>
    </w:p>
    <w:p>
      <w:pPr>
        <w:spacing w:after="0" w:line="14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2023, American and AAG entered into the Eighth Amendment to the 2013 Credit Agreement, pursuant to which American extended the maturity of certain commitments under the 2013 Revolving Facility. The Eighth Amendment also amended certain other terms of the 2013 Credit Agreement, including certain covenants and transitioned the benchmark interest rate from LIBOR to SOFR. The 2013 Revolving Facility bears interest at a base rate (subject to a floor of 1.00%) plus an applicable margin of 2.25%, 2.50% or 2.75%, depending on AAG’s public corporate rating, or, at American’s option, the SOFR rate for a tenor of one, three or six months, depending on the interest period selected by American (subject to a floor of 0.00%), plus the SOFR adjustment applicable to such interest period plus an applicable margin of 3.25%, 3.50% or 3.75%, depending on AAG’s public corporate rating. Additionally, as a result of the Eighth Amendment, through October 11, 2024, the aggregate commitments under the 2013 Revolving Facility will be $736 million, and thereafter through October 13, 2026, such aggregate commitments will decrease to $563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7.25% Senior Secured Notes</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February 15, 2023, as part of the 2013 Term Loan Facility Refinancing, American issued $ 750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beginning on August 15, 2023. The 7.25% 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then outstanding under the 2013 Term Loan Facility and to pay related fees and expenses.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countries in South America (which comprises Argentina, Bolivia, Brazil, Chile, Colombia, Ecuador, Guyana, Paraguay, Peru, Suriname, Uruguay and Venezuela but does not include territories subject to the sovereignty, control or jurisdiction of a country not otherwise listed herein) and New Zealand (collectively, the 7.25% Senior Secured Notes Collateral). The 7.25% Senior Secured Notes Collateral also secures, on a first lien, pari passu basis with the 7.25% Senior Secured Notes, the 2013 Credit Facilities under the 2013 Credit Agreement.</w:t>
      </w:r>
    </w:p>
    <w:p>
      <w:pPr>
        <w:spacing w:after="0" w:line="13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spacing w:after="0" w:line="14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Further, if certain change of control transactions occur, each holder of 7.25% Senior Secured Notes may require American to repurchase the 7.25% Senior Secured Notes in whole or in part at a repurchase price of 101% of the aggregate principal amount thereof, plus accrued and unpaid interest, if any, to but not including the repurchase date.</w:t>
      </w:r>
    </w:p>
    <w:p>
      <w:pPr>
        <w:spacing w:after="0" w:line="13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Credit Facilities</w:t>
      </w:r>
    </w:p>
    <w:p>
      <w:pPr>
        <w:spacing w:after="0" w:line="9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2023, American and AAG entered into the Ninth Amendment to the 2014 Credit Agreement, pursuant to which American extended the maturity of certain commitments under the 2014 Revolving Facility. The Ninth Amendment also amended certain other terms of the 2014 Credit Agreement including the requirements for delivery of appraisals and certain other covenants and transitioned the benchmark interest rate for the 2014 Revolving Facility and the 2014 Term Loan Facility from LIBOR to SOFR. The 2014 Revolving Facility bears interest at the same base rate and applicable margin as the 2013 Revolving Facility, as noted above in “</w:t>
      </w:r>
      <w:r>
        <w:rPr>
          <w:rFonts w:ascii="Arial" w:cs="Arial" w:eastAsia="Arial" w:hAnsi="Arial"/>
          <w:sz w:val="18"/>
          <w:szCs w:val="18"/>
          <w:i w:val="1"/>
          <w:iCs w:val="1"/>
          <w:color w:val="auto"/>
        </w:rPr>
        <w:t>2013 Credit Facilities.”</w:t>
      </w:r>
      <w:r>
        <w:rPr>
          <w:rFonts w:ascii="Arial" w:cs="Arial" w:eastAsia="Arial" w:hAnsi="Arial"/>
          <w:sz w:val="18"/>
          <w:szCs w:val="18"/>
          <w:color w:val="auto"/>
        </w:rPr>
        <w:t xml:space="preserve"> The 2014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plus an applicable margin of 0.75%. Additionally, as a result of the Ninth Amendment, through October 11, 2024, the aggregate commitments under the 2014 Revolving Facility will be $1.6 billion, and thereafter through October 13, 2026, such aggregate commitments will decrease to $1.2 billion.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April 2016 Revolving Facility</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March 2023, American and AAG entered into the Sixth Amendment to the April 2016 Credit Agreement, pursuant to which American extended the maturity of certain commitments under the April 2016 Revolving Facility. The Sixth Amendment also amended certain other terms under the April 2016 Credit Agreement including the requirements for delivery of appraisals and certain other covenants and transitioned the benchmark interest rate for the April 2016 Revolving Facility from LIBOR to SOFR. The April 2016 Revolving Facility bears interest at the same base rate and applicable margin as the 2013 Revolving Facility, as noted above in “</w:t>
      </w:r>
      <w:r>
        <w:rPr>
          <w:rFonts w:ascii="Arial" w:cs="Arial" w:eastAsia="Arial" w:hAnsi="Arial"/>
          <w:sz w:val="18"/>
          <w:szCs w:val="18"/>
          <w:i w:val="1"/>
          <w:iCs w:val="1"/>
          <w:color w:val="auto"/>
        </w:rPr>
        <w:t>2013 Credit Facilities.”</w:t>
      </w:r>
      <w:r>
        <w:rPr>
          <w:rFonts w:ascii="Arial" w:cs="Arial" w:eastAsia="Arial" w:hAnsi="Arial"/>
          <w:sz w:val="18"/>
          <w:szCs w:val="18"/>
          <w:color w:val="auto"/>
        </w:rPr>
        <w:t xml:space="preserve"> Additionally, as a result of the Sixth Amendment, through October 11, 2024, the aggregate commitments under the April 2016 Revolving Facility will be $446 million, and thereafter through October 13, 2026, such aggregate commitments will decrease to $342 million.</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AAdvantage Term Loan Facility</w:t>
      </w:r>
    </w:p>
    <w:p>
      <w:pPr>
        <w:spacing w:after="0" w:line="9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June 2023, American and AAdvantage Loyalty IP Ltd. entered into the First Amendment to the AAdvantage Term Loan Facility pursuant to which the benchmark interest rate transitioned from LIBOR to SOFR, effective July 1, 2023. As a result, the AAdvantage Term Loan Facility bears interest at a base rate (subject to a floor of 0.00%) plus an applicable margin of 3.75% or, at American’s option, the SOFR rate for a tenor of three months (subject to a floor of 0.75%), plus a 0.26161% credit spread adjustment and an applicable margin of 4.75%. Other than the foregoing, the terms of the AAdvantage Term Loan Facility remain substantially unchanged.</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Loans and Other Notes Payable Issued in 2023</w:t>
      </w:r>
    </w:p>
    <w:p>
      <w:pPr>
        <w:spacing w:after="0" w:line="9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During the first six months of 2023, American entered into agreements under which it borrowed $480 million in connection with the financing of certain aircraft. Debt incurred under these agreements matures in 2032 through 2035 and bears interest at fixed and variable rates (comprised of SOFR plus an applicable margin) averaging 6.63% as of June 30,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At December 31, 2022, we had approximately $16.2 billion of gross federal net operating losses (NOLs) and $4.3 billion of other carryforwards available to reduce future federal taxable income, of which $5.9 billion will expire beginning in 2024 if unused and $ 14.6 billion can be carried forward indefinitely. We also had approximately $6.0 billion of NOL carryforwards to reduce future state taxable income at December 31, 2022, which will expire in taxable years 2022 through 2042 if unused.</w:t>
      </w:r>
    </w:p>
    <w:p>
      <w:pPr>
        <w:spacing w:after="0" w:line="1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During the three and six months ended June 30, 2023, we recorded an income tax provision of $425 million and $431 million,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primarily utilize broker quotes in a non-active market for valuation of these securities. No changes in valuation techniques or inputs occurred during the six months ended June 30, 2023.</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Fair Value Measurements as of June 30, 2023</w:t>
            </w:r>
          </w:p>
        </w:tc>
        <w:tc>
          <w:tcPr>
            <w:tcW w:w="980" w:type="dxa"/>
            <w:vAlign w:val="bottom"/>
            <w:tcBorders>
              <w:bottom w:val="single" w:sz="8" w:color="auto"/>
            </w:tcBorders>
          </w:tcPr>
          <w:p>
            <w:pPr>
              <w:spacing w:after="0"/>
              <w:rPr>
                <w:sz w:val="17"/>
                <w:szCs w:val="17"/>
                <w:color w:val="auto"/>
              </w:rPr>
            </w:pPr>
          </w:p>
        </w:tc>
      </w:tr>
      <w:tr>
        <w:trPr>
          <w:trHeight w:val="183"/>
        </w:trPr>
        <w:tc>
          <w:tcPr>
            <w:tcW w:w="20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9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96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2,586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gridSpan w:val="2"/>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and agency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208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12,666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3,363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9,303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1"/>
        </w:trPr>
        <w:tc>
          <w:tcPr>
            <w:tcW w:w="20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3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82" w:lineRule="exact"/>
        <w:rPr>
          <w:sz w:val="20"/>
          <w:szCs w:val="20"/>
          <w:color w:val="auto"/>
        </w:rPr>
      </w:pPr>
    </w:p>
    <w:p>
      <w:pPr>
        <w:ind w:left="340" w:hanging="332"/>
        <w:spacing w:after="0" w:line="226"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49" w:lineRule="exact"/>
        <w:rPr>
          <w:rFonts w:ascii="Arial" w:cs="Arial" w:eastAsia="Arial" w:hAnsi="Arial"/>
          <w:sz w:val="23"/>
          <w:szCs w:val="23"/>
          <w:color w:val="auto"/>
          <w:vertAlign w:val="superscript"/>
        </w:rPr>
      </w:pPr>
    </w:p>
    <w:p>
      <w:pPr>
        <w:ind w:left="340" w:hanging="332"/>
        <w:spacing w:after="0" w:line="226"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w:t>
      </w:r>
    </w:p>
    <w:p>
      <w:pPr>
        <w:spacing w:after="0" w:line="150" w:lineRule="exact"/>
        <w:rPr>
          <w:rFonts w:ascii="Arial" w:cs="Arial" w:eastAsia="Arial" w:hAnsi="Arial"/>
          <w:sz w:val="23"/>
          <w:szCs w:val="23"/>
          <w:color w:val="auto"/>
          <w:vertAlign w:val="superscript"/>
        </w:rPr>
      </w:pPr>
    </w:p>
    <w:p>
      <w:pPr>
        <w:jc w:val="both"/>
        <w:ind w:left="340" w:hanging="332"/>
        <w:spacing w:after="0" w:line="233"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our equity investments in China Southern Airlines Company Limited (China Southern Airlines), GOL Linhas Aéreas Inteligentes S.A. (GOL) and Vertical Aerospace Ltd. (Vertical). See Note 8 for further information on our equity investments.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as of June 30, 2023 and December 31, 2022, which would have been classified as Level 3 in the fair value hierarchy. The fair value of the Convertible Notes, which would have been classified as Level 2, was $1.3 billion and $1.1 billion as of June 30, 2023 and December 31, 2022, respectively.</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 2023</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December 31, 2022</w:t>
            </w:r>
          </w:p>
        </w:tc>
      </w:tr>
      <w:tr>
        <w:trPr>
          <w:trHeight w:val="143"/>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204"/>
              <w:spacing w:after="0" w:line="14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center"/>
              <w:ind w:right="402"/>
              <w:spacing w:after="0" w:line="14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04"/>
              <w:spacing w:after="0" w:line="14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center"/>
              <w:ind w:right="242"/>
              <w:spacing w:after="0" w:line="143" w:lineRule="exact"/>
              <w:rPr>
                <w:sz w:val="20"/>
                <w:szCs w:val="20"/>
                <w:color w:val="auto"/>
              </w:rPr>
            </w:pPr>
            <w:r>
              <w:rPr>
                <w:rFonts w:ascii="Arial" w:cs="Arial" w:eastAsia="Arial" w:hAnsi="Arial"/>
                <w:sz w:val="14"/>
                <w:szCs w:val="14"/>
                <w:b w:val="1"/>
                <w:bCs w:val="1"/>
                <w:color w:val="auto"/>
              </w:rPr>
              <w:t>Fair</w:t>
            </w:r>
          </w:p>
        </w:tc>
      </w:tr>
      <w:tr>
        <w:trPr>
          <w:trHeight w:val="209"/>
        </w:trPr>
        <w:tc>
          <w:tcPr>
            <w:tcW w:w="5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5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34,057</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34,115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34,903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32,569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To help expand our network and as part of our ongoing commitment to sustainability, we enter into various commercial relationships or other strategic partnerships, including equity investments, with other airlines and companies. Our equity investments are reflected in other assets on our condensed consolidated balance sheets. Our share of equity method investees’ financial results and changes in fair value are recorded in nonoperating other income, net on the condensed consolidated statements of operations.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equity investment ownership interests and carrying values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Ownership Interest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8"/>
                <w:szCs w:val="18"/>
                <w:color w:val="auto"/>
              </w:rPr>
              <w:t>Republic Airways Holdings</w:t>
            </w:r>
          </w:p>
        </w:tc>
        <w:tc>
          <w:tcPr>
            <w:tcW w:w="22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rPr>
              <w:t>Equity Method</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w:t>
            </w:r>
          </w:p>
        </w:tc>
        <w:tc>
          <w:tcPr>
            <w:tcW w:w="2200" w:type="dxa"/>
            <w:vAlign w:val="bottom"/>
            <w:gridSpan w:val="2"/>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Fair Value</w:t>
            </w:r>
          </w:p>
        </w:tc>
        <w:tc>
          <w:tcPr>
            <w:tcW w:w="1680" w:type="dxa"/>
            <w:vAlign w:val="bottom"/>
          </w:tcPr>
          <w:p>
            <w:pPr>
              <w:jc w:val="right"/>
              <w:spacing w:after="0"/>
              <w:rPr>
                <w:sz w:val="20"/>
                <w:szCs w:val="20"/>
                <w:color w:val="auto"/>
              </w:rPr>
            </w:pPr>
            <w:r>
              <w:rPr>
                <w:rFonts w:ascii="Arial" w:cs="Arial" w:eastAsia="Arial" w:hAnsi="Arial"/>
                <w:sz w:val="18"/>
                <w:szCs w:val="18"/>
                <w:color w:val="auto"/>
              </w:rPr>
              <w:t>1.5 %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6"/>
        </w:trPr>
        <w:tc>
          <w:tcPr>
            <w:tcW w:w="222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hanging="332"/>
        <w:spacing w:after="0" w:line="226" w:lineRule="auto"/>
        <w:tabs>
          <w:tab w:leader="none" w:pos="3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Primarily includes our investment in JetSmart Airlines SpA, which is accounted for under the equity method, and our investments in GOL and Vertical, which are each accounted for at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180"/>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6"/>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4"/>
          </w:tcPr>
          <w:p>
            <w:pPr>
              <w:ind w:left="180"/>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200"/>
        </w:trPr>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6"/>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six months of 2023, we made required contributions of $68 million to our defined benefit pension plans.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rPr>
              <w:t>Retiree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Medical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rPr>
              <w:t>Unrealized Gain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Income Tax</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7"/>
              <w:spacing w:after="0" w:line="148" w:lineRule="exact"/>
              <w:rPr>
                <w:sz w:val="20"/>
                <w:szCs w:val="20"/>
                <w:color w:val="auto"/>
              </w:rPr>
            </w:pPr>
            <w:r>
              <w:rPr>
                <w:rFonts w:ascii="Arial" w:cs="Arial" w:eastAsia="Arial" w:hAnsi="Arial"/>
                <w:sz w:val="14"/>
                <w:szCs w:val="14"/>
                <w:b w:val="1"/>
                <w:bCs w:val="1"/>
                <w:color w:val="auto"/>
              </w:rPr>
              <w:t>(Loss) 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18"/>
                <w:szCs w:val="18"/>
                <w:b w:val="1"/>
                <w:bCs w:val="1"/>
                <w:color w:val="auto"/>
                <w:vertAlign w:val="superscript"/>
              </w:rPr>
              <w:t>(1)</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36"/>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w w:val="88"/>
              </w:rPr>
              <w:t>(2)</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26" w:lineRule="auto"/>
        <w:tabs>
          <w:tab w:leader="none" w:pos="3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50" w:lineRule="exact"/>
        <w:rPr>
          <w:rFonts w:ascii="Arial" w:cs="Arial" w:eastAsia="Arial" w:hAnsi="Arial"/>
          <w:sz w:val="23"/>
          <w:szCs w:val="23"/>
          <w:color w:val="auto"/>
          <w:vertAlign w:val="superscript"/>
        </w:rPr>
      </w:pPr>
    </w:p>
    <w:p>
      <w:pPr>
        <w:ind w:left="340" w:hanging="332"/>
        <w:spacing w:after="0" w:line="226" w:lineRule="auto"/>
        <w:tabs>
          <w:tab w:leader="none" w:pos="3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statements of operations.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18" w:right="339" w:bottom="1440" w:gutter="0" w:footer="0" w:header="0"/>
        </w:sect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9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920" w:type="dxa"/>
            <w:vAlign w:val="bottom"/>
          </w:tcPr>
          <w:p>
            <w:pPr>
              <w:spacing w:after="0"/>
              <w:rPr>
                <w:sz w:val="12"/>
                <w:szCs w:val="12"/>
                <w:color w:val="auto"/>
              </w:rPr>
            </w:pPr>
          </w:p>
        </w:tc>
        <w:tc>
          <w:tcPr>
            <w:tcW w:w="21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2"/>
                <w:szCs w:val="12"/>
                <w:color w:val="auto"/>
              </w:rPr>
            </w:pPr>
          </w:p>
        </w:tc>
        <w:tc>
          <w:tcPr>
            <w:tcW w:w="21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0"/>
        </w:trPr>
        <w:tc>
          <w:tcPr>
            <w:tcW w:w="3920" w:type="dxa"/>
            <w:vAlign w:val="bottom"/>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540" w:type="dxa"/>
            <w:vAlign w:val="bottom"/>
            <w:gridSpan w:val="2"/>
          </w:tcPr>
          <w:p>
            <w:pPr>
              <w:jc w:val="right"/>
              <w:ind w:right="688"/>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6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Affected line items on the</w:t>
      </w:r>
    </w:p>
    <w:p>
      <w:pPr>
        <w:jc w:val="center"/>
        <w:ind w:right="500"/>
        <w:spacing w:after="0" w:line="221" w:lineRule="auto"/>
        <w:rPr>
          <w:sz w:val="20"/>
          <w:szCs w:val="20"/>
          <w:color w:val="auto"/>
        </w:rPr>
      </w:pPr>
      <w:r>
        <w:rPr>
          <w:rFonts w:ascii="Arial" w:cs="Arial" w:eastAsia="Arial" w:hAnsi="Arial"/>
          <w:sz w:val="14"/>
          <w:szCs w:val="14"/>
          <w:b w:val="1"/>
          <w:bCs w:val="1"/>
          <w:color w:val="auto"/>
        </w:rPr>
        <w:t>condensed consolidated</w:t>
      </w:r>
    </w:p>
    <w:p>
      <w:pPr>
        <w:ind w:left="20"/>
        <w:spacing w:after="0"/>
        <w:rPr>
          <w:sz w:val="20"/>
          <w:szCs w:val="20"/>
          <w:color w:val="auto"/>
        </w:rPr>
      </w:pPr>
      <w:r>
        <w:rPr>
          <w:rFonts w:ascii="Arial" w:cs="Arial" w:eastAsia="Arial" w:hAnsi="Arial"/>
          <w:sz w:val="14"/>
          <w:szCs w:val="14"/>
          <w:b w:val="1"/>
          <w:bCs w:val="1"/>
          <w:color w:val="auto"/>
        </w:rPr>
        <w:t>statements of operations</w:t>
      </w:r>
    </w:p>
    <w:p>
      <w:pPr>
        <w:spacing w:after="0" w:line="22" w:lineRule="exact"/>
        <w:rPr>
          <w:sz w:val="20"/>
          <w:szCs w:val="20"/>
          <w:color w:val="auto"/>
        </w:rPr>
      </w:pPr>
    </w:p>
    <w:p>
      <w:pPr>
        <w:sectPr>
          <w:pgSz w:w="11900" w:h="16838" w:orient="portrait"/>
          <w:cols w:equalWidth="0" w:num="2">
            <w:col w:w="8400" w:space="600"/>
            <w:col w:w="2240"/>
          </w:cols>
          <w:pgMar w:left="320" w:top="118" w:right="339" w:bottom="1440" w:gutter="0" w:footer="0" w:header="0"/>
          <w:type w:val="continuous"/>
        </w:sectPr>
      </w:pPr>
    </w:p>
    <w:p>
      <w:pPr>
        <w:ind w:left="20"/>
        <w:spacing w:after="0" w:line="236" w:lineRule="auto"/>
        <w:rPr>
          <w:sz w:val="20"/>
          <w:szCs w:val="20"/>
          <w:color w:val="auto"/>
        </w:rPr>
      </w:pPr>
      <w:r>
        <w:rPr>
          <w:rFonts w:ascii="Arial" w:cs="Arial" w:eastAsia="Arial" w:hAnsi="Arial"/>
          <w:sz w:val="18"/>
          <w:szCs w:val="18"/>
          <w:color w:val="auto"/>
        </w:rPr>
        <w:t>Amortization of pension, retiree medical and</w:t>
      </w:r>
    </w:p>
    <w:p>
      <w:pPr>
        <w:ind w:left="180"/>
        <w:spacing w:after="0"/>
        <w:rPr>
          <w:sz w:val="20"/>
          <w:szCs w:val="20"/>
          <w:color w:val="auto"/>
        </w:rPr>
      </w:pPr>
      <w:r>
        <w:rPr>
          <w:rFonts w:ascii="Arial" w:cs="Arial" w:eastAsia="Arial" w:hAnsi="Arial"/>
          <w:sz w:val="18"/>
          <w:szCs w:val="18"/>
          <w:color w:val="auto"/>
        </w:rPr>
        <w:t>other postretirement benefits:</w:t>
      </w:r>
    </w:p>
    <w:tbl>
      <w:tblPr>
        <w:tblLayout w:type="fixed"/>
        <w:tblInd w:w="0" w:type="dxa"/>
        <w:tblCellMar>
          <w:top w:w="0" w:type="dxa"/>
          <w:left w:w="0" w:type="dxa"/>
          <w:bottom w:w="0" w:type="dxa"/>
          <w:right w:w="0" w:type="dxa"/>
        </w:tblCellMar>
      </w:tblPr>
      <w:tr>
        <w:trPr>
          <w:trHeight w:val="200"/>
        </w:trPr>
        <w:tc>
          <w:tcPr>
            <w:tcW w:w="3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40" w:type="dxa"/>
            <w:vAlign w:val="bottom"/>
          </w:tcPr>
          <w:p>
            <w:pPr>
              <w:ind w:left="120"/>
              <w:spacing w:after="0" w:line="200"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29"/>
        </w:trPr>
        <w:tc>
          <w:tcPr>
            <w:tcW w:w="394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840" w:type="dxa"/>
            <w:vAlign w:val="bottom"/>
          </w:tcPr>
          <w:p>
            <w:pPr>
              <w:ind w:left="2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6"/>
        </w:trPr>
        <w:tc>
          <w:tcPr>
            <w:tcW w:w="39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Our regional carrier arrangements are in the form of capacity purchase agreements. Expenses associated with American Eagle operations are classified as regional expenses on the condensed consolidated statements of operations.</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Regional expenses for each of the three months ended June 30, 2023 and 2022 include $80 million of depreciation and amortization and $1 million of aircraft rent. Regional expenses for each of the six months ended June 30, 2023 and 2022 include $160 million of depreciation and amortization and $3 million of aircraft rent.</w:t>
      </w:r>
    </w:p>
    <w:p>
      <w:pPr>
        <w:spacing w:after="0" w:line="1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During the three months ended June 30, 2023 and 2022, we recognized $168 million and $160 million, respectively, of expense under our capacity purchase agreement with Republic Airways Inc. (Republic). During the six months ended June 30, 2023 and 2022, we recognized $336 million and $310 million, respectively, of expense under our capacity purchase agreement with Republic. We hold a 25% equity interest in Republic Airways Holdings Inc., the parent company of Republic.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i w:val="1"/>
          <w:iCs w:val="1"/>
          <w:color w:val="auto"/>
        </w:rPr>
        <w:t xml:space="preserve">Private Party Antitrust Action Related to the Merger. </w:t>
      </w:r>
      <w:r>
        <w:rPr>
          <w:rFonts w:ascii="Arial" w:cs="Arial" w:eastAsia="Arial" w:hAnsi="Arial"/>
          <w:sz w:val="18"/>
          <w:szCs w:val="18"/>
          <w:color w:val="auto"/>
        </w:rPr>
        <w:t>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our favor. On March 25, 2022, the U.S. District Court for the Southern District of New York entered judgment affirming the Bankruptcy Court’s decision. On April 21, 2022, plaintiffs appealed that decision to the U.S. Court of Appeals for the Second Circuit. On March 20, 2023, the Second Circuit affirmed in full the U.S. District Court for the Southern District of New York’s decision. On June 20, 2023, plaintiffs filed a petition seeking a writ of certiorari to the U.S. Supreme Court, which was docketed on June 22, 2023. Our brief in opposition, if any, is due July 24, 2023. We believe this lawsuit is without merit and intend to continue to vigorously defend against any further appeals by the plaintiffs.</w:t>
      </w:r>
    </w:p>
    <w:p>
      <w:pPr>
        <w:spacing w:after="0" w:line="143"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The parties presented their respective cases in a bench trial that commenced on September 27, 2022. The parties presented closing arguments on November 18, 2022.</w:t>
      </w:r>
    </w:p>
    <w:p>
      <w:pPr>
        <w:spacing w:after="0" w:line="13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May 19, 2023, the U.S. District Court for the District of Massachusetts issued an order permanently enjoining American and JetBlue from continuing and further implementing the NEA. The parties submitted respective proposals regarding the timing and terms of the final injunction order on June 9, 2023, and the U.S. District Court for the District of Massachusetts scheduled a hearing for July 26, 2023 to discuss the proposals. The injunction will take effect 21 days after the U.S. District Court for the District of Massachusetts issues a final judgment and permanent injunction. American plans to appeal the final judgment to the U.S. Court of Appeals for the First Circuit.</w:t>
      </w:r>
    </w:p>
    <w:p>
      <w:pPr>
        <w:spacing w:after="0" w:line="13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On May 12, 2023 and May 24, 2023, respectively, the complaint filed in the U.S. District Court for the Eastern District of New York was consolidated with the other actions and the complaint filed in the U.S. District Court for the District of Massachusetts was transferred to the U.S. District Court for the Eastern District of New York. On June 23, 2023, the private party plaintiffs filed a second amended consolidated complaint. We believe these lawsuits are without merit and are defending against them vigorously.</w:t>
      </w:r>
    </w:p>
    <w:p>
      <w:pPr>
        <w:spacing w:after="0" w:line="13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5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12,978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12,223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24,081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20,041</w:t>
            </w: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r>
      <w:tr>
        <w:trPr>
          <w:trHeight w:val="223"/>
        </w:trPr>
        <w:tc>
          <w:tcPr>
            <w:tcW w:w="5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22,317</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6,385</w:t>
            </w: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36"/>
        </w:trPr>
        <w:tc>
          <w:tcPr>
            <w:tcW w:w="59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3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r>
      <w:tr>
        <w:trPr>
          <w:trHeight w:val="223"/>
        </w:trPr>
        <w:tc>
          <w:tcPr>
            <w:tcW w:w="5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22,978</w:t>
            </w:r>
          </w:p>
        </w:tc>
      </w:tr>
      <w:tr>
        <w:trPr>
          <w:trHeight w:val="236"/>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5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5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5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3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5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9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3"/>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36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194"/>
        </w:trPr>
        <w:tc>
          <w:tcPr>
            <w:tcW w:w="774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6"/>
                <w:szCs w:val="16"/>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11,445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8,523</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995</w:t>
            </w:r>
          </w:p>
        </w:tc>
        <w:tc>
          <w:tcPr>
            <w:tcW w:w="0" w:type="dxa"/>
            <w:vAlign w:val="bottom"/>
          </w:tcPr>
          <w:p>
            <w:pPr>
              <w:spacing w:after="0"/>
              <w:rPr>
                <w:sz w:val="1"/>
                <w:szCs w:val="1"/>
                <w:color w:val="auto"/>
              </w:rPr>
            </w:pPr>
          </w:p>
        </w:tc>
      </w:tr>
      <w:tr>
        <w:trPr>
          <w:trHeight w:val="198"/>
        </w:trPr>
        <w:tc>
          <w:tcPr>
            <w:tcW w:w="774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2,055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2,117</w:t>
            </w:r>
          </w:p>
        </w:tc>
        <w:tc>
          <w:tcPr>
            <w:tcW w:w="0" w:type="dxa"/>
            <w:vAlign w:val="bottom"/>
          </w:tcPr>
          <w:p>
            <w:pPr>
              <w:spacing w:after="0"/>
              <w:rPr>
                <w:sz w:val="1"/>
                <w:szCs w:val="1"/>
                <w:color w:val="auto"/>
              </w:rPr>
            </w:pPr>
          </w:p>
        </w:tc>
      </w:tr>
      <w:tr>
        <w:trPr>
          <w:trHeight w:val="200"/>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Receivables from related parties, net</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6,808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6,588</w:t>
            </w:r>
          </w:p>
        </w:tc>
        <w:tc>
          <w:tcPr>
            <w:tcW w:w="0" w:type="dxa"/>
            <w:vAlign w:val="bottom"/>
          </w:tcPr>
          <w:p>
            <w:pPr>
              <w:spacing w:after="0"/>
              <w:rPr>
                <w:sz w:val="1"/>
                <w:szCs w:val="1"/>
                <w:color w:val="auto"/>
              </w:rPr>
            </w:pPr>
          </w:p>
        </w:tc>
      </w:tr>
      <w:tr>
        <w:trPr>
          <w:trHeight w:val="198"/>
        </w:trPr>
        <w:tc>
          <w:tcPr>
            <w:tcW w:w="7740" w:type="dxa"/>
            <w:vAlign w:val="bottom"/>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2,153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2,157</w:t>
            </w:r>
          </w:p>
        </w:tc>
        <w:tc>
          <w:tcPr>
            <w:tcW w:w="0" w:type="dxa"/>
            <w:vAlign w:val="bottom"/>
          </w:tcPr>
          <w:p>
            <w:pPr>
              <w:spacing w:after="0"/>
              <w:rPr>
                <w:sz w:val="1"/>
                <w:szCs w:val="1"/>
                <w:color w:val="auto"/>
              </w:rPr>
            </w:pPr>
          </w:p>
        </w:tc>
      </w:tr>
      <w:tr>
        <w:trPr>
          <w:trHeight w:val="203"/>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798</w:t>
            </w:r>
          </w:p>
        </w:tc>
        <w:tc>
          <w:tcPr>
            <w:tcW w:w="0" w:type="dxa"/>
            <w:vAlign w:val="bottom"/>
          </w:tcPr>
          <w:p>
            <w:pPr>
              <w:spacing w:after="0"/>
              <w:rPr>
                <w:sz w:val="1"/>
                <w:szCs w:val="1"/>
                <w:color w:val="auto"/>
              </w:rPr>
            </w:pPr>
          </w:p>
        </w:tc>
      </w:tr>
      <w:tr>
        <w:trPr>
          <w:trHeight w:val="192"/>
        </w:trPr>
        <w:tc>
          <w:tcPr>
            <w:tcW w:w="774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6"/>
                <w:szCs w:val="16"/>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24,765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21,607</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40" w:type="dxa"/>
            <w:vAlign w:val="bottom"/>
          </w:tcPr>
          <w:p>
            <w:pPr>
              <w:ind w:left="360"/>
              <w:spacing w:after="0"/>
              <w:rPr>
                <w:sz w:val="20"/>
                <w:szCs w:val="20"/>
                <w:color w:val="auto"/>
              </w:rPr>
            </w:pPr>
            <w:r>
              <w:rPr>
                <w:rFonts w:ascii="Arial" w:cs="Arial" w:eastAsia="Arial" w:hAnsi="Arial"/>
                <w:sz w:val="15"/>
                <w:szCs w:val="15"/>
                <w:color w:val="auto"/>
              </w:rPr>
              <w:t>Flight equipment</w:t>
            </w:r>
          </w:p>
        </w:tc>
        <w:tc>
          <w:tcPr>
            <w:tcW w:w="24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40,225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39,359</w:t>
            </w:r>
          </w:p>
        </w:tc>
        <w:tc>
          <w:tcPr>
            <w:tcW w:w="0" w:type="dxa"/>
            <w:vAlign w:val="bottom"/>
          </w:tcPr>
          <w:p>
            <w:pPr>
              <w:spacing w:after="0"/>
              <w:rPr>
                <w:sz w:val="1"/>
                <w:szCs w:val="1"/>
                <w:color w:val="auto"/>
              </w:rPr>
            </w:pPr>
          </w:p>
        </w:tc>
      </w:tr>
      <w:tr>
        <w:trPr>
          <w:trHeight w:val="200"/>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Ground property and equipment</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9,553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9,479</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Equipment purchase deposits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767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613</w:t>
            </w: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50,545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49,451</w:t>
            </w:r>
          </w:p>
        </w:tc>
        <w:tc>
          <w:tcPr>
            <w:tcW w:w="0" w:type="dxa"/>
            <w:vAlign w:val="bottom"/>
          </w:tcPr>
          <w:p>
            <w:pPr>
              <w:spacing w:after="0"/>
              <w:rPr>
                <w:sz w:val="1"/>
                <w:szCs w:val="1"/>
                <w:color w:val="auto"/>
              </w:rPr>
            </w:pPr>
          </w:p>
        </w:tc>
      </w:tr>
      <w:tr>
        <w:trPr>
          <w:trHeight w:val="194"/>
        </w:trPr>
        <w:tc>
          <w:tcPr>
            <w:tcW w:w="7740" w:type="dxa"/>
            <w:vAlign w:val="bottom"/>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(20,578)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(19,569)</w:t>
            </w:r>
          </w:p>
        </w:tc>
        <w:tc>
          <w:tcPr>
            <w:tcW w:w="0" w:type="dxa"/>
            <w:vAlign w:val="bottom"/>
          </w:tcPr>
          <w:p>
            <w:pPr>
              <w:spacing w:after="0"/>
              <w:rPr>
                <w:sz w:val="1"/>
                <w:szCs w:val="1"/>
                <w:color w:val="auto"/>
              </w:rPr>
            </w:pPr>
          </w:p>
        </w:tc>
      </w:tr>
      <w:tr>
        <w:trPr>
          <w:trHeight w:val="22"/>
        </w:trPr>
        <w:tc>
          <w:tcPr>
            <w:tcW w:w="7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29,967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29,882</w:t>
            </w: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4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8,019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8,033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40" w:type="dxa"/>
            <w:vAlign w:val="bottom"/>
          </w:tcPr>
          <w:p>
            <w:pPr>
              <w:ind w:left="360"/>
              <w:spacing w:after="0"/>
              <w:rPr>
                <w:sz w:val="20"/>
                <w:szCs w:val="20"/>
                <w:color w:val="auto"/>
              </w:rPr>
            </w:pPr>
            <w:r>
              <w:rPr>
                <w:rFonts w:ascii="Arial" w:cs="Arial" w:eastAsia="Arial" w:hAnsi="Arial"/>
                <w:sz w:val="15"/>
                <w:szCs w:val="15"/>
                <w:color w:val="auto"/>
              </w:rPr>
              <w:t>Goodwill</w:t>
            </w:r>
          </w:p>
        </w:tc>
        <w:tc>
          <w:tcPr>
            <w:tcW w:w="24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6"/>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Intangibles, net of accumulated amortization of $830 and $827, respectively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2,059</w:t>
            </w:r>
          </w:p>
        </w:tc>
        <w:tc>
          <w:tcPr>
            <w:tcW w:w="0" w:type="dxa"/>
            <w:vAlign w:val="bottom"/>
          </w:tcPr>
          <w:p>
            <w:pPr>
              <w:spacing w:after="0"/>
              <w:rPr>
                <w:sz w:val="1"/>
                <w:szCs w:val="1"/>
                <w:color w:val="auto"/>
              </w:rPr>
            </w:pPr>
          </w:p>
        </w:tc>
      </w:tr>
      <w:tr>
        <w:trPr>
          <w:trHeight w:val="195"/>
        </w:trPr>
        <w:tc>
          <w:tcPr>
            <w:tcW w:w="7740" w:type="dxa"/>
            <w:vAlign w:val="bottom"/>
          </w:tcPr>
          <w:p>
            <w:pPr>
              <w:ind w:left="360"/>
              <w:spacing w:after="0"/>
              <w:rPr>
                <w:sz w:val="20"/>
                <w:szCs w:val="20"/>
                <w:color w:val="auto"/>
              </w:rPr>
            </w:pPr>
            <w:r>
              <w:rPr>
                <w:rFonts w:ascii="Arial" w:cs="Arial" w:eastAsia="Arial" w:hAnsi="Arial"/>
                <w:sz w:val="15"/>
                <w:szCs w:val="15"/>
                <w:color w:val="auto"/>
              </w:rPr>
              <w:t>Deferred tax asset</w:t>
            </w:r>
          </w:p>
        </w:tc>
        <w:tc>
          <w:tcPr>
            <w:tcW w:w="240" w:type="dxa"/>
            <w:vAlign w:val="bottom"/>
          </w:tcPr>
          <w:p>
            <w:pPr>
              <w:spacing w:after="0"/>
              <w:rPr>
                <w:sz w:val="16"/>
                <w:szCs w:val="16"/>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2,404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2,893</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1,750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1,759</w:t>
            </w:r>
          </w:p>
        </w:tc>
        <w:tc>
          <w:tcPr>
            <w:tcW w:w="0" w:type="dxa"/>
            <w:vAlign w:val="bottom"/>
          </w:tcPr>
          <w:p>
            <w:pPr>
              <w:spacing w:after="0"/>
              <w:rPr>
                <w:sz w:val="1"/>
                <w:szCs w:val="1"/>
                <w:color w:val="auto"/>
              </w:rPr>
            </w:pPr>
          </w:p>
        </w:tc>
      </w:tr>
      <w:tr>
        <w:trPr>
          <w:trHeight w:val="192"/>
        </w:trPr>
        <w:tc>
          <w:tcPr>
            <w:tcW w:w="7740" w:type="dxa"/>
            <w:vAlign w:val="bottom"/>
          </w:tcPr>
          <w:p>
            <w:pPr>
              <w:ind w:left="68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10,300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10,802</w:t>
            </w:r>
          </w:p>
        </w:tc>
        <w:tc>
          <w:tcPr>
            <w:tcW w:w="0" w:type="dxa"/>
            <w:vAlign w:val="bottom"/>
          </w:tcPr>
          <w:p>
            <w:pPr>
              <w:spacing w:after="0"/>
              <w:rPr>
                <w:sz w:val="1"/>
                <w:szCs w:val="1"/>
                <w:color w:val="auto"/>
              </w:rPr>
            </w:pPr>
          </w:p>
        </w:tc>
      </w:tr>
      <w:tr>
        <w:trPr>
          <w:trHeight w:val="232"/>
        </w:trPr>
        <w:tc>
          <w:tcPr>
            <w:tcW w:w="7740" w:type="dxa"/>
            <w:vAlign w:val="bottom"/>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73,051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70,324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40" w:type="dxa"/>
            <w:vAlign w:val="bottom"/>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3,867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3,267</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2,071</w:t>
            </w:r>
          </w:p>
        </w:tc>
        <w:tc>
          <w:tcPr>
            <w:tcW w:w="0" w:type="dxa"/>
            <w:vAlign w:val="bottom"/>
          </w:tcPr>
          <w:p>
            <w:pPr>
              <w:spacing w:after="0"/>
              <w:rPr>
                <w:sz w:val="1"/>
                <w:szCs w:val="1"/>
                <w:color w:val="auto"/>
              </w:rPr>
            </w:pPr>
          </w:p>
        </w:tc>
      </w:tr>
      <w:tr>
        <w:trPr>
          <w:trHeight w:val="199"/>
        </w:trPr>
        <w:tc>
          <w:tcPr>
            <w:tcW w:w="7740" w:type="dxa"/>
            <w:vAlign w:val="bottom"/>
          </w:tcPr>
          <w:p>
            <w:pPr>
              <w:ind w:left="360"/>
              <w:spacing w:after="0"/>
              <w:rPr>
                <w:sz w:val="20"/>
                <w:szCs w:val="20"/>
                <w:color w:val="auto"/>
              </w:rPr>
            </w:pPr>
            <w:r>
              <w:rPr>
                <w:rFonts w:ascii="Arial" w:cs="Arial" w:eastAsia="Arial" w:hAnsi="Arial"/>
                <w:sz w:val="15"/>
                <w:szCs w:val="15"/>
                <w:color w:val="auto"/>
              </w:rPr>
              <w:t>Accrued salaries and wages</w:t>
            </w:r>
          </w:p>
        </w:tc>
        <w:tc>
          <w:tcPr>
            <w:tcW w:w="24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1,551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1,529</w:t>
            </w:r>
          </w:p>
        </w:tc>
        <w:tc>
          <w:tcPr>
            <w:tcW w:w="0" w:type="dxa"/>
            <w:vAlign w:val="bottom"/>
          </w:tcPr>
          <w:p>
            <w:pPr>
              <w:spacing w:after="0"/>
              <w:rPr>
                <w:sz w:val="1"/>
                <w:szCs w:val="1"/>
                <w:color w:val="auto"/>
              </w:rPr>
            </w:pPr>
          </w:p>
        </w:tc>
      </w:tr>
      <w:tr>
        <w:trPr>
          <w:trHeight w:val="206"/>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 traffic liability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6,745</w:t>
            </w:r>
          </w:p>
        </w:tc>
        <w:tc>
          <w:tcPr>
            <w:tcW w:w="0" w:type="dxa"/>
            <w:vAlign w:val="bottom"/>
          </w:tcPr>
          <w:p>
            <w:pPr>
              <w:spacing w:after="0"/>
              <w:rPr>
                <w:sz w:val="1"/>
                <w:szCs w:val="1"/>
                <w:color w:val="auto"/>
              </w:rPr>
            </w:pPr>
          </w:p>
        </w:tc>
      </w:tr>
      <w:tr>
        <w:trPr>
          <w:trHeight w:val="195"/>
        </w:trPr>
        <w:tc>
          <w:tcPr>
            <w:tcW w:w="774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tcPr>
          <w:p>
            <w:pPr>
              <w:spacing w:after="0"/>
              <w:rPr>
                <w:sz w:val="16"/>
                <w:szCs w:val="16"/>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3,492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3,169</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1,449</w:t>
            </w:r>
          </w:p>
        </w:tc>
        <w:tc>
          <w:tcPr>
            <w:tcW w:w="0" w:type="dxa"/>
            <w:vAlign w:val="bottom"/>
          </w:tcPr>
          <w:p>
            <w:pPr>
              <w:spacing w:after="0"/>
              <w:rPr>
                <w:sz w:val="1"/>
                <w:szCs w:val="1"/>
                <w:color w:val="auto"/>
              </w:rPr>
            </w:pPr>
          </w:p>
        </w:tc>
      </w:tr>
      <w:tr>
        <w:trPr>
          <w:trHeight w:val="198"/>
        </w:trPr>
        <w:tc>
          <w:tcPr>
            <w:tcW w:w="7740" w:type="dxa"/>
            <w:vAlign w:val="bottom"/>
          </w:tcPr>
          <w:p>
            <w:pPr>
              <w:ind w:left="36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2,733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2,852</w:t>
            </w:r>
          </w:p>
        </w:tc>
        <w:tc>
          <w:tcPr>
            <w:tcW w:w="0" w:type="dxa"/>
            <w:vAlign w:val="bottom"/>
          </w:tcPr>
          <w:p>
            <w:pPr>
              <w:spacing w:after="0"/>
              <w:rPr>
                <w:sz w:val="1"/>
                <w:szCs w:val="1"/>
                <w:color w:val="auto"/>
              </w:rPr>
            </w:pPr>
          </w:p>
        </w:tc>
      </w:tr>
      <w:tr>
        <w:trPr>
          <w:trHeight w:val="193"/>
        </w:trPr>
        <w:tc>
          <w:tcPr>
            <w:tcW w:w="7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23,900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21,082</w:t>
            </w: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25,545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27,155</w:t>
            </w:r>
          </w:p>
        </w:tc>
        <w:tc>
          <w:tcPr>
            <w:tcW w:w="0" w:type="dxa"/>
            <w:vAlign w:val="bottom"/>
          </w:tcPr>
          <w:p>
            <w:pPr>
              <w:spacing w:after="0"/>
              <w:rPr>
                <w:sz w:val="1"/>
                <w:szCs w:val="1"/>
                <w:color w:val="auto"/>
              </w:rPr>
            </w:pPr>
          </w:p>
        </w:tc>
      </w:tr>
      <w:tr>
        <w:trPr>
          <w:trHeight w:val="195"/>
        </w:trPr>
        <w:tc>
          <w:tcPr>
            <w:tcW w:w="7740" w:type="dxa"/>
            <w:vAlign w:val="bottom"/>
          </w:tcPr>
          <w:p>
            <w:pPr>
              <w:ind w:left="36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tcPr>
          <w:p>
            <w:pPr>
              <w:spacing w:after="0"/>
              <w:rPr>
                <w:sz w:val="16"/>
                <w:szCs w:val="16"/>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2,668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2,811</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5,976</w:t>
            </w:r>
          </w:p>
        </w:tc>
        <w:tc>
          <w:tcPr>
            <w:tcW w:w="0" w:type="dxa"/>
            <w:vAlign w:val="bottom"/>
          </w:tcPr>
          <w:p>
            <w:pPr>
              <w:spacing w:after="0"/>
              <w:rPr>
                <w:sz w:val="1"/>
                <w:szCs w:val="1"/>
                <w:color w:val="auto"/>
              </w:rPr>
            </w:pPr>
          </w:p>
        </w:tc>
      </w:tr>
      <w:tr>
        <w:trPr>
          <w:trHeight w:val="198"/>
        </w:trPr>
        <w:tc>
          <w:tcPr>
            <w:tcW w:w="774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6,464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6,512</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1,408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1,195</w:t>
            </w:r>
          </w:p>
        </w:tc>
        <w:tc>
          <w:tcPr>
            <w:tcW w:w="0" w:type="dxa"/>
            <w:vAlign w:val="bottom"/>
          </w:tcPr>
          <w:p>
            <w:pPr>
              <w:spacing w:after="0"/>
              <w:rPr>
                <w:sz w:val="1"/>
                <w:szCs w:val="1"/>
                <w:color w:val="auto"/>
              </w:rPr>
            </w:pPr>
          </w:p>
        </w:tc>
      </w:tr>
      <w:tr>
        <w:trPr>
          <w:trHeight w:val="192"/>
        </w:trPr>
        <w:tc>
          <w:tcPr>
            <w:tcW w:w="7740" w:type="dxa"/>
            <w:vAlign w:val="bottom"/>
          </w:tcPr>
          <w:p>
            <w:pPr>
              <w:ind w:left="680"/>
              <w:spacing w:after="0"/>
              <w:rPr>
                <w:sz w:val="20"/>
                <w:szCs w:val="20"/>
                <w:color w:val="auto"/>
              </w:rPr>
            </w:pPr>
            <w:r>
              <w:rPr>
                <w:rFonts w:ascii="Arial" w:cs="Arial" w:eastAsia="Arial" w:hAnsi="Arial"/>
                <w:sz w:val="15"/>
                <w:szCs w:val="15"/>
                <w:color w:val="auto"/>
              </w:rPr>
              <w:t>Total noncurrent liabilities</w:t>
            </w: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41,969</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43,649</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74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17,276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17,230</w:t>
            </w:r>
          </w:p>
        </w:tc>
        <w:tc>
          <w:tcPr>
            <w:tcW w:w="0" w:type="dxa"/>
            <w:vAlign w:val="bottom"/>
          </w:tcPr>
          <w:p>
            <w:pPr>
              <w:spacing w:after="0"/>
              <w:rPr>
                <w:sz w:val="1"/>
                <w:szCs w:val="1"/>
                <w:color w:val="auto"/>
              </w:rPr>
            </w:pPr>
          </w:p>
        </w:tc>
      </w:tr>
      <w:tr>
        <w:trPr>
          <w:trHeight w:val="200"/>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(4,655)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(4,690)</w:t>
            </w:r>
          </w:p>
        </w:tc>
        <w:tc>
          <w:tcPr>
            <w:tcW w:w="0" w:type="dxa"/>
            <w:vAlign w:val="bottom"/>
          </w:tcPr>
          <w:p>
            <w:pPr>
              <w:spacing w:after="0"/>
              <w:rPr>
                <w:sz w:val="1"/>
                <w:szCs w:val="1"/>
                <w:color w:val="auto"/>
              </w:rPr>
            </w:pPr>
          </w:p>
        </w:tc>
      </w:tr>
      <w:tr>
        <w:trPr>
          <w:trHeight w:val="199"/>
        </w:trPr>
        <w:tc>
          <w:tcPr>
            <w:tcW w:w="7740" w:type="dxa"/>
            <w:vAlign w:val="bottom"/>
          </w:tcPr>
          <w:p>
            <w:pPr>
              <w:ind w:left="360"/>
              <w:spacing w:after="0"/>
              <w:rPr>
                <w:sz w:val="20"/>
                <w:szCs w:val="20"/>
                <w:color w:val="auto"/>
              </w:rPr>
            </w:pPr>
            <w:r>
              <w:rPr>
                <w:rFonts w:ascii="Arial" w:cs="Arial" w:eastAsia="Arial" w:hAnsi="Arial"/>
                <w:sz w:val="15"/>
                <w:szCs w:val="15"/>
                <w:color w:val="auto"/>
              </w:rPr>
              <w:t>Retained deficit</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(6,947)</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7,182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5,593</w:t>
            </w:r>
          </w:p>
        </w:tc>
        <w:tc>
          <w:tcPr>
            <w:tcW w:w="0" w:type="dxa"/>
            <w:vAlign w:val="bottom"/>
          </w:tcPr>
          <w:p>
            <w:pPr>
              <w:spacing w:after="0"/>
              <w:rPr>
                <w:sz w:val="1"/>
                <w:szCs w:val="1"/>
                <w:color w:val="auto"/>
              </w:rPr>
            </w:pPr>
          </w:p>
        </w:tc>
      </w:tr>
      <w:tr>
        <w:trPr>
          <w:trHeight w:val="212"/>
        </w:trPr>
        <w:tc>
          <w:tcPr>
            <w:tcW w:w="774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73,051</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70,324</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80" w:type="dxa"/>
            <w:vAlign w:val="bottom"/>
          </w:tcPr>
          <w:p>
            <w:pPr>
              <w:spacing w:after="0"/>
              <w:rPr>
                <w:sz w:val="17"/>
                <w:szCs w:val="17"/>
                <w:color w:val="auto"/>
              </w:rPr>
            </w:pPr>
          </w:p>
        </w:tc>
        <w:tc>
          <w:tcPr>
            <w:tcW w:w="3460" w:type="dxa"/>
            <w:vAlign w:val="bottom"/>
            <w:tcBorders>
              <w:bottom w:val="single" w:sz="8" w:color="auto"/>
            </w:tcBorders>
            <w:gridSpan w:val="5"/>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7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36"/>
        </w:trPr>
        <w:tc>
          <w:tcPr>
            <w:tcW w:w="778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(10,083)</w:t>
            </w:r>
          </w:p>
        </w:tc>
      </w:tr>
      <w:tr>
        <w:trPr>
          <w:trHeight w:val="24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Decrease (increase) in restricted short-term investments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equity investment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investing activities</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7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7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56"/>
        </w:trPr>
        <w:tc>
          <w:tcPr>
            <w:tcW w:w="77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7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20" w:type="dxa"/>
            <w:vAlign w:val="bottom"/>
          </w:tcPr>
          <w:p>
            <w:pPr>
              <w:jc w:val="right"/>
              <w:ind w:right="83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612</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debt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78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w:t>
            </w: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201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37" w:lineRule="exact"/>
        <w:rPr>
          <w:sz w:val="20"/>
          <w:szCs w:val="20"/>
          <w:color w:val="auto"/>
        </w:rPr>
      </w:pPr>
    </w:p>
    <w:p>
      <w:pPr>
        <w:ind w:left="340" w:hanging="332"/>
        <w:spacing w:after="0" w:line="226" w:lineRule="auto"/>
        <w:tabs>
          <w:tab w:leader="none" w:pos="3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5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76"/>
              <w:spacing w:after="0" w:line="14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55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17"/>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2022. American is the principal wholly-owned subsidiary of American Airlines Group Inc. (AAG). All significant intercompany transactions have been eliminated.</w:t>
      </w:r>
    </w:p>
    <w:p>
      <w:pPr>
        <w:spacing w:after="0" w:line="1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Labor Negotiations</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May 2023, American and the Allied Pilots Association (APA), the union representing American’s approximately 13,900 mainline pilots, reached an agreement in principle on a new collective bargaining agreement. In July 2023, a tentative agreement was approved by the APA Board of Directors and is subject to ratification by American’s pilots through a vote that is presently scheduled to close on August 7, 2023. Upon pilot ratification, the ratified agreement will include a provision for a one-time payment of approximately $750 million and provisions for other benefit-related items. Since the tentative agreement has not yet been ratified and there is uncertainty about the outcome of that process, American has not accrued for the one-time payment or the other benefit-related expenses as of June 30,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80" w:type="dxa"/>
            <w:vAlign w:val="bottom"/>
          </w:tcPr>
          <w:p>
            <w:pPr>
              <w:spacing w:after="0"/>
              <w:rPr>
                <w:sz w:val="17"/>
                <w:szCs w:val="17"/>
                <w:color w:val="auto"/>
              </w:rPr>
            </w:pPr>
          </w:p>
        </w:tc>
        <w:tc>
          <w:tcPr>
            <w:tcW w:w="2920" w:type="dxa"/>
            <w:vAlign w:val="bottom"/>
            <w:gridSpan w:val="7"/>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3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9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37"/>
        </w:trPr>
        <w:tc>
          <w:tcPr>
            <w:tcW w:w="59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860" w:type="dxa"/>
            <w:vAlign w:val="bottom"/>
          </w:tcPr>
          <w:p>
            <w:pPr>
              <w:spacing w:after="0"/>
              <w:rPr>
                <w:sz w:val="19"/>
                <w:szCs w:val="19"/>
                <w:color w:val="auto"/>
              </w:rPr>
            </w:pPr>
          </w:p>
        </w:tc>
        <w:tc>
          <w:tcPr>
            <w:tcW w:w="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7"/>
        </w:trPr>
        <w:tc>
          <w:tcPr>
            <w:tcW w:w="59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Debt refinancing and extinguishment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(3)</w:t>
            </w: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7"/>
        </w:trPr>
        <w:tc>
          <w:tcPr>
            <w:tcW w:w="59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860" w:type="dxa"/>
            <w:vAlign w:val="bottom"/>
          </w:tcPr>
          <w:p>
            <w:pPr>
              <w:spacing w:after="0"/>
              <w:rPr>
                <w:sz w:val="19"/>
                <w:szCs w:val="19"/>
                <w:color w:val="auto"/>
              </w:rPr>
            </w:pPr>
          </w:p>
        </w:tc>
        <w:tc>
          <w:tcPr>
            <w:tcW w:w="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201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37" w:lineRule="exact"/>
        <w:rPr>
          <w:sz w:val="20"/>
          <w:szCs w:val="20"/>
          <w:color w:val="auto"/>
        </w:rPr>
      </w:pPr>
    </w:p>
    <w:p>
      <w:pPr>
        <w:ind w:left="340" w:hanging="332"/>
        <w:spacing w:after="0" w:line="226" w:lineRule="auto"/>
        <w:tabs>
          <w:tab w:leader="none" w:pos="3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Severance expenses for the six months ended June 30, 2023 primarily included costs associated with headcount reductions in certain corporate functions.</w:t>
      </w:r>
    </w:p>
    <w:p>
      <w:pPr>
        <w:spacing w:after="0" w:line="150" w:lineRule="exact"/>
        <w:rPr>
          <w:rFonts w:ascii="Arial" w:cs="Arial" w:eastAsia="Arial" w:hAnsi="Arial"/>
          <w:sz w:val="23"/>
          <w:szCs w:val="23"/>
          <w:color w:val="auto"/>
          <w:vertAlign w:val="superscript"/>
        </w:rPr>
      </w:pPr>
    </w:p>
    <w:p>
      <w:pPr>
        <w:jc w:val="both"/>
        <w:ind w:left="340" w:hanging="332"/>
        <w:spacing w:after="0" w:line="233" w:lineRule="auto"/>
        <w:tabs>
          <w:tab w:leader="none" w:pos="3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2022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spacing w:after="0" w:line="115"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right="9200" w:hanging="252"/>
        <w:spacing w:after="0" w:line="370" w:lineRule="auto"/>
        <w:tabs>
          <w:tab w:leader="none" w:pos="217"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r>
      <w:tr>
        <w:trPr>
          <w:trHeight w:val="223"/>
        </w:trPr>
        <w:tc>
          <w:tcPr>
            <w:tcW w:w="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12,057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22,348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18,613</w:t>
            </w:r>
          </w:p>
        </w:tc>
      </w:tr>
      <w:tr>
        <w:trPr>
          <w:trHeight w:val="243"/>
        </w:trPr>
        <w:tc>
          <w:tcPr>
            <w:tcW w:w="20" w:type="dxa"/>
            <w:vAlign w:val="bottom"/>
          </w:tcPr>
          <w:p>
            <w:pPr>
              <w:spacing w:after="0"/>
              <w:rPr>
                <w:sz w:val="21"/>
                <w:szCs w:val="21"/>
                <w:color w:val="auto"/>
              </w:rPr>
            </w:pPr>
          </w:p>
        </w:tc>
        <w:tc>
          <w:tcPr>
            <w:tcW w:w="5960" w:type="dxa"/>
            <w:vAlign w:val="bottom"/>
            <w:gridSpan w:val="2"/>
            <w:shd w:val="clear" w:color="auto" w:fill="CCEEFF"/>
          </w:tcPr>
          <w:p>
            <w:pPr>
              <w:ind w:left="220"/>
              <w:spacing w:after="0" w:line="243"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23"/>
        </w:trPr>
        <w:tc>
          <w:tcPr>
            <w:tcW w:w="20" w:type="dxa"/>
            <w:vAlign w:val="bottom"/>
          </w:tcPr>
          <w:p>
            <w:pPr>
              <w:spacing w:after="0"/>
              <w:rPr>
                <w:sz w:val="19"/>
                <w:szCs w:val="19"/>
                <w:color w:val="auto"/>
              </w:rPr>
            </w:pPr>
          </w:p>
        </w:tc>
        <w:tc>
          <w:tcPr>
            <w:tcW w:w="596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20,041</w:t>
            </w:r>
          </w:p>
        </w:tc>
      </w:tr>
      <w:tr>
        <w:trPr>
          <w:trHeight w:val="229"/>
        </w:trPr>
        <w:tc>
          <w:tcPr>
            <w:tcW w:w="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36"/>
        </w:trPr>
        <w:tc>
          <w:tcPr>
            <w:tcW w:w="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29"/>
        </w:trPr>
        <w:tc>
          <w:tcPr>
            <w:tcW w:w="20" w:type="dxa"/>
            <w:vAlign w:val="bottom"/>
          </w:tcPr>
          <w:p>
            <w:pPr>
              <w:spacing w:after="0"/>
              <w:rPr>
                <w:sz w:val="19"/>
                <w:szCs w:val="19"/>
                <w:color w:val="auto"/>
              </w:rPr>
            </w:pP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37"/>
        </w:trPr>
        <w:tc>
          <w:tcPr>
            <w:tcW w:w="20" w:type="dxa"/>
            <w:vAlign w:val="bottom"/>
          </w:tcPr>
          <w:p>
            <w:pPr>
              <w:spacing w:after="0"/>
              <w:rPr>
                <w:sz w:val="20"/>
                <w:szCs w:val="20"/>
                <w:color w:val="auto"/>
              </w:rPr>
            </w:pPr>
          </w:p>
        </w:tc>
        <w:tc>
          <w:tcPr>
            <w:tcW w:w="5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23"/>
        </w:trPr>
        <w:tc>
          <w:tcPr>
            <w:tcW w:w="20" w:type="dxa"/>
            <w:vAlign w:val="bottom"/>
          </w:tcPr>
          <w:p>
            <w:pPr>
              <w:spacing w:after="0"/>
              <w:rPr>
                <w:sz w:val="19"/>
                <w:szCs w:val="19"/>
                <w:color w:val="auto"/>
              </w:rPr>
            </w:pPr>
          </w:p>
        </w:tc>
        <w:tc>
          <w:tcPr>
            <w:tcW w:w="596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14,054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26,242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22,317</w:t>
            </w: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82" w:lineRule="exact"/>
        <w:rPr>
          <w:sz w:val="20"/>
          <w:szCs w:val="20"/>
          <w:color w:val="auto"/>
        </w:rPr>
      </w:pPr>
    </w:p>
    <w:p>
      <w:pPr>
        <w:ind w:left="340" w:hanging="332"/>
        <w:spacing w:after="0" w:line="226" w:lineRule="auto"/>
        <w:tabs>
          <w:tab w:leader="none" w:pos="3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r>
      <w:tr>
        <w:trPr>
          <w:trHeight w:val="236"/>
        </w:trPr>
        <w:tc>
          <w:tcPr>
            <w:tcW w:w="59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Pacific</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57"/>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8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Air traffic liability</w:t>
            </w:r>
          </w:p>
        </w:tc>
        <w:tc>
          <w:tcPr>
            <w:tcW w:w="3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25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7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7"/>
              </w:rPr>
              <w:t>9,145</w:t>
            </w:r>
          </w:p>
        </w:tc>
      </w:tr>
      <w:tr>
        <w:trPr>
          <w:trHeight w:val="236"/>
        </w:trPr>
        <w:tc>
          <w:tcPr>
            <w:tcW w:w="946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60" w:type="dxa"/>
            <w:vAlign w:val="bottom"/>
          </w:tcPr>
          <w:p>
            <w:pPr>
              <w:spacing w:after="0"/>
              <w:rPr>
                <w:sz w:val="20"/>
                <w:szCs w:val="20"/>
                <w:color w:val="auto"/>
              </w:rPr>
            </w:pPr>
          </w:p>
        </w:tc>
        <w:tc>
          <w:tcPr>
            <w:tcW w:w="1120" w:type="dxa"/>
            <w:vAlign w:val="bottom"/>
          </w:tcPr>
          <w:p>
            <w:pPr>
              <w:jc w:val="center"/>
              <w:ind w:left="430"/>
              <w:spacing w:after="0"/>
              <w:rPr>
                <w:sz w:val="20"/>
                <w:szCs w:val="20"/>
                <w:color w:val="auto"/>
              </w:rPr>
            </w:pPr>
            <w:r>
              <w:rPr>
                <w:rFonts w:ascii="Arial" w:cs="Arial" w:eastAsia="Arial" w:hAnsi="Arial"/>
                <w:sz w:val="18"/>
                <w:szCs w:val="18"/>
                <w:color w:val="auto"/>
                <w:w w:val="97"/>
              </w:rPr>
              <w:t>2,002</w:t>
            </w:r>
          </w:p>
        </w:tc>
      </w:tr>
      <w:tr>
        <w:trPr>
          <w:trHeight w:val="236"/>
        </w:trPr>
        <w:tc>
          <w:tcPr>
            <w:tcW w:w="9460" w:type="dxa"/>
            <w:vAlign w:val="bottom"/>
            <w:gridSpan w:val="2"/>
            <w:shd w:val="clear" w:color="auto" w:fill="CCEEFF"/>
          </w:tcPr>
          <w:p>
            <w:pPr>
              <w:ind w:left="220"/>
              <w:spacing w:after="0" w:line="236"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rPr>
              <w:t>(1,771)</w:t>
            </w:r>
          </w:p>
        </w:tc>
      </w:tr>
      <w:tr>
        <w:trPr>
          <w:trHeight w:val="223"/>
        </w:trPr>
        <w:tc>
          <w:tcPr>
            <w:tcW w:w="946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June 30, 2023 </w:t>
            </w:r>
            <w:r>
              <w:rPr>
                <w:rFonts w:ascii="Arial" w:cs="Arial" w:eastAsia="Arial" w:hAnsi="Arial"/>
                <w:sz w:val="23"/>
                <w:szCs w:val="23"/>
                <w:color w:val="auto"/>
                <w:vertAlign w:val="superscript"/>
              </w:rPr>
              <w:t>(2)</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7"/>
              </w:rPr>
              <w:t>9,376</w:t>
            </w:r>
          </w:p>
        </w:tc>
      </w:tr>
      <w:tr>
        <w:trPr>
          <w:trHeight w:val="21"/>
        </w:trPr>
        <w:tc>
          <w:tcPr>
            <w:tcW w:w="20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7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82" w:lineRule="exact"/>
        <w:rPr>
          <w:sz w:val="20"/>
          <w:szCs w:val="20"/>
          <w:color w:val="auto"/>
        </w:rPr>
      </w:pPr>
    </w:p>
    <w:p>
      <w:pPr>
        <w:jc w:val="both"/>
        <w:ind w:left="340" w:hanging="332"/>
        <w:spacing w:after="0" w:line="237" w:lineRule="auto"/>
        <w:tabs>
          <w:tab w:leader="none" w:pos="34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51" w:lineRule="exact"/>
        <w:rPr>
          <w:rFonts w:ascii="Arial" w:cs="Arial" w:eastAsia="Arial" w:hAnsi="Arial"/>
          <w:sz w:val="23"/>
          <w:szCs w:val="23"/>
          <w:color w:val="auto"/>
          <w:vertAlign w:val="superscript"/>
        </w:rPr>
      </w:pPr>
    </w:p>
    <w:p>
      <w:pPr>
        <w:jc w:val="both"/>
        <w:ind w:left="340" w:hanging="332"/>
        <w:spacing w:after="0"/>
        <w:tabs>
          <w:tab w:leader="none" w:pos="34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June 30, 2023, American’s current loyalty program liability was $3.5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American’s air traffic liability also fluctuates with seasonal travel patterns. The contract duration of passenger tickets is one year. Accordingly, any revenue associated with tickets sold for future travel will be recognized within 12 months. For the six months ended June 30, 2023, $4.7 billion of revenue was recognized in passenger revenue that was included in American’s air traffic liability at December 31, 2022. Substantially all tickets issued in 2022 and thereafter are no longer subject to change fees which provides more flexibility for customers to change travel plans. Given this new flexibility offered to its customers, American’s estimate of revenue that will be recognized from the air traffic liability for future flown or unused tickets may be subject to variability and differ from historical experience.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1"/>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8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8.15%, installments through 2028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6"/>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6.51%, installments through 2027</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(1)</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80" w:type="dxa"/>
            <w:vAlign w:val="bottom"/>
          </w:tcPr>
          <w:p>
            <w:pPr>
              <w:ind w:left="140"/>
              <w:spacing w:after="0" w:line="176" w:lineRule="exact"/>
              <w:rPr>
                <w:sz w:val="20"/>
                <w:szCs w:val="20"/>
                <w:color w:val="auto"/>
              </w:rPr>
            </w:pPr>
            <w:r>
              <w:rPr>
                <w:rFonts w:ascii="Arial" w:cs="Arial" w:eastAsia="Arial" w:hAnsi="Arial"/>
                <w:sz w:val="18"/>
                <w:szCs w:val="18"/>
                <w:color w:val="auto"/>
              </w:rPr>
              <w:t>AAdvantage Term Loan Facility, variable interest rate of 10.00%, installments beginning in</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2"/>
        </w:trPr>
        <w:tc>
          <w:tcPr>
            <w:tcW w:w="7580" w:type="dxa"/>
            <w:vAlign w:val="bottom"/>
          </w:tcPr>
          <w:p>
            <w:pPr>
              <w:ind w:left="300"/>
              <w:spacing w:after="0" w:line="242" w:lineRule="exact"/>
              <w:rPr>
                <w:sz w:val="20"/>
                <w:szCs w:val="20"/>
                <w:color w:val="auto"/>
              </w:rPr>
            </w:pPr>
            <w:r>
              <w:rPr>
                <w:rFonts w:ascii="Arial" w:cs="Arial" w:eastAsia="Arial" w:hAnsi="Arial"/>
                <w:sz w:val="18"/>
                <w:szCs w:val="18"/>
                <w:color w:val="auto"/>
              </w:rPr>
              <w:t xml:space="preserve">July 2023 through April 2028 </w:t>
            </w:r>
            <w:r>
              <w:rPr>
                <w:rFonts w:ascii="Arial" w:cs="Arial" w:eastAsia="Arial" w:hAnsi="Arial"/>
                <w:sz w:val="23"/>
                <w:szCs w:val="23"/>
                <w:color w:val="auto"/>
                <w:vertAlign w:val="superscript"/>
              </w:rPr>
              <w:t>(1)</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7.13%, averaging 3.67%, maturing from 2023 to 2034</w:t>
            </w:r>
          </w:p>
        </w:tc>
        <w:tc>
          <w:tcPr>
            <w:tcW w:w="28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580" w:type="dxa"/>
            <w:vAlign w:val="bottom"/>
          </w:tcPr>
          <w:p>
            <w:pPr>
              <w:ind w:left="140"/>
              <w:spacing w:after="0" w:line="189"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300"/>
              <w:spacing w:after="0"/>
              <w:rPr>
                <w:sz w:val="20"/>
                <w:szCs w:val="20"/>
                <w:color w:val="auto"/>
              </w:rPr>
            </w:pPr>
            <w:r>
              <w:rPr>
                <w:rFonts w:ascii="Arial" w:cs="Arial" w:eastAsia="Arial" w:hAnsi="Arial"/>
                <w:sz w:val="18"/>
                <w:szCs w:val="18"/>
                <w:color w:val="auto"/>
              </w:rPr>
              <w:t>2.55% to 8.71%, averaging 6.71%, maturing from 2023 to 2035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176"/>
        </w:trPr>
        <w:tc>
          <w:tcPr>
            <w:tcW w:w="7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30,043</w:t>
            </w:r>
          </w:p>
        </w:tc>
        <w:tc>
          <w:tcPr>
            <w:tcW w:w="0" w:type="dxa"/>
            <w:vAlign w:val="bottom"/>
          </w:tcPr>
          <w:p>
            <w:pPr>
              <w:spacing w:after="0"/>
              <w:rPr>
                <w:sz w:val="1"/>
                <w:szCs w:val="1"/>
                <w:color w:val="auto"/>
              </w:rPr>
            </w:pPr>
          </w:p>
        </w:tc>
      </w:tr>
      <w:tr>
        <w:trPr>
          <w:trHeight w:val="236"/>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201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8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2023, the maximum availability under American’s revolving credit and other facilities is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36"/>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36"/>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Other short-term facility</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55"/>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American currently has $50 million of available borrowing base under a cargo receivables facility that is set to expire in December 2023. As a result of the below amendments to the 2013, 2014 and April 2016 Revolving Facilities, the aggregate commitments under these facilities will be $2.8 billion through October 11, 2024, and thereafter through October 13, 2026, such aggregate commitments will decrease to $2.2 billion.</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2023 Financing Activities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Credit Facilities</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February 2023, American and AAG refinanced approximately $1.8 billion in aggregate principal amount of term loans outstanding under the 2013 Term Loan Facility (the 2013 Term Loan Facility Refinancing) through the combination of (i) the issuance of $750 million in aggregate principal amount of 7.25% senior secured notes due 2028 and (ii) the entry into the Seventh Amendment to the 2013 Credit Agreement, pursuant to which the maturity of $1.0 billion in term loans under the 2013 Term Loan Facility was extended to February 2028 from June 2025. The Seventh Amendment also amended certain other terms of the 2013 Credit Agreement, including the interest rate and amortization schedule for the 2013 Term Loan Facility, the requirements for delivery of appraisals and certain covenants relating to dispositions of collateral. Additionally, the Seventh Amendment transitioned the benchmark interest rate from LIBOR to the Secured Overnight Financing Rate (SOFR). As a result, the 2013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and an applicable margin of 2.75%.</w:t>
      </w:r>
    </w:p>
    <w:p>
      <w:pPr>
        <w:spacing w:after="0" w:line="14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2023, American and AAG entered into the Eighth Amendment to the 2013 Credit Agreement, pursuant to which American extended the maturity of certain commitments under the 2013 Revolving Facility. The Eighth Amendment also amended certain other terms of the 2013 Credit Agreement, including certain covenants and transitioned the benchmark interest rate from LIBOR to SOFR. The 2013 Revolving Facility bears interest at a base rate (subject to a floor of 1.00%) plus an applicable margin of 2.25%, 2.50% or 2.75%, depending on AAG’s public corporate rating, or, at American’s option, the SOFR rate for a tenor of one, three or six months, depending on the interest period selected by American (subject to a floor of 0.00%), plus the SOFR adjustment applicable to such interest period plus an applicable margin of 3.25%, 3.50% or 3.75%, depending on AAG’s public corporate rating. Additionally, as a result of the Eighth Amendment, through October 11, 2024, the aggregate commitments under the 2013 Revolving Facility will be $736 million, and thereafter through October 13, 2026, such aggregate commitments will decrease to $563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7.25% Senior Secured Notes</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February 15, 2023, as part of the 2013 Term Loan Facility Refinancing, American issued $ 750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beginning on August 15, 2023. The 7.25% 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then outstanding under the 2013 Term Loan Facility and to pay related fees and expenses.</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countries in South America (which comprises Argentina, Bolivia, Brazil, Chile, Colombia, Ecuador, Guyana, Paraguay, Peru, Suriname, Uruguay and Venezuela but does not include territories subject to the sovereignty, control or jurisdiction of a country not otherwise listed herein) and New Zealand (collectively, the 7.25% Senior Secured Notes Collateral). The 7.25% Senior Secured Notes Collateral also secures, on a first lien, pari passu basis with the 7.25% Senior Secured Notes, the 2013 Credit Facilities under the 2013 Credit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spacing w:after="0" w:line="14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Further, if certain change of control transactions occur, each holder of 7.25% Senior Secured Notes may require American to repurchase the 7.25% Senior Secured Notes in whole or in part at a repurchase price of 101% of the aggregate principal amount thereof, plus accrued and unpaid interest, if any, to but not including the repurchase date.</w:t>
      </w:r>
    </w:p>
    <w:p>
      <w:pPr>
        <w:spacing w:after="0" w:line="13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Credit Facilities</w:t>
      </w:r>
    </w:p>
    <w:p>
      <w:pPr>
        <w:spacing w:after="0" w:line="9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2023, American and AAG entered into the Ninth Amendment to the 2014 Credit Agreement, pursuant to which American extended the maturity of certain commitments under the 2014 Revolving Facility. The Ninth Amendment also amended certain other terms of the 2014 Credit Agreement including the requirements for delivery of appraisals and certain other covenants and transitioned the benchmark interest rate for the 2014 Revolving Facility and the 2014 Term Loan Facility from LIBOR to SOFR. The 2014 Revolving Facility bears interest at the same base rate and applicable margin as the 2013 Revolving Facility, as noted above in “</w:t>
      </w:r>
      <w:r>
        <w:rPr>
          <w:rFonts w:ascii="Arial" w:cs="Arial" w:eastAsia="Arial" w:hAnsi="Arial"/>
          <w:sz w:val="18"/>
          <w:szCs w:val="18"/>
          <w:i w:val="1"/>
          <w:iCs w:val="1"/>
          <w:color w:val="auto"/>
        </w:rPr>
        <w:t>2013 Credit Facilities.”</w:t>
      </w:r>
      <w:r>
        <w:rPr>
          <w:rFonts w:ascii="Arial" w:cs="Arial" w:eastAsia="Arial" w:hAnsi="Arial"/>
          <w:sz w:val="18"/>
          <w:szCs w:val="18"/>
          <w:color w:val="auto"/>
        </w:rPr>
        <w:t xml:space="preserve"> The 2014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plus an applicable margin of 0.75%. Additionally, as a result of the Ninth Amendment, through October 11, 2024, the aggregate commitments under the 2014 Revolving Facility will be $1.6 billion, and thereafter through October 13, 2026, such aggregate commitments will decrease to $1.2 billion.</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April 2016 Revolving Facility</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March 2023, American and AAG entered into the Sixth Amendment to the April 2016 Credit Agreement, pursuant to which American extended the maturity of certain commitments under the April 2016 Revolving Facility. The Sixth Amendment also amended certain other terms under the April 2016 Credit Agreement including the requirements for delivery of appraisals and certain other covenants and transitioned the benchmark interest rate for the April 2016 Revolving Facility from LIBOR to SOFR. The April 2016 Revolving Facility bears interest at the same base rate and applicable margin as the 2013 Revolving Facility, as noted above in “</w:t>
      </w:r>
      <w:r>
        <w:rPr>
          <w:rFonts w:ascii="Arial" w:cs="Arial" w:eastAsia="Arial" w:hAnsi="Arial"/>
          <w:sz w:val="18"/>
          <w:szCs w:val="18"/>
          <w:i w:val="1"/>
          <w:iCs w:val="1"/>
          <w:color w:val="auto"/>
        </w:rPr>
        <w:t>2013 Credit Facilities.”</w:t>
      </w:r>
      <w:r>
        <w:rPr>
          <w:rFonts w:ascii="Arial" w:cs="Arial" w:eastAsia="Arial" w:hAnsi="Arial"/>
          <w:sz w:val="18"/>
          <w:szCs w:val="18"/>
          <w:color w:val="auto"/>
        </w:rPr>
        <w:t xml:space="preserve"> Additionally, as a result of the Sixth Amendment, through October 11, 2024, the aggregate commitments under the April 2016 Revolving Facility will be $446 million, and thereafter through October 13, 2026, such aggregate commitments will decrease to $342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AAdvantage Term Loan Facility</w:t>
      </w:r>
    </w:p>
    <w:p>
      <w:pPr>
        <w:spacing w:after="0" w:line="9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June 2023, American and AAdvantage Loyalty IP Ltd. entered into the First Amendment to the AAdvantage Term Loan Facility pursuant to which the benchmark interest rate transitioned from LIBOR to SOFR, effective July 1, 2023. As a result, the AAdvantage Term Loan Facility bears interest at a base rate (subject to a floor of 0.00%) plus an applicable margin of 3.75% or, at American’s option, the SOFR rate for a tenor of three months (subject to a floor of 0.75%), plus a 0.26161% credit spread adjustment and an applicable margin of 4.75%. Other than the foregoing, the terms of the AAdvantage Term Loan Facility remain substantially unchanged.</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Loans and Other Notes Payable Issued in 2023</w:t>
      </w:r>
    </w:p>
    <w:p>
      <w:pPr>
        <w:spacing w:after="0" w:line="9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During the first six months of 2023, American entered into agreements under which it borrowed $480 million in connection with the financing of certain aircraft. Debt incurred under these agreements matures in 2032 through 2035 and bears interest at fixed and variable rates (comprised of SOFR plus an applicable margin) averaging 6.63% as of June 30,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At December 31, 2022, American had approximately $16.1 billion of gross federal net operating losses (NOLs) and $3.5 billion of other carryforwards available to reduce future federal taxable income, of which $6.2 billion will expire beginning in 2024 if unused and $13.4 billion can be carried forward indefinitely. American is a member of AAG’s consolidated federal and certain state income tax returns. American also had approximately $5.9 billion of NOL carryforwards to reduce future state taxable income at December 31, 2022, which will expire in taxable years 2022 through 2042 if unused.</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 There can be no assurance that an additional valuation allowance on American’s net deferred tax assets will not be required. Such valuation allowance could be material.</w:t>
      </w:r>
    </w:p>
    <w:p>
      <w:pPr>
        <w:spacing w:after="0" w:line="13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During the three and six months ended June 30, 2023, American recorded an income tax provision of $452 million and $482 million,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primarily utilize broker quotes in a non-active market for valuation of these securities. No changes in valuation techniques or inputs occurred during the six months ended June 30, 2023.</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Fair Value Measurements as of June 30, 2023</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83"/>
        </w:trPr>
        <w:tc>
          <w:tcPr>
            <w:tcW w:w="20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2,585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and agency obligations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Repurchase agreements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20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12,664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3,362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1"/>
        </w:trPr>
        <w:tc>
          <w:tcPr>
            <w:tcW w:w="20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3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82" w:lineRule="exact"/>
        <w:rPr>
          <w:sz w:val="20"/>
          <w:szCs w:val="20"/>
          <w:color w:val="auto"/>
        </w:rPr>
      </w:pPr>
    </w:p>
    <w:p>
      <w:pPr>
        <w:ind w:left="340" w:hanging="332"/>
        <w:spacing w:after="0" w:line="226" w:lineRule="auto"/>
        <w:tabs>
          <w:tab w:leader="none" w:pos="3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49" w:lineRule="exact"/>
        <w:rPr>
          <w:rFonts w:ascii="Arial" w:cs="Arial" w:eastAsia="Arial" w:hAnsi="Arial"/>
          <w:sz w:val="23"/>
          <w:szCs w:val="23"/>
          <w:color w:val="auto"/>
          <w:vertAlign w:val="superscript"/>
        </w:rPr>
      </w:pPr>
    </w:p>
    <w:p>
      <w:pPr>
        <w:ind w:left="340" w:hanging="332"/>
        <w:spacing w:after="0" w:line="226" w:lineRule="auto"/>
        <w:tabs>
          <w:tab w:leader="none" w:pos="3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w:t>
      </w:r>
    </w:p>
    <w:p>
      <w:pPr>
        <w:spacing w:after="0" w:line="150" w:lineRule="exact"/>
        <w:rPr>
          <w:rFonts w:ascii="Arial" w:cs="Arial" w:eastAsia="Arial" w:hAnsi="Arial"/>
          <w:sz w:val="23"/>
          <w:szCs w:val="23"/>
          <w:color w:val="auto"/>
          <w:vertAlign w:val="superscript"/>
        </w:rPr>
      </w:pPr>
    </w:p>
    <w:p>
      <w:pPr>
        <w:jc w:val="both"/>
        <w:ind w:left="340" w:hanging="332"/>
        <w:spacing w:after="0" w:line="233" w:lineRule="auto"/>
        <w:tabs>
          <w:tab w:leader="none" w:pos="3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American’s equity investments in China Southern Airlines Company Limited (China Southern Airlines), GOL Linhas Aéreas Inteligentes S.A. (GOL) and Vertical Aerospace Ltd. (Vertical). See Note 7 for further information on American’s equity investments.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 2023</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December 31, 2022</w:t>
            </w:r>
          </w:p>
        </w:tc>
      </w:tr>
      <w:tr>
        <w:trPr>
          <w:trHeight w:val="143"/>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204"/>
              <w:spacing w:after="0" w:line="14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center"/>
              <w:ind w:right="402"/>
              <w:spacing w:after="0" w:line="14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04"/>
              <w:spacing w:after="0" w:line="14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center"/>
              <w:ind w:right="242"/>
              <w:spacing w:after="0" w:line="143" w:lineRule="exact"/>
              <w:rPr>
                <w:sz w:val="20"/>
                <w:szCs w:val="20"/>
                <w:color w:val="auto"/>
              </w:rPr>
            </w:pPr>
            <w:r>
              <w:rPr>
                <w:rFonts w:ascii="Arial" w:cs="Arial" w:eastAsia="Arial" w:hAnsi="Arial"/>
                <w:sz w:val="14"/>
                <w:szCs w:val="14"/>
                <w:b w:val="1"/>
                <w:bCs w:val="1"/>
                <w:color w:val="auto"/>
              </w:rPr>
              <w:t>Fair</w:t>
            </w:r>
          </w:p>
        </w:tc>
      </w:tr>
      <w:tr>
        <w:trPr>
          <w:trHeight w:val="189"/>
        </w:trPr>
        <w:tc>
          <w:tcPr>
            <w:tcW w:w="5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28,834</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28,571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29,679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28,453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To help expand American’s network and as part of its ongoing commitment to sustainability, American enters into various commercial relationships or other strategic partnerships, including equity investments, with other airlines and companies. American’s equity investments are reflected in other assets on its condensed consolidated balance sheets. American’s share of equity method investees’ financial results and changes in fair value are recorded in nonoperating other income, net on the condensed consolidated statements of operations.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American’s equity investment ownership interests and carrying values were: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Ownership Interest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0"/>
        </w:trPr>
        <w:tc>
          <w:tcPr>
            <w:tcW w:w="222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8"/>
                <w:szCs w:val="18"/>
                <w:color w:val="auto"/>
              </w:rPr>
              <w:t>Republic Airways Holdings</w:t>
            </w:r>
          </w:p>
        </w:tc>
        <w:tc>
          <w:tcPr>
            <w:tcW w:w="22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rPr>
              <w:t>Equity Method</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2"/>
        </w:trPr>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w:t>
            </w:r>
          </w:p>
        </w:tc>
        <w:tc>
          <w:tcPr>
            <w:tcW w:w="2200" w:type="dxa"/>
            <w:vAlign w:val="bottom"/>
            <w:gridSpan w:val="2"/>
            <w:vMerge w:val="continue"/>
            <w:shd w:val="clear" w:color="auto" w:fill="CCEEFF"/>
          </w:tcPr>
          <w:p>
            <w:pPr>
              <w:spacing w:after="0"/>
              <w:rPr>
                <w:sz w:val="21"/>
                <w:szCs w:val="21"/>
                <w:color w:val="auto"/>
              </w:rPr>
            </w:pPr>
          </w:p>
        </w:tc>
        <w:tc>
          <w:tcPr>
            <w:tcW w:w="1680" w:type="dxa"/>
            <w:vAlign w:val="bottom"/>
            <w:vMerge w:val="continue"/>
            <w:shd w:val="clear" w:color="auto" w:fill="CCEEFF"/>
          </w:tcPr>
          <w:p>
            <w:pPr>
              <w:spacing w:after="0"/>
              <w:rPr>
                <w:sz w:val="21"/>
                <w:szCs w:val="21"/>
                <w:color w:val="auto"/>
              </w:rPr>
            </w:pPr>
          </w:p>
        </w:tc>
        <w:tc>
          <w:tcPr>
            <w:tcW w:w="1800" w:type="dxa"/>
            <w:vAlign w:val="bottom"/>
            <w:gridSpan w:val="2"/>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Fair Value</w:t>
            </w:r>
          </w:p>
        </w:tc>
        <w:tc>
          <w:tcPr>
            <w:tcW w:w="1680" w:type="dxa"/>
            <w:vAlign w:val="bottom"/>
          </w:tcPr>
          <w:p>
            <w:pPr>
              <w:jc w:val="right"/>
              <w:spacing w:after="0"/>
              <w:rPr>
                <w:sz w:val="20"/>
                <w:szCs w:val="20"/>
                <w:color w:val="auto"/>
              </w:rPr>
            </w:pPr>
            <w:r>
              <w:rPr>
                <w:rFonts w:ascii="Arial" w:cs="Arial" w:eastAsia="Arial" w:hAnsi="Arial"/>
                <w:sz w:val="18"/>
                <w:szCs w:val="18"/>
                <w:color w:val="auto"/>
              </w:rPr>
              <w:t>1.5 %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2220" w:type="dxa"/>
            <w:vAlign w:val="bottom"/>
            <w:tcBorders>
              <w:bottom w:val="single" w:sz="8" w:color="CCEEFF"/>
            </w:tcBorders>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22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26" w:lineRule="auto"/>
        <w:tabs>
          <w:tab w:leader="none" w:pos="34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Primarily includes American’s investment in JetSmart Airlines SpA, which is accounted for under the equity method, and American’s investments in GOL and Vertical, which are each accounted for at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180"/>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200"/>
        </w:trPr>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4"/>
          </w:tcPr>
          <w:p>
            <w:pPr>
              <w:ind w:left="180"/>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six months of 2023, American made required contributions of $67 million to its defined benefit pension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rPr>
              <w:t>Retiree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Medical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rPr>
              <w:t>Unrealized Gain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Income Tax</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7"/>
              <w:spacing w:after="0" w:line="148" w:lineRule="exact"/>
              <w:rPr>
                <w:sz w:val="20"/>
                <w:szCs w:val="20"/>
                <w:color w:val="auto"/>
              </w:rPr>
            </w:pPr>
            <w:r>
              <w:rPr>
                <w:rFonts w:ascii="Arial" w:cs="Arial" w:eastAsia="Arial" w:hAnsi="Arial"/>
                <w:sz w:val="14"/>
                <w:szCs w:val="14"/>
                <w:b w:val="1"/>
                <w:bCs w:val="1"/>
                <w:color w:val="auto"/>
              </w:rPr>
              <w:t>(Loss) 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18"/>
                <w:szCs w:val="18"/>
                <w:b w:val="1"/>
                <w:bCs w:val="1"/>
                <w:color w:val="auto"/>
                <w:vertAlign w:val="superscript"/>
              </w:rPr>
              <w:t>(1)</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36"/>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w w:val="88"/>
              </w:rPr>
              <w:t>(2)</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26" w:lineRule="auto"/>
        <w:tabs>
          <w:tab w:leader="none" w:pos="3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50" w:lineRule="exact"/>
        <w:rPr>
          <w:rFonts w:ascii="Arial" w:cs="Arial" w:eastAsia="Arial" w:hAnsi="Arial"/>
          <w:sz w:val="23"/>
          <w:szCs w:val="23"/>
          <w:color w:val="auto"/>
          <w:vertAlign w:val="superscript"/>
        </w:rPr>
      </w:pPr>
    </w:p>
    <w:p>
      <w:pPr>
        <w:ind w:left="340" w:hanging="332"/>
        <w:spacing w:after="0" w:line="226" w:lineRule="auto"/>
        <w:tabs>
          <w:tab w:leader="none" w:pos="3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statements of operations.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18" w:right="339" w:bottom="1440" w:gutter="0" w:footer="0" w:header="0"/>
        </w:sect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8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80" w:type="dxa"/>
            <w:vAlign w:val="bottom"/>
          </w:tcPr>
          <w:p>
            <w:pPr>
              <w:spacing w:after="0"/>
              <w:rPr>
                <w:sz w:val="12"/>
                <w:szCs w:val="12"/>
                <w:color w:val="auto"/>
              </w:rPr>
            </w:pPr>
          </w:p>
        </w:tc>
        <w:tc>
          <w:tcPr>
            <w:tcW w:w="22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2"/>
                <w:szCs w:val="12"/>
                <w:color w:val="auto"/>
              </w:rPr>
            </w:pPr>
          </w:p>
        </w:tc>
        <w:tc>
          <w:tcPr>
            <w:tcW w:w="21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0"/>
        </w:trPr>
        <w:tc>
          <w:tcPr>
            <w:tcW w:w="3880" w:type="dxa"/>
            <w:vAlign w:val="bottom"/>
          </w:tcPr>
          <w:p>
            <w:pPr>
              <w:spacing w:after="0"/>
              <w:rPr>
                <w:sz w:val="17"/>
                <w:szCs w:val="17"/>
                <w:color w:val="auto"/>
              </w:rPr>
            </w:pPr>
          </w:p>
        </w:tc>
        <w:tc>
          <w:tcPr>
            <w:tcW w:w="222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3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54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266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343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Affected line items on the</w:t>
      </w:r>
    </w:p>
    <w:p>
      <w:pPr>
        <w:jc w:val="center"/>
        <w:ind w:right="500"/>
        <w:spacing w:after="0" w:line="221" w:lineRule="auto"/>
        <w:rPr>
          <w:sz w:val="20"/>
          <w:szCs w:val="20"/>
          <w:color w:val="auto"/>
        </w:rPr>
      </w:pPr>
      <w:r>
        <w:rPr>
          <w:rFonts w:ascii="Arial" w:cs="Arial" w:eastAsia="Arial" w:hAnsi="Arial"/>
          <w:sz w:val="14"/>
          <w:szCs w:val="14"/>
          <w:b w:val="1"/>
          <w:bCs w:val="1"/>
          <w:color w:val="auto"/>
        </w:rPr>
        <w:t>condensed consolidated</w:t>
      </w:r>
    </w:p>
    <w:p>
      <w:pPr>
        <w:ind w:left="20"/>
        <w:spacing w:after="0"/>
        <w:rPr>
          <w:sz w:val="20"/>
          <w:szCs w:val="20"/>
          <w:color w:val="auto"/>
        </w:rPr>
      </w:pPr>
      <w:r>
        <w:rPr>
          <w:rFonts w:ascii="Arial" w:cs="Arial" w:eastAsia="Arial" w:hAnsi="Arial"/>
          <w:sz w:val="14"/>
          <w:szCs w:val="14"/>
          <w:b w:val="1"/>
          <w:bCs w:val="1"/>
          <w:color w:val="auto"/>
        </w:rPr>
        <w:t>statements of operations</w:t>
      </w:r>
    </w:p>
    <w:p>
      <w:pPr>
        <w:spacing w:after="0" w:line="22" w:lineRule="exact"/>
        <w:rPr>
          <w:sz w:val="20"/>
          <w:szCs w:val="20"/>
          <w:color w:val="auto"/>
        </w:rPr>
      </w:pPr>
    </w:p>
    <w:p>
      <w:pPr>
        <w:sectPr>
          <w:pgSz w:w="11900" w:h="16838" w:orient="portrait"/>
          <w:cols w:equalWidth="0" w:num="2">
            <w:col w:w="8400" w:space="580"/>
            <w:col w:w="2260"/>
          </w:cols>
          <w:pgMar w:left="320" w:top="118" w:right="339" w:bottom="1440" w:gutter="0" w:footer="0" w:header="0"/>
          <w:type w:val="continuous"/>
        </w:sectPr>
      </w:pPr>
    </w:p>
    <w:p>
      <w:pPr>
        <w:ind w:left="20"/>
        <w:spacing w:after="0" w:line="236" w:lineRule="auto"/>
        <w:rPr>
          <w:sz w:val="20"/>
          <w:szCs w:val="20"/>
          <w:color w:val="auto"/>
        </w:rPr>
      </w:pPr>
      <w:r>
        <w:rPr>
          <w:rFonts w:ascii="Arial" w:cs="Arial" w:eastAsia="Arial" w:hAnsi="Arial"/>
          <w:sz w:val="18"/>
          <w:szCs w:val="18"/>
          <w:color w:val="auto"/>
        </w:rPr>
        <w:t>Amortization of pension, retiree medical and</w:t>
      </w:r>
    </w:p>
    <w:p>
      <w:pPr>
        <w:ind w:left="180"/>
        <w:spacing w:after="0"/>
        <w:rPr>
          <w:sz w:val="20"/>
          <w:szCs w:val="20"/>
          <w:color w:val="auto"/>
        </w:rPr>
      </w:pPr>
      <w:r>
        <w:rPr>
          <w:rFonts w:ascii="Arial" w:cs="Arial" w:eastAsia="Arial" w:hAnsi="Arial"/>
          <w:sz w:val="18"/>
          <w:szCs w:val="18"/>
          <w:color w:val="auto"/>
        </w:rPr>
        <w:t>other postretirement benefits:</w:t>
      </w: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20" w:type="dxa"/>
            <w:vAlign w:val="bottom"/>
          </w:tcPr>
          <w:p>
            <w:pPr>
              <w:ind w:left="120"/>
              <w:spacing w:after="0" w:line="200"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29"/>
        </w:trPr>
        <w:tc>
          <w:tcPr>
            <w:tcW w:w="390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820" w:type="dxa"/>
            <w:vAlign w:val="bottom"/>
          </w:tcPr>
          <w:p>
            <w:pPr>
              <w:ind w:left="2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6"/>
        </w:trPr>
        <w:tc>
          <w:tcPr>
            <w:tcW w:w="39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in the form of capacity purchase agreements. Expenses associated with American Eagle operations are classified as regional expenses on the condensed consolidated statements of operations.</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Regional expenses for each of the three months ended June 30, 2023 and 2022 include $67 million of depreciation and amortization and $1 million of aircraft rent. Regional expenses include $135 million and $134 million of depreciation and amortization for the six months ended June 30, 2023 and 2022, respectively, and $3 million of aircraft rent for each of the six months ended June 30, 2023 and 2022.</w:t>
      </w:r>
    </w:p>
    <w:p>
      <w:pPr>
        <w:spacing w:after="0" w:line="1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During the three months ended June 30, 2023 and 2022, American recognized $168 million and $160 million, respectively, of expense under its capacity purchase agreement with Republic Airways Inc. (Republic). During the six months ended June 30, 2023 and 2022, American recognized $336 million and $310 million, respectively, of expense under its capacity purchase agreement with Republic. American holds a 25% equity interest in Republic Airways Holdings Inc., the parent company of Republic.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Transactions with Related Parties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AAG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8"/>
                <w:szCs w:val="18"/>
                <w:color w:val="auto"/>
                <w:w w:val="97"/>
              </w:rPr>
              <w:t>8,915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935"/>
              <w:spacing w:after="0"/>
              <w:rPr>
                <w:sz w:val="20"/>
                <w:szCs w:val="20"/>
                <w:color w:val="auto"/>
              </w:rPr>
            </w:pPr>
            <w:r>
              <w:rPr>
                <w:rFonts w:ascii="Arial" w:cs="Arial" w:eastAsia="Arial" w:hAnsi="Arial"/>
                <w:sz w:val="18"/>
                <w:szCs w:val="18"/>
                <w:color w:val="auto"/>
                <w:w w:val="97"/>
              </w:rPr>
              <w:t>8,692</w:t>
            </w:r>
          </w:p>
        </w:tc>
      </w:tr>
      <w:tr>
        <w:trPr>
          <w:trHeight w:val="230"/>
        </w:trPr>
        <w:tc>
          <w:tcPr>
            <w:tcW w:w="7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815"/>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15"/>
              <w:spacing w:after="0"/>
              <w:rPr>
                <w:sz w:val="20"/>
                <w:szCs w:val="20"/>
                <w:color w:val="auto"/>
              </w:rPr>
            </w:pPr>
            <w:r>
              <w:rPr>
                <w:rFonts w:ascii="Arial" w:cs="Arial" w:eastAsia="Arial" w:hAnsi="Arial"/>
                <w:sz w:val="18"/>
                <w:szCs w:val="18"/>
                <w:color w:val="auto"/>
              </w:rPr>
              <w:t>(2,104)</w:t>
            </w:r>
          </w:p>
        </w:tc>
      </w:tr>
      <w:tr>
        <w:trPr>
          <w:trHeight w:val="25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8"/>
                <w:szCs w:val="18"/>
                <w:color w:val="auto"/>
                <w:w w:val="97"/>
              </w:rPr>
              <w:t>6,808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935"/>
              <w:spacing w:after="0"/>
              <w:rPr>
                <w:sz w:val="20"/>
                <w:szCs w:val="20"/>
                <w:color w:val="auto"/>
              </w:rPr>
            </w:pPr>
            <w:r>
              <w:rPr>
                <w:rFonts w:ascii="Arial" w:cs="Arial" w:eastAsia="Arial" w:hAnsi="Arial"/>
                <w:sz w:val="18"/>
                <w:szCs w:val="18"/>
                <w:color w:val="auto"/>
                <w:w w:val="97"/>
              </w:rPr>
              <w:t>6,588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080" w:type="dxa"/>
            <w:vAlign w:val="bottom"/>
            <w:tcBorders>
              <w:bottom w:val="single" w:sz="8" w:color="auto"/>
            </w:tcBorders>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r>
    </w:tbl>
    <w:p>
      <w:pPr>
        <w:spacing w:after="0" w:line="68" w:lineRule="exact"/>
        <w:rPr>
          <w:sz w:val="20"/>
          <w:szCs w:val="20"/>
          <w:color w:val="auto"/>
        </w:rPr>
      </w:pPr>
    </w:p>
    <w:p>
      <w:pPr>
        <w:ind w:left="340" w:hanging="332"/>
        <w:spacing w:after="0" w:line="226" w:lineRule="auto"/>
        <w:tabs>
          <w:tab w:leader="none" w:pos="3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i w:val="1"/>
          <w:iCs w:val="1"/>
          <w:color w:val="auto"/>
        </w:rPr>
        <w:t xml:space="preserve">Private Party Antitrust Action Related to the Merger. </w:t>
      </w:r>
      <w:r>
        <w:rPr>
          <w:rFonts w:ascii="Arial" w:cs="Arial" w:eastAsia="Arial" w:hAnsi="Arial"/>
          <w:sz w:val="18"/>
          <w:szCs w:val="18"/>
          <w:color w:val="auto"/>
        </w:rPr>
        <w:t>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American’s favor. On March 25, 2022, the U.S. District Court for the Southern District of New York entered judgment affirming the Bankruptcy Court’s decision. On April 21, 2022, plaintiffs appealed that decision to the U.S. Court of Appeals for the Second Circuit. On March 20, 2023, the Second Circuit affirmed in full the U.S. District Court for the Southern District of New York’s decision. On June 20, 2023, plaintiffs filed a petition seeking a writ of certiorari to the U.S. Supreme Court, which was docketed on June 22, 2023. American’s brief in opposition, if any, is due July 24, 2023. American believes this lawsuit is without merit and intends to continue to vigorously defend against any further appeals by the plaintiffs.</w:t>
      </w:r>
    </w:p>
    <w:p>
      <w:pPr>
        <w:spacing w:after="0" w:line="143"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The parties presented their respective cases in a bench trial that commenced on September 27, 2022. The parties presented closing arguments on November 18, 2022.</w:t>
      </w:r>
    </w:p>
    <w:p>
      <w:pPr>
        <w:spacing w:after="0" w:line="13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May 19, 2023, the U.S. District Court for the District of Massachusetts issued an order permanently enjoining American and JetBlue from continuing and further implementing the NEA. The parties submitted respective proposals regarding the timing and terms of the final injunction order on June 9, 2023, and the U.S. District Court for the District of Massachusetts scheduled a hearing for July 26, 2023 to discuss the proposals. The injunction will take effect 21 days after the U.S. District Court for the District of Massachusetts issues a final judgment and permanent injunction. American plans to appeal the final judgment to the U.S. Court of Appeals for the First Circuit.</w:t>
      </w:r>
    </w:p>
    <w:p>
      <w:pPr>
        <w:spacing w:after="0" w:line="13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On May 12, 2023 and May 24, 2023, respectively, the complaint filed in the U.S. District Court for the Eastern District of New York was consolidated with the other actions and the complaint filed in the U.S. District Court for the District of Massachusetts was transferred to the U.S. District Court for the Eastern District of New York. On June 23, 2023, the private party plaintiffs filed a second amended consolidated complaint. American believes these lawsuits are without merit and is defending against them vigorously.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2022 (the 2022 Form 10-K). The information contained herein is not a comprehensive discussion and analysis of the financial condition and results of operations of AAG and American, but rather updates disclosures made in the 2022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Second Quarter 2023 Results</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5"/>
            <w:vMerge w:val="restart"/>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jc w:val="right"/>
              <w:ind w:right="193"/>
              <w:spacing w:after="0" w:line="108" w:lineRule="exact"/>
              <w:rPr>
                <w:sz w:val="20"/>
                <w:szCs w:val="20"/>
                <w:color w:val="auto"/>
              </w:rPr>
            </w:pPr>
            <w:r>
              <w:rPr>
                <w:rFonts w:ascii="Arial" w:cs="Arial" w:eastAsia="Arial" w:hAnsi="Arial"/>
                <w:sz w:val="12"/>
                <w:szCs w:val="12"/>
                <w:b w:val="1"/>
                <w:bCs w:val="1"/>
                <w:color w:val="auto"/>
              </w:rPr>
              <w:t>Increase</w:t>
            </w:r>
          </w:p>
        </w:tc>
        <w:tc>
          <w:tcPr>
            <w:tcW w:w="12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0" w:type="dxa"/>
            <w:vAlign w:val="bottom"/>
            <w:gridSpan w:val="7"/>
          </w:tcPr>
          <w:p>
            <w:pPr>
              <w:jc w:val="right"/>
              <w:ind w:right="133"/>
              <w:spacing w:after="0"/>
              <w:rPr>
                <w:sz w:val="20"/>
                <w:szCs w:val="20"/>
                <w:color w:val="auto"/>
              </w:rPr>
            </w:pPr>
            <w:r>
              <w:rPr>
                <w:rFonts w:ascii="Arial" w:cs="Arial" w:eastAsia="Arial" w:hAnsi="Arial"/>
                <w:sz w:val="14"/>
                <w:szCs w:val="14"/>
                <w:b w:val="1"/>
                <w:bCs w:val="1"/>
                <w:color w:val="auto"/>
              </w:rPr>
              <w:t>(In millions, except percentage changes)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3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4.7</w:t>
            </w: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9"/>
                <w:szCs w:val="19"/>
                <w:color w:val="auto"/>
              </w:rPr>
            </w:pPr>
          </w:p>
        </w:tc>
        <w:tc>
          <w:tcPr>
            <w:tcW w:w="1140" w:type="dxa"/>
            <w:vAlign w:val="bottom"/>
          </w:tcPr>
          <w:p>
            <w:pPr>
              <w:ind w:left="440"/>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0"/>
                <w:szCs w:val="20"/>
                <w:color w:val="auto"/>
              </w:rPr>
            </w:pPr>
          </w:p>
        </w:tc>
        <w:tc>
          <w:tcPr>
            <w:tcW w:w="1140" w:type="dxa"/>
            <w:vAlign w:val="bottom"/>
          </w:tcPr>
          <w:p>
            <w:pPr>
              <w:ind w:left="4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 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gridSpan w:val="2"/>
          </w:tcPr>
          <w:p>
            <w:pPr>
              <w:ind w:left="180"/>
              <w:spacing w:after="0" w:line="243"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4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29" w:lineRule="auto"/>
        <w:tabs>
          <w:tab w:leader="none" w:pos="3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below and Note 2 to AAG’s Condensed Consolidated Financial Statements in Part I, Item 1A for details on the components of net special items.</w:t>
      </w:r>
    </w:p>
    <w:p>
      <w:pPr>
        <w:spacing w:after="0" w:line="114"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and Net Income</w:t>
      </w:r>
    </w:p>
    <w:p>
      <w:pPr>
        <w:spacing w:after="0" w:line="9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Pre-tax income and net income were $1.8 billion and $1.3 billion, respectively, in the second quarter of 2023. This compares to second quarter of 2022 pre-tax income and net income of $603 million and $476 million, respectively. Excluding the effects of pre-tax net special items, pre-tax income was $1.8 billion and $687 million in the second quarters of 2023 and 2022, respectively.</w:t>
      </w:r>
    </w:p>
    <w:p>
      <w:pPr>
        <w:spacing w:after="0" w:line="1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period-over-period improvement in our second quarter of 2023 pre-tax income, on both a GAAP basis and excluding pre-tax net special items, was principally driven by lower aircraft fuel costs as a result of a 35.1% decrease in the average price per gallon of aircraft fuel and higher passenger revenue due to strength in long-haul international demand and continued domestic and short-haul international demand, as compared to the second quarter of 2022. This pre-tax income improvement was offset in part by an increase in salaries, wages and benefits primarily due to higher profit sharing program accruals, as a result of increased profitability, and higher wage rates associated with an agreement in principle with our mainline pilots reached in May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May 2023, American and the Allied Pilots Association (APA), the union representing our approximately 13,900 mainline pilots, reached an agreement in principle on a new collective bargaining agreement. In July 2023, a tentative agreement was approved by the APA Board of Directors and is subject to ratification by American’s pilots through a vote that is presently scheduled to close on August 7, 2023. Upon pilot ratification, the ratified agreement will include a provision for a one-time payment of approximately $750 million and provisions for other benefit-related items. Since the tentative agreement has not yet been ratified and there is uncertainty about the outcome of that process, we have not accrued for the one-time payment or the other benefit-related expenses as of June 30,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9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second quarter of 2023, we reported total operating revenues of $14.1 billion, an increase of $633 million, or 4.7%, as compared to the second quarter of 2022. Passenger revenue was $13.0 billion in the second quarter of 2023, an increase of $755 million, or 6.2%, as compared to the second quarter of 2022. The increase in passenger revenue in the second quarter of 2023 was primarily due to strength in long-haul international demand and continued domestic and short-haul international demand, resulting in a 4.4% increase in revenue passenger miles (RPMs) and a 1.7% increase in passenger yield. International passenger revenue increased, led by the Atlantic region, which had an 18.2% increase in RPMs and 7.9% increase in passenger yield.</w:t>
      </w:r>
    </w:p>
    <w:p>
      <w:pPr>
        <w:spacing w:after="0" w:line="13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Cargo revenue decreased $131 million, or 39.8%, in the second quarter of 2023 from the second quarter of 2022 primarily due to a 29.4% decrease in cargo yield and a 14.7% decrease in cargo ton miles driven by lower demand.</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Other operating revenue remained flat in the second quarter of 2023 from the second quarter of 2022. During the three months ended June 30, 2023 and 2022, cash payments from co-branded credit card and other partners were $1.2 billion and $1.0 billion, respectively.</w:t>
      </w:r>
    </w:p>
    <w:p>
      <w:pPr>
        <w:spacing w:after="0" w:line="120"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Our total revenue per available seat mile (TRASM) was 20.18 cents in the second quarter of 2023, a 0.5% decrease as compared to 20.29 cents in the second quarter of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9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Aircraft fuel expense was $2.7 billion in the second quarter of 2023, which was $1.3 billion, or 32.3%, lower as compared to the second quarter of 2022. This decrease was primarily due to a 35.1% decrease in the average price per gallon of aircraft fuel including related taxes to $2.62 in the second quarter of 2023 from $4.03 in the second quarter of 2022, offset in part by a 4.4% increase in gallons of fuel consumed due to increased capacity.</w:t>
      </w:r>
    </w:p>
    <w:p>
      <w:pPr>
        <w:spacing w:after="0" w:line="13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As of June 30, 2023,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9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2023 second quarter total operating cost per available seat mile (CASM) was 17.07 cents, a decrease of 8.9% from 18.75 cents in the second quarter of 2022. This decrease was primarily driven by lower aircraft fuel costs, offset in part by higher salaries, wages and benefits, as described above.</w:t>
      </w:r>
    </w:p>
    <w:p>
      <w:pPr>
        <w:spacing w:after="0" w:line="13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Our 2023 second quarter CASM excluding net special items and fuel was 13.16 cents, an increase of 3.7% from 12.68 cents in the second quarter of 2022, which was driven in part by higher salaries, wages and benefits, as described above.</w:t>
      </w:r>
    </w:p>
    <w:p>
      <w:pPr>
        <w:spacing w:after="0" w:line="114"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color w:val="auto"/>
        </w:rPr>
        <w:t xml:space="preserve">For a reconciliation of CASM to CASM excluding net special items and fuel, see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9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As of June 30, 2023, we had $14.9 billion in total available liquidity, consisting of $12.1 billion in unrestricted cash and short-term investments, and $2.9 billion in total undrawn capacity under revolving credit and other short-term facilities.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0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4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20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5"/>
        </w:trPr>
        <w:tc>
          <w:tcPr>
            <w:tcW w:w="20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196"/>
        </w:trPr>
        <w:tc>
          <w:tcPr>
            <w:tcW w:w="20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17"/>
        </w:trPr>
        <w:tc>
          <w:tcPr>
            <w:tcW w:w="5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Income (Loss) Excluding Net Special Items:</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Pre-tax income (loss) –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1,763</w:t>
            </w:r>
          </w:p>
        </w:tc>
        <w:tc>
          <w:tcPr>
            <w:tcW w:w="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36"/>
        </w:trPr>
        <w:tc>
          <w:tcPr>
            <w:tcW w:w="590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Operating special items,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82" w:lineRule="exact"/>
        <w:rPr>
          <w:sz w:val="20"/>
          <w:szCs w:val="20"/>
          <w:color w:val="auto"/>
        </w:rPr>
      </w:pPr>
    </w:p>
    <w:p>
      <w:pPr>
        <w:jc w:val="center"/>
        <w:ind w:left="5520" w:right="620" w:hanging="5512"/>
        <w:spacing w:after="0" w:line="710"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allows management an additional tool to understand and analyze our non-fuel costs and core operating performance. Amounts may not recalculate due to rounding.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20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5"/>
        </w:trPr>
        <w:tc>
          <w:tcPr>
            <w:tcW w:w="208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11"/>
        </w:trPr>
        <w:tc>
          <w:tcPr>
            <w:tcW w:w="5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and Fuel: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3"/>
        </w:trPr>
        <w:tc>
          <w:tcPr>
            <w:tcW w:w="5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23,027</w:t>
            </w:r>
          </w:p>
        </w:tc>
      </w:tr>
      <w:tr>
        <w:trPr>
          <w:trHeight w:val="230"/>
        </w:trPr>
        <w:tc>
          <w:tcPr>
            <w:tcW w:w="5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00" w:type="dxa"/>
            <w:vAlign w:val="bottom"/>
            <w:gridSpan w:val="2"/>
            <w:shd w:val="clear" w:color="auto" w:fill="CCEEFF"/>
          </w:tcPr>
          <w:p>
            <w:pPr>
              <w:jc w:val="center"/>
              <w:ind w:right="2200"/>
              <w:spacing w:after="0"/>
              <w:rPr>
                <w:sz w:val="20"/>
                <w:szCs w:val="20"/>
                <w:color w:val="auto"/>
              </w:rPr>
            </w:pPr>
            <w:r>
              <w:rPr>
                <w:rFonts w:ascii="Arial" w:cs="Arial" w:eastAsia="Arial" w:hAnsi="Arial"/>
                <w:sz w:val="18"/>
                <w:szCs w:val="18"/>
                <w:color w:val="auto"/>
                <w:w w:val="99"/>
              </w:rPr>
              <w:t>Mainline operating special items,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6"/>
        </w:trPr>
        <w:tc>
          <w:tcPr>
            <w:tcW w:w="5900" w:type="dxa"/>
            <w:vAlign w:val="bottom"/>
            <w:gridSpan w:val="2"/>
          </w:tcPr>
          <w:p>
            <w:pPr>
              <w:jc w:val="center"/>
              <w:ind w:right="2160"/>
              <w:spacing w:after="0"/>
              <w:rPr>
                <w:sz w:val="20"/>
                <w:szCs w:val="20"/>
                <w:color w:val="auto"/>
              </w:rPr>
            </w:pPr>
            <w:r>
              <w:rPr>
                <w:rFonts w:ascii="Arial" w:cs="Arial" w:eastAsia="Arial" w:hAnsi="Arial"/>
                <w:sz w:val="18"/>
                <w:szCs w:val="18"/>
                <w:color w:val="auto"/>
                <w:w w:val="99"/>
              </w:rPr>
              <w:t>Regional operating special items, net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9,163</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8,390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17,735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16,353</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134,665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125,697</w:t>
            </w:r>
          </w:p>
        </w:tc>
      </w:tr>
      <w:tr>
        <w:trPr>
          <w:trHeight w:val="19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18.32</w:t>
            </w:r>
          </w:p>
        </w:tc>
      </w:tr>
      <w:tr>
        <w:trPr>
          <w:trHeight w:val="236"/>
        </w:trPr>
        <w:tc>
          <w:tcPr>
            <w:tcW w:w="590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5900" w:type="dxa"/>
            <w:vAlign w:val="bottom"/>
            <w:gridSpan w:val="2"/>
            <w:shd w:val="clear" w:color="auto" w:fill="CCEEFF"/>
          </w:tcPr>
          <w:p>
            <w:pPr>
              <w:jc w:val="center"/>
              <w:ind w:right="2240"/>
              <w:spacing w:after="0"/>
              <w:rPr>
                <w:sz w:val="20"/>
                <w:szCs w:val="20"/>
                <w:color w:val="auto"/>
              </w:rPr>
            </w:pPr>
            <w:r>
              <w:rPr>
                <w:rFonts w:ascii="Arial" w:cs="Arial" w:eastAsia="Arial" w:hAnsi="Arial"/>
                <w:sz w:val="18"/>
                <w:szCs w:val="18"/>
                <w:color w:val="auto"/>
                <w:w w:val="99"/>
              </w:rPr>
              <w:t>Regional operating special items, net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48"/>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3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-2656840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8" w:lineRule="exact"/>
        <w:rPr>
          <w:sz w:val="20"/>
          <w:szCs w:val="20"/>
          <w:color w:val="auto"/>
        </w:rPr>
      </w:pPr>
    </w:p>
    <w:p>
      <w:pPr>
        <w:jc w:val="center"/>
        <w:ind w:left="5520" w:right="620" w:hanging="5512"/>
        <w:spacing w:after="0" w:line="710" w:lineRule="auto"/>
        <w:tabs>
          <w:tab w:leader="none" w:pos="32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41"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The table below sets forth selected operating data for the three and six months ended June 30, 2023 and 2022. Amounts may not recalculate due to rounding.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Increase</w:t>
            </w:r>
          </w:p>
        </w:tc>
        <w:tc>
          <w:tcPr>
            <w:tcW w:w="136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37"/>
        </w:trPr>
        <w:tc>
          <w:tcPr>
            <w:tcW w:w="4680" w:type="dxa"/>
            <w:vAlign w:val="bottom"/>
            <w:shd w:val="clear" w:color="auto" w:fill="CCEEFF"/>
          </w:tcPr>
          <w:p>
            <w:pPr>
              <w:ind w:left="180"/>
              <w:spacing w:after="0" w:line="236"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57,516</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101,806</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10.0%</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000" w:type="dxa"/>
            <w:vAlign w:val="bottom"/>
          </w:tcPr>
          <w:p>
            <w:pPr>
              <w:jc w:val="right"/>
              <w:spacing w:after="0"/>
              <w:rPr>
                <w:sz w:val="20"/>
                <w:szCs w:val="20"/>
                <w:color w:val="auto"/>
              </w:rPr>
            </w:pPr>
            <w:r>
              <w:rPr>
                <w:rFonts w:ascii="Arial" w:cs="Arial" w:eastAsia="Arial" w:hAnsi="Arial"/>
                <w:sz w:val="18"/>
                <w:szCs w:val="18"/>
                <w:color w:val="auto"/>
              </w:rPr>
              <w:t>69,658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66,163</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125,697</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(0.7)pts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2.2pts</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line="243"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000" w:type="dxa"/>
            <w:vAlign w:val="bottom"/>
          </w:tcPr>
          <w:p>
            <w:pPr>
              <w:jc w:val="right"/>
              <w:spacing w:after="0"/>
              <w:rPr>
                <w:sz w:val="20"/>
                <w:szCs w:val="20"/>
                <w:color w:val="auto"/>
              </w:rPr>
            </w:pPr>
            <w:r>
              <w:rPr>
                <w:rFonts w:ascii="Arial" w:cs="Arial" w:eastAsia="Arial" w:hAnsi="Arial"/>
                <w:sz w:val="18"/>
                <w:szCs w:val="18"/>
                <w:color w:val="auto"/>
              </w:rPr>
              <w:t>21.62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21.25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19.69</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12.2%</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17.76</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76"/>
        </w:trPr>
        <w:tc>
          <w:tcPr>
            <w:tcW w:w="4680" w:type="dxa"/>
            <w:vAlign w:val="bottom"/>
          </w:tcPr>
          <w:p>
            <w:pPr>
              <w:ind w:left="180"/>
              <w:spacing w:after="0" w:line="176" w:lineRule="exact"/>
              <w:rPr>
                <w:sz w:val="20"/>
                <w:szCs w:val="20"/>
                <w:color w:val="auto"/>
              </w:rPr>
            </w:pPr>
            <w:r>
              <w:rPr>
                <w:rFonts w:ascii="Arial" w:cs="Arial" w:eastAsia="Arial" w:hAnsi="Arial"/>
                <w:sz w:val="18"/>
                <w:szCs w:val="18"/>
                <w:color w:val="auto"/>
              </w:rPr>
              <w:t>Average aircraft fuel price including related taxes</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2.62</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4.03</w:t>
            </w:r>
          </w:p>
        </w:tc>
        <w:tc>
          <w:tcPr>
            <w:tcW w:w="11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8"/>
              </w:rPr>
              <w:t>(35.1)%</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3.45</w:t>
            </w:r>
          </w:p>
        </w:tc>
        <w:tc>
          <w:tcPr>
            <w:tcW w:w="11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8"/>
              </w:rPr>
              <w:t>(14.8)%</w:t>
            </w:r>
          </w:p>
        </w:tc>
        <w:tc>
          <w:tcPr>
            <w:tcW w:w="0" w:type="dxa"/>
            <w:vAlign w:val="bottom"/>
          </w:tcPr>
          <w:p>
            <w:pPr>
              <w:spacing w:after="0"/>
              <w:rPr>
                <w:sz w:val="1"/>
                <w:szCs w:val="1"/>
                <w:color w:val="auto"/>
              </w:rPr>
            </w:pPr>
          </w:p>
        </w:tc>
      </w:tr>
      <w:tr>
        <w:trPr>
          <w:trHeight w:val="229"/>
        </w:trPr>
        <w:tc>
          <w:tcPr>
            <w:tcW w:w="4680" w:type="dxa"/>
            <w:vAlign w:val="bottom"/>
          </w:tcPr>
          <w:p>
            <w:pPr>
              <w:ind w:left="360"/>
              <w:spacing w:after="0"/>
              <w:rPr>
                <w:sz w:val="20"/>
                <w:szCs w:val="20"/>
                <w:color w:val="auto"/>
              </w:rPr>
            </w:pPr>
            <w:r>
              <w:rPr>
                <w:rFonts w:ascii="Arial" w:cs="Arial" w:eastAsia="Arial" w:hAnsi="Arial"/>
                <w:sz w:val="18"/>
                <w:szCs w:val="18"/>
                <w:color w:val="auto"/>
              </w:rPr>
              <w:t>(dollars per gallon)</w:t>
            </w:r>
          </w:p>
        </w:tc>
        <w:tc>
          <w:tcPr>
            <w:tcW w:w="100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000" w:type="dxa"/>
            <w:vAlign w:val="bottom"/>
          </w:tcPr>
          <w:p>
            <w:pPr>
              <w:jc w:val="right"/>
              <w:spacing w:after="0"/>
              <w:rPr>
                <w:sz w:val="20"/>
                <w:szCs w:val="20"/>
                <w:color w:val="auto"/>
              </w:rPr>
            </w:pPr>
            <w:r>
              <w:rPr>
                <w:rFonts w:ascii="Arial" w:cs="Arial" w:eastAsia="Arial" w:hAnsi="Arial"/>
                <w:sz w:val="18"/>
                <w:szCs w:val="18"/>
                <w:color w:val="auto"/>
              </w:rPr>
              <w:t>1,470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1,471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129,200</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129,200</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201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49" w:lineRule="exact"/>
        <w:rPr>
          <w:rFonts w:ascii="Arial" w:cs="Arial" w:eastAsia="Arial" w:hAnsi="Arial"/>
          <w:sz w:val="23"/>
          <w:szCs w:val="23"/>
          <w:color w:val="auto"/>
          <w:vertAlign w:val="superscript"/>
        </w:rPr>
      </w:pPr>
    </w:p>
    <w:p>
      <w:pPr>
        <w:jc w:val="both"/>
        <w:ind w:left="340" w:hanging="332"/>
        <w:spacing w:after="0" w:line="237" w:lineRule="auto"/>
        <w:tabs>
          <w:tab w:leader="none" w:pos="3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Excluded from the aircraft count above are three Boeing 737-800 mainline aircraft and 74 regional aircraft that were in temporary storage as of June 30, 2023 as follows: 53 Embraer 145, 12 Bombardier CRJ 700, six Embraer 170 and three Bombardier CRJ 900.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4"/>
            <w:vMerge w:val="restart"/>
          </w:tcPr>
          <w:p>
            <w:pPr>
              <w:jc w:val="right"/>
              <w:ind w:right="33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ind w:right="33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Cargo</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14,055</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13,422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633</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4.7</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Increase (Decrease)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vs. Three Months Ended June 30, 2022</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Three Months Ended</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2"/>
                <w:szCs w:val="12"/>
                <w:color w:val="auto"/>
              </w:rPr>
            </w:pP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ASMs</w:t>
            </w:r>
          </w:p>
        </w:tc>
        <w:tc>
          <w:tcPr>
            <w:tcW w:w="120" w:type="dxa"/>
            <w:vAlign w:val="bottom"/>
          </w:tcPr>
          <w:p>
            <w:pPr>
              <w:spacing w:after="0"/>
              <w:rPr>
                <w:sz w:val="12"/>
                <w:szCs w:val="12"/>
                <w:color w:val="auto"/>
              </w:rPr>
            </w:pPr>
          </w:p>
        </w:tc>
        <w:tc>
          <w:tcPr>
            <w:tcW w:w="128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Load</w:t>
            </w:r>
          </w:p>
        </w:tc>
        <w:tc>
          <w:tcPr>
            <w:tcW w:w="900" w:type="dxa"/>
            <w:vAlign w:val="bottom"/>
          </w:tcPr>
          <w:p>
            <w:pPr>
              <w:jc w:val="center"/>
              <w:ind w:right="102"/>
              <w:spacing w:after="0" w:line="143" w:lineRule="exact"/>
              <w:rPr>
                <w:sz w:val="20"/>
                <w:szCs w:val="20"/>
                <w:color w:val="auto"/>
              </w:rPr>
            </w:pPr>
            <w:r>
              <w:rPr>
                <w:rFonts w:ascii="Arial" w:cs="Arial" w:eastAsia="Arial" w:hAnsi="Arial"/>
                <w:sz w:val="14"/>
                <w:szCs w:val="14"/>
                <w:b w:val="1"/>
                <w:bCs w:val="1"/>
                <w:color w:val="auto"/>
              </w:rPr>
              <w:t>Passenger</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12,978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4.4%</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8"/>
              </w:rPr>
              <w:t>(0.7)pts</w:t>
            </w:r>
          </w:p>
        </w:tc>
        <w:tc>
          <w:tcPr>
            <w:tcW w:w="900" w:type="dxa"/>
            <w:vAlign w:val="bottom"/>
            <w:shd w:val="clear" w:color="auto" w:fill="CCEEFF"/>
          </w:tcPr>
          <w:p>
            <w:pPr>
              <w:jc w:val="center"/>
              <w:ind w:right="102"/>
              <w:spacing w:after="0"/>
              <w:rPr>
                <w:sz w:val="20"/>
                <w:szCs w:val="20"/>
                <w:color w:val="auto"/>
              </w:rPr>
            </w:pPr>
            <w:r>
              <w:rPr>
                <w:rFonts w:ascii="Arial" w:cs="Arial" w:eastAsia="Arial" w:hAnsi="Arial"/>
                <w:sz w:val="18"/>
                <w:szCs w:val="18"/>
                <w:color w:val="auto"/>
                <w:w w:val="97"/>
              </w:rPr>
              <w:t>1.7%</w:t>
            </w:r>
          </w:p>
        </w:tc>
        <w:tc>
          <w:tcPr>
            <w:tcW w:w="10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Passenger revenue increased $755 million, or 6.2%, in the second quarter of 2023 from the second quarter of 2022 primarily due to strength in long-haul international demand and continued domestic and short-haul international demand, resulting in a 4.4% increase in RPMs and a 1.7% increase in passenger yield. International passenger revenue increased, led by the Atlantic region, which had an 18.2% increase in RPMs and 7.9% increase in passenger yield.</w:t>
      </w:r>
    </w:p>
    <w:p>
      <w:pPr>
        <w:spacing w:after="0" w:line="13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Cargo revenue decreased $131 million, or 39.8%, in the second quarter of 2023 from the second quarter of 2022 primarily due to a 29.4% decrease in cargo yield and a 14.7% decrease in cargo ton miles driven by lower demand.</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Other operating revenue remained flat in the second quarter of 2023 from the second quarter of 2022. During the three months ended June 30, 2023 and 2022, cash payments from co-branded credit card and other partners were $1.2 billion and $1.0 billion, respectively.</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Total operating revenues in the second quarter of 2023 increased $633 million, or 4.7%, from the second quarter of 2022, driven primarily by the increase in passenger revenue as described above. Our TRASM was 20.18 cents in the second quarter of 2023, a 0.5% decrease as compared to 20.29 cents in the second quarter of 2022.</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4"/>
            <w:vMerge w:val="restart"/>
          </w:tcPr>
          <w:p>
            <w:pPr>
              <w:jc w:val="right"/>
              <w:ind w:right="31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3"/>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(32.3)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12.4</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24.9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(99.4)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201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our total operating expenses are as follows:</w:t>
      </w:r>
    </w:p>
    <w:p>
      <w:pPr>
        <w:spacing w:after="0" w:line="1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Aircraft fuel and related taxes decreased $1.3 billion, or 32.3%, in the second quarter of 2023 from the second quarter of 2022 primarily due to a 35.1% decrease in the average price per gallon of aircraft fuel including related taxes to $2.62 in the second quarter of 2023 from $4.03 in the second quarter of 2022, offset in part by a 4.4% increase in gallons of fuel consumed due to increased capacity.</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Salaries, wages and benefits increased $400 million, or 12.4%, in the second quarter of 2023 from the second quarter of 2022 primarily due to higher profit sharing program accruals, as a result of increased profitability, and higher wage rates associated with an agreement in principle with our mainline pilots reached in May 2023.</w:t>
      </w:r>
    </w:p>
    <w:p>
      <w:pPr>
        <w:spacing w:after="0" w:line="1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May 2023, American and the APA, the union representing our approximately 13,900 mainline pilots, reached an agreement in principle on a new collective bargaining agreement. In July 2023, a tentative agreement was approved by the APA Board of Directors and is subject to ratification by American’s pilots through a vote that is presently scheduled to close on August 7, 2023. Upon pilot ratification, the ratified agreement will include a provision for a one-time payment of approximately $750 million and provisions for other benefit-related items. Since the tentative agreement has not yet been ratified and there is uncertainty about the outcome of that process, we have not accrued for the one-time payment or the other benefit-related expenses as of June 30, 2023.</w:t>
      </w:r>
    </w:p>
    <w:p>
      <w:pPr>
        <w:spacing w:after="0" w:line="13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Regional expenses increased $ 81 million, or 7.6%, in the second quarter of 2023 from the second quarter of 2022 primarily due to pay rate increases at our wholly-owned regional carriers effective in the second and third quarters of 2022.</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Maintenance, materials and repairs increased $161 million, or 24.9%, in the second quarter of 2023 from the second quarter of 2022 primarily due to increased costs for engine overhauls and airframe heavy checks driven by higher volume and flight hours.</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Other rent and landing fees increased $68 million, or 9.8%, in the second quarter of 2023 from the second quarter of 2022 primarily due to rate increases at certain airports and incremental engine leases.</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Selling expenses decreased $15 million, or 3.0%, in the second quarter of 2023 from the second quarter of 2022 primarily due to a decrease in commissions expense, offset in part by higher credit card fees driven by the overall increase in passenger revenues.</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expenses increased $106 million, or 7.6%, in the second quarter of 2023 from the second quarter of 2022 primarily driven by the increase in flight operations, including increased costs for aircraft food and catering, crew travel, airport lounge operations and ground handling, as well as certain general and administrative expenses.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5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2540" w:type="dxa"/>
            <w:vAlign w:val="bottom"/>
            <w:tcBorders>
              <w:bottom w:val="single" w:sz="8" w:color="auto"/>
            </w:tcBorders>
            <w:gridSpan w:val="4"/>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1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480" w:type="dxa"/>
            <w:vAlign w:val="bottom"/>
            <w:gridSpan w:val="2"/>
          </w:tcPr>
          <w:p>
            <w:pPr>
              <w:jc w:val="right"/>
              <w:ind w:right="44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(400)</w:t>
            </w:r>
          </w:p>
        </w:tc>
        <w:tc>
          <w:tcPr>
            <w:tcW w:w="11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(414)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ind w:right="42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Interest income increased $133 million in the second quarter of 2023 from the second quarter of 2022 primarily as a result of higher returns on our short-term investments. Interest expense, net increased $80 million, or 17.1%, in the second quarter of 2023 from the second quarter of 2022 primarily due to higher interest rates on our variable-rate debt instruments.</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second quarter of 2023, other nonoperating expense, net primarily included $28 million of net special charges principally associated with debt extinguishments and mark-to-market net unrealized losses associated with certain equity investments, offset in part by $8 million of non-service related pension and other postretirement benefit plan income.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second quarter of 2022, other nonoperating income, net primarily included $106 million of non-service related pension and other postretirement benefit plan income, offset in part by $89 million of net special charges principally for mark-to-market net unrealized losses associated with certain equity investments.</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decrease in non-service related pension and other postretirement benefit plan income in the second quarter of 2023 as compared to the second quarter of 2022 is principally due to an increase in interest cost for the pension and other postretirement benefit obligations driven by higher discount rates and a decrease in expected return on pension plan assets from a reduction in plan assets.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In the second quarter of 2023, we recorded an income tax provision of $425 million. Substantially all of our income before income taxes is attributable to the United States.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4"/>
            <w:vMerge w:val="restart"/>
          </w:tcPr>
          <w:p>
            <w:pPr>
              <w:jc w:val="right"/>
              <w:ind w:right="4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6"/>
              </w:rPr>
              <w:t>20.2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Cargo</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(39.2)</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26,244</w:t>
            </w:r>
          </w:p>
        </w:tc>
        <w:tc>
          <w:tcPr>
            <w:tcW w:w="4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22,321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3,923</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17.6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104"/>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vs. Six Months Ended June 30, 2022</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2"/>
                <w:szCs w:val="12"/>
                <w:color w:val="auto"/>
              </w:rPr>
            </w:pP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Load</w:t>
            </w:r>
          </w:p>
        </w:tc>
        <w:tc>
          <w:tcPr>
            <w:tcW w:w="10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Passenger</w:t>
            </w:r>
          </w:p>
        </w:tc>
        <w:tc>
          <w:tcPr>
            <w:tcW w:w="100" w:type="dxa"/>
            <w:vAlign w:val="bottom"/>
          </w:tcPr>
          <w:p>
            <w:pPr>
              <w:spacing w:after="0"/>
              <w:rPr>
                <w:sz w:val="12"/>
                <w:szCs w:val="12"/>
                <w:color w:val="auto"/>
              </w:rPr>
            </w:pP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24,081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2.2pts</w:t>
            </w:r>
          </w:p>
        </w:tc>
        <w:tc>
          <w:tcPr>
            <w:tcW w:w="11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9.2%</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Passenger revenue increased $4.0 billion, or 20.2%, in the first six months of 2023 from the first six months of 2022 primarily due to strength in long-haul international demand and continued domestic and short-haul international demand, resulting in a 10.0% increase in RPMs, a 9.2% increase in passenger yield and an 83.2% load factor in the first six months of 2023. International passenger revenue increased, led by the Atlantic and Latin America regions, which had a 30.5% and 5.3% increase in RPMs, respectively, and a 10.9% and 22.2% increase in passenger yield, respectively.</w:t>
      </w:r>
    </w:p>
    <w:p>
      <w:pPr>
        <w:spacing w:after="0" w:line="13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Cargo revenue decreased $ 272 million, or 39.2%, in the first six months of 2023 from the first six months of 2022 primarily due to a 25.8% decrease in cargo yield and an 18.1% decrease in cargo ton miles driven by lower demand.</w:t>
      </w:r>
    </w:p>
    <w:p>
      <w:pPr>
        <w:spacing w:after="0" w:line="12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Other operating revenue increased $ 155 million, or 9.8%, in the first six months of 2023 from the first six months of 2022, driven primarily by higher revenue associated with our loyalty program. During the six months ended June 30, 2023 and 2022, cash payments from co-branded credit card and other partners were $2.8 billion and $2.4 billion, respectively.</w:t>
      </w:r>
    </w:p>
    <w:p>
      <w:pPr>
        <w:spacing w:after="0" w:line="1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Total operating revenues in the first six months of 2023 increased $3.9 billion, or 17.6%, from the first six months of 2022, driven primarily by the increase in passenger revenue as described above. Our TRASM increased 9.7% to 19.49 cents in the first six months of 2023 from 17.76 cents in the first six months of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4"/>
            <w:vMerge w:val="restart"/>
          </w:tcPr>
          <w:p>
            <w:pPr>
              <w:jc w:val="right"/>
              <w:ind w:right="41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20.3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6"/>
              </w:rPr>
              <w:t>10.8</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(91.2)</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6"/>
              </w:rPr>
              <w:t>10.5</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our total operating expenses are as follows:</w:t>
      </w:r>
    </w:p>
    <w:p>
      <w:pPr>
        <w:spacing w:after="0" w:line="171"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Aircraft fuel and related taxes decreased $632 million, or 9.7%, in the first six months of 2023 from the first six months of 2022 primarily due to a 14.8% decrease in the average price per gallon of aircraft fuel including related taxes to $2.94 in the first six months of 2023 from $3.45 in the first six months of 2022, offset in part by a 6.0% increase in gallons of fuel consumed due to increased capacity.</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Salaries, wages and benefits increased $528 million, or 8.3%, in the first six months of 2023 from the first six months of 2022 primarily due to higher profit sharing program accruals, as a result of increased profitability, and higher wage rates associated with an agreement in principle with our mainline pilots reached in May 2023, as discussed above.</w:t>
      </w:r>
    </w:p>
    <w:p>
      <w:pPr>
        <w:spacing w:after="0" w:line="13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Regional expenses increased $ 171 million, or 8.1%, in the first six months of 2023 from the first six months of 2022 primarily due to pay rate increases at our wholly-owned regional carriers effective in the second and third quarters of 2022.</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Maintenance, materials and repairs increased $256 million, or 20.3%, in the first six months of 2023 from the first six months of 2022 primarily due to increased costs for engine overhauls and airframe heavy checks driven by higher volume and flight hours.</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Other rent and landing fees increased $98 million, or 7.1%, in the first six months of 2023 from the first six months of 2022 primarily due to rate increases at certain airports and incremental engine leases.</w:t>
      </w:r>
    </w:p>
    <w:p>
      <w:pPr>
        <w:spacing w:after="0" w:line="12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Selling expenses increased $91 million, or 10.8%, in the first six months of 2023 from the first six months of 2022 primarily due to higher credit card fees driven by the overall increase in passenger revenues, offset in part by a decrease in commissions expense.</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expenses increased $ 280 million, or 10.5%, in the first six months of 2023 from the first six months of 2022 primarily driven by the increase in flight operations, including increased costs for aircraft food and catering, crew travel, airport lounge operations and ground handling, as well as certain general and administrative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7"/>
                <w:szCs w:val="17"/>
                <w:color w:val="auto"/>
              </w:rPr>
            </w:pPr>
          </w:p>
        </w:tc>
      </w:tr>
      <w:tr>
        <w:trPr>
          <w:trHeight w:val="183"/>
        </w:trPr>
        <w:tc>
          <w:tcPr>
            <w:tcW w:w="20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r>
      <w:tr>
        <w:trPr>
          <w:trHeight w:val="195"/>
        </w:trPr>
        <w:tc>
          <w:tcPr>
            <w:tcW w:w="20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60" w:type="dxa"/>
            <w:vAlign w:val="bottom"/>
            <w:gridSpan w:val="3"/>
          </w:tcPr>
          <w:p>
            <w:pPr>
              <w:jc w:val="right"/>
              <w:ind w:right="788"/>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r>
      <w:tr>
        <w:trPr>
          <w:trHeight w:val="231"/>
        </w:trPr>
        <w:tc>
          <w:tcPr>
            <w:tcW w:w="764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(1)</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20" w:type="dxa"/>
            <w:vAlign w:val="bottom"/>
            <w:gridSpan w:val="2"/>
            <w:shd w:val="clear" w:color="auto" w:fill="CCEEFF"/>
          </w:tcPr>
          <w:p>
            <w:pPr>
              <w:jc w:val="right"/>
              <w:ind w:right="10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1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2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gridSpan w:val="2"/>
          </w:tcPr>
          <w:p>
            <w:pPr>
              <w:ind w:left="220"/>
              <w:spacing w:after="0"/>
              <w:rPr>
                <w:sz w:val="20"/>
                <w:szCs w:val="20"/>
                <w:color w:val="auto"/>
              </w:rPr>
            </w:pPr>
            <w:r>
              <w:rPr>
                <w:rFonts w:ascii="Arial" w:cs="Arial" w:eastAsia="Arial" w:hAnsi="Arial"/>
                <w:sz w:val="18"/>
                <w:szCs w:val="18"/>
                <w:color w:val="auto"/>
              </w:rPr>
              <w:t>Operating special items, net</w:t>
            </w: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jc w:val="right"/>
              <w:ind w:right="10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20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20" w:type="dxa"/>
            <w:vAlign w:val="bottom"/>
            <w:tcBorders>
              <w:bottom w:val="single" w:sz="8" w:color="auto"/>
            </w:tcBorders>
          </w:tcPr>
          <w:p>
            <w:pPr>
              <w:spacing w:after="0"/>
              <w:rPr>
                <w:sz w:val="13"/>
                <w:szCs w:val="13"/>
                <w:color w:val="auto"/>
              </w:rPr>
            </w:pPr>
          </w:p>
        </w:tc>
        <w:tc>
          <w:tcPr>
            <w:tcW w:w="5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spacing w:after="0" w:line="82" w:lineRule="exact"/>
        <w:rPr>
          <w:sz w:val="20"/>
          <w:szCs w:val="20"/>
          <w:color w:val="auto"/>
        </w:rPr>
      </w:pPr>
    </w:p>
    <w:p>
      <w:pPr>
        <w:ind w:left="340" w:hanging="332"/>
        <w:spacing w:after="0" w:line="226" w:lineRule="auto"/>
        <w:tabs>
          <w:tab w:leader="none" w:pos="3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Severance expenses for the six months ended June 30, 2023 primarily included costs associated with headcount reductions in certain corporate functions.</w:t>
      </w:r>
    </w:p>
    <w:p>
      <w:pPr>
        <w:spacing w:after="0" w:line="150" w:lineRule="exact"/>
        <w:rPr>
          <w:rFonts w:ascii="Arial" w:cs="Arial" w:eastAsia="Arial" w:hAnsi="Arial"/>
          <w:sz w:val="23"/>
          <w:szCs w:val="23"/>
          <w:color w:val="auto"/>
          <w:vertAlign w:val="superscript"/>
        </w:rPr>
      </w:pPr>
    </w:p>
    <w:p>
      <w:pPr>
        <w:jc w:val="both"/>
        <w:ind w:left="340" w:hanging="332"/>
        <w:spacing w:after="0" w:line="233" w:lineRule="auto"/>
        <w:tabs>
          <w:tab w:leader="none" w:pos="3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2022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2"/>
        </w:trPr>
        <w:tc>
          <w:tcPr>
            <w:tcW w:w="5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7"/>
              <w:spacing w:after="0" w:line="115"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38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1480" w:type="dxa"/>
            <w:vAlign w:val="bottom"/>
            <w:gridSpan w:val="2"/>
          </w:tcPr>
          <w:p>
            <w:pPr>
              <w:jc w:val="right"/>
              <w:ind w:right="44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(821)</w:t>
            </w:r>
          </w:p>
        </w:tc>
        <w:tc>
          <w:tcPr>
            <w:tcW w:w="10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480" w:type="dxa"/>
            <w:vAlign w:val="bottom"/>
            <w:gridSpan w:val="2"/>
          </w:tcPr>
          <w:p>
            <w:pPr>
              <w:jc w:val="right"/>
              <w:ind w:right="48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Interest income increased $251 million in the first six months of 2023 from the first six months of 2022 primarily as a result of higher returns on our short-term investments. Interest expense, net increased $ 156 million, or 16.8%, in the first six months of 2023 from the first six months of 2022 primarily due to higher interest rates on our variable-rate debt instruments.</w:t>
      </w:r>
    </w:p>
    <w:p>
      <w:pPr>
        <w:spacing w:after="0" w:line="1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 the first six months of 2023, other nonoperating expense, net primarily included $45 million of net special charges principally associated with debt refinancings and extinguishments and mark-to-market net unrealized losses associated with certain equity investments, offset in part by $16 million of non-service related pension and other postretirement benefit plan income.</w:t>
      </w:r>
    </w:p>
    <w:p>
      <w:pPr>
        <w:spacing w:after="0" w:line="1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 the first six months of 2022, other nonoperating income, net primarily included $211 million of non-service related pension and other postretirement benefit plan income, offset in part by $92 million of net special charges principally for mark-to-market net unrealized losses associated with certain equity investments.</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six months of 2023 as compared to the first six months of 2022 is principally due to an increase in interest cost for the pension and other postretirement benefit obligations driven by higher discount rates and a decrease in expected return on pension plan assets from a reduction in plan assets.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6"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In the first six months of 2023, we recorded an income tax provision of $431 million. Substantially all of our income or loss before income taxes is attributable to the United States.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vMerge w:val="restart"/>
          </w:tcPr>
          <w:p>
            <w:pPr>
              <w:jc w:val="right"/>
              <w:ind w:right="35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jc w:val="right"/>
              <w:ind w:right="35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5"/>
          </w:tcPr>
          <w:p>
            <w:pPr>
              <w:jc w:val="right"/>
              <w:ind w:right="17"/>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Cargo</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(39.8)</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14,054</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633</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Passenger revenue increased $755 million, or 6.2%, in the second quarter of 2023 from the second quarter of 2022 primarily due to strength in long-haul international demand and continued domestic and short-haul international demand, resulting in an increase in RPMs and passenger yield. International passenger revenue increased, led by the Atlantic region, which had an increase in RPMs and passenger yield.</w:t>
      </w:r>
    </w:p>
    <w:p>
      <w:pPr>
        <w:spacing w:after="0" w:line="13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Cargo revenue decreased $131 million, or 39.8%, in the second quarter of 2023 from the second quarter of 2022 primarily due to decreases in cargo yield and cargo ton miles driven by lower demand.</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Other operating revenue remained flat in the second quarter of 2023 from the second quarter of 2022. During the three months ended June 30, 2023 and 2022, cash payments from co-branded credit card and other partners were $1.2 billion and $1.0 billion, respectively.</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Total operating revenues in the second quarter of 2023 increased $633 million, or 4.7%, from the second quarter of 2022, driven primarily by the increase in passenger revenue as described above.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jc w:val="right"/>
              <w:ind w:right="354"/>
              <w:spacing w:after="0" w:line="108" w:lineRule="exact"/>
              <w:rPr>
                <w:sz w:val="20"/>
                <w:szCs w:val="20"/>
                <w:color w:val="auto"/>
              </w:rPr>
            </w:pPr>
            <w:r>
              <w:rPr>
                <w:rFonts w:ascii="Arial" w:cs="Arial" w:eastAsia="Arial" w:hAnsi="Arial"/>
                <w:sz w:val="12"/>
                <w:szCs w:val="12"/>
                <w:b w:val="1"/>
                <w:bCs w:val="1"/>
                <w:color w:val="auto"/>
              </w:rPr>
              <w:t>Increase</w:t>
            </w:r>
          </w:p>
        </w:tc>
        <w:tc>
          <w:tcPr>
            <w:tcW w:w="100" w:type="dxa"/>
            <w:vAlign w:val="bottom"/>
          </w:tcPr>
          <w:p>
            <w:pPr>
              <w:spacing w:after="0"/>
              <w:rPr>
                <w:sz w:val="9"/>
                <w:szCs w:val="9"/>
                <w:color w:val="auto"/>
              </w:rPr>
            </w:pPr>
          </w:p>
        </w:tc>
        <w:tc>
          <w:tcPr>
            <w:tcW w:w="142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2,723</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(32.3)</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12.4</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6"/>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Maintenance, materials and repairs</w:t>
            </w:r>
          </w:p>
        </w:tc>
        <w:tc>
          <w:tcPr>
            <w:tcW w:w="28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24.9</w:t>
            </w:r>
          </w:p>
        </w:tc>
        <w:tc>
          <w:tcPr>
            <w:tcW w:w="0" w:type="dxa"/>
            <w:vAlign w:val="bottom"/>
          </w:tcPr>
          <w:p>
            <w:pPr>
              <w:spacing w:after="0"/>
              <w:rPr>
                <w:sz w:val="1"/>
                <w:szCs w:val="1"/>
                <w:color w:val="auto"/>
              </w:rPr>
            </w:pPr>
          </w:p>
        </w:tc>
      </w:tr>
      <w:tr>
        <w:trPr>
          <w:trHeight w:val="23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Aircraft rent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(99.4)</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5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11,884</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See Note 2 to American’s Condensed Consolidated Financial Statements in Part I, Item 1B for further information on net special items.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Aircraft fuel and related taxes decreased $1.3 billion, or 32.3%, in the second quarter of 2023 from the second quarter of 2022 primarily due to a 35.1% decrease in the average price per gallon of aircraft fuel including related taxes to $2.62 in the second quarter of 2023 from $4.03 in the second quarter of 2022, offset in part by a 4.4% increase in gallons of fuel consumed due to increased capacity.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Salaries, wages and benefits increased $400 million, or 12.4%, in the second quarter of 2023 from the second quarter of 2022 primarily due to higher profit sharing program accruals, as a result of increased profitability, and higher wage rates associated with an agreement in principle with American’s mainline pilots reached in May 2023.</w:t>
      </w:r>
    </w:p>
    <w:p>
      <w:pPr>
        <w:spacing w:after="0" w:line="1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May 2023, American and the APA, the union representing American’s approximately 13,900 mainline pilots, reached an agreement in principle on a new collective bargaining agreement. In July 2023, a tentative agreement was approved by the APA Board of Directors and is subject to ratification by American’s pilots through a vote that is presently scheduled to close on August 7, 2023. Upon pilot ratification, the ratified agreement will include a provision for a one-time payment of approximately $ 750 million and provisions for other benefit-related items. Since the tentative agreement has not yet been ratified and there is uncertainty about the outcome of that process, American has not accrued for the one-time payment or the other benefit-related expenses as of June 30, 2023.</w:t>
      </w:r>
    </w:p>
    <w:p>
      <w:pPr>
        <w:spacing w:after="0" w:line="13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Regional expenses increased $92 million, or 8.7%, in the second quarter of 2023 from the second quarter of 2022 primarily due to pay rate increases at American’s third-party regional carriers effective in the second and third quarters of 2022.</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Maintenance, materials and repairs increased $161 million, or 24.9%, in the second quarter of 2023 from the second quarter of 2022 primarily due to increased costs for engine overhauls and airframe heavy checks driven by higher volume and flight hours.</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Other rent and landing fees increased $68 million, or 9.8%, in the second quarter of 2023 from the second quarter of 2022 primarily due to rate increases at certain airports and incremental engine leases.</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Selling expenses decreased $15 million, or 3.0%, in the second quarter of 2023 from the second quarter of 2022 primarily due to a decrease in commissions expense, offset in part by higher credit card fees driven by the overall increase in passenger revenues.</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expenses increased $104 million, or 7.5%, in the second quarter of 2023 from the second quarter of 2022 primarily driven by the increase in flight operations, including increased costs for aircraft food and catering, crew travel, airport lounge operations and ground handling, as well as certain general and administrative expenses.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540" w:type="dxa"/>
            <w:vAlign w:val="bottom"/>
            <w:tcBorders>
              <w:bottom w:val="single" w:sz="8" w:color="auto"/>
            </w:tcBorders>
            <w:gridSpan w:val="4"/>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8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(437)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c>
          <w:tcPr>
            <w:tcW w:w="1480" w:type="dxa"/>
            <w:vAlign w:val="bottom"/>
            <w:gridSpan w:val="2"/>
          </w:tcPr>
          <w:p>
            <w:pPr>
              <w:jc w:val="right"/>
              <w:ind w:right="42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6"/>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(295)</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(373)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480" w:type="dxa"/>
            <w:vAlign w:val="bottom"/>
            <w:gridSpan w:val="2"/>
          </w:tcPr>
          <w:p>
            <w:pPr>
              <w:jc w:val="right"/>
              <w:ind w:right="36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Interest income increased $241 million in the second quarter of 2023 from the second quarter of 2022 primarily as a result of higher returns on American’s short-term investments and related party receivables from AAG. Interest expense, net increased $126 million, or 28.8%, in the second quarter of 2023 from the second quarter of 2022 primarily due to higher interest rates on American’s variable-rate debt instruments.</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second quarter of 2023, other nonoperating expense, net primarily included $28 million of net special charges principally associated with debt extinguishments and mark-to-market net unrealized losses associated with certain equity investments, offset in part by $8 million of non-service related pension and other postretirement benefit plan income.</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second quarter of 2022, other nonoperating income, net primarily included $105 million of non-service related pension and other postretirement benefit plan income, offset in part by $89 million of net special charges principally for mark-to-market net unrealized losses associated with certain equity investments.</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decrease in non-service related pension and other postretirement benefit plan income in the second quarter of 2023 as compared to the second quarter of 2022 is principally due to an increase in interest cost for the pension and other postretirement benefit obligations driven by higher discount rates and a decrease in expected return on pension plan assets from a reduction in plan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In the second quarter of 2023, American recorded an income tax provision of $452 million. Substantially all of American’s income before income taxes is attributable to the United States.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4"/>
            <w:vMerge w:val="restart"/>
          </w:tcPr>
          <w:p>
            <w:pPr>
              <w:jc w:val="right"/>
              <w:ind w:right="37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8"/>
        </w:trPr>
        <w:tc>
          <w:tcPr>
            <w:tcW w:w="5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6"/>
              </w:rPr>
              <w:t>20.2</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Cargo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(39.2)</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26,242</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22,317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3,925</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17.6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202"/>
        <w:spacing w:after="0" w:line="258" w:lineRule="auto"/>
        <w:rPr>
          <w:sz w:val="20"/>
          <w:szCs w:val="20"/>
          <w:color w:val="auto"/>
        </w:rPr>
      </w:pPr>
      <w:r>
        <w:rPr>
          <w:rFonts w:ascii="Arial" w:cs="Arial" w:eastAsia="Arial" w:hAnsi="Arial"/>
          <w:sz w:val="18"/>
          <w:szCs w:val="18"/>
          <w:color w:val="auto"/>
        </w:rPr>
        <w:t>Passenger revenue increased $4.0 billion, or 20.2%, in the first six months of 2023 from the first six months of 2022 primarily due to strength in long-haul international demand and continued domestic and short-haul international demand, resulting in an increase in RPMs, passenger yield and load factor in the first six months of 2023. International passenger revenue increased, led by the Atlantic and Latin America regions, which had an increase in RPMs and passenger yield.</w:t>
      </w:r>
    </w:p>
    <w:p>
      <w:pPr>
        <w:spacing w:after="0" w:line="136"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Cargo revenue decreased $272 million, or 39.2%, in the first six months of 2023 from the first six months of 2022 primarily due to decreases in cargo yield and cargo ton miles driven by lower demand.</w:t>
      </w:r>
    </w:p>
    <w:p>
      <w:pPr>
        <w:spacing w:after="0" w:line="12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Other operating revenue increased $157 million, or 9.9%, in the first six months of 2023 from the first six months of 2022, driven primarily by higher revenue associated with American’s loyalty program. During the six months ended June 30, 2023 and 2022, cash payments from co-branded credit card and other partners were $2.8 billion and $2.4 billion, respectively.</w:t>
      </w:r>
    </w:p>
    <w:p>
      <w:pPr>
        <w:spacing w:after="0" w:line="13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Total operating revenues in the first six months of 2023 increased $3.9 billion, or 17.6%, from the first six months of 2022, driven primarily by the increase in passenger revenue as described above.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8"/>
        </w:trPr>
        <w:tc>
          <w:tcPr>
            <w:tcW w:w="5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jc w:val="right"/>
              <w:ind w:right="354"/>
              <w:spacing w:after="0" w:line="108" w:lineRule="exact"/>
              <w:rPr>
                <w:sz w:val="20"/>
                <w:szCs w:val="20"/>
                <w:color w:val="auto"/>
              </w:rPr>
            </w:pPr>
            <w:r>
              <w:rPr>
                <w:rFonts w:ascii="Arial" w:cs="Arial" w:eastAsia="Arial" w:hAnsi="Arial"/>
                <w:sz w:val="12"/>
                <w:szCs w:val="12"/>
                <w:b w:val="1"/>
                <w:bCs w:val="1"/>
                <w:color w:val="auto"/>
              </w:rPr>
              <w:t>Increase</w:t>
            </w:r>
          </w:p>
        </w:tc>
        <w:tc>
          <w:tcPr>
            <w:tcW w:w="100" w:type="dxa"/>
            <w:vAlign w:val="bottom"/>
          </w:tcPr>
          <w:p>
            <w:pPr>
              <w:spacing w:after="0"/>
              <w:rPr>
                <w:sz w:val="9"/>
                <w:szCs w:val="9"/>
                <w:color w:val="auto"/>
              </w:rPr>
            </w:pPr>
          </w:p>
        </w:tc>
        <w:tc>
          <w:tcPr>
            <w:tcW w:w="142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208"/>
        </w:trPr>
        <w:tc>
          <w:tcPr>
            <w:tcW w:w="5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6"/>
              </w:rPr>
              <w:t>10.2</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20.3</w:t>
            </w: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6"/>
              </w:rPr>
              <w:t>10.8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(91.2)</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5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6"/>
              </w:rPr>
              <w:t>10.4</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23,632</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Aircraft fuel and related taxes decreased $632 million, or 9.7%, in the first six months of 2023 from the first six months of 2022 primarily due to a 14.8% decrease in the average price per gallon of aircraft fuel including related taxes to $2.94 in the first six months of 2023 from $3.45 in the first six months of 2022, offset in part by a 6.0% increase in gallons of fuel consumed due to increased capacity.</w:t>
      </w:r>
    </w:p>
    <w:p>
      <w:pPr>
        <w:spacing w:after="0" w:line="1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Salaries, wages and benefits increased $527 million, or 8.3%, in the first six months of 2023 from the first six months of 2022 primarily due to higher profit sharing program accruals, as a result of increased profitability, and higher wage rates associated with an agreement in principle with American’s mainline pilots reached in May 2023, as discussed above.</w:t>
      </w:r>
    </w:p>
    <w:p>
      <w:pPr>
        <w:spacing w:after="0" w:line="13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Regional expenses increased $212 million, or 10.2%, in the first six months of 2023 from the first six months of 2022 primarily due to pay rate increases at American’s third-party regional carriers effective in the second and third quarters of 2022.</w:t>
      </w:r>
    </w:p>
    <w:p>
      <w:pPr>
        <w:spacing w:after="0" w:line="12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Maintenance, materials and repairs increased $256 million, or 20.3%, in the first six months of 2023 from the first six months of 2022 primarily due to increased costs for engine overhauls and airframe heavy checks driven by higher volume and flight hours.</w:t>
      </w:r>
    </w:p>
    <w:p>
      <w:pPr>
        <w:spacing w:after="0" w:line="12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Other rent and landing fees increased $98 million, or 7.1%, in the first six months of 2023 from the first six months of 2022 primarily due to rate increases at certain airports and incremental engine leases.</w:t>
      </w:r>
    </w:p>
    <w:p>
      <w:pPr>
        <w:spacing w:after="0" w:line="12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Selling expenses increased $91 million, or 10.8%, in the first six months of 2023 from the first six months of 2022 primarily due to higher credit card fees driven by the overall increase in passenger revenues, offset in part by a decrease in commissions expense.</w:t>
      </w:r>
    </w:p>
    <w:p>
      <w:pPr>
        <w:spacing w:after="0" w:line="12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Other operating expenses increased $278 million, or 10.4%, in the first six months of 2023 from the first six months of 2022 primarily driven by the increase in flight operations, including increased costs for aircraft food and catering, crew travel, airport lounge operations and ground handling, as well as certain general and administrative expenses.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7"/>
                <w:szCs w:val="17"/>
                <w:color w:val="auto"/>
              </w:rPr>
            </w:pPr>
          </w:p>
        </w:tc>
      </w:tr>
      <w:tr>
        <w:trPr>
          <w:trHeight w:val="183"/>
        </w:trPr>
        <w:tc>
          <w:tcPr>
            <w:tcW w:w="20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r>
      <w:tr>
        <w:trPr>
          <w:trHeight w:val="195"/>
        </w:trPr>
        <w:tc>
          <w:tcPr>
            <w:tcW w:w="20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gridSpan w:val="3"/>
          </w:tcPr>
          <w:p>
            <w:pPr>
              <w:jc w:val="right"/>
              <w:ind w:right="788"/>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r>
      <w:tr>
        <w:trPr>
          <w:trHeight w:val="230"/>
        </w:trPr>
        <w:tc>
          <w:tcPr>
            <w:tcW w:w="762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20" w:type="dxa"/>
            <w:vAlign w:val="bottom"/>
            <w:gridSpan w:val="2"/>
            <w:shd w:val="clear" w:color="auto" w:fill="CCEEFF"/>
          </w:tcPr>
          <w:p>
            <w:pPr>
              <w:jc w:val="right"/>
              <w:ind w:right="10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20" w:type="dxa"/>
            <w:vAlign w:val="bottom"/>
            <w:gridSpan w:val="2"/>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10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20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28"/>
        </w:trPr>
        <w:tc>
          <w:tcPr>
            <w:tcW w:w="2080" w:type="dxa"/>
            <w:vAlign w:val="bottom"/>
            <w:tcBorders>
              <w:bottom w:val="single" w:sz="8" w:color="auto"/>
            </w:tcBorders>
          </w:tcPr>
          <w:p>
            <w:pPr>
              <w:spacing w:after="0"/>
              <w:rPr>
                <w:sz w:val="11"/>
                <w:szCs w:val="11"/>
                <w:color w:val="auto"/>
              </w:rPr>
            </w:pPr>
          </w:p>
        </w:tc>
        <w:tc>
          <w:tcPr>
            <w:tcW w:w="5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r>
    </w:tbl>
    <w:p>
      <w:pPr>
        <w:spacing w:after="0" w:line="82" w:lineRule="exact"/>
        <w:rPr>
          <w:sz w:val="20"/>
          <w:szCs w:val="20"/>
          <w:color w:val="auto"/>
        </w:rPr>
      </w:pPr>
    </w:p>
    <w:p>
      <w:pPr>
        <w:ind w:left="340" w:hanging="332"/>
        <w:spacing w:after="0" w:line="226" w:lineRule="auto"/>
        <w:tabs>
          <w:tab w:leader="none" w:pos="34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Severance expenses for the six months ended June 30, 2023 primarily included costs associated with headcount reductions in certain corporate functions.</w:t>
      </w:r>
    </w:p>
    <w:p>
      <w:pPr>
        <w:spacing w:after="0" w:line="150" w:lineRule="exact"/>
        <w:rPr>
          <w:rFonts w:ascii="Arial" w:cs="Arial" w:eastAsia="Arial" w:hAnsi="Arial"/>
          <w:sz w:val="23"/>
          <w:szCs w:val="23"/>
          <w:color w:val="auto"/>
          <w:vertAlign w:val="superscript"/>
        </w:rPr>
      </w:pPr>
    </w:p>
    <w:p>
      <w:pPr>
        <w:jc w:val="both"/>
        <w:ind w:left="340" w:hanging="332"/>
        <w:spacing w:after="0" w:line="233" w:lineRule="auto"/>
        <w:tabs>
          <w:tab w:leader="none" w:pos="34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2022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c>
          <w:tcPr>
            <w:tcW w:w="1480" w:type="dxa"/>
            <w:vAlign w:val="bottom"/>
            <w:gridSpan w:val="2"/>
          </w:tcPr>
          <w:p>
            <w:pPr>
              <w:jc w:val="right"/>
              <w:ind w:right="44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(620)</w:t>
            </w:r>
          </w:p>
        </w:tc>
        <w:tc>
          <w:tcPr>
            <w:tcW w:w="10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480" w:type="dxa"/>
            <w:vAlign w:val="bottom"/>
            <w:gridSpan w:val="2"/>
          </w:tcPr>
          <w:p>
            <w:pPr>
              <w:jc w:val="right"/>
              <w:ind w:right="38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202"/>
        <w:spacing w:after="0" w:line="258" w:lineRule="auto"/>
        <w:rPr>
          <w:sz w:val="20"/>
          <w:szCs w:val="20"/>
          <w:color w:val="auto"/>
        </w:rPr>
      </w:pPr>
      <w:r>
        <w:rPr>
          <w:rFonts w:ascii="Arial" w:cs="Arial" w:eastAsia="Arial" w:hAnsi="Arial"/>
          <w:sz w:val="18"/>
          <w:szCs w:val="18"/>
          <w:color w:val="auto"/>
        </w:rPr>
        <w:t>Interest income increased $461 million in the first six months of 2023 from the first six months of 2022 primarily as a result of higher returns on American’s short-term investments and related party receivables from AAG. Interest expense, net increased $252 million, or 29.2%, in the first six months of 2023 from the first six months of 2022 primarily due to higher interest rates on American’s variable-rate debt instruments.</w:t>
      </w:r>
    </w:p>
    <w:p>
      <w:pPr>
        <w:spacing w:after="0" w:line="136"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 the first six months of 2023, other nonoperating expense, net primarily included $45 million of net special charges principally associated with debt refinancings and extinguishments and mark-to-market net unrealized losses associated with certain equity investments, offset in part by $16 million of non-service related pension and other postretirement benefit plan income.</w:t>
      </w:r>
    </w:p>
    <w:p>
      <w:pPr>
        <w:spacing w:after="0" w:line="1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 the first six months of 2022, other nonoperating income, net primarily included $211 million of non-service related pension and other postretirement benefit plan income, offset in part by $90 million of net special charges principally for mark-to-market net unrealized losses associated with certain equity investments.</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six months of 2023 as compared to the first six months of 2022 is principally due to an increase in interest cost for the pension and other postretirement benefit obligations driven by higher discount rates and a decrease in expected return on pension plan assets from a reduction in plan assets.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In the first six months of 2023, American recorded an income tax provision of $482 million. Substantially all of American’s income or loss before income taxes is attributable to the United States.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June 30, 2023, AAG had $14.9 billion in total available liquidity and $984 million in restricted cash and short-term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195"/>
        </w:trPr>
        <w:tc>
          <w:tcPr>
            <w:tcW w:w="4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36"/>
        </w:trPr>
        <w:tc>
          <w:tcPr>
            <w:tcW w:w="41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8,523</w:t>
            </w:r>
          </w:p>
        </w:tc>
      </w:tr>
      <w:tr>
        <w:trPr>
          <w:trHeight w:val="23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r>
      <w:tr>
        <w:trPr>
          <w:trHeight w:val="223"/>
        </w:trPr>
        <w:tc>
          <w:tcPr>
            <w:tcW w:w="414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14,924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11,998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14,903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11,985</w:t>
            </w:r>
          </w:p>
        </w:tc>
      </w:tr>
      <w:tr>
        <w:trPr>
          <w:trHeight w:val="21"/>
        </w:trPr>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0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As of the most recent applicable measurement dates, we were in compliance with each of the foregoing LTV, collateral coverage and peak debt service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5.50% senior secured notes due 2026, 5.75% senior secured notes due 2029 and $3.5 billion AAdvantage Term Loan Facility (collectively, the AAdvantage Financing) contains a peak debt service coverage ratio, pursuant to which failure to comply with a certain threshold may result in early repayment, in whole or in part, of the AAdvantage Financing.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9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Our net cash provided by operating activities was $5.1 billion and $2.9 billion for the first six months of 2023 and 2022, respectively, a $2.2 billion period-over-period increase primarily due to a return to profitability.</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$3.7 billion and $1.7 billion for the first six months of 2023 and 2022, respectively.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principal investing activities in the first six months of 2023 included $2.9 billion in net purchases of short-term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had $1.2 billion of capital expenditures, which primarily related to the purchase of seven Boeing 737 MAX aircraft, 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Embraer 175 aircraft, two Airbus A321neo aircraft and 13 spare engines.</w:t>
      </w:r>
    </w:p>
    <w:p>
      <w:pPr>
        <w:spacing w:after="0" w:line="15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principal investing activities in the first six months of 2022 included $1.4 billion of capital expenditures, which principally related to the purchase of 14 Airbus A321neo aircraft and 10 spare engines. We also made a $200 million equity investment in GOL Linhas Aéreas Inteligentes S.A. (GOL).</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financing activities was $1.2 billion and $1.1 billion for the first six months of 2023 and 2022, respectively.</w:t>
      </w:r>
    </w:p>
    <w:p>
      <w:pPr>
        <w:spacing w:after="0" w:line="17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principal financing activities in the first six months of 2023 included $1.1 billion in net repayments of debt and finance lease obligations. We refinanced approximately $1.8 billion in aggregate principal amount of term loans outstanding under the 2013 Term Loan Facility by extending the maturity of $1.0 billion in term loans under the 2013 Term Loan Facility and issuing $750 million in aggregate principal amount of the 7.25% Senior Secured Notes.</w:t>
      </w:r>
    </w:p>
    <w:p>
      <w:pPr>
        <w:spacing w:after="0" w:line="13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principal financing activities in the first six months of 2022 included $1.7 billion in repayments of debt and finance lease obligations, consisting of $1.3 billion in scheduled debt repayments including the repayment of $401 million in connection with the maturity of our 5.000% unsecured notes, and the repurchase of $349 million of unsecured notes in the open market. These cash outflows were offset in part by $574 million of long-term debt proceeds from the issuance of equipment notes related to enhanced equipment trust certificates (EETCs).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9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American’s net cash provided by operating activities was $5.0 billion and $2.1 billion for the first six months of 2023 and 2022, respectively, a $2.9 billion period-over-period increase primarily due to a return to profitability.</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$3.7 billion and $1.7 billion for the first six months of 2023 and 2022, respectively.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principal investing activities in the first six months of 2023 included $2.9 billion in net purchases of short-term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Additionally, American had $1.2 billion of capital expenditures, which primarily related to the purchase of seven Boeing 737 MAX aircraft, 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Embraer 175 aircraft, two Airbus A321neo aircraft and 13 spare engines.</w:t>
      </w:r>
    </w:p>
    <w:p>
      <w:pPr>
        <w:spacing w:after="0" w:line="15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American’s principal investing activities in the first six months of 2022 included $1.4 billion of capital expenditures, which principally related to the purchase of 14 Airbus A321neo aircraft and 10 spare engines. American also made a $200 million equity investment in GOL.</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financing activities was $1.1 billion and $319 million for the first six months of 2023 and 2022, respectively.</w:t>
      </w:r>
    </w:p>
    <w:p>
      <w:pPr>
        <w:spacing w:after="0" w:line="17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American’s principal financing activities in the first six months of 2023 included $1.1 billion in net repayments of debt and finance lease obligations. American refinanced approximately $1.8 billion in aggregate principal amount of term loans outstanding under the 2013 Term Loan Facility by extending the maturity of $1.0 billion in term loans under the 2013 Term Loan Facility and issuing $750 million in aggregate principal amount of the 7.25% Senior Secured Notes.</w:t>
      </w:r>
    </w:p>
    <w:p>
      <w:pPr>
        <w:spacing w:after="0" w:line="13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American’s principal financing activities in the first six months of 2022 included $901 million in repayments of debt and finance lease obligations, offset in part by $574 million of long-term debt proceeds from the issuance of equipment notes related to EETCs.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As of June 30, 2023, AAG had $34.4 billion in long-term debt, including current maturities of $3.7 billion. As of June 30, 2023, American had $29.2 billion in long-term debt, including current maturities of $3.7 billion. All material changes in our significant indebtedness since our 2022 Form 10-K are discussed in Note 5 to AAG’s Condensed Consolidated Financial Statements in Part I, Item 1A and Note 4 to American’s Condensed Consolidated Financial Statements in Part I, Item 1B.</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June 30, 2023, we had definitive purchase agreements for the acquisition of the following new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80" w:type="dxa"/>
            <w:vAlign w:val="bottom"/>
          </w:tcPr>
          <w:p>
            <w:pPr>
              <w:jc w:val="right"/>
              <w:ind w:right="135"/>
              <w:spacing w:after="0"/>
              <w:rPr>
                <w:sz w:val="20"/>
                <w:szCs w:val="20"/>
                <w:color w:val="auto"/>
              </w:rPr>
            </w:pPr>
            <w:r>
              <w:rPr>
                <w:rFonts w:ascii="Arial" w:cs="Arial" w:eastAsia="Arial" w:hAnsi="Arial"/>
                <w:sz w:val="14"/>
                <w:szCs w:val="14"/>
                <w:b w:val="1"/>
                <w:bCs w:val="1"/>
                <w:color w:val="auto"/>
              </w:rPr>
              <w:t>Remainder</w:t>
            </w:r>
          </w:p>
        </w:tc>
        <w:tc>
          <w:tcPr>
            <w:tcW w:w="110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2024</w:t>
            </w:r>
          </w:p>
        </w:tc>
        <w:tc>
          <w:tcPr>
            <w:tcW w:w="110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2025</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2026</w:t>
            </w:r>
          </w:p>
        </w:tc>
        <w:tc>
          <w:tcPr>
            <w:tcW w:w="10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2027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180" w:type="dxa"/>
            <w:vAlign w:val="bottom"/>
          </w:tcPr>
          <w:p>
            <w:pPr>
              <w:jc w:val="right"/>
              <w:ind w:right="255"/>
              <w:spacing w:after="0"/>
              <w:rPr>
                <w:sz w:val="20"/>
                <w:szCs w:val="20"/>
                <w:color w:val="auto"/>
              </w:rPr>
            </w:pPr>
            <w:r>
              <w:rPr>
                <w:rFonts w:ascii="Arial" w:cs="Arial" w:eastAsia="Arial" w:hAnsi="Arial"/>
                <w:sz w:val="14"/>
                <w:szCs w:val="14"/>
                <w:b w:val="1"/>
                <w:bCs w:val="1"/>
                <w:color w:val="auto"/>
              </w:rPr>
              <w:t>of 2023</w:t>
            </w:r>
          </w:p>
        </w:tc>
        <w:tc>
          <w:tcPr>
            <w:tcW w:w="11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8"/>
              </w:rPr>
              <w:t>Airbus</w:t>
            </w:r>
          </w:p>
        </w:tc>
        <w:tc>
          <w:tcPr>
            <w:tcW w:w="4000" w:type="dxa"/>
            <w:vAlign w:val="bottom"/>
            <w:tcBorders>
              <w:bottom w:val="single" w:sz="8" w:color="CCEEFF"/>
            </w:tcBorders>
            <w:gridSpan w:val="3"/>
            <w:shd w:val="clear" w:color="auto" w:fill="CCEEFF"/>
          </w:tcPr>
          <w:p>
            <w:pPr>
              <w:spacing w:after="0"/>
              <w:rPr>
                <w:sz w:val="17"/>
                <w:szCs w:val="17"/>
                <w:color w:val="auto"/>
              </w:rPr>
            </w:pPr>
          </w:p>
        </w:tc>
        <w:tc>
          <w:tcPr>
            <w:tcW w:w="11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rPr>
              <w:t>A320neo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3960" w:type="dxa"/>
            <w:vAlign w:val="bottom"/>
            <w:tcBorders>
              <w:bottom w:val="single" w:sz="8" w:color="CCEEFF"/>
            </w:tcBorders>
            <w:gridSpan w:val="2"/>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rPr>
              <w:t>737 MAX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Embraer</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201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5" w:lineRule="auto"/>
        <w:tabs>
          <w:tab w:leader="none" w:pos="3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 xml:space="preserve">Delivery schedule represents our best estimate as of the date of this report as described in footnote (d)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Actual delivery dates are subject to change, which could be material, based on various potential factors including production delays by the manufacturer and regulatory concerns.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We also have agreements for 57 spare engines to be delivered in 2023 and beyond. In addition, as of June 30, 2023, we have committed to purchase seven used Bombardier CRJ 900 which are scheduled to be delivered in 2023.</w:t>
      </w:r>
    </w:p>
    <w:p>
      <w:pPr>
        <w:spacing w:after="0" w:line="12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currently have financing commitments in place for all mainline aircraft on order and scheduled to be delivered in 2023. Our ability to draw on the financing commitments we have in place is subject to (1) the satisfaction of various terms and conditions including, in some cases, on our acquisition of the aircraft by a certain date and (2) the performance by the relevant financing counterparty of its obligations thereunder. We do not have financing commitments in place for any aircraft scheduled to be delivered in 2024 and beyond, except for five Boeing 787 Family aircraft and two Boeing 737 MAX Family aircraft scheduled to be delivered in 2024.</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2022 Form 10-K.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June 30, 2023 (in millions). The table does not include commitments that are contingent on events or other factors that are uncertain or unknown at this time and is subject to other conventions as set forth in the applicable accompanying footnotes.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Payments Due by Period</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w w:val="99"/>
              </w:rPr>
              <w:t>Remainder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2027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92"/>
              <w:spacing w:after="0" w:line="143" w:lineRule="exact"/>
              <w:rPr>
                <w:sz w:val="20"/>
                <w:szCs w:val="20"/>
                <w:color w:val="auto"/>
              </w:rPr>
            </w:pPr>
            <w:r>
              <w:rPr>
                <w:rFonts w:ascii="Arial" w:cs="Arial" w:eastAsia="Arial" w:hAnsi="Arial"/>
                <w:sz w:val="14"/>
                <w:szCs w:val="14"/>
                <w:b w:val="1"/>
                <w:bCs w:val="1"/>
                <w:color w:val="auto"/>
              </w:rPr>
              <w:t>2028 and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of 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3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6"/>
        </w:trPr>
        <w:tc>
          <w:tcPr>
            <w:tcW w:w="412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23"/>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80,668</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AAG Contractual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26" w:lineRule="auto"/>
        <w:tabs>
          <w:tab w:leader="none" w:pos="3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$368 million and $17 million of unamortized debt discount, premium and issuance costs as of June 30, 2023 for American and AAG Parent, respectively. For additional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
        <w:spacing w:after="0" w:line="275" w:lineRule="auto"/>
        <w:rPr>
          <w:sz w:val="20"/>
          <w:szCs w:val="20"/>
          <w:color w:val="auto"/>
        </w:rPr>
      </w:pPr>
      <w:r>
        <w:rPr>
          <w:rFonts w:ascii="Arial" w:cs="Arial" w:eastAsia="Arial" w:hAnsi="Arial"/>
          <w:sz w:val="18"/>
          <w:szCs w:val="18"/>
          <w:color w:val="auto"/>
        </w:rPr>
        <w:t>information, see Note 5 and Note 4 to AAG’s and American’s Condensed Consolidated Financial Statements in Part I, Items 1A and 1B, respectively.</w:t>
      </w:r>
    </w:p>
    <w:p>
      <w:pPr>
        <w:spacing w:after="0" w:line="8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June 30, 2023.</w:t>
      </w:r>
    </w:p>
    <w:p>
      <w:pPr>
        <w:spacing w:after="0" w:line="149" w:lineRule="exact"/>
        <w:rPr>
          <w:rFonts w:ascii="Arial" w:cs="Arial" w:eastAsia="Arial" w:hAnsi="Arial"/>
          <w:sz w:val="23"/>
          <w:szCs w:val="23"/>
          <w:color w:val="auto"/>
          <w:vertAlign w:val="superscript"/>
        </w:rPr>
      </w:pPr>
    </w:p>
    <w:p>
      <w:pPr>
        <w:ind w:left="340" w:hanging="332"/>
        <w:spacing w:after="0" w:line="226" w:lineRule="auto"/>
        <w:tabs>
          <w:tab w:leader="none" w:pos="3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$8.3 billion of future principal payments and $1.2 billion of future interest payments as of June 30, 2023, related to EETCs associated with mortgage financings of certain aircraft and spare engines.</w:t>
      </w:r>
    </w:p>
    <w:p>
      <w:pPr>
        <w:spacing w:after="0" w:line="144" w:lineRule="exact"/>
        <w:rPr>
          <w:rFonts w:ascii="Arial" w:cs="Arial" w:eastAsia="Arial" w:hAnsi="Arial"/>
          <w:sz w:val="23"/>
          <w:szCs w:val="23"/>
          <w:color w:val="auto"/>
          <w:vertAlign w:val="superscript"/>
        </w:rPr>
      </w:pPr>
    </w:p>
    <w:p>
      <w:pPr>
        <w:jc w:val="both"/>
        <w:ind w:left="340" w:hanging="332"/>
        <w:spacing w:after="0" w:line="245" w:lineRule="auto"/>
        <w:tabs>
          <w:tab w:leader="none" w:pos="3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above for additional information about the firm commitment aircraft delivery schedule, in particular the footnote to the table thereunder as to potential changes to such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 Additionally, the amounts in the table exclude five Boeing 787-9 aircraft scheduled to be delivered in 2024, for which we have obtained committed lease financing. This financing is reflected in the operating lease commitments line above.</w:t>
      </w:r>
    </w:p>
    <w:p>
      <w:pPr>
        <w:spacing w:after="0" w:line="146" w:lineRule="exact"/>
        <w:rPr>
          <w:rFonts w:ascii="Arial" w:cs="Arial" w:eastAsia="Arial" w:hAnsi="Arial"/>
          <w:sz w:val="23"/>
          <w:szCs w:val="23"/>
          <w:color w:val="auto"/>
          <w:vertAlign w:val="superscript"/>
        </w:rPr>
      </w:pPr>
    </w:p>
    <w:p>
      <w:pPr>
        <w:jc w:val="both"/>
        <w:ind w:left="340" w:hanging="332"/>
        <w:spacing w:after="0" w:line="237" w:lineRule="auto"/>
        <w:tabs>
          <w:tab w:leader="none" w:pos="3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spacing w:after="0" w:line="151" w:lineRule="exact"/>
        <w:rPr>
          <w:rFonts w:ascii="Arial" w:cs="Arial" w:eastAsia="Arial" w:hAnsi="Arial"/>
          <w:sz w:val="23"/>
          <w:szCs w:val="23"/>
          <w:color w:val="auto"/>
          <w:vertAlign w:val="superscript"/>
        </w:rPr>
      </w:pPr>
    </w:p>
    <w:p>
      <w:pPr>
        <w:jc w:val="both"/>
        <w:ind w:left="340" w:hanging="332"/>
        <w:spacing w:after="0" w:line="233" w:lineRule="auto"/>
        <w:tabs>
          <w:tab w:leader="none" w:pos="3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based on actuarially determined estimates as of December 31, 2022 and is based on estimated payments through 2032. During the first six months of 2023, we made required contributions of $68 million to our defined benefit pension plans.</w:t>
      </w:r>
    </w:p>
    <w:p>
      <w:pPr>
        <w:spacing w:after="0" w:line="151" w:lineRule="exact"/>
        <w:rPr>
          <w:rFonts w:ascii="Arial" w:cs="Arial" w:eastAsia="Arial" w:hAnsi="Arial"/>
          <w:sz w:val="23"/>
          <w:szCs w:val="23"/>
          <w:color w:val="auto"/>
          <w:vertAlign w:val="superscript"/>
        </w:rPr>
      </w:pPr>
    </w:p>
    <w:p>
      <w:pPr>
        <w:jc w:val="both"/>
        <w:ind w:left="340" w:hanging="332"/>
        <w:spacing w:after="0" w:line="233" w:lineRule="auto"/>
        <w:tabs>
          <w:tab w:leader="none" w:pos="3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information technology support and construction projects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0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(such as occurred during the COVID-19 pandemic),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5 and Note 4 to AAG’s and American’s Condensed Consolidated Financial Statements in Part I, Items 1A and 1B, respectively.</w:t>
      </w:r>
    </w:p>
    <w:p>
      <w:pPr>
        <w:spacing w:after="0" w:line="14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2022 Form 10-K.</w:t>
      </w:r>
    </w:p>
    <w:p>
      <w:pPr>
        <w:spacing w:after="0" w:line="191" w:lineRule="exact"/>
        <w:rPr>
          <w:sz w:val="20"/>
          <w:szCs w:val="20"/>
          <w:color w:val="auto"/>
        </w:rPr>
      </w:pPr>
    </w:p>
    <w:p>
      <w:pPr>
        <w:ind w:right="4260"/>
        <w:spacing w:after="0" w:line="350"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jc w:val="both"/>
        <w:ind w:firstLine="243"/>
        <w:spacing w:after="0" w:line="275"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2022 Form 10-K except as updated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June 30, 2023,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2023 forecasted fuel consumption, we estimate that a one cent per gallon increase in the price of aircraft fuel would increase our 2023 annual fuel expense by approximately $40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British pound sterling, Canadian dollar and various Latin American currencies (primarily the Brazilian real). We do not currently have a foreign currency hedge program.</w:t>
      </w:r>
    </w:p>
    <w:p>
      <w:pPr>
        <w:spacing w:after="0" w:line="1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June 30, 2023 variable-rate debt and short-term investments balances, annual interest expense on variable rate debt would increase by approximately $90 million and annual interest income on short-term investments would increase by approximately $120 million.</w:t>
      </w:r>
    </w:p>
    <w:p>
      <w:pPr>
        <w:spacing w:after="0" w:line="13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July 27, 2017, the U.K. Financial Conduct Authority (the authority that regulates the London Interbank Offered Rate (LIBOR)) announced its intention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not possible to predict what rate or rates may become the predominant alternative to LIBOR, or what effect these changes in views or alternatives may have on financial markets. While the U.S. Federal Reserve, in conjunction with the Alternative Reference Rates Committee, has chosen the Secured Overnight Financing Rate (SOFR), and specifically Term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anticipation of the phase-out of LIBOR as a reference rate, we began amending our LIBOR-based financing arrangements to transition them to successor rates, primarily Term SOFR. As of June 30, 2023, we had implemented amendments to financing arrangements representing substantially all of our variable-rate indebtedness, with approximately $65 million of LIBOR-linked borrowings that are not amended. We cannot predict the consequences of the replacement of LIBOR on financial markets generally or on our business, financial condition or results of operations specifically, and our transition to successor rates could cause the amount of interest payable on our long-term debt to be different or higher than expected.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June 30, 2023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June 30, 2023 at the reasonable assurance level.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For the quarter ended June 30, 2023, there have been no changes in AAG’s or American’s internal control over financial reporting that have materially affected, or are reasonably likely to materially affect, AAG’s and American’s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June 30,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See Note 12 to each of AAG and American’s Condensed Consolidated Financial Statements in Part I, Item 1A and Part I, Item 1B, respectively, for information on legal proceedings.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For example, the COVID-19 pandemic and associated decline in economic activity and increase in unemployment levels had a severe and prolonged effect on the global economy generally and, in turn, resulted in a prolonged period of depressed demand for air travel. In addition, a rapid economic expansion following the height of the COVID-19 pandemic resulted in significant inflationary pressures and volatility in certain currencies, which have increased our costs for aircraft fuel, wages and benefits and other goods and services we require to operate our business, as well as increasing the interest expense on our variable-rate indebtedness.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0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June 30, 2023, our planned aggregate expenditures for aircraft purchase commitments and certain engines on a consolidated basis for the remainder of 2023 through 2027 would be approximately $12.6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the additional liquidity transactions completed in response to the impact of the COVID-19 pandemic; our non-investment grade credit rating; volatile or otherwise unfavorable market conditions; and the availability of assets to use as collateral for loans or other indebtedness, which has been reduced significantly as a result of certain financing transactions we have undertaken since the beginning of 2020 and may be further reduced. If we are unable to arrange any such required financing at customary advance rates and on terms and conditions acceptable to us, we may need to use cash from operations or cash on hand to purchase aircraft and engines or fund our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Furthermore, we hold significant balances of cash and short-term investments, including as necessary to conduct our day-to-day operations, some of which are held in deposit accounts at commercial banks in excess of the government-provided deposit insurance.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significant amounts of indebtedness and other financial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38"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spacing w:after="0" w:line="119"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119"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1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29"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bear interest at floating rates, subjecting us to volatility in interest expenses as interest rates fluctuate;</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 collateral coverage ratios and peak debt service coverage ratios; and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hanging="656"/>
        <w:spacing w:after="0" w:line="275" w:lineRule="auto"/>
        <w:tabs>
          <w:tab w:leader="none" w:pos="2006" w:val="left"/>
        </w:tabs>
        <w:numPr>
          <w:ilvl w:val="1"/>
          <w:numId w:val="38"/>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19" w:lineRule="exact"/>
        <w:rPr>
          <w:rFonts w:ascii="Arial" w:cs="Arial" w:eastAsia="Arial" w:hAnsi="Arial"/>
          <w:sz w:val="18"/>
          <w:szCs w:val="18"/>
          <w:color w:val="auto"/>
        </w:rPr>
      </w:pPr>
    </w:p>
    <w:p>
      <w:pPr>
        <w:ind w:left="1960" w:hanging="656"/>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other indebtedness.</w:t>
      </w:r>
    </w:p>
    <w:p>
      <w:pPr>
        <w:spacing w:after="0" w:line="1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during the COVID-19 pandemic we were required to obtain a significant amount of additional financing from a variety of sources and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Moreover, as a result of the financing activities we undertook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should we seek additional liquidity in the future.</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obligations discussed above, including those imposed as a result of any additional financings we may be required to undertake, could also impact our ability to obtain additional financing, if needed, and our flexibility in the conduct of our business, and could materially adversely affect our liquidity, results of operations and financial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Further, a substantial amount of our long-term indebtedness bears interest at fluctuating interest rates, which tend to fluctuate based on general short-term interest rates, rates set by the U.S. Federal Reserve and other central banks, the supply of and demand for credit in Treasury repurchase or other markets and general economic conditions. We have not hedged our interest rate exposure with respect to our floating rate debt. Accordingly, our interest expense for any particular period will fluctuate based on the relevant benchmark rate and other variable interest rates. In 2022 and continuing into 2023, in response to rising inflation which coincided with a rapid rebound of economic activity as governments lifted restrictions and economies reopened following the COVID-19 pandemic, central banks around the world— including the U.S. Federal Reserve, the European Central Bank and the Bank of England—commenced a cycle of raising interest rates, which has consequently increased the interest we pay on our floating-rate indebtedness.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4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July 27, 2017, the U.K. Financial Conduct Authority (the authority that regulates LIBOR) announced its intention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not possible to predict what rate or rates may become the predominant alternative to LIBOR, or what effect these changes in views or alternatives may have on financial markets. While the U.S. Federal Reserve, in conjunction with the Alternative Reference Rates Committee, has chosen SOFR, and specifically Term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4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anticipation of the phase-out of LIBOR as a reference rate, we began amending our LIBOR-based financing arrangements to transition them to successor rates, primarily Term SOFR. As of June 30, 2023, we had implemented amendments to financing arrangements representing substantially all of our variable-rate indebtedness, with approximately $65 million of LIBOR-linked borrowings that are not amended. We cannot predict the consequences of the replacement of LIBOR on financial markets generally or on our business, financial condition or results of operations specifically, and our transition to successor rates could cause the amount of interest payable on our long-term debt to be different or higher than expected.</w:t>
      </w:r>
    </w:p>
    <w:p>
      <w:pPr>
        <w:spacing w:after="0" w:line="209"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pension funding obligations are significant. The amount of our pension funding obligations will depend on the performance of investments held in trust by the pension plans, interest rates for determining liabilities and actuarial experience. We also have significant obligations for retiree medical and other postretirement benefits.</w:t>
      </w:r>
    </w:p>
    <w:p>
      <w:pPr>
        <w:spacing w:after="0" w:line="13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 IAM Pension fund were to terminate, or if the IAM Pension Fund were to undergo a mass withdrawal, we could be subject to liability as imposed by law.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up to and including 100% of relevant advanced ticket sales, would materially reduce our liquidity. Likewise, other of our commercial agreements contain provisions that allow counterparties to impose less-favorable terms, including the acceleration of amounts due, in the event of material adverse changes in our financial condition. For example, we maintain certain letters of credit as well as insurance- and surety-related agreements under which counterparties may require collateral, including cash collateral.</w:t>
      </w:r>
    </w:p>
    <w:p>
      <w:pPr>
        <w:spacing w:after="0" w:line="217"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and develop additional qualified personnel could adversely affect our business.</w:t>
      </w:r>
    </w:p>
    <w:p>
      <w:pPr>
        <w:spacing w:after="0" w:line="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Retaining and recruiting people with the appropriate skills is particularly challenging as the economy in general, and the airline industry in particular, continue to recover from the COVID-19 pandemic, resulting in competition for the human resources necessary to operate our business successfully. We may not be successful in attracting, developing or retaining key personnel or other highly qualified personnel. In addition, competition for skilled personnel has intensified and may continue to intensify if overall industry capacity continues to increase and/or we were to incur attrition at levels higher than we have historically. Any inability to attract, develop and retain significant numbers of qualified management and other personnel would have a material adverse effect on our business, results of operations and financial condition.</w:t>
      </w:r>
    </w:p>
    <w:p>
      <w:pPr>
        <w:spacing w:after="0" w:line="209"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7"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20" w:lineRule="exact"/>
        <w:rPr>
          <w:sz w:val="20"/>
          <w:szCs w:val="20"/>
          <w:color w:val="auto"/>
        </w:rPr>
      </w:pPr>
    </w:p>
    <w:p>
      <w:pPr>
        <w:ind w:left="1300" w:hanging="644"/>
        <w:spacing w:after="0" w:line="27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and higher interest rates;</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occurrence of wars, terrorist attacks and political instability;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such as occurred during the COVID-19 pandemic; and</w:t>
      </w:r>
    </w:p>
    <w:p>
      <w:pPr>
        <w:spacing w:after="0" w:line="171"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2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COVID-19 pandemic, along with the measures governments and private organizations worldwide implemented in an attempt to contain its spread, resulted in significant volatility in demand for air travel, which adversely affected our business, operations and financial condition to an unprecedented extent and for a prolonged period. Measures implemented during the COVID-19 pandemic—such as travel restrictions, including testing regimes, “stay at home”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quarantine orders, limitations on public gatherings, cancellation of public events and many others—initially resulted in a precipitous decline in demand for both domestic and international business and leisure travel. In response to this material deterioration in demand, we took a number of aggressive actions to ameliorate the impacts to our business, operations and financial condition. While cases have declined globally and many governments have loosened or lifted COVID-related travel restrictions, the potential for a resurgence of COVID-19, including the emergence and spread of any new variants, and its after effects remain uncertain, and there can be no assurance that any mitigating actions we take in response will be sufficient to avert a deterioration in our business, financial condition and results of operations. Additionally, the COVID-19 pandemic necessitated changes in business practices which may persist. For example, businesses and other travelers may continue to forego air travel in favor of remote or flexible working policies and communication alternatives such as videoconferencing. In addition, businesses may seek to reduce travel costs by requiring the purchase of less expensive tickets, thereby potentially impacting our average revenue per available seat mile.</w:t>
      </w:r>
    </w:p>
    <w:p>
      <w:pPr>
        <w:spacing w:after="0" w:line="1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to the effects of the COVID-19 pandemic, an outbreak of another contagious disease—such as has occurred in the past with the Ebola virus, Middle East Respiratory Syndrome, Severe Acute Respiratory Syndrome, H1N1 influenza virus, avian flu, Zika virus or any other similar illness—if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2"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and hire and retain a sufficient number of employees may adversely affect our operations and financial performance.</w:t>
      </w:r>
    </w:p>
    <w:p>
      <w:pPr>
        <w:spacing w:after="0" w:line="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As of December 31, 2022, approximately 87% of our employees were represented for collective bargaining purposes by labor unions, and 48% were covered by CBAs that are currently amendable or that will become amendable within one year. For the dates that the CBAs with our major work groups become amendable under the RLA, see </w:t>
      </w:r>
      <w:r>
        <w:rPr>
          <w:rFonts w:ascii="Arial" w:cs="Arial" w:eastAsia="Arial" w:hAnsi="Arial"/>
          <w:sz w:val="18"/>
          <w:szCs w:val="18"/>
          <w:i w:val="1"/>
          <w:iCs w:val="1"/>
          <w:color w:val="auto"/>
        </w:rPr>
        <w:t xml:space="preserve">“Labor Relations” </w:t>
      </w:r>
      <w:r>
        <w:rPr>
          <w:rFonts w:ascii="Arial" w:cs="Arial" w:eastAsia="Arial" w:hAnsi="Arial"/>
          <w:sz w:val="18"/>
          <w:szCs w:val="18"/>
          <w:color w:val="auto"/>
        </w:rPr>
        <w:t>under Part I, Item 1. Business – “</w:t>
      </w:r>
      <w:r>
        <w:rPr>
          <w:rFonts w:ascii="Arial" w:cs="Arial" w:eastAsia="Arial" w:hAnsi="Arial"/>
          <w:sz w:val="18"/>
          <w:szCs w:val="18"/>
          <w:i w:val="1"/>
          <w:iCs w:val="1"/>
          <w:color w:val="auto"/>
        </w:rPr>
        <w:t xml:space="preserve">Sustainability – Our People” </w:t>
      </w:r>
      <w:r>
        <w:rPr>
          <w:rFonts w:ascii="Arial" w:cs="Arial" w:eastAsia="Arial" w:hAnsi="Arial"/>
          <w:sz w:val="18"/>
          <w:szCs w:val="18"/>
          <w:color w:val="auto"/>
        </w:rPr>
        <w:t>in our 2022 Form 10-K.</w:t>
      </w:r>
    </w:p>
    <w:p>
      <w:pPr>
        <w:spacing w:after="0" w:line="14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30 -day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under Part I, Item 1. Business – “</w:t>
      </w:r>
      <w:r>
        <w:rPr>
          <w:rFonts w:ascii="Arial" w:cs="Arial" w:eastAsia="Arial" w:hAnsi="Arial"/>
          <w:sz w:val="18"/>
          <w:szCs w:val="18"/>
          <w:i w:val="1"/>
          <w:iCs w:val="1"/>
          <w:color w:val="auto"/>
        </w:rPr>
        <w:t>Sustainability – Our People”</w:t>
      </w:r>
      <w:r>
        <w:rPr>
          <w:rFonts w:ascii="Arial" w:cs="Arial" w:eastAsia="Arial" w:hAnsi="Arial"/>
          <w:sz w:val="18"/>
          <w:szCs w:val="18"/>
          <w:color w:val="auto"/>
        </w:rPr>
        <w:t xml:space="preserve"> in our 2022 Form 10-K.</w:t>
      </w:r>
    </w:p>
    <w:p>
      <w:pPr>
        <w:spacing w:after="0" w:line="13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Currently, we believe our labor costs are generally competitive relative to the other large network carriers. However, personnel shortages, in particular for pilots, and general wage inflation stand to impact our labor costs moving forward. Certain of our competitors have recently concluded agreements with their pilots’ unions which include significant increases in pay and benefits. We are currently in negotiations for several important new labor agreements, and in July 2023 we reached a tentative agreement with the union representing our mainline pilots, which if ratified will become effective in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third quarter of 2023. We anticipate that any new contracts we agree to with our labor groups will include material increases in salaries and other benefits, which will significantly increase our labor expense.</w:t>
      </w:r>
    </w:p>
    <w:p>
      <w:pPr>
        <w:spacing w:after="0" w:line="191"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and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in particular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attempt to restore capacity in line with increased demand for air travel following the height of the COVID-19 pandemic, these third-party operators have experienced difficulties in recruiting and retaining sufficient personnel to operate significantly increased schedules, and have in some instances been required to offer significant increases in pay and other benefits to recruit and retain pilots and other personnel. Periods of volatility in travel demand have the potential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5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fueling, catering,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are also facing challenges retaining and recruiting people with the appropriate skills to meet our requirements as the economy in general, and the airline industry in particular, continue to recover from the COVID-19 pandemic. The COVID-19 pandemic also caused significant disruption in global supply chains and staffing shortages, which have affected and may continue to affect the availability and timely delivery and fulfillment of many goods, including certain of those that we purchase directly or which are required by third parties to perform contracted services for us. We rely on the operation of complex supply chains and a large number of third parties for the procurement and fulfillment of parts, components, consumable or disposable goods and other products and services essential to our business. Following a faster than expected return of demand for air travel as COVID-19 cases declined worldwide and governments lifted travel restrictions, suppliers and many of the airports we serve experienced acute shortages of personnel, resulting in increased delays, cancellations and, in certain cases, restrictions on passenger numbers or the number of flights to or from certain airports.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4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Moreover, an outbreak and spread of an infectious disease could adversely impact consumer perceptions of the health and safety of travel, and in particular airline travel, such as occurred during the COVID-19 pandemic. Actual or perceived risk of infection on our flights could have a material adverse effect on the public’s perception of us and may harm our reputation and business. We have in the past, and may in the future be required to take extensive measures to reassure our team members and the traveling public of the safety of air travel, and we could incur significant costs implementing safety, hygiene-related or other actions to limit the actual or perceived threat of infection among our employees and passengers. However, we cannot assure that any actions we might take in response to an infectious disease outbreak will be sufficient to restore the confidence of consumers in the safety of air travel. In addition, as a result of mask mandates and other mitigating measures that airports and carriers were required by law to implement to limit the spread of COVID-19, we experienced an increase in the incidence of aggressive customer behavior and physical confrontation on our flights, certain of which resulted in injuries to our personnel. While the rate of these incidents has declined following the lifting of mask mandates and other COVID-19 measures, if our employees feel unsafe or believe that we are not doing enough to prevent and prosecute such incidents, we could experience higher rates of employee absence or attrition and we may suffer reputational harm which could make it more difficult to attract and retain employees, and which could in turn negatively affect our business, financial condition and results of operations.</w:t>
      </w:r>
    </w:p>
    <w:p>
      <w:pPr>
        <w:spacing w:after="0" w:line="216"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at risk of adverse publicity stemming from any public incident involving our company, our people or our brand, particularly given the ease with which individuals can now capture and rapidly disseminate information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7"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 we offer, such as Premium Economy service and Basic Economy service, enhancements to our AAdvantage loyalty program, charging separately for services that had previously been included within the price of a ticket, changes to our practices and contracts with providers of distribution systems to provide additional content flexibility,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assuming this policy remains in 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increased fees might result in adverse brand perceptions, reputational harm or regulatory scrutiny,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01"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4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spacing w:after="0" w:line="207"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12 to each of AAG and American’s Condensed Consolidated Financial Statements in Part I, Item 1A and Part I, Item 1B, respectively.</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NOLs and other carryforwards may be limited.</w:t>
      </w:r>
    </w:p>
    <w:p>
      <w:pPr>
        <w:spacing w:after="0" w:line="10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As of December 31, 2022, we had approximately $16.2 billion of gross federal NOLs and $4.3 billion of other carryforwards available to reduce future federal taxable income, of which $5.9 billion will expire beginning in 2024 if unused and $14.6 billion can be carried forward indefinitely. We also had approximately $6.0 billion of NOL carryforwards to reduce future state taxable income at December 31, 2022, which will expire in taxable years 2022 through 2042 if unused. Our NOL carryforwards are subject to adjustment on audit by the Internal Revenue Service and the respective state taxing authorities. Additionally, due to the impact of the COVID-19 pandemic and other economic factors, certain of the NOL carryforwards may expire before we can generate sufficient taxable income to use them.</w:t>
      </w:r>
    </w:p>
    <w:p>
      <w:pPr>
        <w:spacing w:after="0" w:line="13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There can be no assurance that an additional valuation allowance on our net deferred tax assets will not be required should our financial performance be negatively impacted in the future. Such valuation allowance could be material.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Inc. (US Airways Group) experienced an ownership change in connection with the merger of US Airways Group and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$4.4 billion of unlimited NOLs still remaining at December 31, 2022)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Coronavirus Aid, Relief, and Economic Security Act (CARES Act), the warrants (and common stock issuable upon exercise thereof) we issued to the U.S. Department of Treasury (Treasury) did not and will not result in an “ownership change” for purposes of Section 382. This exception does not apply for companies issuing warrants, stock options, common or preferred stock or other equity pursuant to the payroll support program established under the CARES Act (PSP1), the payroll support program established under the Subtitle A of Title IV of Division N of the Consolidated Appropriations Act, 2021 (PSP Extension Law) (PSP2) and the payroll support program established under the American Rescue Plan Act of 2021 (ARP)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Notwithstanding the foregoing, an ownership change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benefits preservation plan (the Tax Benefits Preservation Plan) in order to preserve our ability to use our NOLs and certain other tax attributes to reduce potential future income tax obligations. The Tax Benefits Preservation Plan was subsequently ratified by our stockholders at the 2022 Annual Meeting of Stockholders of AAG. The Tax Benefits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Benefits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U.S. tax legislation may adversely affect our financial condition, results of operations and cash flows.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August 16, 2022, the Inflation Reduction Act (the IRA) was signed into law in the U.S. Among other changes, the IRA introduced a corporate minimum tax on certain corporations with average adjusted financial statement income over a three-tax year period in excess of $1.0 billion and an excise tax on certain stock repurchases by certain covered corporations for taxable years beginning after December 31, 2022. The corporate minimum tax and any excise tax imposed on any repurchases of AAG common stock made after December 31, 2022 may adversely affect our financial condition in the future. The U.S. government may enact additional significant changes to the taxation of business entities including, among others, an increase in the corporate income tax rate, significant changes to the taxation of income derived from international operations, and an addition of further limitations on the deductibility of business interest. We are currently unable to predict whether such additional changes will occur. If such changes are enacted or implemented, we are currently unable to predict the ultimate impact on our business and therefore there can be no assurance our business will not be adversely affected.</w:t>
      </w:r>
    </w:p>
    <w:p>
      <w:pPr>
        <w:spacing w:after="0" w:line="213"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uncertain. Such impairment charges could have a material adverse effect on our business, results of operations and financial condition.</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greater financial or other resources and/or lower cost structures than ours, as well as other forms of transportation, such as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occurred recently during the COVID-19 pandemic), as airlines under financial stress, or in bankruptcy, may institute pricing or fee structures intended to attract more customers to achieve near-term survival at the expense of long-term viability.</w:t>
      </w:r>
    </w:p>
    <w:p>
      <w:pPr>
        <w:spacing w:after="0" w:line="1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recently commenced operations with the stated intention to grow rapidly. Many of these new and existing carriers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in particular with the planned introduction of long-range narrowbody aircraft in coming years. The actions of existing or future low-cost carriers, including those described above, could have a material adverse effect on our operations and financial performance.</w:t>
      </w:r>
    </w:p>
    <w:p>
      <w:pPr>
        <w:spacing w:after="0" w:line="14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COVID-19 pandemic and the speed with which demand for travel to these regions returns.</w:t>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and prolonged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 which may result in increases in our costs, disruptions to our operations, limits on our operating flexibility, reductions in the demand for air travel, and competitive disadvantages.”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United States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and April 2022, the CMA adopted interim measures that effectively extend the EC commitments until March 2026 in light of the uncertainty and other impacts resulting from the COVID-19 pandemic. The CMA plans to complete its investigation before the scheduled expiration of the interim measures in March 2026. The foregoing arrangements are important aspects of our international network and we are dependent on the performance and continued cooperation of the other airlines party to those arrangements.</w:t>
      </w:r>
    </w:p>
    <w:p>
      <w:pPr>
        <w:spacing w:after="0" w:line="146"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had a marketing relationship, the Northeast Alliance arrangement (NEA), with JetBlue Airways Corporation (JetBlue) that included an alliance agreement with reciprocal codesharing on certain domestic and international routes from New York (John F. Kennedy International Airport (JFK), LaGuardia Airport (LGA), and Newark Liberty International Airport) and Boston Logan International Airport, and provided for reciprocal loyalty program benefits. However, in June 2023, JetBlue delivered a notice of termination of the NEA, effective July 29, 2023, and the carriers have commenced wind-down activities to accommodate mutual customers. On September 21, 2021, the United States Department of Justice (DOJ), joined by Attorneys General from six states and the District of Columbia, filed an antitrust complaint against American and JetBlue in the U.S. District Court for the District of Massachusetts alleging that American and JetBlue violated U.S. antitrust law in connection with the NEA. On May 19, 2023, the U.S. District Court for the District of Massachusetts issued an order permanently enjoining American and JetBlue from continuing and further implementing the NEA. American plans to appeal the final judgment to the U.S. Court of Appeals for the First Circuit. Separately, in December 2022, two putative class action lawsuits were filed in the U.S. District Court for the Eastern District of New York also alleging that the NEA violated U.S. antitrust laws. Those lawsuits, which have been consolidated, seek monetary and injunctive relief. In February 2023, private party plaintiffs filed two additional putative class action antitrust complaints against American and JetBlue in the U.S. District Court for the District of Massachusetts and the U.S. District Court for the Eastern District of New York, respectively. We believe these complaints are without merit and are defending against them vigorously.</w:t>
      </w:r>
    </w:p>
    <w:p>
      <w:pPr>
        <w:spacing w:after="0" w:line="14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13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Other mergers and other forms of airline partnerships, including antitrust immunity grants, may take place and may not involve us as a participant.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antitrust immunity grants, their route networks will grow, and that growth will result in greater overlap with our network, which in turn could decrease our overall market share and revenues. Such combination or collaboration is not limited to the U.S., but could include further transactions among international carriers in Europe and elsewhere that result in broader networks offered by rival airlines.</w:t>
      </w:r>
    </w:p>
    <w:p>
      <w:pPr>
        <w:spacing w:after="0" w:line="1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 covenants that impose restrictions on certain amendments or changes to certain of our AAdvantage program agreements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provided as collateral under the AAdvantage Financing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spacing w:after="0" w:line="13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may also be impacted by competition regulations affecting certain of our major commercial partners, including our co-branded credit card partners. For example, there has previously been bipartisan legislation proposed in Congress called the Credit Card Competition Act designed to increase credit card transaction routing options for merchants which, if enacted, could result in a reduction of the fees levied on credit card transactions. If this legislation were successful, it could fundamentally alter the profitability of our agreements with co-branded credit card partners and the benefits we provide to our consumers through the co-branded credit cards issued by these partners.</w:t>
      </w:r>
    </w:p>
    <w:p>
      <w:pPr>
        <w:spacing w:after="0" w:line="209"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The commercial relationships that we have with other companies, including any related equity investments, may not produce the returns or results we expect.</w:t>
      </w:r>
    </w:p>
    <w:p>
      <w:pPr>
        <w:spacing w:after="0" w:line="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 joint business and codeshare relationships, and, in certain instances, including China Southern Airlines Company Limited, GOL Linhas Aéreas Inteligentes S.A. and JetSmart Airlines SpA, by making an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as a result of the COVID-19 pandemic and subsequent economic recovery, the industry experienced significant volatility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If any carriers with which we partner or in which we hold an equity stake were to cease trading or be declared insolvent, we could lose the value of any such investment or experience significant operational disruption. These events could have a material adverse effect on our business, results of operations and financial condition.</w:t>
      </w:r>
    </w:p>
    <w:p>
      <w:pPr>
        <w:spacing w:after="0" w:line="15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201"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7"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$0.37 per gallon to a high of approximately $4.40 per gallon during the period from January 1, 2020 to June 30, 2023.</w:t>
      </w:r>
    </w:p>
    <w:p>
      <w:pPr>
        <w:spacing w:after="0" w:line="1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changes in production levels of individual nations or associations of oil-producing states,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4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June 30, 2023,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sustainable aviation fuel (SAF) in our fleet. Currently, industrial production of SAF is small in scale and inadequate to meet growing industry demand, and while additional production capacity is expected to come online in coming years, we anticipate that competition for SAF among industry participants will remain intense. As a result, we may need to pay a significant premium for SAF above the price we would pay for conventional jet fuel. To secure future SAF supply, we have entered into multiple agreements for the purchase of future SAF production, and continue to engage with producers regarding potential future SAF purchases, which may include investments to support these producers. Certain existing or potential future agreements pertain to SAF production from facilities that are planned but not yet operational,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218"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Federal Aviation Administration (FAA), the Transportation Security Administration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3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was not lifted in the United States until November 2020), or otherwise caused substantial disruption and resulted in material costs to us and lost revenues. The recent telecom industry roll-out of 5G technology, and concerns regarding its possible interference with aircraft navigation systems, also resulted in regulatory uncertainty and the potential for operational impacts, including possible suspension of service to certain airports or the operation of certain aircraft. See “</w:t>
      </w:r>
      <w:r>
        <w:rPr>
          <w:rFonts w:ascii="Arial" w:cs="Arial" w:eastAsia="Arial" w:hAnsi="Arial"/>
          <w:sz w:val="18"/>
          <w:szCs w:val="18"/>
          <w:i w:val="1"/>
          <w:iCs w:val="1"/>
          <w:color w:val="auto"/>
        </w:rPr>
        <w:t>We rely heavily on technology and automated systems to operate our business, and any failure of these technologies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systems could harm our business, results of operations and financial condition.” </w:t>
      </w:r>
      <w:r>
        <w:rPr>
          <w:rFonts w:ascii="Arial" w:cs="Arial" w:eastAsia="Arial" w:hAnsi="Arial"/>
          <w:sz w:val="18"/>
          <w:szCs w:val="18"/>
          <w:color w:val="auto"/>
        </w:rPr>
        <w:t>The FAA also exercises comprehensive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over nearly all technical aspects of our operations. Our failure to comply with such requirements has in the past and may in the future result in fines and other enforcement actions by the FAA or other regulators. The FAA recently issued a final rule implementing flight attendant duty and rest periods, which will impact our scheduling flexibility. In the future, any new regulatory requirements, particularly requirements that limit our ability to operate or price our products, could have a material adverse effect on us and the industry.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2018, Congress passed a five-year funding authorization for the FAA which is scheduled to expire in September 2023. The legislative process to renew this authorization (the FAA Authorization Renewal) could impact us, and commercial aviation more generally, in numerous ways. As part of the FAA Authorization Renewal, Congress could seek to impose new rules or regulations concerning, among other things, customer service, aviation safety, labor requirements, investments in FAA staffing and resources, improvements to the ATC system and managing new entrants in the U.S. national airspace system, as well as new or increased fees or taxes intended to fund these policies. Any new or enhanced requirements resulting from the FAA Authorization Renewal have the potential to increase our costs or impact our operation. Congressional action on the FAA Authorization Renewal has already begun and Congress has indicated that their goal is to pass the bill in advance of the expiration in September 2023. If Congress fails to pass the FAA Authorization Renewal, we expect passage of an extension of current law to prevent a lapse in authorities.</w:t>
      </w:r>
    </w:p>
    <w:p>
      <w:pPr>
        <w:spacing w:after="0" w:line="14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many aspects of our customer’s journey, including at the time of ticket purchase, at the airport, and onboard the aircraft. DOT requires multiple disclosures of airline fares, taxes and baggage fees and is further changing these requirements to increase the number of disclosures and the time at which they must be disclosed. DOT also recently issued a proposed rule mandating refunds in certain circumstances, such as a global pandemic. DOT has also proposed rules requiring disclosure of certain ancillary fees by air carriers and travel agents. Finally, DOT will be proposing and implementing a number of new disability regulations that will impact us, including rules for accessible lavatories on single-aisle aircraft, wheelchair damage and prompt wheelchair assistance.</w:t>
      </w:r>
    </w:p>
    <w:p>
      <w:pPr>
        <w:spacing w:after="0" w:line="14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3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These initiatives include increasingly stringent laws to protect the environment, wage/hour requirements, mandatory paid sick or family leave, and healthcare mandates. These laws could affect our relationship with our workforce and the vendors that serve our airline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For example, we are currently involved in legal proceedings brought by flight attendants and certain other work groups in California concerning alleged violations of the state’s labor code including, among other things, violations of certain meal and rest break laws, and an adverse determination in any of these cases could adversely impact our operational flexibility and result in the imposition of damages and fines, which could potentially be significant.</w:t>
      </w:r>
    </w:p>
    <w:p>
      <w:pPr>
        <w:spacing w:after="0" w:line="14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20" w:lineRule="exact"/>
        <w:rPr>
          <w:sz w:val="20"/>
          <w:szCs w:val="20"/>
          <w:color w:val="auto"/>
        </w:rPr>
      </w:pPr>
    </w:p>
    <w:p>
      <w:pPr>
        <w:ind w:left="1300" w:hanging="644"/>
        <w:spacing w:after="0" w:line="27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1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 (including our arrangements with JetBlue);</w:t>
      </w:r>
    </w:p>
    <w:p>
      <w:pPr>
        <w:spacing w:after="0" w:line="129"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in response to outbreaks of illness, such as occurred during the COVID-19 pandemic, including the imposition of preflight testing regimes or vaccination confirmation requirements which have in the past and may in the</w:t>
      </w:r>
    </w:p>
    <w:p>
      <w:pPr>
        <w:sectPr>
          <w:pgSz w:w="11900" w:h="16838" w:orient="portrait"/>
          <w:cols w:equalWidth="0" w:num="1">
            <w:col w:w="11240"/>
          </w:cols>
          <w:pgMar w:left="320" w:top="118"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future have the effect of reducing demand for air travel in the markets where such requirements are imposed.</w:t>
      </w:r>
    </w:p>
    <w:p>
      <w:pPr>
        <w:spacing w:after="0" w:line="1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3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and past system disruptions have resulted in large-scale flight cancellations and delays. We experienced this challenge in January 2023 when an outage in the ATC Notice to Air Missions system led to a nationwide ground-stop for nearly two hours, resulting in significant operational disruption throughout the day.</w:t>
      </w:r>
    </w:p>
    <w:p>
      <w:pPr>
        <w:spacing w:after="0" w:line="14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3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adversely impact us and could result in impairments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3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May 1, 2021 the EU and United Kingdom entered into a new trade and cooperation agreement (the EU-UK Trade and Cooperation Agreement) to govern certain aspects of their relationship following Brexit.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07"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governmental regulation of our operations, including the inability to obtain or retain needed route authorities and/or slots. In particular, the COVID-19 pandemic severely impacted the demand for international travel for a prolonged period, and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While many countries have largely eliminated their pandemic restrictions, or are in the process of doing so, we can provide no assurance as to when demand for international travel will return to pre-COVID-19 pandemic levels, if at all, or whether certain international destinations we previously served will be economical in the future.</w:t>
      </w:r>
    </w:p>
    <w:p>
      <w:pPr>
        <w:spacing w:after="0" w:line="14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varying registration requirements and ongoing reporting obligations in the countries where we operate. Our permission to continue doing business in these countries may depend on our ability to timely fulfil or remedy any noncompliance with these and other governmental requirements. We may also be subject to the risk that relevant government agencies will be delayed in granting or renewing required approvals, including as a result of shutdowns (such as occurred in certain jurisdictions during the COVID-19 pandemic), cybersecurity incidents or other events. Any lapse, revocation, suspension or delay in approval of our authority to do business in a given jurisdiction may prevent us from serving certain destinations and could adversely impact our business, financial condition and results of operations.</w:t>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w:t>
      </w:r>
    </w:p>
    <w:p>
      <w:pPr>
        <w:spacing w:after="0" w:line="14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This could materially adversely affect our business, results of operations and financial condition.</w:t>
      </w:r>
    </w:p>
    <w:p>
      <w:pPr>
        <w:spacing w:after="0" w:line="14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Brexit has also led to legal and regulatory uncertainty such as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such as the transatlantic joint business. See also </w:t>
      </w:r>
      <w:r>
        <w:rPr>
          <w:rFonts w:ascii="Arial" w:cs="Arial" w:eastAsia="Arial" w:hAnsi="Arial"/>
          <w:sz w:val="18"/>
          <w:szCs w:val="18"/>
          <w:i w:val="1"/>
          <w:iCs w:val="1"/>
          <w:color w:val="auto"/>
        </w:rPr>
        <w:t>“The airline industry is intensely competitive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dynamic.” </w:t>
      </w:r>
      <w:r>
        <w:rPr>
          <w:rFonts w:ascii="Arial" w:cs="Arial" w:eastAsia="Arial" w:hAnsi="Arial"/>
          <w:sz w:val="18"/>
          <w:szCs w:val="18"/>
          <w:color w:val="auto"/>
        </w:rPr>
        <w:t>Any of these effects, and others we cannot anticipate, could materially adversely affect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w:t>
      </w:r>
    </w:p>
    <w:p>
      <w:pPr>
        <w:spacing w:after="0" w:line="114"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3"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We cannot forecast what new security requirements may be imposed in the future, or their impact on our business. In addition, avoiding areas of armed conflict or locations inaccessible to us due to geopolitical factors can impact our operations and financial results. For instance, airspace closures or restrictions may require us to alter flight paths, thereby increasing the distance, duration and amount of fuel required to operate certain international flights, in particular relative to competitors not subject to these airspace restrictions.</w:t>
      </w:r>
    </w:p>
    <w:p>
      <w:pPr>
        <w:spacing w:after="0" w:line="157" w:lineRule="exact"/>
        <w:rPr>
          <w:sz w:val="20"/>
          <w:szCs w:val="20"/>
          <w:color w:val="auto"/>
        </w:rPr>
      </w:pPr>
    </w:p>
    <w:p>
      <w:pPr>
        <w:ind w:left="260"/>
        <w:spacing w:after="0" w:line="300"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changing consumer preferences and the potential increased impacts of severe weather events on our operations and infrastructure.</w:t>
      </w:r>
    </w:p>
    <w:p>
      <w:pPr>
        <w:jc w:val="both"/>
        <w:ind w:firstLine="243"/>
        <w:spacing w:after="0" w:line="231"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greenhouse gas (GHG) emissions, including carbon dioxide (CO</w:t>
      </w:r>
      <w:r>
        <w:rPr>
          <w:rFonts w:ascii="Arial" w:cs="Arial" w:eastAsia="Arial" w:hAnsi="Arial"/>
          <w:sz w:val="23"/>
          <w:szCs w:val="23"/>
          <w:color w:val="auto"/>
          <w:vertAlign w:val="subscript"/>
        </w:rPr>
        <w:t>2</w:t>
      </w:r>
      <w:r>
        <w:rPr>
          <w:rFonts w:ascii="Arial" w:cs="Arial" w:eastAsia="Arial" w:hAnsi="Arial"/>
          <w:sz w:val="18"/>
          <w:szCs w:val="18"/>
          <w:color w:val="auto"/>
        </w:rPr>
        <w:t>) emissions. In particular, the International Civil Aviation Organization (ICAO) has adopted rules, including those pertaining to the Carbon Offsetting and Reduction Scheme for International Aviation (CORSIA), which will require us to mitigate the growth 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associated with a significant majority of our international flights. For more information on CORSIA,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Item 1. Business – “</w:t>
      </w:r>
      <w:r>
        <w:rPr>
          <w:rFonts w:ascii="Arial" w:cs="Arial" w:eastAsia="Arial" w:hAnsi="Arial"/>
          <w:sz w:val="18"/>
          <w:szCs w:val="18"/>
          <w:i w:val="1"/>
          <w:iCs w:val="1"/>
          <w:color w:val="auto"/>
        </w:rPr>
        <w:t>Domestic and Global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Landscape – Environmental Matters” </w:t>
      </w:r>
      <w:r>
        <w:rPr>
          <w:rFonts w:ascii="Arial" w:cs="Arial" w:eastAsia="Arial" w:hAnsi="Arial"/>
          <w:sz w:val="18"/>
          <w:szCs w:val="18"/>
          <w:color w:val="auto"/>
        </w:rPr>
        <w:t>in our 2022 Form 10-K.</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due to continued volatility in demand for international air travel in the recovery from the COVID-19 pandemic and because there is significant uncertainty with respect to the future supply and price of eligible carbon offset credits and lower-carbon aircraft fuels. In addition, our future CORSIA obligations are uncertain because those obligations are based on the growth in emissions of the global aviation sector and our individual airline emissions will not be incorporated into our CORSIA obligations until 2033.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CORSIA is a global market-based measure that offers a harmonized way to reduce emissions from international aviation. In the event CORSIA does not come into force as expected or is terminated for whatever reason, we and other airlines could become subject to an unpredictable and inconsistent array of national or regional emissions restrictions, creating a patchwork of complex regulatory requirements that could lead to increased expense related to the emissions of our flights.</w:t>
      </w:r>
    </w:p>
    <w:p>
      <w:pPr>
        <w:spacing w:after="0" w:line="1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Concerns over climate change are likely to result in continued attempts by governments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January 2021, the U.S. Environmental Protection Agency (EPA) adopted GHG emission standards for new aircraft engines, which are aligned with the 2017 ICAO aircraft engine GHG emission standards. Like the ICAO standards, the final EPA standards for new aircraft engines would not apply retroactively to engines already on in-service aircraft. These final standards have been challenged by several states and environmental groups, and the Biden Administration has issued an executive order requiring a review of these final standards. On November 15, 2021, the EPA announced that it would not rewrite the existing aircraft engine GHG emissions standards but would seek more ambitious new aircraft GHG emission standards within the ICAO process. On June 30, 2023, the U.S. Court of Appeals for the D.C. Circuit ruled that the EPA acted within its authority in establishing the aircraft engine GHG emissions standards, rejecting the challenges by the states and environmental groups.</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EC’s ReFuelEU Aviation initiative (part of its “Fit for 55” program) included a proposal for the creation of a SAF blending mandate for aviation fuel suppliers set at 2% beginning in 2025 and rising to 63% by 2050, among other requirements. The European Parliament and the European Council reached a provisional political agreement in relation to the terms of the ReFuelEU Aviation initiative on April 25, 2023, which modified the EC’s proposal in certain respects while maintaining the obligation for fuel suppliers to ensure that certain minimum shares of SAF are made available to aircraft operators at EU airports from 2025. The provisional political agreement remains subject to formal approval by the EU’s co-legislators, and the potential effects on our business are uncertain at this time. Individual EU member states have been developing their own requirements including, for example, a 1% SAF mandate in France that came into force on January 1, 2022.</w:t>
      </w:r>
    </w:p>
    <w:p>
      <w:pPr>
        <w:spacing w:after="0" w:line="14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Climate change-related regulatory activity and developments may adversely affect our business and financial results by requiring us to reduce our emissions before cost-effective emissions reduction technologies are available, for example through requirements to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3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SAF in our fleet. Currently, industrial production of SAF is small in scale and inadequate to meet growing industry demand, and while additional production capacity is expected to come online in coming years, we anticipate that competition for SAF among industry participants will remain intense. As a result, we may need to pay a significant premium for SAF above the price we would pay for conventional jet fuel. To secure future SAF supply, we have entered into multiple agreements for the purchase of future SAF production, and we continue to engage with producers regarding potential future SAF purchases, which may include investments to support these producers. Certain existing or potential future agreements pertain to SAF production from facilities that are planned but not yet operational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14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spare parts and airport slots, could lose value as customer demand shifts and economies move to low-carbon alternatives, which may increase our financing cost.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more frequent or widespread flight cancellations,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sites, although such costs currently are not expected to have a material adverse effect on our business.</w:t>
      </w:r>
    </w:p>
    <w:p>
      <w:pPr>
        <w:spacing w:after="0" w:line="14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Governmental authorities in the U.S. and abroad are increasingly focused on potential contamination resulting from the use of certain chemicals, most notably per- and polyfluoroalkyl, substances (PFAS). Products containing PFAS have been used in manufacturing, industrial, and consumer applications over many decades, including those related to aviation. Among other things, recent changes to federal requirements for firefighting foams containing PFAS, as well as related state regulations affecting their use, will require operational changes. On August 26, 2022, the EPA published for public comment a new rulemaking that would designate two PFAS substances (perfluorooctanoic acid and perfluorooctanesulfonic acid) as hazardous substances under the Comprehensive Environmental Response, Compensation, and Liability Act. This rulemaking would require entities to immediately report current and past releases that meet or exceed the reportable quantity for such substances to EPA’s National Response Center. Depending on the final outcome of this rulemaking and the introduction of any additional state or federal regulations, we may incur costs in connection with reporting obligations and costs related to historic usage of PFAS-containing materials, transitioning away from the usage of PFAS-containing products, disposing of PFAS-containing waste or remediating any residual environmental impacts.</w:t>
      </w:r>
    </w:p>
    <w:p>
      <w:pPr>
        <w:spacing w:after="0" w:line="14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the airspace and airports we utilize.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requirements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Large numbers of pilots in the industry accepted early retirement during the COVID-19 pandemic or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Further, in the course of the domestic airline industry rapidly restoring capacity during the recovery from the COVID-19 pandemic, the significant training requirements to return large numbers of pilots to active flying have been time consuming and disruptive.</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These and other factors have contributed to a shortage of qualified, entry-level pilots, shortages of experienced pilots trained and ready for duty, and increased compensation costs materially for pilots throughout the industry. The foregoing factors have also led to increased competition from large, mainline carriers attempting to meet their hiring needs and significant further proposed increases in mainline pilot compensation. We believe that this industry-wide pilot shortage will remain a significant problem for airlines in the United States for the foreseeable future. Our regional airline subsidiaries and other regional partners have recently been unable to hire adequate numbers of pilots to meet their needs, resulting in a reduction in the number of flights offered, operational disruptions, increased compensation expense and costs of operations, financial difficulties and other adverse effects, and these circumstances may become more severe in the future and thereby cause a material adverse effect on our business.</w:t>
      </w:r>
    </w:p>
    <w:p>
      <w:pPr>
        <w:spacing w:after="0" w:line="209"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 Delays in scheduled aircraft deliveries or other loss of anticipated fleet capacity, and failure of new aircraft to perform as expected, may adversely impact our business, results of operations and financial condition.</w:t>
      </w:r>
    </w:p>
    <w:p>
      <w:pPr>
        <w:spacing w:after="0" w:line="2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as of the end of 2022, all of our mainline aircraft were manufactured by either Airbus S.A.S. (Airbus) or The Boeing Company (Boeing) and all of our regional aircraft were manufactured by either Bombardier or Embraer. Further, our supplier base continues to consolidate as evidenced by recent transactions involving Airbus and Bombardier and Mitsubishi and Bombardier, and the cessation of production of certain Bombardier regional aircraft that we and our regional partners currently operate in large numbers. Due to the limited number of suppliers, constraints on production capacity, large order books and long production lead times, manufacturers may face challenges in timely fulfilling our aircraft on order, and we may face competition from other carriers in securing an adequate supply of aircraft in the future. If new aircraft orders are not filled on a timely basis, we could face higher financing and operating costs than planned. The limited number of these suppliers may also result in reduced competition and potentially higher prices than if the supplier base was less concentrated. In addition, we are vulnerable to any problems associated with the performance of these suppliers’ obligation to supply key aircraft, parts and engines, including design defects, mechanical problems, contractual performance by suppliers or adverse perception by the public that would result in customer avoidance of any of our aircraft. If the aircraft we receive do not meet expected performance or quality standards, including with respect to fuel efficiency, safety and reliability, we could also face higher financing and operating costs than planned and our business, results of operations and financial condition could be adversely impacted. We are also subject to the risk that action by the FAA or any other regulatory authority could result in an inability to certify or operate our aircraft, even temporarily. For instance, in March 2019, the FAA ordered the grounding of all Boeing 737 MAX Family aircraft, which remained in place for over a year and was not lifted in the United States until November 2020. More recently, regulatory concerns raised by the FAA forced Boeing to temporarily suspend deliveries of certain 787 aircraft, resulting in significant reductions to our planned long-haul flying.</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our business, results of operations and financial condition could be negatively impacted. Our failure to integrate newly purchased aircraft into our fleet as planned might require us to seek extensions of the terms for some leased aircraft or otherwise delay the exit of certain aircraft from our fleet. Such unanticipated extensions or delays, which recently have been relatively commonplace among manufacturers of commercial aircraft, may require us to operate existing aircraft beyond the point at which it is economically optimal to retire them, resulting in increased maintenance costs, or reductions to our schedule, thereby reducing revenues. Repeated or prolonged delays in the production, delivery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or induction of our new aircraft could also require us to scale back our growth plans, reduce frequencies or forgo service entirely to certain markets, which could adversely affect our business, financial condition and results of operations.</w:t>
      </w:r>
    </w:p>
    <w:p>
      <w:pPr>
        <w:spacing w:after="0" w:line="191"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and crew scheduling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Furthermore, certain critical aspects of our operation rely on legacy technological systems which may grow more difficult or expensive to support and maintain over time, and such systems may fail to perform as required or become more vulnerable to malfunction or failure over time.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4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On December 23,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If it were determined that 5G signals posed an interference risk to these altimeters or other systems, the FAA indicated in its SAIB that it could restrict flight operations in areas where such interference could occur. On June 17, 2022, the FAA and telecommunications industry reached an agreement to delay the full implementation of 5G deployment near airports until July 1, 2023. The delayed implementation allowed the aviation industry time to retrofit the radio altimeters on aircraft to prevent potential interference from 5G signals. American has completed the retrofit of all impacted mainline aircraft and Embraer regional aircraft. Due to supply chain issues, retrofits of the CRJ regional fleet are expected to be completed in the second half of 2023. However, the 5G performance restrictions on these regional aircraft are limited, and we expect no significant operational impacts to that fleet. With retrofits complete or nearly complete, we now expect operational certainty as it pertains to 5G until 2028, when the current operating agreement between the FAA, Federal Communications Commission and telecommunications industry expires.</w:t>
      </w:r>
    </w:p>
    <w:p>
      <w:pPr>
        <w:spacing w:after="0" w:line="14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technologies and automated systems are not completely protected against events that are beyond our control, including natural disasters, power failures, terrorist attacks, cyber-attacks, data theft, defects, errors, equipment and software failures, computer viruses or telecommunications failures.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spacing w:after="0" w:line="267" w:lineRule="auto"/>
        <w:rPr>
          <w:sz w:val="20"/>
          <w:szCs w:val="20"/>
          <w:color w:val="auto"/>
        </w:rPr>
      </w:pPr>
      <w:r>
        <w:rPr>
          <w:rFonts w:ascii="Arial" w:cs="Arial" w:eastAsia="Arial" w:hAnsi="Arial"/>
          <w:sz w:val="18"/>
          <w:szCs w:val="18"/>
          <w:b w:val="1"/>
          <w:bCs w:val="1"/>
          <w:i w:val="1"/>
          <w:iCs w:val="1"/>
          <w:color w:val="auto"/>
        </w:rPr>
        <w:t>Evolving cybersecurity and data privacy requirements (in particular, compliance with applicable federal, state and foreign laws relating to handling of personal information about individuals)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3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normal course of our business, we collect, process, use and disclose personal information about individuals and rely on third party service providers to host or otherwise process personal information. Many federal, state and foreign governmental bodies and agencies have adopted, or are considering adopting, laws and regulations that impose limits on the collection, processing, use, disclosure and security of personal information about individuals. In some cases, such laws and regulations can be enforced by private parties in addition to government entities. In addition, privacy advocacy and industry groups may propose new and different self-regulatory standards or guidance that may legally or contractually apply to us and our vendors. These non-uniform laws, regulations, standards and guidance are complex and currently evolving and can be subject to significant change and interpretation, and may be inconsistently applied and enforced from one jurisdiction to another.</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However, like any global enterprise operating in today’s digital business environment, we have experienced cybersecurity incidents and data breaches. The threat of cybersecurity incidents continues to increase as the frequency, intensity and sophistication of attacks and intrusions increase around the world. Despite ongoing efforts to maintain and improve the security of digital information, individuals, including employees or contractors, may be able to circumvent the security measures we put in place, and we may be unable to anticipate new techniques used for these attacks and intrusions and implement adequate preventative measures. We and our business partners have been the target of cybersecurity attacks and data breaches in the past and expect that we will continue to be in the future. For example, in March 2021, a sub-set of AAdvantage members as well as members of several other major airline loyalty programs received a notification about a security incident involving a limited amount of loyalty data held by a service provider. As another example, in July 2022, a minor phishing incident resulted in certain employee email accounts being accessed and acquired without authorization that contained personal information about a very limited number of individuals, including travelers (following which we notified the individuals). We react and respond to these cybersecurity attacks in accordance with the applicable legal requirements, our own approved cybersecurity protocols, as well as our commercial partners’ standards, but we cannot ensure that our responses will be sufficient to prevent or mitigate the potential adverse impacts of these incidents, which may be material.</w:t>
      </w:r>
    </w:p>
    <w:p>
      <w:pPr>
        <w:spacing w:after="0" w:line="14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Geopolitical issues continue to increase our cybersecurity risk and potential for cybersecurity incidents, for example, the conflict involving Russia and Ukraine, which has resulted in a heightened risk of cyberattacks against companies like ours that have operations, vendors and/or supply chain providers located in or around the region of conflict or are otherwise related to the conflict.</w:t>
      </w:r>
    </w:p>
    <w:p>
      <w:pPr>
        <w:spacing w:after="0" w:line="1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There has been heightened legislative and regulatory focus on data privacy and cybersecurity in the U.S., the EU, China and elsewhere, particularly with respect to critical infrastructure providers, including those in the transportation sector. As a result, we must comply with a proliferating and fast-evolving set of legal requirements in this area, including substantive data privacy and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w:t>
      </w:r>
    </w:p>
    <w:p>
      <w:pPr>
        <w:spacing w:after="0" w:line="13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3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Significant cybersecurity incidents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attacks; a diminished ability to retain or attract new customers; a deterioration in our relationships with business partners and other third parties; interruptions or failures in our payment related systems; and business delays, service or system disruptions, damage to equipment and injury to persons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or property.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interruptions or failures in our payment related systems, could result in potentially material negative consequences for us, including loss of critical data, service interruptions and the potential for fines, restrictions and expulsion from card acceptance programs. In addition, we use third-party service providers to help us deliver services to customers. These service providers may store personal information, credit card information and/or other confidential information. Such information may be and has been the target of unauthorized access or subject to security breaches because of third-party action, employee error, malfeasance or otherwise. Any of these could (a) result in the loss of information, litigation, indemnity obligations, expensive and inconsistent cybersecurity incident and data breach notification requirements, damage to our reputation, regulatory scrutiny, and other liability, or (b) have a material adverse effect on our business, financial condition and results of operations.</w:t>
      </w:r>
    </w:p>
    <w:p>
      <w:pPr>
        <w:spacing w:after="0" w:line="14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data is secured, such as how personal data is collected, used for marketing purposes, and shared with third parties, also may require changes to our processes and increase compliance costs. There is also an increased risk to our business in the event of a significant data privacy violation, including additional compliance costs, reputational harm, disruption to the manner in which we provide our services, including the geographies we service, and being subject to complaints and/or regulatory investigations, significant monetary liability, fines, penalties, regulatory enforcement, individual or class action lawsuits, public criticism, loss of customers, loss of goodwill or other additional liabilities, such as claims by industry groups or other third parties. Accordingly, failure to appropriately address data privacy and cybersecurity issues could result in material financial and other liabilities and cause significant reputational harm to our company.</w:t>
      </w:r>
    </w:p>
    <w:p>
      <w:pPr>
        <w:spacing w:after="0" w:line="142"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In addition, litigation, claims and enforcement related to privacy, biometrics and other provisions of state privacy laws may involve new interpretations of privacy laws. Compliance with these laws and regulations may be inconsistent from jurisdiction to jurisdiction, increasing the cost of compliance and our risk of liability from litigation. Any litigation, claims or enforcement actions to which we are or become a party could potentially result in substantial monetary damages or fines.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0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w:t>
      </w:r>
    </w:p>
    <w:p>
      <w:pPr>
        <w:spacing w:after="0" w:line="1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7"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Dallas/Fort Worth International Airport, JFK and Los Angeles International Airport (LAX).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13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during the COVID-19 pandemic, we relied in many instances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continue to be made available, whether they will be granted on the same or similar terms, or whether we ultimately could be at risk of losing valuable operating rights. If we are forced to surrender slots,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gates and other facilities are currently inadequate to accommodate all of the service that we would like to provide, or airports such as Dallas Love Field Airport where we have no access to gates at all.</w:t>
      </w:r>
    </w:p>
    <w:p>
      <w:pPr>
        <w:spacing w:after="0" w:line="13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(including as a result of social or environmental activism),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0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4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00"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120"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expectations regarding any future capital deployment program, including share repurchase programs and any future dividend payments that may be declared by our Board of Directors, or any subsequent determination to cease repurchasing stock or paying dividends;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CARES Act, the PSP Extension Law and the ARP;</w:t>
      </w:r>
    </w:p>
    <w:p>
      <w:pPr>
        <w:spacing w:after="0" w:line="13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closing price of our common stock on the Nasdaq Global Select Market varied from $11.86 to $ 20.22 during 2022 and $12.74 to $18.80 during 2023 year-to-date through July 14, 2023. At times, fluctuations in our stock price have been rapid, imposing risks on investors due to the possibility of significant, short-term price volatility. While we believe that in recent years this wide range of trading prices has largely reflected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If we decide to make repurchases of or pay dividends on our common stock, we cannot guarantee that we will continue to do so or that such a capital deployment program will enhance long-term stockholder value.</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connection with the financial assistance provided under PSP1, PSP2 and PSP3, we agreed not to repurchase shares of AAG common stock through September 30, 2022. Following the expiration of these restrictions, if we determine to make any share repurchases in the future, such repurchases may be made through a variety of methods, which may include open market purchases, privately negotiated transactions, block trades or accelerated share repurchase transactions. Our future repurchases of AAG common stock, if any, may be limited, suspended or discontinued at any time at our discretion and without prior notice.</w:t>
      </w:r>
    </w:p>
    <w:p>
      <w:pPr>
        <w:spacing w:after="0" w:line="13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connection with the financial assistance provided under PSP1, PSP2 and PSP3, we also agreed not to pay dividends on AAG common stock through September 30, 2022. Following the expiration of these restrictions, if we determine to make any dividends in the future, such dividends that may be declared and paid from time to time will be subject to market and economic conditions, applicable legal requirements and other relevant factors. The amount and timing of any future dividends, if any, may vary, and the payment of any dividend does not assure that we will pay dividends in the future.</w:t>
      </w:r>
    </w:p>
    <w:p>
      <w:pPr>
        <w:spacing w:after="0" w:line="13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future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Under the recently enacted IRA, we may become subject to an excise tax on the fair market value of AAG common stock repurchased after December 31, 2022, which may adversely affect our financial condition. Although our share repurchase programs are intended to enhance long-term stockholder value, there is no assurance that they will do so.</w:t>
      </w:r>
    </w:p>
    <w:p>
      <w:pPr>
        <w:spacing w:after="0" w:line="213"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AAG’s Certificate of Incorporation, Bylaws and Tax Benefit Preservation Plan include provisions that limit voting and acquisition and disposition of our equity interests and specify an exclusive forum for certain stockholder disputes.</w:t>
      </w:r>
    </w:p>
    <w:p>
      <w:pPr>
        <w:spacing w:after="0" w:line="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xml:space="preserve"> and AAG’s Description of the Registrants’ Securities Registered Pursuant to Section 12 of the Securities Exchange Act of 1934, which is filed as Exhibit 4.1 in our 2022 Form 10-K. Further restrictions are set forth in our Tax Benefit Preservation Plan.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spacing w:after="0" w:line="209"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30" w:lineRule="exact"/>
        <w:rPr>
          <w:sz w:val="20"/>
          <w:szCs w:val="20"/>
          <w:color w:val="auto"/>
        </w:rPr>
      </w:pPr>
    </w:p>
    <w:p>
      <w:pPr>
        <w:ind w:left="5520" w:right="2220" w:hanging="4864"/>
        <w:spacing w:after="0" w:line="776"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19" w:lineRule="exact"/>
        <w:rPr>
          <w:rFonts w:ascii="Arial" w:cs="Arial" w:eastAsia="Arial" w:hAnsi="Arial"/>
          <w:sz w:val="18"/>
          <w:szCs w:val="18"/>
          <w:color w:val="auto"/>
        </w:rPr>
      </w:pPr>
    </w:p>
    <w:p>
      <w:pPr>
        <w:ind w:left="1300" w:hanging="644"/>
        <w:spacing w:after="0" w:line="27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CARES Act, the PSP Extension Law, the ARP, PSP1, PSP2 and PSP3, could depress the trading price of our common stock and the Convertible Notes.</w:t>
      </w:r>
    </w:p>
    <w:p>
      <w:pPr>
        <w:spacing w:after="0" w:line="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trading price of our common stock and the 6.50% convertible senior notes due 2025 (the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the Convertible Notes could decline substantially.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Securities Trading Plans of Directors and Executive Officers</w:t>
      </w:r>
    </w:p>
    <w:p>
      <w:pPr>
        <w:spacing w:after="0" w:line="9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During the three months ended June 30, 2023, none of our directors or executive officers adopted or terminated any contract, instruction or written plan for the purchase or sale of AAG securities that was intended to satisfy the affirmative defense conditions of Rule 10b5-1(c) or any “non-Rule 10b5-1 trading arrangement.”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20"/>
              <w:spacing w:after="0"/>
              <w:rPr>
                <w:sz w:val="20"/>
                <w:szCs w:val="20"/>
                <w:color w:val="auto"/>
              </w:rPr>
            </w:pPr>
            <w:r>
              <w:rPr>
                <w:rFonts w:ascii="Arial" w:cs="Arial" w:eastAsia="Arial" w:hAnsi="Arial"/>
                <w:sz w:val="14"/>
                <w:szCs w:val="14"/>
                <w:b w:val="1"/>
                <w:bCs w:val="1"/>
                <w:u w:val="single" w:color="auto"/>
                <w:color w:val="auto"/>
              </w:rPr>
              <w:t>Description</w:t>
            </w:r>
          </w:p>
        </w:tc>
        <w:tc>
          <w:tcPr>
            <w:tcW w:w="0" w:type="dxa"/>
            <w:vAlign w:val="bottom"/>
          </w:tcPr>
          <w:p>
            <w:pPr>
              <w:spacing w:after="0"/>
              <w:rPr>
                <w:sz w:val="1"/>
                <w:szCs w:val="1"/>
                <w:color w:val="auto"/>
              </w:rPr>
            </w:pPr>
          </w:p>
        </w:tc>
      </w:tr>
      <w:tr>
        <w:trPr>
          <w:trHeight w:val="200"/>
        </w:trPr>
        <w:tc>
          <w:tcPr>
            <w:tcW w:w="2980" w:type="dxa"/>
            <w:vAlign w:val="bottom"/>
          </w:tcPr>
          <w:p>
            <w:pPr>
              <w:jc w:val="center"/>
              <w:ind w:right="236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800" w:right="180" w:hanging="770"/>
        <w:spacing w:after="0" w:line="260"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Supplemental Agreement No. 19, dated as of April 23, 2023, to Purchase Agreement No. 3219 dated as of October 15, 2008, by and between American Airlines, Inc. and The Boeing Company.*</w:t>
      </w:r>
    </w:p>
    <w:p>
      <w:pPr>
        <w:spacing w:after="0" w:line="11" w:lineRule="exact"/>
        <w:rPr>
          <w:sz w:val="20"/>
          <w:szCs w:val="20"/>
          <w:color w:val="auto"/>
        </w:rPr>
      </w:pPr>
    </w:p>
    <w:p>
      <w:pPr>
        <w:ind w:left="800" w:right="180" w:hanging="770"/>
        <w:spacing w:after="0" w:line="260"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FF"/>
        </w:rPr>
        <w:t>Supplemental Agreement No. 29, dated as of May 23, 2023, to Purchase Agreement No. 03735 dated as of February 1, 2013, between American Airlines, Inc. and the Boeing Company.*</w:t>
      </w:r>
    </w:p>
    <w:p>
      <w:pPr>
        <w:spacing w:after="0" w:line="11" w:lineRule="exact"/>
        <w:rPr>
          <w:sz w:val="20"/>
          <w:szCs w:val="20"/>
          <w:color w:val="auto"/>
        </w:rPr>
      </w:pPr>
    </w:p>
    <w:p>
      <w:pPr>
        <w:ind w:left="800" w:right="180" w:hanging="770"/>
        <w:spacing w:after="0" w:line="260"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0000FF"/>
        </w:rPr>
        <w:t>Supplemental Agreement No. 30, dated as of June 2, 2023, to Purchase Agreement No. 03735 dated as of February 1, 2013, between American Airlines, Inc. and the Boeing Company.*</w:t>
      </w:r>
    </w:p>
    <w:p>
      <w:pPr>
        <w:spacing w:after="0" w:line="11"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AAG Chief Executive Officer pursuant to Rule 13a-14(a).</w:t>
      </w:r>
    </w:p>
    <w:p>
      <w:pPr>
        <w:spacing w:after="0" w:line="5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AAG Chief Financial Officer pursuant to Rule 13a-14(a).</w:t>
      </w:r>
    </w:p>
    <w:p>
      <w:pPr>
        <w:spacing w:after="0" w:line="5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0000FF"/>
        </w:rPr>
        <w:t>Certification of American Chief Executive Officer pursuant to Rule 13a-14(a).</w:t>
      </w:r>
    </w:p>
    <w:p>
      <w:pPr>
        <w:spacing w:after="0" w:line="5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u w:val="single" w:color="auto"/>
          <w:color w:val="0000FF"/>
        </w:rPr>
        <w:t>Certification of American Chief Financial Officer pursuant to Rule 13a-14(a).</w:t>
      </w:r>
    </w:p>
    <w:p>
      <w:pPr>
        <w:spacing w:after="0" w:line="50" w:lineRule="exact"/>
        <w:rPr>
          <w:sz w:val="20"/>
          <w:szCs w:val="20"/>
          <w:color w:val="auto"/>
        </w:rPr>
      </w:pPr>
    </w:p>
    <w:p>
      <w:pPr>
        <w:ind w:left="800" w:right="180" w:hanging="770"/>
        <w:spacing w:after="0" w:line="244"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AAG Certification pursuant to Rule 13a-14(b) and section 906 of the Sarbanes-Oxley Act of 2002 (subsections (a) and (b) of section 1350, chapter 63 of title 18, United States Code).</w:t>
      </w:r>
    </w:p>
    <w:p>
      <w:pPr>
        <w:spacing w:after="0" w:line="25" w:lineRule="exact"/>
        <w:rPr>
          <w:sz w:val="20"/>
          <w:szCs w:val="20"/>
          <w:color w:val="auto"/>
        </w:rPr>
      </w:pPr>
    </w:p>
    <w:p>
      <w:pPr>
        <w:ind w:left="800" w:right="180" w:hanging="770"/>
        <w:spacing w:after="0" w:line="260" w:lineRule="auto"/>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American Certification pursuant to Rule 13a-14(b) and section 906 of the Sarbanes-Oxley Act of 2002 (subsections (a) and (b) of section 1350, chapter 63 of title 18, United States Code).</w:t>
      </w:r>
    </w:p>
    <w:p>
      <w:pPr>
        <w:spacing w:after="0" w:line="11" w:lineRule="exact"/>
        <w:rPr>
          <w:sz w:val="20"/>
          <w:szCs w:val="20"/>
          <w:color w:val="auto"/>
        </w:rPr>
      </w:pPr>
    </w:p>
    <w:p>
      <w:pPr>
        <w:ind w:left="800" w:right="180" w:hanging="770"/>
        <w:spacing w:after="0" w:line="260" w:lineRule="auto"/>
        <w:tabs>
          <w:tab w:leader="none" w:pos="7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Interactive data files pursuant to Rule 405 of Regulation S-T, formatted in Inline XBRL (eXtensible Business Reporting Language).</w:t>
      </w:r>
    </w:p>
    <w:p>
      <w:pPr>
        <w:spacing w:after="0" w:line="11"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Cover page interactive data file (formatted in Inline XBRL and contained in Exhibit 101.1).</w:t>
      </w:r>
    </w:p>
    <w:p>
      <w:pPr>
        <w:spacing w:after="0" w:line="293" w:lineRule="exact"/>
        <w:rPr>
          <w:sz w:val="20"/>
          <w:szCs w:val="20"/>
          <w:color w:val="auto"/>
        </w:rPr>
      </w:pPr>
    </w:p>
    <w:p>
      <w:pPr>
        <w:ind w:left="5520" w:right="3480" w:hanging="5512"/>
        <w:spacing w:after="0" w:line="854" w:lineRule="auto"/>
        <w:tabs>
          <w:tab w:leader="none" w:pos="1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601(b)(10) of Regulation S-K.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7"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American Airlines Group Inc.</w:t>
      </w:r>
    </w:p>
    <w:p>
      <w:pPr>
        <w:spacing w:after="0" w:line="303" w:lineRule="exact"/>
        <w:rPr>
          <w:sz w:val="20"/>
          <w:szCs w:val="20"/>
          <w:color w:val="auto"/>
        </w:rPr>
      </w:pPr>
    </w:p>
    <w:p>
      <w:pPr>
        <w:ind w:left="20"/>
        <w:spacing w:after="0"/>
        <w:tabs>
          <w:tab w:leader="none" w:pos="4720" w:val="left"/>
          <w:tab w:leader="none" w:pos="5460" w:val="left"/>
        </w:tabs>
        <w:rPr>
          <w:sz w:val="20"/>
          <w:szCs w:val="20"/>
          <w:color w:val="auto"/>
        </w:rPr>
      </w:pPr>
      <w:r>
        <w:rPr>
          <w:rFonts w:ascii="Arial" w:cs="Arial" w:eastAsia="Arial" w:hAnsi="Arial"/>
          <w:sz w:val="18"/>
          <w:szCs w:val="18"/>
          <w:color w:val="auto"/>
        </w:rPr>
        <w:t>Date: July 20,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22225</wp:posOffset>
            </wp:positionV>
            <wp:extent cx="3480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47"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American Airlines, Inc.</w:t>
      </w:r>
    </w:p>
    <w:p>
      <w:pPr>
        <w:spacing w:after="0" w:line="303" w:lineRule="exact"/>
        <w:rPr>
          <w:sz w:val="20"/>
          <w:szCs w:val="20"/>
          <w:color w:val="auto"/>
        </w:rPr>
      </w:pPr>
    </w:p>
    <w:p>
      <w:pPr>
        <w:ind w:left="20"/>
        <w:spacing w:after="0"/>
        <w:tabs>
          <w:tab w:leader="none" w:pos="4720" w:val="left"/>
          <w:tab w:leader="none" w:pos="5460" w:val="left"/>
        </w:tabs>
        <w:rPr>
          <w:sz w:val="20"/>
          <w:szCs w:val="20"/>
          <w:color w:val="auto"/>
        </w:rPr>
      </w:pPr>
      <w:r>
        <w:rPr>
          <w:rFonts w:ascii="Arial" w:cs="Arial" w:eastAsia="Arial" w:hAnsi="Arial"/>
          <w:sz w:val="18"/>
          <w:szCs w:val="18"/>
          <w:color w:val="auto"/>
        </w:rPr>
        <w:t>Date: July 20,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13970</wp:posOffset>
            </wp:positionV>
            <wp:extent cx="3480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Devon E. May</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18" w:right="339" w:bottom="1440" w:gutter="0" w:footer="0" w:header="0"/>
        </w:sectPr>
      </w:pPr>
    </w:p>
    <w:bookmarkStart w:id="92" w:name="page93"/>
    <w:bookmarkEnd w:id="92"/>
    <w:p>
      <w:pPr>
        <w:ind w:left="10240"/>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282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5" w:lineRule="exact"/>
        <w:rPr>
          <w:sz w:val="20"/>
          <w:szCs w:val="20"/>
          <w:color w:val="auto"/>
        </w:rPr>
      </w:pPr>
    </w:p>
    <w:p>
      <w:pPr>
        <w:ind w:left="40" w:right="80"/>
        <w:spacing w:after="0" w:line="260"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SUPPLEMENTAL AGREEMENT NO. 19</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Purchase Agreement No. 3219</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THIS SUPPLEMENTAL AGREEMENT No. 19 (</w:t>
      </w:r>
      <w:r>
        <w:rPr>
          <w:rFonts w:ascii="Arial" w:cs="Arial" w:eastAsia="Arial" w:hAnsi="Arial"/>
          <w:sz w:val="22"/>
          <w:szCs w:val="22"/>
          <w:b w:val="1"/>
          <w:bCs w:val="1"/>
          <w:i w:val="1"/>
          <w:iCs w:val="1"/>
          <w:color w:val="auto"/>
        </w:rPr>
        <w:t>SA-19</w:t>
      </w:r>
      <w:r>
        <w:rPr>
          <w:rFonts w:ascii="Arial" w:cs="Arial" w:eastAsia="Arial" w:hAnsi="Arial"/>
          <w:sz w:val="22"/>
          <w:szCs w:val="22"/>
          <w:color w:val="auto"/>
        </w:rPr>
        <w:t xml:space="preserve"> is made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59"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 xml:space="preserve">WHEREAS, Boeing and Customer entered into Purchase Agreement No. 3219 dated October 15, 2008, relating to Boeing Model 787 aircraft, as amended and supplemented (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in such Purchase Agreement;</w:t>
      </w:r>
    </w:p>
    <w:p>
      <w:pPr>
        <w:spacing w:after="0" w:line="159"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2"/>
          <w:szCs w:val="22"/>
          <w:color w:val="auto"/>
        </w:rPr>
        <w:t>WHEREAS, Customer and Boeing have previously executed [****] the Purchase Agreement to [****] Customer’s [****] for Boeing Model [****] aircraft ([****]). [****] Aircraft will be [****] between Boeing and Customer. With respect to such Customer [****], Customer and Boeing now agree to replace the existing Exhibit A(R3) with a revised Exhibit A(R4) [****] for Boeing Model [****] aircraft;</w:t>
      </w:r>
    </w:p>
    <w:p>
      <w:pPr>
        <w:spacing w:after="0" w:line="161" w:lineRule="exact"/>
        <w:rPr>
          <w:sz w:val="20"/>
          <w:szCs w:val="20"/>
          <w:color w:val="auto"/>
        </w:rPr>
      </w:pPr>
    </w:p>
    <w:p>
      <w:pPr>
        <w:ind w:left="980" w:right="80"/>
        <w:spacing w:after="0" w:line="429" w:lineRule="auto"/>
        <w:rPr>
          <w:sz w:val="20"/>
          <w:szCs w:val="20"/>
          <w:color w:val="auto"/>
        </w:rPr>
      </w:pPr>
      <w:r>
        <w:rPr>
          <w:rFonts w:ascii="Arial" w:cs="Arial" w:eastAsia="Arial" w:hAnsi="Arial"/>
          <w:sz w:val="21"/>
          <w:szCs w:val="21"/>
          <w:color w:val="auto"/>
        </w:rPr>
        <w:t>WHEREAS, Customer and Boeing agree to revise certain tables, exhibits and letter agreements [****] for the [****]; WHEREAS, Customer and Boeing agree that based on [****], that the [****] a will each [****]; and</w:t>
      </w:r>
    </w:p>
    <w:p>
      <w:pPr>
        <w:spacing w:after="0" w:line="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60"/>
        <w:spacing w:after="0"/>
        <w:tabs>
          <w:tab w:leader="none" w:pos="5280" w:val="left"/>
          <w:tab w:leader="none" w:pos="6280" w:val="left"/>
        </w:tabs>
        <w:rPr>
          <w:sz w:val="20"/>
          <w:szCs w:val="20"/>
          <w:color w:val="auto"/>
        </w:rPr>
      </w:pPr>
      <w:r>
        <w:rPr>
          <w:rFonts w:ascii="Arial" w:cs="Arial" w:eastAsia="Arial" w:hAnsi="Arial"/>
          <w:sz w:val="22"/>
          <w:szCs w:val="22"/>
          <w:color w:val="auto"/>
        </w:rPr>
        <w:t>PA 3219</w:t>
        <w:tab/>
        <w:t>SA-19</w:t>
      </w:r>
      <w:r>
        <w:rPr>
          <w:sz w:val="20"/>
          <w:szCs w:val="20"/>
          <w:color w:val="auto"/>
        </w:rPr>
        <w:tab/>
      </w:r>
      <w:r>
        <w:rPr>
          <w:rFonts w:ascii="Arial" w:cs="Arial" w:eastAsia="Arial" w:hAnsi="Arial"/>
          <w:sz w:val="18"/>
          <w:szCs w:val="18"/>
          <w:color w:val="auto"/>
        </w:rPr>
        <w:t>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04" w:right="339" w:bottom="1440" w:gutter="0" w:footer="0" w:header="0"/>
        </w:sectPr>
      </w:pPr>
    </w:p>
    <w:bookmarkStart w:id="93" w:name="page94"/>
    <w:bookmarkEnd w:id="93"/>
    <w:p>
      <w:pPr>
        <w:spacing w:after="0" w:line="36"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Table of Contents</w:t>
      </w:r>
      <w:r>
        <w:rPr>
          <w:rFonts w:ascii="Arial" w:cs="Arial" w:eastAsia="Arial" w:hAnsi="Arial"/>
          <w:sz w:val="22"/>
          <w:szCs w:val="22"/>
          <w:b w:val="1"/>
          <w:bCs w:val="1"/>
          <w:color w:val="auto"/>
        </w:rPr>
        <w:t>.</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Table of Contents referencing SA-18 in the footer is deleted in its entirety and is replaced with the new Table of Contents (attached hereto) referencing SA-19 in the footer. Such new Table of Contents is hereby incorporated into the Purchase Agreement in replacement of its predecessor.</w:t>
      </w:r>
    </w:p>
    <w:p>
      <w:pPr>
        <w:spacing w:after="0" w:line="15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Tables</w:t>
      </w:r>
      <w:r>
        <w:rPr>
          <w:rFonts w:ascii="Arial" w:cs="Arial" w:eastAsia="Arial" w:hAnsi="Arial"/>
          <w:sz w:val="22"/>
          <w:szCs w:val="22"/>
          <w:b w:val="1"/>
          <w:bCs w:val="1"/>
          <w:color w:val="auto"/>
        </w:rPr>
        <w:t>.</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Table 5(R3)</w:t>
      </w:r>
      <w:r>
        <w:rPr>
          <w:rFonts w:ascii="Arial" w:cs="Arial" w:eastAsia="Arial" w:hAnsi="Arial"/>
          <w:sz w:val="22"/>
          <w:szCs w:val="22"/>
          <w:color w:val="auto"/>
        </w:rPr>
        <w:t>. Table 5(R2) entitled “</w:t>
      </w:r>
      <w:r>
        <w:rPr>
          <w:rFonts w:ascii="Arial" w:cs="Arial" w:eastAsia="Arial" w:hAnsi="Arial"/>
          <w:sz w:val="22"/>
          <w:szCs w:val="22"/>
          <w:u w:val="single" w:color="auto"/>
          <w:color w:val="auto"/>
        </w:rPr>
        <w:t>787-9 [****] Aircraft,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referencing SA-17 in the footer is deleted in its entirety and is replaced with the similarly titled Table 5(R3) (attached hereto) referencing SA-19 in the footer. Table 5(R3) is hereby incorporated into the Purchase Agreement in replacement of Table 5(R2).</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Table 7(R2)</w:t>
      </w:r>
      <w:r>
        <w:rPr>
          <w:rFonts w:ascii="Arial" w:cs="Arial" w:eastAsia="Arial" w:hAnsi="Arial"/>
          <w:sz w:val="22"/>
          <w:szCs w:val="22"/>
          <w:color w:val="auto"/>
        </w:rPr>
        <w:t>. Table 7(R1) entitled “</w:t>
      </w:r>
      <w:r>
        <w:rPr>
          <w:rFonts w:ascii="Arial" w:cs="Arial" w:eastAsia="Arial" w:hAnsi="Arial"/>
          <w:sz w:val="22"/>
          <w:szCs w:val="22"/>
          <w:u w:val="single" w:color="auto"/>
          <w:color w:val="auto"/>
        </w:rPr>
        <w:t>[****] 787-9 [****] Aircraft,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referencing SA-17 in the footer is deleted in its entirety and is replaced with the similarly titled Table 7(R2) (attached hereto) referencing SA-19 in the footer. Table 7(R2) is hereby incorporated into the Purchase Agreement in replacement of Table 7(R1).</w:t>
      </w:r>
    </w:p>
    <w:p>
      <w:pPr>
        <w:spacing w:after="0" w:line="15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Exhibit</w:t>
      </w:r>
      <w:r>
        <w:rPr>
          <w:rFonts w:ascii="Arial" w:cs="Arial" w:eastAsia="Arial" w:hAnsi="Arial"/>
          <w:sz w:val="22"/>
          <w:szCs w:val="22"/>
          <w:b w:val="1"/>
          <w:bCs w:val="1"/>
          <w:color w:val="auto"/>
        </w:rPr>
        <w:t>.</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u w:val="single" w:color="auto"/>
          <w:color w:val="auto"/>
        </w:rPr>
        <w:t>Exhibit A(R4)</w:t>
      </w:r>
      <w:r>
        <w:rPr>
          <w:rFonts w:ascii="Arial" w:cs="Arial" w:eastAsia="Arial" w:hAnsi="Arial"/>
          <w:sz w:val="22"/>
          <w:szCs w:val="22"/>
          <w:color w:val="auto"/>
        </w:rPr>
        <w:t>. Exhibit A(R3) entitled “</w:t>
      </w:r>
      <w:r>
        <w:rPr>
          <w:rFonts w:ascii="Arial" w:cs="Arial" w:eastAsia="Arial" w:hAnsi="Arial"/>
          <w:sz w:val="22"/>
          <w:szCs w:val="22"/>
          <w:u w:val="single" w:color="auto"/>
          <w:color w:val="auto"/>
        </w:rPr>
        <w:t>Aircraft Configuration Dated as the effective Date of SA-11 relating to Boeing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Model [****] Aircraft</w:t>
      </w:r>
      <w:r>
        <w:rPr>
          <w:rFonts w:ascii="Arial" w:cs="Arial" w:eastAsia="Arial" w:hAnsi="Arial"/>
          <w:sz w:val="22"/>
          <w:szCs w:val="22"/>
          <w:color w:val="auto"/>
        </w:rPr>
        <w:t xml:space="preserve"> ,” including the list of optional features thereto, referencing SA-11 in the footer is deleted in its entirety and replaced with Exhibit A(R4) entitled “</w:t>
      </w:r>
      <w:r>
        <w:rPr>
          <w:rFonts w:ascii="Arial" w:cs="Arial" w:eastAsia="Arial" w:hAnsi="Arial"/>
          <w:sz w:val="22"/>
          <w:szCs w:val="22"/>
          <w:u w:val="single" w:color="auto"/>
          <w:color w:val="auto"/>
        </w:rPr>
        <w:t>Aircraft Configuration Dated as the effective Date of SA-19 relating to Boeing Model</w:t>
      </w:r>
      <w:r>
        <w:rPr>
          <w:rFonts w:ascii="Arial" w:cs="Arial" w:eastAsia="Arial" w:hAnsi="Arial"/>
          <w:sz w:val="22"/>
          <w:szCs w:val="22"/>
          <w:color w:val="auto"/>
        </w:rPr>
        <w:t xml:space="preserve"> </w:t>
      </w:r>
      <w:r>
        <w:rPr>
          <w:rFonts w:ascii="Arial" w:cs="Arial" w:eastAsia="Arial" w:hAnsi="Arial"/>
          <w:sz w:val="22"/>
          <w:szCs w:val="22"/>
          <w:u w:val="single" w:color="auto"/>
          <w:color w:val="auto"/>
        </w:rPr>
        <w:t>[****] Aircraft</w:t>
      </w:r>
      <w:r>
        <w:rPr>
          <w:rFonts w:ascii="Arial" w:cs="Arial" w:eastAsia="Arial" w:hAnsi="Arial"/>
          <w:sz w:val="22"/>
          <w:szCs w:val="22"/>
          <w:color w:val="auto"/>
        </w:rPr>
        <w:t>” (attached hereto) referencing SA-19 in the footer. Exhibit A(R4) is hereby incorporated into the Purchase Agreement in replacement of Exhibit A(R3).</w:t>
      </w:r>
    </w:p>
    <w:p>
      <w:pPr>
        <w:spacing w:after="0" w:line="15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Agreements</w:t>
      </w:r>
      <w:r>
        <w:rPr>
          <w:rFonts w:ascii="Arial" w:cs="Arial" w:eastAsia="Arial" w:hAnsi="Arial"/>
          <w:sz w:val="22"/>
          <w:szCs w:val="22"/>
          <w:b w:val="1"/>
          <w:bCs w:val="1"/>
          <w:color w:val="auto"/>
        </w:rPr>
        <w:t>.</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4.1 Letter Agreement AAL-PA-03219-1804779,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 including Attachments A and B thereto, referencing SA-11 in the footer is deleted in its entirety and replaced with the similarly titled Letter Agreement AAL-PA-03219-1804779R1, including Attachments A and B thereto (attached hereto) referencing SA-19 in the footer. Letter Agreement AAL-PA-03219-1804779R1, including Attachments A and B thereto is hereby incorporated into the Purchase Agreement in replacement of AAL-PA-03219-1804779, including Attachments A and B.</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Letter Agreement AAL-PA-03219-2302901 entitled “</w:t>
      </w:r>
      <w:r>
        <w:rPr>
          <w:rFonts w:ascii="Arial" w:cs="Arial" w:eastAsia="Arial" w:hAnsi="Arial"/>
          <w:sz w:val="19"/>
          <w:szCs w:val="19"/>
          <w:u w:val="single" w:color="auto"/>
          <w:color w:val="auto"/>
        </w:rPr>
        <w:t>[****]</w:t>
      </w:r>
      <w:r>
        <w:rPr>
          <w:rFonts w:ascii="Arial" w:cs="Arial" w:eastAsia="Arial" w:hAnsi="Arial"/>
          <w:sz w:val="19"/>
          <w:szCs w:val="19"/>
          <w:color w:val="auto"/>
        </w:rPr>
        <w:t>” is hereby incorporated into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tabs>
          <w:tab w:leader="none" w:pos="200" w:val="left"/>
          <w:tab w:leader="none" w:pos="200" w:val="left"/>
        </w:tabs>
        <w:rPr>
          <w:sz w:val="20"/>
          <w:szCs w:val="20"/>
          <w:color w:val="auto"/>
        </w:rPr>
      </w:pPr>
      <w:r>
        <w:rPr>
          <w:rFonts w:ascii="Arial" w:cs="Arial" w:eastAsia="Arial" w:hAnsi="Arial"/>
          <w:sz w:val="22"/>
          <w:szCs w:val="22"/>
          <w:color w:val="auto"/>
        </w:rPr>
        <w:t>PA 3219</w:t>
        <w:tab/>
        <w:t>SA-19</w:t>
      </w:r>
      <w:r>
        <w:rPr>
          <w:sz w:val="20"/>
          <w:szCs w:val="20"/>
          <w:color w:val="auto"/>
        </w:rPr>
        <w:tab/>
      </w:r>
      <w:r>
        <w:rPr>
          <w:rFonts w:ascii="Arial" w:cs="Arial" w:eastAsia="Arial" w:hAnsi="Arial"/>
          <w:sz w:val="18"/>
          <w:szCs w:val="18"/>
          <w:color w:val="auto"/>
        </w:rPr>
        <w:t>Page 2</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94" w:name="page95"/>
    <w:bookmarkEnd w:id="94"/>
    <w:p>
      <w:pPr>
        <w:spacing w:after="0" w:line="9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on Purchase Agreement</w:t>
      </w:r>
      <w:r>
        <w:rPr>
          <w:rFonts w:ascii="Arial" w:cs="Arial" w:eastAsia="Arial" w:hAnsi="Arial"/>
          <w:sz w:val="22"/>
          <w:szCs w:val="22"/>
          <w:b w:val="1"/>
          <w:bCs w:val="1"/>
          <w:color w:val="auto"/>
        </w:rPr>
        <w:t>.</w:t>
      </w:r>
    </w:p>
    <w:p>
      <w:pPr>
        <w:spacing w:after="0" w:line="18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Table 5 Reference Clarifications</w:t>
      </w:r>
      <w:r>
        <w:rPr>
          <w:rFonts w:ascii="Arial" w:cs="Arial" w:eastAsia="Arial" w:hAnsi="Arial"/>
          <w:sz w:val="22"/>
          <w:szCs w:val="22"/>
          <w:color w:val="auto"/>
        </w:rPr>
        <w:t>.</w:t>
      </w:r>
    </w:p>
    <w:p>
      <w:pPr>
        <w:spacing w:after="0" w:line="179" w:lineRule="exact"/>
        <w:rPr>
          <w:sz w:val="20"/>
          <w:szCs w:val="20"/>
          <w:color w:val="auto"/>
        </w:rPr>
      </w:pPr>
    </w:p>
    <w:p>
      <w:pPr>
        <w:jc w:val="both"/>
        <w:ind w:firstLine="1539"/>
        <w:spacing w:after="0" w:line="234" w:lineRule="auto"/>
        <w:rPr>
          <w:sz w:val="20"/>
          <w:szCs w:val="20"/>
          <w:color w:val="auto"/>
        </w:rPr>
      </w:pPr>
      <w:r>
        <w:rPr>
          <w:rFonts w:ascii="Arial" w:cs="Arial" w:eastAsia="Arial" w:hAnsi="Arial"/>
          <w:sz w:val="21"/>
          <w:szCs w:val="21"/>
          <w:color w:val="auto"/>
        </w:rPr>
        <w:t>5.1.1 The following references in the Purchase Agreement and the associated exhibits, supplemental exhibits, and letter agreements to the Purchase Agreement to “Table 5(R1)” and Table 5(R2) is now deemed to refer to “Table 5(R3)”. Specifically, the locations of such references are (but may not be limited to)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71120</wp:posOffset>
            </wp:positionV>
            <wp:extent cx="4337685" cy="4363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37685" cy="4363720"/>
                    </a:xfrm>
                    <a:prstGeom prst="rect">
                      <a:avLst/>
                    </a:prstGeom>
                    <a:noFill/>
                  </pic:spPr>
                </pic:pic>
              </a:graphicData>
            </a:graphic>
          </wp:anchor>
        </w:drawing>
      </w:r>
    </w:p>
    <w:p>
      <w:pPr>
        <w:spacing w:after="0" w:line="199" w:lineRule="exact"/>
        <w:rPr>
          <w:sz w:val="20"/>
          <w:szCs w:val="20"/>
          <w:color w:val="auto"/>
        </w:rPr>
      </w:pPr>
    </w:p>
    <w:p>
      <w:pPr>
        <w:ind w:left="3540"/>
        <w:spacing w:after="0"/>
        <w:rPr>
          <w:sz w:val="20"/>
          <w:szCs w:val="20"/>
          <w:color w:val="auto"/>
        </w:rPr>
      </w:pPr>
      <w:r>
        <w:rPr>
          <w:rFonts w:ascii="Arial" w:cs="Arial" w:eastAsia="Arial" w:hAnsi="Arial"/>
          <w:sz w:val="22"/>
          <w:szCs w:val="22"/>
          <w:b w:val="1"/>
          <w:bCs w:val="1"/>
          <w:u w:val="single" w:color="auto"/>
          <w:color w:val="auto"/>
        </w:rPr>
        <w:t>Location of References</w:t>
      </w:r>
      <w:r>
        <w:rPr>
          <w:rFonts w:ascii="Arial" w:cs="Arial" w:eastAsia="Arial" w:hAnsi="Arial"/>
          <w:sz w:val="22"/>
          <w:szCs w:val="22"/>
          <w:b w:val="1"/>
          <w:bCs w:val="1"/>
          <w:color w:val="auto"/>
        </w:rPr>
        <w:t>*</w:t>
      </w: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Articles 1, 2, 3 (all sections), 4 (all sections), and Section 5.1 of the Basic</w:t>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Articles</w:t>
      </w:r>
    </w:p>
    <w:p>
      <w:pPr>
        <w:spacing w:after="0" w:line="148"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Exhibit C(R1), Definitions of “Aircraft” and “Engine”</w:t>
      </w:r>
    </w:p>
    <w:p>
      <w:pPr>
        <w:spacing w:after="0" w:line="179"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Section 1 of Supplemental Exhibit AE1</w:t>
      </w:r>
    </w:p>
    <w:p>
      <w:pPr>
        <w:spacing w:after="0" w:line="98" w:lineRule="exact"/>
        <w:rPr>
          <w:sz w:val="20"/>
          <w:szCs w:val="20"/>
          <w:color w:val="auto"/>
        </w:rPr>
      </w:pPr>
    </w:p>
    <w:p>
      <w:pPr>
        <w:ind w:left="1320" w:right="3440" w:firstLine="6"/>
        <w:spacing w:after="0" w:line="232" w:lineRule="auto"/>
        <w:rPr>
          <w:sz w:val="20"/>
          <w:szCs w:val="20"/>
          <w:color w:val="auto"/>
        </w:rPr>
      </w:pPr>
      <w:r>
        <w:rPr>
          <w:rFonts w:ascii="Arial" w:cs="Arial" w:eastAsia="Arial" w:hAnsi="Arial"/>
          <w:sz w:val="22"/>
          <w:szCs w:val="22"/>
          <w:color w:val="auto"/>
        </w:rPr>
        <w:t>Section 1.4.1 of Letter Agreement 6-1162-CLO-1047R4 entitled “Reduced Advanced Payment Schedule”</w:t>
      </w:r>
    </w:p>
    <w:p>
      <w:pPr>
        <w:spacing w:after="0" w:line="91" w:lineRule="exact"/>
        <w:rPr>
          <w:sz w:val="20"/>
          <w:szCs w:val="20"/>
          <w:color w:val="auto"/>
        </w:rPr>
      </w:pPr>
    </w:p>
    <w:p>
      <w:pPr>
        <w:ind w:left="1320" w:right="3640"/>
        <w:spacing w:after="0" w:line="232" w:lineRule="auto"/>
        <w:rPr>
          <w:sz w:val="20"/>
          <w:szCs w:val="20"/>
          <w:color w:val="auto"/>
        </w:rPr>
      </w:pPr>
      <w:r>
        <w:rPr>
          <w:rFonts w:ascii="Arial" w:cs="Arial" w:eastAsia="Arial" w:hAnsi="Arial"/>
          <w:sz w:val="22"/>
          <w:szCs w:val="22"/>
          <w:color w:val="auto"/>
        </w:rPr>
        <w:t>Section 1 (definition of “Firm Aircraft”) and Attachment C(R4) of Letter Agreement 6-1162-TRW-0664R2 entitled “</w:t>
      </w:r>
      <w:r>
        <w:rPr>
          <w:rFonts w:ascii="Arial" w:cs="Arial" w:eastAsia="Arial" w:hAnsi="Arial"/>
          <w:sz w:val="19"/>
          <w:szCs w:val="19"/>
          <w:u w:val="single" w:color="auto"/>
          <w:color w:val="auto"/>
        </w:rPr>
        <w:t>[****]</w:t>
      </w:r>
      <w:r>
        <w:rPr>
          <w:rFonts w:ascii="Arial" w:cs="Arial" w:eastAsia="Arial" w:hAnsi="Arial"/>
          <w:sz w:val="22"/>
          <w:szCs w:val="22"/>
          <w:color w:val="auto"/>
        </w:rPr>
        <w:t>”</w:t>
      </w:r>
    </w:p>
    <w:p>
      <w:pPr>
        <w:spacing w:after="0" w:line="145" w:lineRule="exact"/>
        <w:rPr>
          <w:sz w:val="20"/>
          <w:szCs w:val="20"/>
          <w:color w:val="auto"/>
        </w:rPr>
      </w:pPr>
    </w:p>
    <w:p>
      <w:pPr>
        <w:ind w:left="1320" w:right="3260"/>
        <w:spacing w:after="0" w:line="232" w:lineRule="auto"/>
        <w:rPr>
          <w:sz w:val="20"/>
          <w:szCs w:val="20"/>
          <w:color w:val="auto"/>
        </w:rPr>
      </w:pPr>
      <w:r>
        <w:rPr>
          <w:rFonts w:ascii="Arial" w:cs="Arial" w:eastAsia="Arial" w:hAnsi="Arial"/>
          <w:sz w:val="22"/>
          <w:szCs w:val="22"/>
          <w:color w:val="auto"/>
        </w:rPr>
        <w:t>Section 1.1 of LA 6-1162-TRW-0672R1 entitled “</w:t>
      </w:r>
      <w:r>
        <w:rPr>
          <w:rFonts w:ascii="Arial" w:cs="Arial" w:eastAsia="Arial" w:hAnsi="Arial"/>
          <w:sz w:val="22"/>
          <w:szCs w:val="22"/>
          <w:u w:val="single" w:color="auto"/>
          <w:color w:val="auto"/>
        </w:rPr>
        <w:t>Promotional Support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59" w:lineRule="exact"/>
        <w:rPr>
          <w:sz w:val="20"/>
          <w:szCs w:val="20"/>
          <w:color w:val="auto"/>
        </w:rPr>
      </w:pPr>
    </w:p>
    <w:p>
      <w:pPr>
        <w:ind w:left="1320" w:right="3260"/>
        <w:spacing w:after="0" w:line="232" w:lineRule="auto"/>
        <w:rPr>
          <w:sz w:val="20"/>
          <w:szCs w:val="20"/>
          <w:color w:val="auto"/>
        </w:rPr>
      </w:pPr>
      <w:r>
        <w:rPr>
          <w:rFonts w:ascii="Arial" w:cs="Arial" w:eastAsia="Arial" w:hAnsi="Arial"/>
          <w:sz w:val="22"/>
          <w:szCs w:val="22"/>
          <w:color w:val="auto"/>
        </w:rPr>
        <w:t>Sections 4a2, 6, and 9.2 of Letter Agreement 6-1162-TRW-0674R4 entitled “</w:t>
      </w:r>
      <w:r>
        <w:rPr>
          <w:rFonts w:ascii="Arial" w:cs="Arial" w:eastAsia="Arial" w:hAnsi="Arial"/>
          <w:sz w:val="22"/>
          <w:szCs w:val="22"/>
          <w:u w:val="single" w:color="auto"/>
          <w:color w:val="auto"/>
        </w:rPr>
        <w:t>Business Considerations</w:t>
      </w:r>
      <w:r>
        <w:rPr>
          <w:rFonts w:ascii="Arial" w:cs="Arial" w:eastAsia="Arial" w:hAnsi="Arial"/>
          <w:sz w:val="22"/>
          <w:szCs w:val="22"/>
          <w:color w:val="auto"/>
        </w:rPr>
        <w:t>”</w:t>
      </w:r>
    </w:p>
    <w:p>
      <w:pPr>
        <w:spacing w:after="0" w:line="159"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 of Letter Agreement AAL-PA-03219-1804779 entitled “</w:t>
      </w:r>
      <w:r>
        <w:rPr>
          <w:rFonts w:ascii="Arial" w:cs="Arial" w:eastAsia="Arial" w:hAnsi="Arial"/>
          <w:sz w:val="18"/>
          <w:szCs w:val="18"/>
          <w:color w:val="auto"/>
        </w:rPr>
        <w:t>[****]</w:t>
      </w:r>
      <w:r>
        <w:rPr>
          <w:rFonts w:ascii="Arial" w:cs="Arial" w:eastAsia="Arial" w:hAnsi="Arial"/>
          <w:sz w:val="21"/>
          <w:szCs w:val="21"/>
          <w:color w:val="auto"/>
        </w:rPr>
        <w:t>”</w:t>
      </w:r>
    </w:p>
    <w:p>
      <w:pPr>
        <w:spacing w:after="0" w:line="177"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Section 1.2 of Letter Agreement AAL-PA-3219-LA1802492 entitled “</w:t>
      </w:r>
      <w:r>
        <w:rPr>
          <w:rFonts w:ascii="Arial" w:cs="Arial" w:eastAsia="Arial" w:hAnsi="Arial"/>
          <w:sz w:val="19"/>
          <w:szCs w:val="19"/>
          <w:u w:val="single" w:color="auto"/>
          <w:color w:val="auto"/>
        </w:rPr>
        <w:t>Open</w:t>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22"/>
          <w:szCs w:val="22"/>
          <w:u w:val="single" w:color="auto"/>
          <w:color w:val="auto"/>
        </w:rPr>
        <w:t>Configuration Matters</w:t>
      </w:r>
      <w:r>
        <w:rPr>
          <w:rFonts w:ascii="Arial" w:cs="Arial" w:eastAsia="Arial" w:hAnsi="Arial"/>
          <w:sz w:val="22"/>
          <w:szCs w:val="22"/>
          <w:color w:val="auto"/>
        </w:rPr>
        <w:t>”</w:t>
      </w:r>
    </w:p>
    <w:p>
      <w:pPr>
        <w:spacing w:after="0" w:line="73"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1.3.1.1 of Letter Agreement AAL-1604503 entitled “787 Aircraft</w:t>
      </w:r>
    </w:p>
    <w:p>
      <w:pPr>
        <w:ind w:left="1320"/>
        <w:spacing w:after="0"/>
        <w:rPr>
          <w:sz w:val="20"/>
          <w:szCs w:val="20"/>
          <w:color w:val="auto"/>
        </w:rPr>
      </w:pPr>
      <w:r>
        <w:rPr>
          <w:rFonts w:ascii="Arial" w:cs="Arial" w:eastAsia="Arial" w:hAnsi="Arial"/>
          <w:sz w:val="22"/>
          <w:szCs w:val="22"/>
          <w:color w:val="auto"/>
        </w:rPr>
        <w:t>Business Matters”</w:t>
      </w:r>
    </w:p>
    <w:p>
      <w:pPr>
        <w:spacing w:after="0" w:line="94"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Sections 6 and 7 of Supplemental Agreement No. 11</w:t>
      </w:r>
    </w:p>
    <w:p>
      <w:pPr>
        <w:spacing w:after="0" w:line="166"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Supplemental Exhibit EE1</w:t>
      </w:r>
    </w:p>
    <w:p>
      <w:pPr>
        <w:spacing w:after="0" w:line="200" w:lineRule="exact"/>
        <w:rPr>
          <w:sz w:val="20"/>
          <w:szCs w:val="20"/>
          <w:color w:val="auto"/>
        </w:rPr>
      </w:pPr>
    </w:p>
    <w:p>
      <w:pPr>
        <w:spacing w:after="0" w:line="316"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Table 7 Reference Clarifications</w:t>
      </w:r>
      <w:r>
        <w:rPr>
          <w:rFonts w:ascii="Arial" w:cs="Arial" w:eastAsia="Arial" w:hAnsi="Arial"/>
          <w:sz w:val="19"/>
          <w:szCs w:val="19"/>
          <w:color w:val="auto"/>
        </w:rPr>
        <w:t>.</w:t>
      </w:r>
    </w:p>
    <w:p>
      <w:pPr>
        <w:spacing w:after="0" w:line="180" w:lineRule="exact"/>
        <w:rPr>
          <w:sz w:val="20"/>
          <w:szCs w:val="20"/>
          <w:color w:val="auto"/>
        </w:rPr>
      </w:pPr>
    </w:p>
    <w:p>
      <w:pPr>
        <w:ind w:firstLine="2187"/>
        <w:spacing w:after="0" w:line="247" w:lineRule="auto"/>
        <w:rPr>
          <w:sz w:val="20"/>
          <w:szCs w:val="20"/>
          <w:color w:val="auto"/>
        </w:rPr>
      </w:pPr>
      <w:r>
        <w:rPr>
          <w:rFonts w:ascii="Arial" w:cs="Arial" w:eastAsia="Arial" w:hAnsi="Arial"/>
          <w:sz w:val="19"/>
          <w:szCs w:val="19"/>
          <w:color w:val="auto"/>
        </w:rPr>
        <w:t>4.2.1 The following references in the Purchase Agreement and the associated exhibits, supplemental exhibits, and letter agreements to the Purchase Agreement to “Table 7” and “Table 7(R1)” is now deemed to refer to “Table</w:t>
      </w:r>
    </w:p>
    <w:p>
      <w:pPr>
        <w:spacing w:after="0"/>
        <w:rPr>
          <w:sz w:val="20"/>
          <w:szCs w:val="20"/>
          <w:color w:val="auto"/>
        </w:rPr>
      </w:pPr>
      <w:r>
        <w:rPr>
          <w:rFonts w:ascii="Arial" w:cs="Arial" w:eastAsia="Arial" w:hAnsi="Arial"/>
          <w:sz w:val="22"/>
          <w:szCs w:val="22"/>
          <w:color w:val="auto"/>
        </w:rPr>
        <w:t>7(R2)”. Specifically, the locations of such references are (but may not be limited to)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tabs>
          <w:tab w:leader="none" w:pos="200" w:val="left"/>
          <w:tab w:leader="none" w:pos="200" w:val="left"/>
        </w:tabs>
        <w:rPr>
          <w:sz w:val="20"/>
          <w:szCs w:val="20"/>
          <w:color w:val="auto"/>
        </w:rPr>
      </w:pPr>
      <w:r>
        <w:rPr>
          <w:rFonts w:ascii="Arial" w:cs="Arial" w:eastAsia="Arial" w:hAnsi="Arial"/>
          <w:sz w:val="22"/>
          <w:szCs w:val="22"/>
          <w:color w:val="auto"/>
        </w:rPr>
        <w:t>PA 3219</w:t>
        <w:tab/>
        <w:t>SA-19</w:t>
      </w:r>
      <w:r>
        <w:rPr>
          <w:sz w:val="20"/>
          <w:szCs w:val="20"/>
          <w:color w:val="auto"/>
        </w:rPr>
        <w:tab/>
      </w:r>
      <w:r>
        <w:rPr>
          <w:rFonts w:ascii="Arial" w:cs="Arial" w:eastAsia="Arial" w:hAnsi="Arial"/>
          <w:sz w:val="18"/>
          <w:szCs w:val="18"/>
          <w:color w:val="auto"/>
        </w:rPr>
        <w:t>Page 3</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95" w:name="page96"/>
    <w:bookmarkEnd w:id="95"/>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877570</wp:posOffset>
            </wp:positionV>
            <wp:extent cx="4337685" cy="42691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37685" cy="426910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2"/>
          <w:szCs w:val="22"/>
          <w:b w:val="1"/>
          <w:bCs w:val="1"/>
          <w:u w:val="single" w:color="auto"/>
          <w:color w:val="auto"/>
        </w:rPr>
        <w:t>Location of References</w:t>
      </w:r>
      <w:r>
        <w:rPr>
          <w:rFonts w:ascii="Arial" w:cs="Arial" w:eastAsia="Arial" w:hAnsi="Arial"/>
          <w:sz w:val="22"/>
          <w:szCs w:val="22"/>
          <w:b w:val="1"/>
          <w:bCs w:val="1"/>
          <w:color w:val="auto"/>
        </w:rPr>
        <w:t>*</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Articles 1, 2, 3 (all sections), 4 (all sections), and Section 5.1 of the Basic</w:t>
      </w:r>
    </w:p>
    <w:p>
      <w:pPr>
        <w:spacing w:after="0" w:line="16"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Articles</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Exhibit C(R1), Definitions of “Aircraft” and “Engine”</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 1 of Supplemental Exhibit AE1</w:t>
      </w:r>
    </w:p>
    <w:p>
      <w:pPr>
        <w:spacing w:after="0" w:line="179" w:lineRule="exact"/>
        <w:rPr>
          <w:sz w:val="20"/>
          <w:szCs w:val="20"/>
          <w:color w:val="auto"/>
        </w:rPr>
      </w:pPr>
    </w:p>
    <w:p>
      <w:pPr>
        <w:ind w:left="1320" w:right="3260"/>
        <w:spacing w:after="0" w:line="247" w:lineRule="auto"/>
        <w:rPr>
          <w:sz w:val="20"/>
          <w:szCs w:val="20"/>
          <w:color w:val="auto"/>
        </w:rPr>
      </w:pPr>
      <w:r>
        <w:rPr>
          <w:rFonts w:ascii="Arial" w:cs="Arial" w:eastAsia="Arial" w:hAnsi="Arial"/>
          <w:sz w:val="19"/>
          <w:szCs w:val="19"/>
          <w:color w:val="auto"/>
        </w:rPr>
        <w:t>Section 1.4.1 of Letter Agreement 6-1162-CLO-1047R4 entitled “</w:t>
      </w:r>
      <w:r>
        <w:rPr>
          <w:rFonts w:ascii="Arial" w:cs="Arial" w:eastAsia="Arial" w:hAnsi="Arial"/>
          <w:sz w:val="17"/>
          <w:szCs w:val="17"/>
          <w:color w:val="auto"/>
        </w:rPr>
        <w:t>[****]</w:t>
      </w:r>
      <w:r>
        <w:rPr>
          <w:rFonts w:ascii="Arial" w:cs="Arial" w:eastAsia="Arial" w:hAnsi="Arial"/>
          <w:sz w:val="19"/>
          <w:szCs w:val="19"/>
          <w:color w:val="auto"/>
        </w:rPr>
        <w:t xml:space="preserve">” (specifically the </w:t>
      </w:r>
      <w:r>
        <w:rPr>
          <w:rFonts w:ascii="Arial" w:cs="Arial" w:eastAsia="Arial" w:hAnsi="Arial"/>
          <w:sz w:val="17"/>
          <w:szCs w:val="17"/>
          <w:color w:val="auto"/>
        </w:rPr>
        <w:t>[****]</w:t>
      </w:r>
      <w:r>
        <w:rPr>
          <w:rFonts w:ascii="Arial" w:cs="Arial" w:eastAsia="Arial" w:hAnsi="Arial"/>
          <w:sz w:val="19"/>
          <w:szCs w:val="19"/>
          <w:color w:val="auto"/>
        </w:rPr>
        <w:t xml:space="preserve"> listed on Table 7 will be included in the definition of</w:t>
      </w:r>
    </w:p>
    <w:p>
      <w:pPr>
        <w:ind w:left="132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w:t>
      </w:r>
    </w:p>
    <w:p>
      <w:pPr>
        <w:spacing w:after="0" w:line="159" w:lineRule="exact"/>
        <w:rPr>
          <w:sz w:val="20"/>
          <w:szCs w:val="20"/>
          <w:color w:val="auto"/>
        </w:rPr>
      </w:pPr>
    </w:p>
    <w:p>
      <w:pPr>
        <w:ind w:left="1320" w:right="3260"/>
        <w:spacing w:after="0" w:line="298" w:lineRule="auto"/>
        <w:rPr>
          <w:sz w:val="20"/>
          <w:szCs w:val="20"/>
          <w:color w:val="auto"/>
        </w:rPr>
      </w:pPr>
      <w:r>
        <w:rPr>
          <w:rFonts w:ascii="Arial" w:cs="Arial" w:eastAsia="Arial" w:hAnsi="Arial"/>
          <w:sz w:val="19"/>
          <w:szCs w:val="19"/>
          <w:color w:val="auto"/>
        </w:rPr>
        <w:t>Section 1 (definition of “Firm Aircraft”) of Letter Agreement 6-1162-TRW-0664R2 entitled “</w:t>
      </w:r>
      <w:r>
        <w:rPr>
          <w:rFonts w:ascii="Arial" w:cs="Arial" w:eastAsia="Arial" w:hAnsi="Arial"/>
          <w:sz w:val="19"/>
          <w:szCs w:val="19"/>
          <w:u w:val="single" w:color="auto"/>
          <w:color w:val="auto"/>
        </w:rPr>
        <w:t>Aircraft Purchase Rights and Substitution Rights</w:t>
      </w:r>
      <w:r>
        <w:rPr>
          <w:rFonts w:ascii="Arial" w:cs="Arial" w:eastAsia="Arial" w:hAnsi="Arial"/>
          <w:sz w:val="19"/>
          <w:szCs w:val="19"/>
          <w:color w:val="auto"/>
        </w:rPr>
        <w:t>”</w:t>
      </w:r>
    </w:p>
    <w:p>
      <w:pPr>
        <w:spacing w:after="0" w:line="105" w:lineRule="exact"/>
        <w:rPr>
          <w:sz w:val="20"/>
          <w:szCs w:val="20"/>
          <w:color w:val="auto"/>
        </w:rPr>
      </w:pPr>
    </w:p>
    <w:p>
      <w:pPr>
        <w:ind w:left="1320" w:right="3260"/>
        <w:spacing w:after="0" w:line="232" w:lineRule="auto"/>
        <w:rPr>
          <w:sz w:val="20"/>
          <w:szCs w:val="20"/>
          <w:color w:val="auto"/>
        </w:rPr>
      </w:pPr>
      <w:r>
        <w:rPr>
          <w:rFonts w:ascii="Arial" w:cs="Arial" w:eastAsia="Arial" w:hAnsi="Arial"/>
          <w:sz w:val="22"/>
          <w:szCs w:val="22"/>
          <w:color w:val="auto"/>
        </w:rPr>
        <w:t>Section 1.1 of LA 6-1162-TRW-0672R1 entitled “</w:t>
      </w:r>
      <w:r>
        <w:rPr>
          <w:rFonts w:ascii="Arial" w:cs="Arial" w:eastAsia="Arial" w:hAnsi="Arial"/>
          <w:sz w:val="22"/>
          <w:szCs w:val="22"/>
          <w:u w:val="single" w:color="auto"/>
          <w:color w:val="auto"/>
        </w:rPr>
        <w:t>Promotional Support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59" w:lineRule="exact"/>
        <w:rPr>
          <w:sz w:val="20"/>
          <w:szCs w:val="20"/>
          <w:color w:val="auto"/>
        </w:rPr>
      </w:pPr>
    </w:p>
    <w:p>
      <w:pPr>
        <w:ind w:left="1360" w:right="3260"/>
        <w:spacing w:after="0" w:line="232" w:lineRule="auto"/>
        <w:rPr>
          <w:sz w:val="20"/>
          <w:szCs w:val="20"/>
          <w:color w:val="auto"/>
        </w:rPr>
      </w:pPr>
      <w:r>
        <w:rPr>
          <w:rFonts w:ascii="Arial" w:cs="Arial" w:eastAsia="Arial" w:hAnsi="Arial"/>
          <w:sz w:val="22"/>
          <w:szCs w:val="22"/>
          <w:color w:val="auto"/>
        </w:rPr>
        <w:t>Sections 4a.2, 6, and 9.2 of Letter Agreement 6-1162-TRW-0674R4 entitled “</w:t>
      </w:r>
      <w:r>
        <w:rPr>
          <w:rFonts w:ascii="Arial" w:cs="Arial" w:eastAsia="Arial" w:hAnsi="Arial"/>
          <w:sz w:val="22"/>
          <w:szCs w:val="22"/>
          <w:u w:val="single" w:color="auto"/>
          <w:color w:val="auto"/>
        </w:rPr>
        <w:t>Business Considerations</w:t>
      </w:r>
      <w:r>
        <w:rPr>
          <w:rFonts w:ascii="Arial" w:cs="Arial" w:eastAsia="Arial" w:hAnsi="Arial"/>
          <w:sz w:val="22"/>
          <w:szCs w:val="22"/>
          <w:color w:val="auto"/>
        </w:rPr>
        <w:t>”</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 of Letter Agreement AAL-PA-03219-1804779 entitled “</w:t>
      </w:r>
      <w:r>
        <w:rPr>
          <w:rFonts w:ascii="Arial" w:cs="Arial" w:eastAsia="Arial" w:hAnsi="Arial"/>
          <w:sz w:val="18"/>
          <w:szCs w:val="18"/>
          <w:color w:val="auto"/>
        </w:rPr>
        <w:t>[****]</w:t>
      </w:r>
      <w:r>
        <w:rPr>
          <w:rFonts w:ascii="Arial" w:cs="Arial" w:eastAsia="Arial" w:hAnsi="Arial"/>
          <w:sz w:val="21"/>
          <w:szCs w:val="21"/>
          <w:color w:val="auto"/>
        </w:rPr>
        <w:t>”</w:t>
      </w:r>
    </w:p>
    <w:p>
      <w:pPr>
        <w:spacing w:after="0" w:line="191"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Section 1.2 of Letter Agreement AAL-PA-3219-LA1802492 entitled “</w:t>
      </w:r>
      <w:r>
        <w:rPr>
          <w:rFonts w:ascii="Arial" w:cs="Arial" w:eastAsia="Arial" w:hAnsi="Arial"/>
          <w:sz w:val="19"/>
          <w:szCs w:val="19"/>
          <w:u w:val="single" w:color="auto"/>
          <w:color w:val="auto"/>
        </w:rPr>
        <w:t>Open</w:t>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22"/>
          <w:szCs w:val="22"/>
          <w:u w:val="single" w:color="auto"/>
          <w:color w:val="auto"/>
        </w:rPr>
        <w:t>Configuration Matters</w:t>
      </w:r>
      <w:r>
        <w:rPr>
          <w:rFonts w:ascii="Arial" w:cs="Arial" w:eastAsia="Arial" w:hAnsi="Arial"/>
          <w:sz w:val="22"/>
          <w:szCs w:val="22"/>
          <w:color w:val="auto"/>
        </w:rPr>
        <w:t>”</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Sections 6 and 7 of Supplemental Agreement No. 11</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Supplemental Exhibit EE1</w:t>
      </w:r>
    </w:p>
    <w:p>
      <w:pPr>
        <w:spacing w:after="0" w:line="200" w:lineRule="exact"/>
        <w:rPr>
          <w:sz w:val="20"/>
          <w:szCs w:val="20"/>
          <w:color w:val="auto"/>
        </w:rPr>
      </w:pPr>
    </w:p>
    <w:p>
      <w:pPr>
        <w:spacing w:after="0" w:line="209" w:lineRule="exact"/>
        <w:rPr>
          <w:sz w:val="20"/>
          <w:szCs w:val="20"/>
          <w:color w:val="auto"/>
        </w:rPr>
      </w:pPr>
    </w:p>
    <w:p>
      <w:pPr>
        <w:jc w:val="both"/>
        <w:ind w:firstLine="899"/>
        <w:spacing w:after="0" w:line="268" w:lineRule="auto"/>
        <w:rPr>
          <w:sz w:val="20"/>
          <w:szCs w:val="20"/>
          <w:color w:val="auto"/>
        </w:rPr>
      </w:pPr>
      <w:r>
        <w:rPr>
          <w:rFonts w:ascii="Arial" w:cs="Arial" w:eastAsia="Arial" w:hAnsi="Arial"/>
          <w:sz w:val="19"/>
          <w:szCs w:val="19"/>
          <w:color w:val="auto"/>
        </w:rPr>
        <w:t>5.3 References in the Purchase Agreement and any supplemental agreements and associated letter agreements to the tables, exhibits, supplemental exhibits and letter agreements listed in the left column of the below table shall be deemed to refer to the corresponding tables, exhibits, supplemental exhibits and letter agreements listed in the right column of the below table.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Reference</w:t>
            </w:r>
          </w:p>
        </w:tc>
        <w:tc>
          <w:tcPr>
            <w:tcW w:w="5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Replacement Reference</w:t>
            </w:r>
          </w:p>
        </w:tc>
      </w:tr>
      <w:tr>
        <w:trPr>
          <w:trHeight w:val="30"/>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Exhibit A(R3)</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Exhibit A(R4)</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73"/>
        </w:trPr>
        <w:tc>
          <w:tcPr>
            <w:tcW w:w="5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Letter Agreement AAL-PA-03219-LA-1804779</w:t>
            </w: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Letter Agreement AAL-PA-03219-LA-1804779R1</w:t>
            </w:r>
          </w:p>
        </w:tc>
      </w:tr>
      <w:tr>
        <w:trPr>
          <w:trHeight w:val="30"/>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bl>
    <w:p>
      <w:pPr>
        <w:spacing w:after="0" w:line="289" w:lineRule="exact"/>
        <w:rPr>
          <w:sz w:val="20"/>
          <w:szCs w:val="20"/>
          <w:color w:val="auto"/>
        </w:rPr>
      </w:pPr>
    </w:p>
    <w:p>
      <w:pPr>
        <w:jc w:val="both"/>
        <w:ind w:firstLine="1053"/>
        <w:spacing w:after="0" w:line="216" w:lineRule="auto"/>
        <w:rPr>
          <w:sz w:val="20"/>
          <w:szCs w:val="20"/>
          <w:color w:val="auto"/>
        </w:rPr>
      </w:pPr>
      <w:r>
        <w:rPr>
          <w:rFonts w:ascii="Arial" w:cs="Arial" w:eastAsia="Arial" w:hAnsi="Arial"/>
          <w:sz w:val="22"/>
          <w:szCs w:val="22"/>
          <w:color w:val="auto"/>
        </w:rPr>
        <w:t>5.4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tabs>
          <w:tab w:leader="none" w:pos="200" w:val="left"/>
          <w:tab w:leader="none" w:pos="200" w:val="left"/>
        </w:tabs>
        <w:rPr>
          <w:sz w:val="20"/>
          <w:szCs w:val="20"/>
          <w:color w:val="auto"/>
        </w:rPr>
      </w:pPr>
      <w:r>
        <w:rPr>
          <w:rFonts w:ascii="Arial" w:cs="Arial" w:eastAsia="Arial" w:hAnsi="Arial"/>
          <w:sz w:val="22"/>
          <w:szCs w:val="22"/>
          <w:color w:val="auto"/>
        </w:rPr>
        <w:t>PA 3219</w:t>
        <w:tab/>
        <w:t>SA-19</w:t>
      </w:r>
      <w:r>
        <w:rPr>
          <w:sz w:val="20"/>
          <w:szCs w:val="20"/>
          <w:color w:val="auto"/>
        </w:rPr>
        <w:tab/>
      </w:r>
      <w:r>
        <w:rPr>
          <w:rFonts w:ascii="Arial" w:cs="Arial" w:eastAsia="Arial" w:hAnsi="Arial"/>
          <w:sz w:val="18"/>
          <w:szCs w:val="18"/>
          <w:color w:val="auto"/>
        </w:rPr>
        <w:t>Page 4</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96" w:name="page97"/>
    <w:bookmarkEnd w:id="96"/>
    <w:p>
      <w:pPr>
        <w:spacing w:after="0" w:line="90" w:lineRule="exact"/>
        <w:rPr>
          <w:sz w:val="20"/>
          <w:szCs w:val="20"/>
          <w:color w:val="auto"/>
        </w:rPr>
      </w:pPr>
    </w:p>
    <w:p>
      <w:pPr>
        <w:ind w:left="1060" w:right="8459" w:hanging="1052"/>
        <w:spacing w:after="0" w:line="435" w:lineRule="auto"/>
        <w:tabs>
          <w:tab w:leader="none" w:pos="65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38" w:lineRule="exact"/>
        <w:rPr>
          <w:sz w:val="20"/>
          <w:szCs w:val="20"/>
          <w:color w:val="auto"/>
        </w:rPr>
      </w:pPr>
    </w:p>
    <w:p>
      <w:pPr>
        <w:jc w:val="right"/>
        <w:ind w:right="2339"/>
        <w:spacing w:after="0"/>
        <w:rPr>
          <w:sz w:val="20"/>
          <w:szCs w:val="20"/>
          <w:color w:val="auto"/>
        </w:rPr>
      </w:pPr>
      <w:r>
        <w:rPr>
          <w:rFonts w:ascii="Arial" w:cs="Arial" w:eastAsia="Arial" w:hAnsi="Arial"/>
          <w:sz w:val="22"/>
          <w:szCs w:val="22"/>
          <w:color w:val="auto"/>
        </w:rPr>
        <w:t>The rest of this page is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00"/>
        <w:spacing w:after="0"/>
        <w:tabs>
          <w:tab w:leader="none" w:pos="200" w:val="left"/>
          <w:tab w:leader="none" w:pos="200" w:val="left"/>
        </w:tabs>
        <w:rPr>
          <w:sz w:val="20"/>
          <w:szCs w:val="20"/>
          <w:color w:val="auto"/>
        </w:rPr>
      </w:pPr>
      <w:r>
        <w:rPr>
          <w:rFonts w:ascii="Arial" w:cs="Arial" w:eastAsia="Arial" w:hAnsi="Arial"/>
          <w:sz w:val="22"/>
          <w:szCs w:val="22"/>
          <w:color w:val="auto"/>
        </w:rPr>
        <w:t>PA 3219</w:t>
        <w:tab/>
        <w:t>SA-19</w:t>
      </w:r>
      <w:r>
        <w:rPr>
          <w:sz w:val="20"/>
          <w:szCs w:val="20"/>
          <w:color w:val="auto"/>
        </w:rPr>
        <w:tab/>
      </w:r>
      <w:r>
        <w:rPr>
          <w:rFonts w:ascii="Arial" w:cs="Arial" w:eastAsia="Arial" w:hAnsi="Arial"/>
          <w:sz w:val="18"/>
          <w:szCs w:val="18"/>
          <w:color w:val="auto"/>
        </w:rPr>
        <w:t>Page 5</w:t>
      </w:r>
    </w:p>
    <w:p>
      <w:pPr>
        <w:jc w:val="center"/>
        <w:ind w:right="-11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AGREED AND ACCEPTED</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April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33020</wp:posOffset>
            </wp:positionV>
            <wp:extent cx="32575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BOEING COMPANY</w:t>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41275</wp:posOffset>
            </wp:positionV>
            <wp:extent cx="32575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41275</wp:posOffset>
            </wp:positionV>
            <wp:extent cx="32575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33020</wp:posOffset>
            </wp:positionV>
            <wp:extent cx="32575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AIRLINES, INC.</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41275</wp:posOffset>
            </wp:positionV>
            <wp:extent cx="35318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41275</wp:posOffset>
            </wp:positionV>
            <wp:extent cx="3531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33020</wp:posOffset>
            </wp:positionV>
            <wp:extent cx="3531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4840" w:space="720"/>
            <w:col w:w="4399"/>
          </w:cols>
          <w:pgMar w:left="5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20"/>
        <w:spacing w:after="0"/>
        <w:tabs>
          <w:tab w:leader="none" w:pos="200" w:val="left"/>
          <w:tab w:leader="none" w:pos="200" w:val="left"/>
        </w:tabs>
        <w:rPr>
          <w:sz w:val="20"/>
          <w:szCs w:val="20"/>
          <w:color w:val="auto"/>
        </w:rPr>
      </w:pPr>
      <w:r>
        <w:rPr>
          <w:rFonts w:ascii="Arial" w:cs="Arial" w:eastAsia="Arial" w:hAnsi="Arial"/>
          <w:sz w:val="22"/>
          <w:szCs w:val="22"/>
          <w:color w:val="auto"/>
        </w:rPr>
        <w:t>PA 3219</w:t>
        <w:tab/>
        <w:t>SA-19</w:t>
      </w:r>
      <w:r>
        <w:rPr>
          <w:sz w:val="20"/>
          <w:szCs w:val="20"/>
          <w:color w:val="auto"/>
        </w:rPr>
        <w:tab/>
      </w:r>
      <w:r>
        <w:rPr>
          <w:rFonts w:ascii="Arial" w:cs="Arial" w:eastAsia="Arial" w:hAnsi="Arial"/>
          <w:sz w:val="18"/>
          <w:szCs w:val="18"/>
          <w:color w:val="auto"/>
        </w:rPr>
        <w:t>Page 6</w:t>
      </w:r>
    </w:p>
    <w:p>
      <w:pPr>
        <w:jc w:val="center"/>
        <w:ind w:right="-920"/>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9959"/>
          </w:cols>
          <w:pgMar w:left="500" w:top="1440" w:right="1440" w:bottom="1440" w:gutter="0" w:footer="0" w:header="0"/>
          <w:type w:val="continuous"/>
        </w:sectPr>
      </w:pPr>
    </w:p>
    <w:bookmarkStart w:id="98" w:name="page99"/>
    <w:bookmarkEnd w:id="98"/>
    <w:p>
      <w:pPr>
        <w:spacing w:after="0" w:line="19" w:lineRule="exact"/>
        <w:rPr>
          <w:sz w:val="20"/>
          <w:szCs w:val="20"/>
          <w:color w:val="auto"/>
        </w:rPr>
      </w:pPr>
    </w:p>
    <w:tbl>
      <w:tblPr>
        <w:tblLayout w:type="fixed"/>
        <w:tblInd w:w="720" w:type="dxa"/>
        <w:tblCellMar>
          <w:top w:w="0" w:type="dxa"/>
          <w:left w:w="0" w:type="dxa"/>
          <w:bottom w:w="0" w:type="dxa"/>
          <w:right w:w="0" w:type="dxa"/>
        </w:tblCellMar>
      </w:tblP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20" w:type="dxa"/>
            <w:vAlign w:val="bottom"/>
            <w:gridSpan w:val="2"/>
          </w:tcPr>
          <w:p>
            <w:pPr>
              <w:ind w:left="2240"/>
              <w:spacing w:after="0"/>
              <w:rPr>
                <w:sz w:val="20"/>
                <w:szCs w:val="20"/>
                <w:color w:val="auto"/>
              </w:rPr>
            </w:pPr>
            <w:r>
              <w:rPr>
                <w:rFonts w:ascii="Arial" w:cs="Arial" w:eastAsia="Arial" w:hAnsi="Arial"/>
                <w:sz w:val="22"/>
                <w:szCs w:val="22"/>
                <w:color w:val="auto"/>
              </w:rPr>
              <w:t>TABLE OF CONTENTS</w:t>
            </w:r>
          </w:p>
        </w:tc>
        <w:tc>
          <w:tcPr>
            <w:tcW w:w="0" w:type="dxa"/>
            <w:vAlign w:val="bottom"/>
          </w:tcPr>
          <w:p>
            <w:pPr>
              <w:spacing w:after="0"/>
              <w:rPr>
                <w:sz w:val="1"/>
                <w:szCs w:val="1"/>
                <w:color w:val="auto"/>
              </w:rPr>
            </w:pPr>
          </w:p>
        </w:tc>
      </w:tr>
      <w:tr>
        <w:trPr>
          <w:trHeight w:val="436"/>
        </w:trPr>
        <w:tc>
          <w:tcPr>
            <w:tcW w:w="80" w:type="dxa"/>
            <w:vAlign w:val="bottom"/>
          </w:tcPr>
          <w:p>
            <w:pPr>
              <w:spacing w:after="0"/>
              <w:rPr>
                <w:sz w:val="24"/>
                <w:szCs w:val="24"/>
                <w:color w:val="auto"/>
              </w:rPr>
            </w:pPr>
          </w:p>
        </w:tc>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2"/>
              </w:rPr>
              <w:t>ARTICLES</w:t>
            </w:r>
          </w:p>
        </w:tc>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60" w:type="dxa"/>
            <w:vAlign w:val="bottom"/>
            <w:gridSpan w:val="3"/>
          </w:tcPr>
          <w:p>
            <w:pPr>
              <w:jc w:val="center"/>
              <w:spacing w:after="0"/>
              <w:rPr>
                <w:sz w:val="20"/>
                <w:szCs w:val="20"/>
                <w:color w:val="auto"/>
              </w:rPr>
            </w:pPr>
            <w:r>
              <w:rPr>
                <w:rFonts w:ascii="Arial" w:cs="Arial" w:eastAsia="Arial" w:hAnsi="Arial"/>
                <w:sz w:val="22"/>
                <w:szCs w:val="22"/>
                <w:color w:val="auto"/>
                <w:w w:val="86"/>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Quantity, Model and Description</w:t>
            </w:r>
          </w:p>
        </w:tc>
        <w:tc>
          <w:tcPr>
            <w:tcW w:w="0" w:type="dxa"/>
            <w:vAlign w:val="bottom"/>
          </w:tcPr>
          <w:p>
            <w:pPr>
              <w:spacing w:after="0"/>
              <w:rPr>
                <w:sz w:val="1"/>
                <w:szCs w:val="1"/>
                <w:color w:val="auto"/>
              </w:rPr>
            </w:pPr>
          </w:p>
        </w:tc>
      </w:tr>
      <w:tr>
        <w:trPr>
          <w:trHeight w:val="338"/>
        </w:trPr>
        <w:tc>
          <w:tcPr>
            <w:tcW w:w="760" w:type="dxa"/>
            <w:vAlign w:val="bottom"/>
            <w:gridSpan w:val="3"/>
          </w:tcPr>
          <w:p>
            <w:pPr>
              <w:jc w:val="center"/>
              <w:spacing w:after="0"/>
              <w:rPr>
                <w:sz w:val="20"/>
                <w:szCs w:val="20"/>
                <w:color w:val="auto"/>
              </w:rPr>
            </w:pPr>
            <w:r>
              <w:rPr>
                <w:rFonts w:ascii="Arial" w:cs="Arial" w:eastAsia="Arial" w:hAnsi="Arial"/>
                <w:sz w:val="22"/>
                <w:szCs w:val="22"/>
                <w:color w:val="auto"/>
                <w:w w:val="86"/>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Delivery Schedule</w:t>
            </w:r>
          </w:p>
        </w:tc>
        <w:tc>
          <w:tcPr>
            <w:tcW w:w="0" w:type="dxa"/>
            <w:vAlign w:val="bottom"/>
          </w:tcPr>
          <w:p>
            <w:pPr>
              <w:spacing w:after="0"/>
              <w:rPr>
                <w:sz w:val="1"/>
                <w:szCs w:val="1"/>
                <w:color w:val="auto"/>
              </w:rPr>
            </w:pPr>
          </w:p>
        </w:tc>
      </w:tr>
      <w:tr>
        <w:trPr>
          <w:trHeight w:val="338"/>
        </w:trPr>
        <w:tc>
          <w:tcPr>
            <w:tcW w:w="760" w:type="dxa"/>
            <w:vAlign w:val="bottom"/>
            <w:gridSpan w:val="3"/>
          </w:tcPr>
          <w:p>
            <w:pPr>
              <w:jc w:val="center"/>
              <w:spacing w:after="0"/>
              <w:rPr>
                <w:sz w:val="20"/>
                <w:szCs w:val="20"/>
                <w:color w:val="auto"/>
              </w:rPr>
            </w:pPr>
            <w:r>
              <w:rPr>
                <w:rFonts w:ascii="Arial" w:cs="Arial" w:eastAsia="Arial" w:hAnsi="Arial"/>
                <w:sz w:val="22"/>
                <w:szCs w:val="22"/>
                <w:color w:val="auto"/>
                <w:w w:val="86"/>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Price</w:t>
            </w:r>
          </w:p>
        </w:tc>
        <w:tc>
          <w:tcPr>
            <w:tcW w:w="0" w:type="dxa"/>
            <w:vAlign w:val="bottom"/>
          </w:tcPr>
          <w:p>
            <w:pPr>
              <w:spacing w:after="0"/>
              <w:rPr>
                <w:sz w:val="1"/>
                <w:szCs w:val="1"/>
                <w:color w:val="auto"/>
              </w:rPr>
            </w:pPr>
          </w:p>
        </w:tc>
      </w:tr>
      <w:tr>
        <w:trPr>
          <w:trHeight w:val="351"/>
        </w:trPr>
        <w:tc>
          <w:tcPr>
            <w:tcW w:w="760" w:type="dxa"/>
            <w:vAlign w:val="bottom"/>
            <w:gridSpan w:val="3"/>
          </w:tcPr>
          <w:p>
            <w:pPr>
              <w:jc w:val="center"/>
              <w:spacing w:after="0"/>
              <w:rPr>
                <w:sz w:val="20"/>
                <w:szCs w:val="20"/>
                <w:color w:val="auto"/>
              </w:rPr>
            </w:pPr>
            <w:r>
              <w:rPr>
                <w:rFonts w:ascii="Arial" w:cs="Arial" w:eastAsia="Arial" w:hAnsi="Arial"/>
                <w:sz w:val="22"/>
                <w:szCs w:val="22"/>
                <w:color w:val="auto"/>
                <w:w w:val="86"/>
              </w:rPr>
              <w:t>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Payment</w:t>
            </w:r>
          </w:p>
        </w:tc>
        <w:tc>
          <w:tcPr>
            <w:tcW w:w="0" w:type="dxa"/>
            <w:vAlign w:val="bottom"/>
          </w:tcPr>
          <w:p>
            <w:pPr>
              <w:spacing w:after="0"/>
              <w:rPr>
                <w:sz w:val="1"/>
                <w:szCs w:val="1"/>
                <w:color w:val="auto"/>
              </w:rPr>
            </w:pPr>
          </w:p>
        </w:tc>
      </w:tr>
      <w:tr>
        <w:trPr>
          <w:trHeight w:val="333"/>
        </w:trPr>
        <w:tc>
          <w:tcPr>
            <w:tcW w:w="760" w:type="dxa"/>
            <w:vAlign w:val="bottom"/>
            <w:gridSpan w:val="3"/>
          </w:tcPr>
          <w:p>
            <w:pPr>
              <w:jc w:val="center"/>
              <w:spacing w:after="0"/>
              <w:rPr>
                <w:sz w:val="20"/>
                <w:szCs w:val="20"/>
                <w:color w:val="auto"/>
              </w:rPr>
            </w:pPr>
            <w:r>
              <w:rPr>
                <w:rFonts w:ascii="Arial" w:cs="Arial" w:eastAsia="Arial" w:hAnsi="Arial"/>
                <w:sz w:val="22"/>
                <w:szCs w:val="22"/>
                <w:color w:val="auto"/>
                <w:w w:val="86"/>
              </w:rPr>
              <w:t>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Miscellaneous</w:t>
            </w:r>
          </w:p>
        </w:tc>
        <w:tc>
          <w:tcPr>
            <w:tcW w:w="0" w:type="dxa"/>
            <w:vAlign w:val="bottom"/>
          </w:tcPr>
          <w:p>
            <w:pPr>
              <w:spacing w:after="0"/>
              <w:rPr>
                <w:sz w:val="1"/>
                <w:szCs w:val="1"/>
                <w:color w:val="auto"/>
              </w:rPr>
            </w:pPr>
          </w:p>
        </w:tc>
      </w:tr>
      <w:tr>
        <w:trPr>
          <w:trHeight w:val="274"/>
        </w:trPr>
        <w:tc>
          <w:tcPr>
            <w:tcW w:w="760" w:type="dxa"/>
            <w:vAlign w:val="bottom"/>
            <w:gridSpan w:val="3"/>
          </w:tcPr>
          <w:p>
            <w:pPr>
              <w:jc w:val="center"/>
              <w:spacing w:after="0"/>
              <w:rPr>
                <w:sz w:val="20"/>
                <w:szCs w:val="20"/>
                <w:color w:val="auto"/>
              </w:rPr>
            </w:pPr>
            <w:r>
              <w:rPr>
                <w:rFonts w:ascii="Arial" w:cs="Arial" w:eastAsia="Arial" w:hAnsi="Arial"/>
                <w:sz w:val="22"/>
                <w:szCs w:val="22"/>
                <w:color w:val="auto"/>
                <w:w w:val="86"/>
              </w:rPr>
              <w:t>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Confidential Treatment</w:t>
            </w:r>
          </w:p>
        </w:tc>
        <w:tc>
          <w:tcPr>
            <w:tcW w:w="0" w:type="dxa"/>
            <w:vAlign w:val="bottom"/>
          </w:tcPr>
          <w:p>
            <w:pPr>
              <w:spacing w:after="0"/>
              <w:rPr>
                <w:sz w:val="1"/>
                <w:szCs w:val="1"/>
                <w:color w:val="auto"/>
              </w:rPr>
            </w:pPr>
          </w:p>
        </w:tc>
      </w:tr>
      <w:tr>
        <w:trPr>
          <w:trHeight w:val="489"/>
        </w:trPr>
        <w:tc>
          <w:tcPr>
            <w:tcW w:w="8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22"/>
                <w:szCs w:val="22"/>
                <w:color w:val="auto"/>
              </w:rPr>
              <w:t>TABLE</w:t>
            </w:r>
          </w:p>
        </w:tc>
        <w:tc>
          <w:tcPr>
            <w:tcW w:w="3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0" w:type="dxa"/>
            <w:vAlign w:val="bottom"/>
            <w:gridSpan w:val="2"/>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strike w:val="1"/>
                <w:w w:val="86"/>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60" w:type="dxa"/>
            <w:vAlign w:val="bottom"/>
          </w:tcPr>
          <w:p>
            <w:pPr>
              <w:ind w:left="460"/>
              <w:spacing w:after="0"/>
              <w:rPr>
                <w:sz w:val="20"/>
                <w:szCs w:val="20"/>
                <w:color w:val="auto"/>
              </w:rPr>
            </w:pPr>
            <w:r>
              <w:rPr>
                <w:rFonts w:ascii="Arial" w:cs="Arial" w:eastAsia="Arial" w:hAnsi="Arial"/>
                <w:sz w:val="22"/>
                <w:szCs w:val="22"/>
                <w:color w:val="auto"/>
                <w:strike w:val="1"/>
                <w:w w:val="92"/>
              </w:rPr>
              <w:t>Aircraft Information Table – TRENT</w:t>
            </w:r>
          </w:p>
        </w:tc>
        <w:tc>
          <w:tcPr>
            <w:tcW w:w="3160" w:type="dxa"/>
            <w:vAlign w:val="bottom"/>
          </w:tcPr>
          <w:p>
            <w:pPr>
              <w:ind w:left="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center"/>
              <w:ind w:right="800"/>
              <w:spacing w:after="0"/>
              <w:rPr>
                <w:sz w:val="20"/>
                <w:szCs w:val="20"/>
                <w:color w:val="auto"/>
              </w:rPr>
            </w:pPr>
            <w:r>
              <w:rPr>
                <w:rFonts w:ascii="Arial" w:cs="Arial" w:eastAsia="Arial" w:hAnsi="Arial"/>
                <w:sz w:val="22"/>
                <w:szCs w:val="22"/>
                <w:color w:val="auto"/>
                <w:w w:val="90"/>
              </w:rPr>
              <w:t>1(R7)</w:t>
            </w: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787-9 Aircraft Information Table – GENX</w:t>
            </w:r>
          </w:p>
        </w:tc>
        <w:tc>
          <w:tcPr>
            <w:tcW w:w="0" w:type="dxa"/>
            <w:vAlign w:val="bottom"/>
          </w:tcPr>
          <w:p>
            <w:pPr>
              <w:spacing w:after="0"/>
              <w:rPr>
                <w:sz w:val="1"/>
                <w:szCs w:val="1"/>
                <w:color w:val="auto"/>
              </w:rPr>
            </w:pPr>
          </w:p>
        </w:tc>
      </w:tr>
      <w:tr>
        <w:trPr>
          <w:trHeight w:val="41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vMerge w:val="restart"/>
          </w:tcPr>
          <w:p>
            <w:pPr>
              <w:jc w:val="center"/>
              <w:ind w:right="800"/>
              <w:spacing w:after="0"/>
              <w:rPr>
                <w:sz w:val="20"/>
                <w:szCs w:val="20"/>
                <w:color w:val="auto"/>
              </w:rPr>
            </w:pPr>
            <w:r>
              <w:rPr>
                <w:rFonts w:ascii="Arial" w:cs="Arial" w:eastAsia="Arial" w:hAnsi="Arial"/>
                <w:sz w:val="22"/>
                <w:szCs w:val="22"/>
                <w:color w:val="auto"/>
                <w:w w:val="90"/>
              </w:rPr>
              <w:t>2(R1)</w:t>
            </w: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787-8 Aircraft Information Table – GENX</w:t>
            </w: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gridSpan w:val="4"/>
            <w:vMerge w:val="continue"/>
          </w:tcPr>
          <w:p>
            <w:pPr>
              <w:spacing w:after="0"/>
              <w:rPr>
                <w:sz w:val="23"/>
                <w:szCs w:val="23"/>
                <w:color w:val="auto"/>
              </w:rPr>
            </w:pPr>
          </w:p>
        </w:tc>
        <w:tc>
          <w:tcPr>
            <w:tcW w:w="6820" w:type="dxa"/>
            <w:vAlign w:val="bottom"/>
            <w:gridSpan w:val="2"/>
          </w:tcPr>
          <w:p>
            <w:pPr>
              <w:ind w:left="780"/>
              <w:spacing w:after="0"/>
              <w:rPr>
                <w:sz w:val="20"/>
                <w:szCs w:val="20"/>
                <w:color w:val="auto"/>
              </w:rPr>
            </w:pPr>
            <w:r>
              <w:rPr>
                <w:rFonts w:ascii="Arial" w:cs="Arial" w:eastAsia="Arial" w:hAnsi="Arial"/>
                <w:sz w:val="22"/>
                <w:szCs w:val="22"/>
                <w:color w:val="auto"/>
              </w:rPr>
              <w:t>([****] (12) 787-8 Aircraft)</w:t>
            </w:r>
          </w:p>
        </w:tc>
        <w:tc>
          <w:tcPr>
            <w:tcW w:w="0" w:type="dxa"/>
            <w:vAlign w:val="bottom"/>
          </w:tcPr>
          <w:p>
            <w:pPr>
              <w:spacing w:after="0"/>
              <w:rPr>
                <w:sz w:val="1"/>
                <w:szCs w:val="1"/>
                <w:color w:val="auto"/>
              </w:rPr>
            </w:pPr>
          </w:p>
        </w:tc>
      </w:tr>
      <w:tr>
        <w:trPr>
          <w:trHeight w:val="41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vMerge w:val="restart"/>
          </w:tcPr>
          <w:p>
            <w:pPr>
              <w:jc w:val="center"/>
              <w:ind w:right="800"/>
              <w:spacing w:after="0"/>
              <w:rPr>
                <w:sz w:val="20"/>
                <w:szCs w:val="20"/>
                <w:color w:val="auto"/>
              </w:rPr>
            </w:pPr>
            <w:r>
              <w:rPr>
                <w:rFonts w:ascii="Arial" w:cs="Arial" w:eastAsia="Arial" w:hAnsi="Arial"/>
                <w:sz w:val="22"/>
                <w:szCs w:val="22"/>
                <w:color w:val="auto"/>
                <w:w w:val="90"/>
              </w:rPr>
              <w:t>3(R1)</w:t>
            </w: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787-8 Aircraft Information Table – GENX</w:t>
            </w: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gridSpan w:val="4"/>
            <w:vMerge w:val="continue"/>
          </w:tcPr>
          <w:p>
            <w:pPr>
              <w:spacing w:after="0"/>
              <w:rPr>
                <w:sz w:val="23"/>
                <w:szCs w:val="23"/>
                <w:color w:val="auto"/>
              </w:rPr>
            </w:pPr>
          </w:p>
        </w:tc>
        <w:tc>
          <w:tcPr>
            <w:tcW w:w="6820" w:type="dxa"/>
            <w:vAlign w:val="bottom"/>
            <w:gridSpan w:val="2"/>
          </w:tcPr>
          <w:p>
            <w:pPr>
              <w:ind w:left="780"/>
              <w:spacing w:after="0"/>
              <w:rPr>
                <w:sz w:val="20"/>
                <w:szCs w:val="20"/>
                <w:color w:val="auto"/>
              </w:rPr>
            </w:pPr>
            <w:r>
              <w:rPr>
                <w:rFonts w:ascii="Arial" w:cs="Arial" w:eastAsia="Arial" w:hAnsi="Arial"/>
                <w:sz w:val="22"/>
                <w:szCs w:val="22"/>
                <w:color w:val="auto"/>
                <w:w w:val="94"/>
              </w:rPr>
              <w:t>([****] Eight (8) 787-8 Aircraft, yielding Twenty (20) 787-8 Aircraft)</w:t>
            </w:r>
          </w:p>
        </w:tc>
        <w:tc>
          <w:tcPr>
            <w:tcW w:w="0" w:type="dxa"/>
            <w:vAlign w:val="bottom"/>
          </w:tcPr>
          <w:p>
            <w:pPr>
              <w:spacing w:after="0"/>
              <w:rPr>
                <w:sz w:val="1"/>
                <w:szCs w:val="1"/>
                <w:color w:val="auto"/>
              </w:rPr>
            </w:pPr>
          </w:p>
        </w:tc>
      </w:tr>
      <w:tr>
        <w:trPr>
          <w:trHeight w:val="459"/>
        </w:trPr>
        <w:tc>
          <w:tcPr>
            <w:tcW w:w="760" w:type="dxa"/>
            <w:vAlign w:val="bottom"/>
            <w:gridSpan w:val="3"/>
          </w:tcPr>
          <w:p>
            <w:pPr>
              <w:jc w:val="center"/>
              <w:spacing w:after="0"/>
              <w:rPr>
                <w:sz w:val="20"/>
                <w:szCs w:val="20"/>
                <w:color w:val="auto"/>
              </w:rPr>
            </w:pPr>
            <w:r>
              <w:rPr>
                <w:rFonts w:ascii="Arial" w:cs="Arial" w:eastAsia="Arial" w:hAnsi="Arial"/>
                <w:sz w:val="22"/>
                <w:szCs w:val="22"/>
                <w:color w:val="auto"/>
                <w:w w:val="81"/>
              </w:rPr>
              <w:t>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52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center"/>
              <w:ind w:right="820"/>
              <w:spacing w:after="0"/>
              <w:rPr>
                <w:sz w:val="20"/>
                <w:szCs w:val="20"/>
                <w:color w:val="auto"/>
              </w:rPr>
            </w:pPr>
            <w:r>
              <w:rPr>
                <w:rFonts w:ascii="Arial" w:cs="Arial" w:eastAsia="Arial" w:hAnsi="Arial"/>
                <w:sz w:val="22"/>
                <w:szCs w:val="22"/>
                <w:b w:val="1"/>
                <w:bCs w:val="1"/>
                <w:color w:val="auto"/>
                <w:w w:val="94"/>
              </w:rPr>
              <w:t>5(R3)</w:t>
            </w:r>
          </w:p>
        </w:tc>
        <w:tc>
          <w:tcPr>
            <w:tcW w:w="6820" w:type="dxa"/>
            <w:vAlign w:val="bottom"/>
            <w:gridSpan w:val="2"/>
          </w:tcPr>
          <w:p>
            <w:pPr>
              <w:ind w:left="460"/>
              <w:spacing w:after="0"/>
              <w:rPr>
                <w:sz w:val="20"/>
                <w:szCs w:val="20"/>
                <w:color w:val="auto"/>
              </w:rPr>
            </w:pPr>
            <w:r>
              <w:rPr>
                <w:rFonts w:ascii="Arial" w:cs="Arial" w:eastAsia="Arial" w:hAnsi="Arial"/>
                <w:sz w:val="22"/>
                <w:szCs w:val="22"/>
                <w:b w:val="1"/>
                <w:bCs w:val="1"/>
                <w:color w:val="auto"/>
              </w:rPr>
              <w:t xml:space="preserve">2018 787-9 </w:t>
            </w:r>
            <w:r>
              <w:rPr>
                <w:rFonts w:ascii="Arial" w:cs="Arial" w:eastAsia="Arial" w:hAnsi="Arial"/>
                <w:sz w:val="22"/>
                <w:szCs w:val="22"/>
                <w:color w:val="auto"/>
              </w:rPr>
              <w:t>[****]</w:t>
            </w:r>
            <w:r>
              <w:rPr>
                <w:rFonts w:ascii="Arial" w:cs="Arial" w:eastAsia="Arial" w:hAnsi="Arial"/>
                <w:sz w:val="22"/>
                <w:szCs w:val="22"/>
                <w:b w:val="1"/>
                <w:bCs w:val="1"/>
                <w:color w:val="auto"/>
              </w:rPr>
              <w:t xml:space="preserve"> Aircraft Information Table – GENX</w:t>
            </w:r>
          </w:p>
        </w:tc>
        <w:tc>
          <w:tcPr>
            <w:tcW w:w="0" w:type="dxa"/>
            <w:vAlign w:val="bottom"/>
          </w:tcPr>
          <w:p>
            <w:pPr>
              <w:spacing w:after="0"/>
              <w:rPr>
                <w:sz w:val="1"/>
                <w:szCs w:val="1"/>
                <w:color w:val="auto"/>
              </w:rPr>
            </w:pPr>
          </w:p>
        </w:tc>
      </w:tr>
      <w:tr>
        <w:trPr>
          <w:trHeight w:val="64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center"/>
              <w:ind w:right="820"/>
              <w:spacing w:after="0"/>
              <w:rPr>
                <w:sz w:val="20"/>
                <w:szCs w:val="20"/>
                <w:color w:val="auto"/>
              </w:rPr>
            </w:pPr>
            <w:r>
              <w:rPr>
                <w:rFonts w:ascii="Arial" w:cs="Arial" w:eastAsia="Arial" w:hAnsi="Arial"/>
                <w:sz w:val="22"/>
                <w:szCs w:val="22"/>
                <w:color w:val="auto"/>
                <w:w w:val="89"/>
              </w:rPr>
              <w:t>6R3</w:t>
            </w: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2018 787-8 [****] Aircraft Information Table- GENX</w:t>
            </w:r>
          </w:p>
        </w:tc>
        <w:tc>
          <w:tcPr>
            <w:tcW w:w="0" w:type="dxa"/>
            <w:vAlign w:val="bottom"/>
          </w:tcPr>
          <w:p>
            <w:pPr>
              <w:spacing w:after="0"/>
              <w:rPr>
                <w:sz w:val="1"/>
                <w:szCs w:val="1"/>
                <w:color w:val="auto"/>
              </w:rPr>
            </w:pPr>
          </w:p>
        </w:tc>
      </w:tr>
      <w:tr>
        <w:trPr>
          <w:trHeight w:val="7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center"/>
              <w:ind w:right="820"/>
              <w:spacing w:after="0"/>
              <w:rPr>
                <w:sz w:val="20"/>
                <w:szCs w:val="20"/>
                <w:color w:val="auto"/>
              </w:rPr>
            </w:pPr>
            <w:r>
              <w:rPr>
                <w:rFonts w:ascii="Arial" w:cs="Arial" w:eastAsia="Arial" w:hAnsi="Arial"/>
                <w:sz w:val="22"/>
                <w:szCs w:val="22"/>
                <w:b w:val="1"/>
                <w:bCs w:val="1"/>
                <w:color w:val="auto"/>
                <w:w w:val="94"/>
              </w:rPr>
              <w:t>7(R2)</w:t>
            </w:r>
          </w:p>
        </w:tc>
        <w:tc>
          <w:tcPr>
            <w:tcW w:w="6820" w:type="dxa"/>
            <w:vAlign w:val="bottom"/>
            <w:gridSpan w:val="2"/>
          </w:tcPr>
          <w:p>
            <w:pPr>
              <w:ind w:left="460"/>
              <w:spacing w:after="0"/>
              <w:rPr>
                <w:sz w:val="20"/>
                <w:szCs w:val="20"/>
                <w:color w:val="auto"/>
              </w:rPr>
            </w:pPr>
            <w:r>
              <w:rPr>
                <w:rFonts w:ascii="Arial" w:cs="Arial" w:eastAsia="Arial" w:hAnsi="Arial"/>
                <w:sz w:val="22"/>
                <w:szCs w:val="22"/>
                <w:b w:val="1"/>
                <w:bCs w:val="1"/>
                <w:color w:val="auto"/>
              </w:rPr>
              <w:t xml:space="preserve">2018 </w:t>
            </w:r>
            <w:r>
              <w:rPr>
                <w:rFonts w:ascii="Arial" w:cs="Arial" w:eastAsia="Arial" w:hAnsi="Arial"/>
                <w:sz w:val="22"/>
                <w:szCs w:val="22"/>
                <w:color w:val="auto"/>
              </w:rPr>
              <w:t>[****]</w:t>
            </w:r>
            <w:r>
              <w:rPr>
                <w:rFonts w:ascii="Arial" w:cs="Arial" w:eastAsia="Arial" w:hAnsi="Arial"/>
                <w:sz w:val="22"/>
                <w:szCs w:val="22"/>
                <w:b w:val="1"/>
                <w:bCs w:val="1"/>
                <w:color w:val="auto"/>
              </w:rPr>
              <w:t xml:space="preserve"> 787-9 </w:t>
            </w:r>
            <w:r>
              <w:rPr>
                <w:rFonts w:ascii="Arial" w:cs="Arial" w:eastAsia="Arial" w:hAnsi="Arial"/>
                <w:sz w:val="22"/>
                <w:szCs w:val="22"/>
                <w:color w:val="auto"/>
              </w:rPr>
              <w:t>[****]</w:t>
            </w:r>
            <w:r>
              <w:rPr>
                <w:rFonts w:ascii="Arial" w:cs="Arial" w:eastAsia="Arial" w:hAnsi="Arial"/>
                <w:sz w:val="22"/>
                <w:szCs w:val="22"/>
                <w:b w:val="1"/>
                <w:bCs w:val="1"/>
                <w:color w:val="auto"/>
              </w:rPr>
              <w:t xml:space="preserve"> Aircraft Information Table – GENX</w:t>
            </w:r>
          </w:p>
        </w:tc>
        <w:tc>
          <w:tcPr>
            <w:tcW w:w="0" w:type="dxa"/>
            <w:vAlign w:val="bottom"/>
          </w:tcPr>
          <w:p>
            <w:pPr>
              <w:spacing w:after="0"/>
              <w:rPr>
                <w:sz w:val="1"/>
                <w:szCs w:val="1"/>
                <w:color w:val="auto"/>
              </w:rPr>
            </w:pPr>
          </w:p>
        </w:tc>
      </w:tr>
      <w:tr>
        <w:trPr>
          <w:trHeight w:val="530"/>
        </w:trPr>
        <w:tc>
          <w:tcPr>
            <w:tcW w:w="8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8"/>
              </w:rPr>
              <w:t>EXHIBIT</w:t>
            </w:r>
          </w:p>
        </w:tc>
        <w:tc>
          <w:tcPr>
            <w:tcW w:w="700" w:type="dxa"/>
            <w:vAlign w:val="bottom"/>
            <w:gridSpan w:val="2"/>
          </w:tcPr>
          <w:p>
            <w:pPr>
              <w:spacing w:after="0"/>
              <w:rPr>
                <w:sz w:val="24"/>
                <w:szCs w:val="24"/>
                <w:color w:val="auto"/>
              </w:rPr>
            </w:pPr>
          </w:p>
        </w:tc>
        <w:tc>
          <w:tcPr>
            <w:tcW w:w="3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center"/>
              <w:ind w:right="820"/>
              <w:spacing w:after="0"/>
              <w:rPr>
                <w:sz w:val="20"/>
                <w:szCs w:val="20"/>
                <w:color w:val="auto"/>
              </w:rPr>
            </w:pPr>
            <w:r>
              <w:rPr>
                <w:rFonts w:ascii="Arial" w:cs="Arial" w:eastAsia="Arial" w:hAnsi="Arial"/>
                <w:sz w:val="22"/>
                <w:szCs w:val="22"/>
                <w:color w:val="auto"/>
                <w:w w:val="94"/>
              </w:rPr>
              <w:t>A(R3).</w:t>
            </w: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Aircraft Configuration for [****] Aircraft</w:t>
            </w: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center"/>
              <w:ind w:right="800"/>
              <w:spacing w:after="0"/>
              <w:rPr>
                <w:sz w:val="20"/>
                <w:szCs w:val="20"/>
                <w:color w:val="auto"/>
              </w:rPr>
            </w:pPr>
            <w:r>
              <w:rPr>
                <w:rFonts w:ascii="Arial" w:cs="Arial" w:eastAsia="Arial" w:hAnsi="Arial"/>
                <w:sz w:val="22"/>
                <w:szCs w:val="22"/>
                <w:color w:val="auto"/>
                <w:w w:val="94"/>
              </w:rPr>
              <w:t>A2(R5)</w:t>
            </w: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Aircraft Configuration for [****] Aircraft</w:t>
            </w:r>
          </w:p>
        </w:tc>
        <w:tc>
          <w:tcPr>
            <w:tcW w:w="0" w:type="dxa"/>
            <w:vAlign w:val="bottom"/>
          </w:tcPr>
          <w:p>
            <w:pPr>
              <w:spacing w:after="0"/>
              <w:rPr>
                <w:sz w:val="1"/>
                <w:szCs w:val="1"/>
                <w:color w:val="auto"/>
              </w:rPr>
            </w:pPr>
          </w:p>
        </w:tc>
      </w:tr>
      <w:tr>
        <w:trPr>
          <w:trHeight w:val="33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center"/>
              <w:ind w:right="820"/>
              <w:spacing w:after="0"/>
              <w:rPr>
                <w:sz w:val="20"/>
                <w:szCs w:val="20"/>
                <w:color w:val="auto"/>
              </w:rPr>
            </w:pPr>
            <w:r>
              <w:rPr>
                <w:rFonts w:ascii="Arial" w:cs="Arial" w:eastAsia="Arial" w:hAnsi="Arial"/>
                <w:sz w:val="22"/>
                <w:szCs w:val="22"/>
                <w:color w:val="auto"/>
                <w:w w:val="94"/>
              </w:rPr>
              <w:t>B(R1).</w:t>
            </w: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Aircraft Delivery Requirements and Responsibilities</w:t>
            </w: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center"/>
              <w:ind w:right="820"/>
              <w:spacing w:after="0"/>
              <w:rPr>
                <w:sz w:val="20"/>
                <w:szCs w:val="20"/>
                <w:color w:val="auto"/>
              </w:rPr>
            </w:pPr>
            <w:r>
              <w:rPr>
                <w:rFonts w:ascii="Arial" w:cs="Arial" w:eastAsia="Arial" w:hAnsi="Arial"/>
                <w:sz w:val="22"/>
                <w:szCs w:val="22"/>
                <w:color w:val="auto"/>
                <w:w w:val="92"/>
              </w:rPr>
              <w:t>C(R1).</w:t>
            </w:r>
          </w:p>
        </w:tc>
        <w:tc>
          <w:tcPr>
            <w:tcW w:w="6820" w:type="dxa"/>
            <w:vAlign w:val="bottom"/>
            <w:gridSpan w:val="2"/>
          </w:tcPr>
          <w:p>
            <w:pPr>
              <w:ind w:left="460"/>
              <w:spacing w:after="0"/>
              <w:rPr>
                <w:sz w:val="20"/>
                <w:szCs w:val="20"/>
                <w:color w:val="auto"/>
              </w:rPr>
            </w:pPr>
            <w:r>
              <w:rPr>
                <w:rFonts w:ascii="Arial" w:cs="Arial" w:eastAsia="Arial" w:hAnsi="Arial"/>
                <w:sz w:val="22"/>
                <w:szCs w:val="22"/>
                <w:color w:val="auto"/>
              </w:rPr>
              <w:t>Defined Terms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SA</w:t>
      </w:r>
    </w:p>
    <w:p>
      <w:pPr>
        <w:jc w:val="center"/>
        <w:ind w:right="320"/>
        <w:spacing w:after="0"/>
        <w:rPr>
          <w:sz w:val="20"/>
          <w:szCs w:val="20"/>
          <w:color w:val="auto"/>
        </w:rPr>
      </w:pPr>
      <w:r>
        <w:rPr>
          <w:rFonts w:ascii="Arial" w:cs="Arial" w:eastAsia="Arial" w:hAnsi="Arial"/>
          <w:sz w:val="21"/>
          <w:szCs w:val="21"/>
          <w:u w:val="single" w:color="auto"/>
          <w:color w:val="auto"/>
        </w:rPr>
        <w:t>NUMBER</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200" w:lineRule="exact"/>
        <w:rPr>
          <w:sz w:val="20"/>
          <w:szCs w:val="20"/>
          <w:color w:val="auto"/>
        </w:rPr>
      </w:pPr>
    </w:p>
    <w:p>
      <w:pPr>
        <w:spacing w:after="0" w:line="37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SA-5</w:t>
      </w: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SA-5</w:t>
      </w: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SA-6</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SA-19</w:t>
      </w: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SA-18</w:t>
      </w:r>
    </w:p>
    <w:p>
      <w:pPr>
        <w:spacing w:after="0" w:line="34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SA-19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SA-11</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SA-12</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48" w:lineRule="exact"/>
        <w:rPr>
          <w:sz w:val="20"/>
          <w:szCs w:val="20"/>
          <w:color w:val="auto"/>
        </w:rPr>
      </w:pPr>
    </w:p>
    <w:p>
      <w:pPr>
        <w:sectPr>
          <w:pgSz w:w="11900" w:h="16857" w:orient="portrait"/>
          <w:cols w:equalWidth="0" w:num="2">
            <w:col w:w="9280" w:space="720"/>
            <w:col w:w="1240"/>
          </w:cols>
          <w:pgMar w:left="320" w:top="1239" w:right="339" w:bottom="0" w:gutter="0" w:footer="0" w:header="0"/>
        </w:sectPr>
      </w:pPr>
    </w:p>
    <w:p>
      <w:pPr>
        <w:spacing w:after="0" w:line="320"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27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5"/>
              </w:rPr>
              <w:t>SUPPLEMENTAL EXHIBITS</w:t>
            </w:r>
          </w:p>
        </w:tc>
        <w:tc>
          <w:tcPr>
            <w:tcW w:w="59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62"/>
        </w:trPr>
        <w:tc>
          <w:tcPr>
            <w:tcW w:w="2700" w:type="dxa"/>
            <w:vAlign w:val="bottom"/>
            <w:gridSpan w:val="2"/>
          </w:tcPr>
          <w:p>
            <w:pPr>
              <w:jc w:val="center"/>
              <w:spacing w:after="0"/>
              <w:rPr>
                <w:sz w:val="20"/>
                <w:szCs w:val="20"/>
                <w:color w:val="auto"/>
              </w:rPr>
            </w:pPr>
            <w:r>
              <w:rPr>
                <w:rFonts w:ascii="Arial" w:cs="Arial" w:eastAsia="Arial" w:hAnsi="Arial"/>
                <w:sz w:val="22"/>
                <w:szCs w:val="22"/>
                <w:color w:val="auto"/>
                <w:w w:val="92"/>
              </w:rPr>
              <w:t>AE1.</w:t>
            </w:r>
          </w:p>
        </w:tc>
        <w:tc>
          <w:tcPr>
            <w:tcW w:w="5920" w:type="dxa"/>
            <w:vAlign w:val="bottom"/>
          </w:tcPr>
          <w:p>
            <w:pPr>
              <w:ind w:left="820"/>
              <w:spacing w:after="0"/>
              <w:rPr>
                <w:sz w:val="20"/>
                <w:szCs w:val="20"/>
                <w:color w:val="auto"/>
              </w:rPr>
            </w:pPr>
            <w:r>
              <w:rPr>
                <w:rFonts w:ascii="Arial" w:cs="Arial" w:eastAsia="Arial" w:hAnsi="Arial"/>
                <w:sz w:val="22"/>
                <w:szCs w:val="22"/>
                <w:color w:val="auto"/>
              </w:rPr>
              <w:t>[****]</w:t>
            </w:r>
          </w:p>
        </w:tc>
        <w:tc>
          <w:tcPr>
            <w:tcW w:w="1700" w:type="dxa"/>
            <w:vAlign w:val="bottom"/>
          </w:tcPr>
          <w:p>
            <w:pPr>
              <w:spacing w:after="0"/>
              <w:rPr>
                <w:sz w:val="24"/>
                <w:szCs w:val="24"/>
                <w:color w:val="auto"/>
              </w:rPr>
            </w:pPr>
          </w:p>
        </w:tc>
      </w:tr>
      <w:tr>
        <w:trPr>
          <w:trHeight w:val="432"/>
        </w:trPr>
        <w:tc>
          <w:tcPr>
            <w:tcW w:w="2700" w:type="dxa"/>
            <w:vAlign w:val="bottom"/>
            <w:gridSpan w:val="2"/>
          </w:tcPr>
          <w:p>
            <w:pPr>
              <w:jc w:val="center"/>
              <w:spacing w:after="0"/>
              <w:rPr>
                <w:sz w:val="20"/>
                <w:szCs w:val="20"/>
                <w:color w:val="auto"/>
              </w:rPr>
            </w:pPr>
            <w:r>
              <w:rPr>
                <w:rFonts w:ascii="Arial" w:cs="Arial" w:eastAsia="Arial" w:hAnsi="Arial"/>
                <w:sz w:val="22"/>
                <w:szCs w:val="22"/>
                <w:color w:val="auto"/>
                <w:w w:val="92"/>
              </w:rPr>
              <w:t>BFE1(R1).</w:t>
            </w:r>
          </w:p>
        </w:tc>
        <w:tc>
          <w:tcPr>
            <w:tcW w:w="5920" w:type="dxa"/>
            <w:vAlign w:val="bottom"/>
          </w:tcPr>
          <w:p>
            <w:pPr>
              <w:ind w:left="820"/>
              <w:spacing w:after="0"/>
              <w:rPr>
                <w:sz w:val="20"/>
                <w:szCs w:val="20"/>
                <w:color w:val="auto"/>
              </w:rPr>
            </w:pPr>
            <w:r>
              <w:rPr>
                <w:rFonts w:ascii="Arial" w:cs="Arial" w:eastAsia="Arial" w:hAnsi="Arial"/>
                <w:sz w:val="22"/>
                <w:szCs w:val="22"/>
                <w:color w:val="auto"/>
              </w:rPr>
              <w:t>Buyer Furnished Equipment Variables 787-9</w:t>
            </w:r>
          </w:p>
        </w:tc>
        <w:tc>
          <w:tcPr>
            <w:tcW w:w="1700" w:type="dxa"/>
            <w:vAlign w:val="bottom"/>
          </w:tcPr>
          <w:p>
            <w:pPr>
              <w:ind w:left="1240"/>
              <w:spacing w:after="0"/>
              <w:rPr>
                <w:sz w:val="20"/>
                <w:szCs w:val="20"/>
                <w:color w:val="auto"/>
              </w:rPr>
            </w:pPr>
            <w:r>
              <w:rPr>
                <w:rFonts w:ascii="Arial" w:cs="Arial" w:eastAsia="Arial" w:hAnsi="Arial"/>
                <w:sz w:val="22"/>
                <w:szCs w:val="22"/>
                <w:color w:val="auto"/>
                <w:w w:val="89"/>
              </w:rPr>
              <w:t>SA-3</w:t>
            </w:r>
          </w:p>
        </w:tc>
      </w:tr>
      <w:tr>
        <w:trPr>
          <w:trHeight w:val="432"/>
        </w:trPr>
        <w:tc>
          <w:tcPr>
            <w:tcW w:w="2700" w:type="dxa"/>
            <w:vAlign w:val="bottom"/>
            <w:gridSpan w:val="2"/>
          </w:tcPr>
          <w:p>
            <w:pPr>
              <w:jc w:val="center"/>
              <w:spacing w:after="0"/>
              <w:rPr>
                <w:sz w:val="20"/>
                <w:szCs w:val="20"/>
                <w:color w:val="auto"/>
              </w:rPr>
            </w:pPr>
            <w:r>
              <w:rPr>
                <w:rFonts w:ascii="Arial" w:cs="Arial" w:eastAsia="Arial" w:hAnsi="Arial"/>
                <w:sz w:val="22"/>
                <w:szCs w:val="22"/>
                <w:color w:val="auto"/>
                <w:w w:val="91"/>
              </w:rPr>
              <w:t>BFE2.</w:t>
            </w:r>
          </w:p>
        </w:tc>
        <w:tc>
          <w:tcPr>
            <w:tcW w:w="5920" w:type="dxa"/>
            <w:vAlign w:val="bottom"/>
          </w:tcPr>
          <w:p>
            <w:pPr>
              <w:ind w:left="820"/>
              <w:spacing w:after="0"/>
              <w:rPr>
                <w:sz w:val="20"/>
                <w:szCs w:val="20"/>
                <w:color w:val="auto"/>
              </w:rPr>
            </w:pPr>
            <w:r>
              <w:rPr>
                <w:rFonts w:ascii="Arial" w:cs="Arial" w:eastAsia="Arial" w:hAnsi="Arial"/>
                <w:sz w:val="22"/>
                <w:szCs w:val="22"/>
                <w:color w:val="auto"/>
              </w:rPr>
              <w:t>Buyer Furnished Equipment Variables 787-8</w:t>
            </w:r>
          </w:p>
        </w:tc>
        <w:tc>
          <w:tcPr>
            <w:tcW w:w="1700" w:type="dxa"/>
            <w:vAlign w:val="bottom"/>
          </w:tcPr>
          <w:p>
            <w:pPr>
              <w:ind w:left="1240"/>
              <w:spacing w:after="0"/>
              <w:rPr>
                <w:sz w:val="20"/>
                <w:szCs w:val="20"/>
                <w:color w:val="auto"/>
              </w:rPr>
            </w:pPr>
            <w:r>
              <w:rPr>
                <w:rFonts w:ascii="Arial" w:cs="Arial" w:eastAsia="Arial" w:hAnsi="Arial"/>
                <w:sz w:val="22"/>
                <w:szCs w:val="22"/>
                <w:color w:val="auto"/>
                <w:w w:val="89"/>
              </w:rPr>
              <w:t>SA-3</w:t>
            </w:r>
          </w:p>
        </w:tc>
      </w:tr>
      <w:tr>
        <w:trPr>
          <w:trHeight w:val="432"/>
        </w:trPr>
        <w:tc>
          <w:tcPr>
            <w:tcW w:w="2700" w:type="dxa"/>
            <w:vAlign w:val="bottom"/>
            <w:gridSpan w:val="2"/>
          </w:tcPr>
          <w:p>
            <w:pPr>
              <w:jc w:val="right"/>
              <w:ind w:right="1043"/>
              <w:spacing w:after="0"/>
              <w:rPr>
                <w:sz w:val="20"/>
                <w:szCs w:val="20"/>
                <w:color w:val="auto"/>
              </w:rPr>
            </w:pPr>
            <w:r>
              <w:rPr>
                <w:rFonts w:ascii="Arial" w:cs="Arial" w:eastAsia="Arial" w:hAnsi="Arial"/>
                <w:sz w:val="22"/>
                <w:szCs w:val="22"/>
                <w:color w:val="auto"/>
              </w:rPr>
              <w:t>CS1.</w:t>
            </w:r>
          </w:p>
        </w:tc>
        <w:tc>
          <w:tcPr>
            <w:tcW w:w="5920" w:type="dxa"/>
            <w:vAlign w:val="bottom"/>
          </w:tcPr>
          <w:p>
            <w:pPr>
              <w:ind w:left="820"/>
              <w:spacing w:after="0"/>
              <w:rPr>
                <w:sz w:val="20"/>
                <w:szCs w:val="20"/>
                <w:color w:val="auto"/>
              </w:rPr>
            </w:pPr>
            <w:r>
              <w:rPr>
                <w:rFonts w:ascii="Arial" w:cs="Arial" w:eastAsia="Arial" w:hAnsi="Arial"/>
                <w:sz w:val="22"/>
                <w:szCs w:val="22"/>
                <w:color w:val="auto"/>
              </w:rPr>
              <w:t>787 Customer Support Document</w:t>
            </w:r>
          </w:p>
        </w:tc>
        <w:tc>
          <w:tcPr>
            <w:tcW w:w="1700" w:type="dxa"/>
            <w:vAlign w:val="bottom"/>
          </w:tcPr>
          <w:p>
            <w:pPr>
              <w:spacing w:after="0"/>
              <w:rPr>
                <w:sz w:val="24"/>
                <w:szCs w:val="24"/>
                <w:color w:val="auto"/>
              </w:rPr>
            </w:pPr>
          </w:p>
        </w:tc>
      </w:tr>
      <w:tr>
        <w:trPr>
          <w:trHeight w:val="432"/>
        </w:trPr>
        <w:tc>
          <w:tcPr>
            <w:tcW w:w="2700" w:type="dxa"/>
            <w:vAlign w:val="bottom"/>
            <w:gridSpan w:val="2"/>
          </w:tcPr>
          <w:p>
            <w:pPr>
              <w:jc w:val="right"/>
              <w:ind w:right="1043"/>
              <w:spacing w:after="0"/>
              <w:rPr>
                <w:sz w:val="20"/>
                <w:szCs w:val="20"/>
                <w:color w:val="auto"/>
              </w:rPr>
            </w:pPr>
            <w:r>
              <w:rPr>
                <w:rFonts w:ascii="Arial" w:cs="Arial" w:eastAsia="Arial" w:hAnsi="Arial"/>
                <w:sz w:val="22"/>
                <w:szCs w:val="22"/>
                <w:color w:val="auto"/>
              </w:rPr>
              <w:t>EE1.</w:t>
            </w:r>
          </w:p>
        </w:tc>
        <w:tc>
          <w:tcPr>
            <w:tcW w:w="5920" w:type="dxa"/>
            <w:vAlign w:val="bottom"/>
          </w:tcPr>
          <w:p>
            <w:pPr>
              <w:ind w:left="820"/>
              <w:spacing w:after="0"/>
              <w:rPr>
                <w:sz w:val="20"/>
                <w:szCs w:val="20"/>
                <w:color w:val="auto"/>
              </w:rPr>
            </w:pPr>
            <w:r>
              <w:rPr>
                <w:rFonts w:ascii="Arial" w:cs="Arial" w:eastAsia="Arial" w:hAnsi="Arial"/>
                <w:sz w:val="22"/>
                <w:szCs w:val="22"/>
                <w:color w:val="auto"/>
              </w:rPr>
              <w:t>[****]</w:t>
            </w:r>
          </w:p>
        </w:tc>
        <w:tc>
          <w:tcPr>
            <w:tcW w:w="1700" w:type="dxa"/>
            <w:vAlign w:val="bottom"/>
          </w:tcPr>
          <w:p>
            <w:pPr>
              <w:spacing w:after="0"/>
              <w:rPr>
                <w:sz w:val="24"/>
                <w:szCs w:val="24"/>
                <w:color w:val="auto"/>
              </w:rPr>
            </w:pPr>
          </w:p>
        </w:tc>
      </w:tr>
      <w:tr>
        <w:trPr>
          <w:trHeight w:val="432"/>
        </w:trPr>
        <w:tc>
          <w:tcPr>
            <w:tcW w:w="1500" w:type="dxa"/>
            <w:vAlign w:val="bottom"/>
          </w:tcPr>
          <w:p>
            <w:pPr>
              <w:jc w:val="center"/>
              <w:ind w:left="1032"/>
              <w:spacing w:after="0"/>
              <w:rPr>
                <w:sz w:val="20"/>
                <w:szCs w:val="20"/>
                <w:color w:val="auto"/>
              </w:rPr>
            </w:pPr>
            <w:r>
              <w:rPr>
                <w:rFonts w:ascii="Arial" w:cs="Arial" w:eastAsia="Arial" w:hAnsi="Arial"/>
                <w:sz w:val="22"/>
                <w:szCs w:val="22"/>
                <w:color w:val="auto"/>
                <w:strike w:val="1"/>
                <w:w w:val="86"/>
              </w:rPr>
              <w:t>EE1</w:t>
            </w:r>
          </w:p>
        </w:tc>
        <w:tc>
          <w:tcPr>
            <w:tcW w:w="1200" w:type="dxa"/>
            <w:vAlign w:val="bottom"/>
          </w:tcPr>
          <w:p>
            <w:pPr>
              <w:jc w:val="right"/>
              <w:ind w:right="1043"/>
              <w:spacing w:after="0"/>
              <w:rPr>
                <w:sz w:val="20"/>
                <w:szCs w:val="20"/>
                <w:color w:val="auto"/>
              </w:rPr>
            </w:pPr>
            <w:r>
              <w:rPr>
                <w:rFonts w:ascii="Arial" w:cs="Arial" w:eastAsia="Arial" w:hAnsi="Arial"/>
                <w:sz w:val="19"/>
                <w:szCs w:val="19"/>
                <w:color w:val="auto"/>
                <w:w w:val="74"/>
              </w:rPr>
              <w:t>.</w:t>
            </w:r>
          </w:p>
        </w:tc>
        <w:tc>
          <w:tcPr>
            <w:tcW w:w="5920" w:type="dxa"/>
            <w:vAlign w:val="bottom"/>
          </w:tcPr>
          <w:p>
            <w:pPr>
              <w:ind w:left="820"/>
              <w:spacing w:after="0"/>
              <w:rPr>
                <w:sz w:val="20"/>
                <w:szCs w:val="20"/>
                <w:color w:val="auto"/>
              </w:rPr>
            </w:pPr>
            <w:r>
              <w:rPr>
                <w:rFonts w:ascii="Arial" w:cs="Arial" w:eastAsia="Arial" w:hAnsi="Arial"/>
                <w:sz w:val="22"/>
                <w:szCs w:val="22"/>
                <w:color w:val="auto"/>
              </w:rPr>
              <w:t>[****] WITHDRAWN</w:t>
            </w:r>
          </w:p>
        </w:tc>
        <w:tc>
          <w:tcPr>
            <w:tcW w:w="1700" w:type="dxa"/>
            <w:vAlign w:val="bottom"/>
          </w:tcPr>
          <w:p>
            <w:pPr>
              <w:ind w:left="1240"/>
              <w:spacing w:after="0"/>
              <w:rPr>
                <w:sz w:val="20"/>
                <w:szCs w:val="20"/>
                <w:color w:val="auto"/>
              </w:rPr>
            </w:pPr>
            <w:r>
              <w:rPr>
                <w:rFonts w:ascii="Arial" w:cs="Arial" w:eastAsia="Arial" w:hAnsi="Arial"/>
                <w:sz w:val="22"/>
                <w:szCs w:val="22"/>
                <w:color w:val="auto"/>
                <w:w w:val="89"/>
              </w:rPr>
              <w:t>SA-2</w:t>
            </w:r>
          </w:p>
        </w:tc>
      </w:tr>
      <w:tr>
        <w:trPr>
          <w:trHeight w:val="432"/>
        </w:trPr>
        <w:tc>
          <w:tcPr>
            <w:tcW w:w="2700" w:type="dxa"/>
            <w:vAlign w:val="bottom"/>
            <w:gridSpan w:val="2"/>
          </w:tcPr>
          <w:p>
            <w:pPr>
              <w:jc w:val="right"/>
              <w:ind w:right="1043"/>
              <w:spacing w:after="0"/>
              <w:rPr>
                <w:sz w:val="20"/>
                <w:szCs w:val="20"/>
                <w:color w:val="auto"/>
              </w:rPr>
            </w:pPr>
            <w:r>
              <w:rPr>
                <w:rFonts w:ascii="Arial" w:cs="Arial" w:eastAsia="Arial" w:hAnsi="Arial"/>
                <w:sz w:val="22"/>
                <w:szCs w:val="22"/>
                <w:color w:val="auto"/>
              </w:rPr>
              <w:t>EE2.</w:t>
            </w:r>
          </w:p>
        </w:tc>
        <w:tc>
          <w:tcPr>
            <w:tcW w:w="5920" w:type="dxa"/>
            <w:vAlign w:val="bottom"/>
          </w:tcPr>
          <w:p>
            <w:pPr>
              <w:ind w:left="820"/>
              <w:spacing w:after="0"/>
              <w:rPr>
                <w:sz w:val="20"/>
                <w:szCs w:val="20"/>
                <w:color w:val="auto"/>
              </w:rPr>
            </w:pPr>
            <w:r>
              <w:rPr>
                <w:rFonts w:ascii="Arial" w:cs="Arial" w:eastAsia="Arial" w:hAnsi="Arial"/>
                <w:sz w:val="22"/>
                <w:szCs w:val="22"/>
                <w:color w:val="auto"/>
              </w:rPr>
              <w:t>[****]</w:t>
            </w:r>
          </w:p>
        </w:tc>
        <w:tc>
          <w:tcPr>
            <w:tcW w:w="1700" w:type="dxa"/>
            <w:vAlign w:val="bottom"/>
          </w:tcPr>
          <w:p>
            <w:pPr>
              <w:ind w:left="1240"/>
              <w:spacing w:after="0"/>
              <w:rPr>
                <w:sz w:val="20"/>
                <w:szCs w:val="20"/>
                <w:color w:val="auto"/>
              </w:rPr>
            </w:pPr>
            <w:r>
              <w:rPr>
                <w:rFonts w:ascii="Arial" w:cs="Arial" w:eastAsia="Arial" w:hAnsi="Arial"/>
                <w:sz w:val="22"/>
                <w:szCs w:val="22"/>
                <w:color w:val="auto"/>
                <w:w w:val="89"/>
              </w:rPr>
              <w:t>SA-4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-356870</wp:posOffset>
            </wp:positionV>
            <wp:extent cx="317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19"/>
          <w:szCs w:val="19"/>
          <w:color w:val="auto"/>
        </w:rPr>
        <w:t>SA-19</w:t>
      </w:r>
    </w:p>
    <w:p>
      <w:pPr>
        <w:spacing w:after="0"/>
        <w:tabs>
          <w:tab w:leader="none" w:pos="2000" w:val="left"/>
        </w:tabs>
        <w:rPr>
          <w:sz w:val="20"/>
          <w:szCs w:val="20"/>
          <w:color w:val="auto"/>
        </w:rPr>
      </w:pPr>
      <w:r>
        <w:rPr>
          <w:rFonts w:ascii="Arial" w:cs="Arial" w:eastAsia="Arial" w:hAnsi="Arial"/>
          <w:sz w:val="22"/>
          <w:szCs w:val="22"/>
          <w:color w:val="auto"/>
        </w:rPr>
        <w:t>Table of Contents</w:t>
      </w:r>
      <w:r>
        <w:rPr>
          <w:sz w:val="20"/>
          <w:szCs w:val="20"/>
          <w:color w:val="auto"/>
        </w:rPr>
        <w:tab/>
      </w:r>
      <w:r>
        <w:rPr>
          <w:rFonts w:ascii="Arial" w:cs="Arial" w:eastAsia="Arial" w:hAnsi="Arial"/>
          <w:sz w:val="18"/>
          <w:szCs w:val="18"/>
          <w:color w:val="auto"/>
        </w:rPr>
        <w:t>Page 1</w:t>
      </w:r>
    </w:p>
    <w:p>
      <w:pPr>
        <w:sectPr>
          <w:pgSz w:w="11900" w:h="16857" w:orient="portrait"/>
          <w:cols w:equalWidth="0" w:num="1">
            <w:col w:w="11240"/>
          </w:cols>
          <w:pgMar w:left="320" w:top="1239" w:right="339" w:bottom="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9019"/>
          </w:cols>
          <w:pgMar w:left="1440" w:top="98" w:right="1440" w:bottom="1440" w:gutter="0" w:footer="0" w:header="0"/>
        </w:sectPr>
      </w:pPr>
    </w:p>
    <w:bookmarkStart w:id="100" w:name="page101"/>
    <w:bookmarkEnd w:id="100"/>
    <w:p>
      <w:pPr>
        <w:ind w:left="4040"/>
        <w:spacing w:after="0"/>
        <w:rPr>
          <w:sz w:val="20"/>
          <w:szCs w:val="20"/>
          <w:color w:val="auto"/>
        </w:rPr>
      </w:pPr>
      <w:r>
        <w:rPr>
          <w:rFonts w:ascii="Arial" w:cs="Arial" w:eastAsia="Arial" w:hAnsi="Arial"/>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40" w:type="dxa"/>
        <w:tblCellMar>
          <w:top w:w="0" w:type="dxa"/>
          <w:left w:w="0" w:type="dxa"/>
          <w:bottom w:w="0" w:type="dxa"/>
          <w:right w:w="0" w:type="dxa"/>
        </w:tblCellMar>
      </w:tblPr>
      <w:tr>
        <w:trPr>
          <w:trHeight w:val="274"/>
        </w:trPr>
        <w:tc>
          <w:tcPr>
            <w:tcW w:w="980" w:type="dxa"/>
            <w:vAlign w:val="bottom"/>
          </w:tcPr>
          <w:p>
            <w:pPr>
              <w:spacing w:after="0"/>
              <w:rPr>
                <w:sz w:val="23"/>
                <w:szCs w:val="23"/>
                <w:color w:val="auto"/>
              </w:rPr>
            </w:pPr>
          </w:p>
        </w:tc>
        <w:tc>
          <w:tcPr>
            <w:tcW w:w="1320" w:type="dxa"/>
            <w:vAlign w:val="bottom"/>
          </w:tcPr>
          <w:p>
            <w:pPr>
              <w:ind w:left="340"/>
              <w:spacing w:after="0"/>
              <w:rPr>
                <w:sz w:val="20"/>
                <w:szCs w:val="20"/>
                <w:color w:val="auto"/>
              </w:rPr>
            </w:pPr>
            <w:r>
              <w:rPr>
                <w:rFonts w:ascii="Arial" w:cs="Arial" w:eastAsia="Arial" w:hAnsi="Arial"/>
                <w:sz w:val="22"/>
                <w:szCs w:val="22"/>
                <w:color w:val="auto"/>
              </w:rPr>
              <w:t>SLP1.</w:t>
            </w: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rPr>
              <w:t>Service Life Policy Components</w:t>
            </w:r>
          </w:p>
        </w:tc>
        <w:tc>
          <w:tcPr>
            <w:tcW w:w="0" w:type="dxa"/>
            <w:vAlign w:val="bottom"/>
          </w:tcPr>
          <w:p>
            <w:pPr>
              <w:spacing w:after="0"/>
              <w:rPr>
                <w:sz w:val="1"/>
                <w:szCs w:val="1"/>
                <w:color w:val="auto"/>
              </w:rPr>
            </w:pPr>
          </w:p>
        </w:tc>
      </w:tr>
      <w:tr>
        <w:trPr>
          <w:trHeight w:val="436"/>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3"/>
              </w:rPr>
              <w:t>LETTER AGREEMENTS</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980" w:type="dxa"/>
            <w:vAlign w:val="bottom"/>
          </w:tcPr>
          <w:p>
            <w:pPr>
              <w:spacing w:after="0"/>
              <w:rPr>
                <w:sz w:val="20"/>
                <w:szCs w:val="20"/>
                <w:color w:val="auto"/>
              </w:rPr>
            </w:pPr>
            <w:r>
              <w:rPr>
                <w:rFonts w:ascii="Arial" w:cs="Arial" w:eastAsia="Arial" w:hAnsi="Arial"/>
                <w:sz w:val="22"/>
                <w:szCs w:val="22"/>
                <w:color w:val="auto"/>
              </w:rPr>
              <w:t>3219-01</w:t>
            </w:r>
          </w:p>
        </w:tc>
        <w:tc>
          <w:tcPr>
            <w:tcW w:w="1320" w:type="dxa"/>
            <w:vAlign w:val="bottom"/>
          </w:tcPr>
          <w:p>
            <w:pPr>
              <w:spacing w:after="0"/>
              <w:rPr>
                <w:sz w:val="24"/>
                <w:szCs w:val="24"/>
                <w:color w:val="auto"/>
              </w:rPr>
            </w:pPr>
          </w:p>
        </w:tc>
        <w:tc>
          <w:tcPr>
            <w:tcW w:w="2500" w:type="dxa"/>
            <w:vAlign w:val="bottom"/>
          </w:tcPr>
          <w:p>
            <w:pPr>
              <w:ind w:left="146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80" w:type="dxa"/>
            <w:vAlign w:val="bottom"/>
          </w:tcPr>
          <w:p>
            <w:pPr>
              <w:spacing w:after="0"/>
              <w:rPr>
                <w:sz w:val="20"/>
                <w:szCs w:val="20"/>
                <w:color w:val="auto"/>
              </w:rPr>
            </w:pPr>
            <w:r>
              <w:rPr>
                <w:rFonts w:ascii="Arial" w:cs="Arial" w:eastAsia="Arial" w:hAnsi="Arial"/>
                <w:sz w:val="22"/>
                <w:szCs w:val="22"/>
                <w:color w:val="auto"/>
              </w:rPr>
              <w:t>3219-02</w:t>
            </w:r>
          </w:p>
        </w:tc>
        <w:tc>
          <w:tcPr>
            <w:tcW w:w="1320" w:type="dxa"/>
            <w:vAlign w:val="bottom"/>
          </w:tcPr>
          <w:p>
            <w:pPr>
              <w:spacing w:after="0"/>
              <w:rPr>
                <w:sz w:val="24"/>
                <w:szCs w:val="24"/>
                <w:color w:val="auto"/>
              </w:rPr>
            </w:pP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rPr>
              <w:t>Special Terms – Seats and In-Flight Entertainment</w:t>
            </w:r>
          </w:p>
        </w:tc>
        <w:tc>
          <w:tcPr>
            <w:tcW w:w="0" w:type="dxa"/>
            <w:vAlign w:val="bottom"/>
          </w:tcPr>
          <w:p>
            <w:pPr>
              <w:spacing w:after="0"/>
              <w:rPr>
                <w:sz w:val="1"/>
                <w:szCs w:val="1"/>
                <w:color w:val="auto"/>
              </w:rPr>
            </w:pPr>
          </w:p>
        </w:tc>
      </w:tr>
      <w:tr>
        <w:trPr>
          <w:trHeight w:val="459"/>
        </w:trPr>
        <w:tc>
          <w:tcPr>
            <w:tcW w:w="980" w:type="dxa"/>
            <w:vAlign w:val="bottom"/>
          </w:tcPr>
          <w:p>
            <w:pPr>
              <w:spacing w:after="0"/>
              <w:rPr>
                <w:sz w:val="20"/>
                <w:szCs w:val="20"/>
                <w:color w:val="auto"/>
              </w:rPr>
            </w:pPr>
            <w:r>
              <w:rPr>
                <w:rFonts w:ascii="Arial" w:cs="Arial" w:eastAsia="Arial" w:hAnsi="Arial"/>
                <w:sz w:val="22"/>
                <w:szCs w:val="22"/>
                <w:color w:val="auto"/>
              </w:rPr>
              <w:t>3219-04</w:t>
            </w:r>
          </w:p>
        </w:tc>
        <w:tc>
          <w:tcPr>
            <w:tcW w:w="1320" w:type="dxa"/>
            <w:vAlign w:val="bottom"/>
          </w:tcPr>
          <w:p>
            <w:pPr>
              <w:spacing w:after="0"/>
              <w:rPr>
                <w:sz w:val="24"/>
                <w:szCs w:val="24"/>
                <w:color w:val="auto"/>
              </w:rPr>
            </w:pPr>
          </w:p>
        </w:tc>
        <w:tc>
          <w:tcPr>
            <w:tcW w:w="2500" w:type="dxa"/>
            <w:vAlign w:val="bottom"/>
          </w:tcPr>
          <w:p>
            <w:pPr>
              <w:ind w:left="146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300" w:type="dxa"/>
            <w:vAlign w:val="bottom"/>
            <w:gridSpan w:val="2"/>
          </w:tcPr>
          <w:p>
            <w:pPr>
              <w:spacing w:after="0"/>
              <w:rPr>
                <w:sz w:val="20"/>
                <w:szCs w:val="20"/>
                <w:color w:val="auto"/>
              </w:rPr>
            </w:pPr>
            <w:r>
              <w:rPr>
                <w:rFonts w:ascii="Arial" w:cs="Arial" w:eastAsia="Arial" w:hAnsi="Arial"/>
                <w:sz w:val="22"/>
                <w:szCs w:val="22"/>
                <w:color w:val="auto"/>
              </w:rPr>
              <w:t>3219-05R1</w:t>
            </w: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rPr>
              <w:t>Spare Parts Commitments</w:t>
            </w:r>
          </w:p>
        </w:tc>
        <w:tc>
          <w:tcPr>
            <w:tcW w:w="0" w:type="dxa"/>
            <w:vAlign w:val="bottom"/>
          </w:tcPr>
          <w:p>
            <w:pPr>
              <w:spacing w:after="0"/>
              <w:rPr>
                <w:sz w:val="1"/>
                <w:szCs w:val="1"/>
                <w:color w:val="auto"/>
              </w:rPr>
            </w:pPr>
          </w:p>
        </w:tc>
      </w:tr>
      <w:tr>
        <w:trPr>
          <w:trHeight w:val="473"/>
        </w:trPr>
        <w:tc>
          <w:tcPr>
            <w:tcW w:w="2300" w:type="dxa"/>
            <w:vAlign w:val="bottom"/>
            <w:gridSpan w:val="2"/>
          </w:tcPr>
          <w:p>
            <w:pPr>
              <w:spacing w:after="0"/>
              <w:rPr>
                <w:sz w:val="20"/>
                <w:szCs w:val="20"/>
                <w:color w:val="auto"/>
              </w:rPr>
            </w:pPr>
            <w:r>
              <w:rPr>
                <w:rFonts w:ascii="Arial" w:cs="Arial" w:eastAsia="Arial" w:hAnsi="Arial"/>
                <w:sz w:val="22"/>
                <w:szCs w:val="22"/>
                <w:color w:val="auto"/>
              </w:rPr>
              <w:t>3219-06R1</w:t>
            </w: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rPr>
              <w:t>Spare Parts Initial Provisioning</w:t>
            </w:r>
          </w:p>
        </w:tc>
        <w:tc>
          <w:tcPr>
            <w:tcW w:w="0" w:type="dxa"/>
            <w:vAlign w:val="bottom"/>
          </w:tcPr>
          <w:p>
            <w:pPr>
              <w:spacing w:after="0"/>
              <w:rPr>
                <w:sz w:val="1"/>
                <w:szCs w:val="1"/>
                <w:color w:val="auto"/>
              </w:rPr>
            </w:pPr>
          </w:p>
        </w:tc>
      </w:tr>
      <w:tr>
        <w:trPr>
          <w:trHeight w:val="459"/>
        </w:trPr>
        <w:tc>
          <w:tcPr>
            <w:tcW w:w="980" w:type="dxa"/>
            <w:vAlign w:val="bottom"/>
          </w:tcPr>
          <w:p>
            <w:pPr>
              <w:spacing w:after="0"/>
              <w:rPr>
                <w:sz w:val="20"/>
                <w:szCs w:val="20"/>
                <w:color w:val="auto"/>
              </w:rPr>
            </w:pPr>
            <w:r>
              <w:rPr>
                <w:rFonts w:ascii="Arial" w:cs="Arial" w:eastAsia="Arial" w:hAnsi="Arial"/>
                <w:sz w:val="22"/>
                <w:szCs w:val="22"/>
                <w:color w:val="auto"/>
                <w:strike w:val="1"/>
                <w:w w:val="88"/>
              </w:rPr>
              <w:t>3219-08R2</w:t>
            </w:r>
          </w:p>
        </w:tc>
        <w:tc>
          <w:tcPr>
            <w:tcW w:w="1320" w:type="dxa"/>
            <w:vAlign w:val="bottom"/>
          </w:tcPr>
          <w:p>
            <w:pPr>
              <w:spacing w:after="0"/>
              <w:rPr>
                <w:sz w:val="24"/>
                <w:szCs w:val="24"/>
                <w:color w:val="auto"/>
              </w:rPr>
            </w:pPr>
          </w:p>
        </w:tc>
        <w:tc>
          <w:tcPr>
            <w:tcW w:w="3900" w:type="dxa"/>
            <w:vAlign w:val="bottom"/>
            <w:gridSpan w:val="3"/>
          </w:tcPr>
          <w:p>
            <w:pPr>
              <w:ind w:left="1460"/>
              <w:spacing w:after="0"/>
              <w:rPr>
                <w:sz w:val="20"/>
                <w:szCs w:val="20"/>
                <w:color w:val="auto"/>
              </w:rPr>
            </w:pPr>
            <w:r>
              <w:rPr>
                <w:rFonts w:ascii="Arial" w:cs="Arial" w:eastAsia="Arial" w:hAnsi="Arial"/>
                <w:sz w:val="22"/>
                <w:szCs w:val="22"/>
                <w:color w:val="auto"/>
                <w:strike w:val="1"/>
                <w:w w:val="89"/>
              </w:rPr>
              <w:t>Open Configuration Matters</w:t>
            </w:r>
          </w:p>
        </w:tc>
        <w:tc>
          <w:tcPr>
            <w:tcW w:w="2680" w:type="dxa"/>
            <w:vAlign w:val="bottom"/>
            <w:gridSpan w:val="3"/>
          </w:tcPr>
          <w:p>
            <w:pPr>
              <w:ind w:left="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20"/>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00" w:type="dxa"/>
            <w:vAlign w:val="bottom"/>
          </w:tcPr>
          <w:p>
            <w:pPr>
              <w:ind w:left="146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gridSpan w:val="2"/>
          </w:tcPr>
          <w:p>
            <w:pPr>
              <w:spacing w:after="0"/>
              <w:rPr>
                <w:sz w:val="20"/>
                <w:szCs w:val="20"/>
                <w:color w:val="auto"/>
              </w:rPr>
            </w:pPr>
            <w:r>
              <w:rPr>
                <w:rFonts w:ascii="Arial" w:cs="Arial" w:eastAsia="Arial" w:hAnsi="Arial"/>
                <w:sz w:val="22"/>
                <w:szCs w:val="22"/>
                <w:color w:val="auto"/>
                <w:strike w:val="1"/>
              </w:rPr>
              <w:t>6-1162-AKP-071R1</w:t>
            </w:r>
          </w:p>
        </w:tc>
        <w:tc>
          <w:tcPr>
            <w:tcW w:w="6580" w:type="dxa"/>
            <w:vAlign w:val="bottom"/>
            <w:gridSpan w:val="6"/>
          </w:tcPr>
          <w:p>
            <w:pPr>
              <w:ind w:left="1780"/>
              <w:spacing w:after="0"/>
              <w:rPr>
                <w:sz w:val="20"/>
                <w:szCs w:val="20"/>
                <w:color w:val="auto"/>
              </w:rPr>
            </w:pPr>
            <w:r>
              <w:rPr>
                <w:rFonts w:ascii="Arial" w:cs="Arial" w:eastAsia="Arial" w:hAnsi="Arial"/>
                <w:sz w:val="22"/>
                <w:szCs w:val="22"/>
                <w:color w:val="auto"/>
              </w:rPr>
              <w:t>Terminated per AAL-PA-1977-LA-1105595</w:t>
            </w:r>
          </w:p>
        </w:tc>
        <w:tc>
          <w:tcPr>
            <w:tcW w:w="0" w:type="dxa"/>
            <w:vAlign w:val="bottom"/>
          </w:tcPr>
          <w:p>
            <w:pPr>
              <w:spacing w:after="0"/>
              <w:rPr>
                <w:sz w:val="1"/>
                <w:szCs w:val="1"/>
                <w:color w:val="auto"/>
              </w:rPr>
            </w:pPr>
          </w:p>
        </w:tc>
      </w:tr>
      <w:tr>
        <w:trPr>
          <w:trHeight w:val="320"/>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00" w:type="dxa"/>
            <w:vAlign w:val="bottom"/>
          </w:tcPr>
          <w:p>
            <w:pPr>
              <w:ind w:left="146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gridSpan w:val="2"/>
          </w:tcPr>
          <w:p>
            <w:pPr>
              <w:spacing w:after="0"/>
              <w:rPr>
                <w:sz w:val="20"/>
                <w:szCs w:val="20"/>
                <w:color w:val="auto"/>
              </w:rPr>
            </w:pPr>
            <w:r>
              <w:rPr>
                <w:rFonts w:ascii="Arial" w:cs="Arial" w:eastAsia="Arial" w:hAnsi="Arial"/>
                <w:sz w:val="22"/>
                <w:szCs w:val="22"/>
                <w:color w:val="auto"/>
                <w:strike w:val="1"/>
              </w:rPr>
              <w:t>6-1162-AKP-072R2</w:t>
            </w:r>
          </w:p>
        </w:tc>
        <w:tc>
          <w:tcPr>
            <w:tcW w:w="6580" w:type="dxa"/>
            <w:vAlign w:val="bottom"/>
            <w:gridSpan w:val="6"/>
          </w:tcPr>
          <w:p>
            <w:pPr>
              <w:ind w:left="1780"/>
              <w:spacing w:after="0"/>
              <w:rPr>
                <w:sz w:val="20"/>
                <w:szCs w:val="20"/>
                <w:color w:val="auto"/>
              </w:rPr>
            </w:pPr>
            <w:r>
              <w:rPr>
                <w:rFonts w:ascii="Arial" w:cs="Arial" w:eastAsia="Arial" w:hAnsi="Arial"/>
                <w:sz w:val="22"/>
                <w:szCs w:val="22"/>
                <w:color w:val="auto"/>
              </w:rPr>
              <w:t>Terminated per AAL-PA-1977-LA-1105595</w:t>
            </w:r>
          </w:p>
        </w:tc>
        <w:tc>
          <w:tcPr>
            <w:tcW w:w="0" w:type="dxa"/>
            <w:vAlign w:val="bottom"/>
          </w:tcPr>
          <w:p>
            <w:pPr>
              <w:spacing w:after="0"/>
              <w:rPr>
                <w:sz w:val="1"/>
                <w:szCs w:val="1"/>
                <w:color w:val="auto"/>
              </w:rPr>
            </w:pPr>
          </w:p>
        </w:tc>
      </w:tr>
      <w:tr>
        <w:trPr>
          <w:trHeight w:val="378"/>
        </w:trPr>
        <w:tc>
          <w:tcPr>
            <w:tcW w:w="2300" w:type="dxa"/>
            <w:vAlign w:val="bottom"/>
            <w:gridSpan w:val="2"/>
            <w:vMerge w:val="restart"/>
          </w:tcPr>
          <w:p>
            <w:pPr>
              <w:spacing w:after="0"/>
              <w:rPr>
                <w:sz w:val="20"/>
                <w:szCs w:val="20"/>
                <w:color w:val="auto"/>
              </w:rPr>
            </w:pPr>
            <w:r>
              <w:rPr>
                <w:rFonts w:ascii="Arial" w:cs="Arial" w:eastAsia="Arial" w:hAnsi="Arial"/>
                <w:sz w:val="22"/>
                <w:szCs w:val="22"/>
                <w:color w:val="auto"/>
              </w:rPr>
              <w:t>6-1162-AKP-073R1</w:t>
            </w: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rPr>
              <w:t>Accident Claims and Litigation</w:t>
            </w:r>
          </w:p>
        </w:tc>
        <w:tc>
          <w:tcPr>
            <w:tcW w:w="0" w:type="dxa"/>
            <w:vAlign w:val="bottom"/>
          </w:tcPr>
          <w:p>
            <w:pPr>
              <w:spacing w:after="0"/>
              <w:rPr>
                <w:sz w:val="1"/>
                <w:szCs w:val="1"/>
                <w:color w:val="auto"/>
              </w:rPr>
            </w:pPr>
          </w:p>
        </w:tc>
      </w:tr>
      <w:tr>
        <w:trPr>
          <w:trHeight w:val="108"/>
        </w:trPr>
        <w:tc>
          <w:tcPr>
            <w:tcW w:w="2300" w:type="dxa"/>
            <w:vAlign w:val="bottom"/>
            <w:gridSpan w:val="2"/>
            <w:vMerge w:val="continue"/>
          </w:tcPr>
          <w:p>
            <w:pPr>
              <w:spacing w:after="0"/>
              <w:rPr>
                <w:sz w:val="9"/>
                <w:szCs w:val="9"/>
                <w:color w:val="auto"/>
              </w:rPr>
            </w:pPr>
          </w:p>
        </w:tc>
        <w:tc>
          <w:tcPr>
            <w:tcW w:w="2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00" w:type="dxa"/>
            <w:vAlign w:val="bottom"/>
          </w:tcPr>
          <w:p>
            <w:pPr>
              <w:ind w:left="146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gridSpan w:val="2"/>
          </w:tcPr>
          <w:p>
            <w:pPr>
              <w:spacing w:after="0"/>
              <w:rPr>
                <w:sz w:val="20"/>
                <w:szCs w:val="20"/>
                <w:color w:val="auto"/>
              </w:rPr>
            </w:pPr>
            <w:r>
              <w:rPr>
                <w:rFonts w:ascii="Arial" w:cs="Arial" w:eastAsia="Arial" w:hAnsi="Arial"/>
                <w:sz w:val="22"/>
                <w:szCs w:val="22"/>
                <w:color w:val="auto"/>
                <w:strike w:val="1"/>
              </w:rPr>
              <w:t>6-1162-CLO-1031R1</w:t>
            </w: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20"/>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00" w:type="dxa"/>
            <w:vAlign w:val="bottom"/>
          </w:tcPr>
          <w:p>
            <w:pPr>
              <w:ind w:left="146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gridSpan w:val="2"/>
          </w:tcPr>
          <w:p>
            <w:pPr>
              <w:spacing w:after="0"/>
              <w:rPr>
                <w:sz w:val="20"/>
                <w:szCs w:val="20"/>
                <w:color w:val="auto"/>
              </w:rPr>
            </w:pPr>
            <w:r>
              <w:rPr>
                <w:rFonts w:ascii="Arial" w:cs="Arial" w:eastAsia="Arial" w:hAnsi="Arial"/>
                <w:sz w:val="22"/>
                <w:szCs w:val="22"/>
                <w:color w:val="auto"/>
                <w:strike w:val="1"/>
              </w:rPr>
              <w:t>6-1162-CLO-1032R1</w:t>
            </w:r>
          </w:p>
        </w:tc>
        <w:tc>
          <w:tcPr>
            <w:tcW w:w="6580" w:type="dxa"/>
            <w:vAlign w:val="bottom"/>
            <w:gridSpan w:val="6"/>
          </w:tcPr>
          <w:p>
            <w:pPr>
              <w:ind w:left="1780"/>
              <w:spacing w:after="0"/>
              <w:rPr>
                <w:sz w:val="20"/>
                <w:szCs w:val="20"/>
                <w:color w:val="auto"/>
              </w:rPr>
            </w:pPr>
            <w:r>
              <w:rPr>
                <w:rFonts w:ascii="Arial" w:cs="Arial" w:eastAsia="Arial" w:hAnsi="Arial"/>
                <w:sz w:val="22"/>
                <w:szCs w:val="22"/>
                <w:color w:val="auto"/>
              </w:rPr>
              <w:t>Terminated</w:t>
            </w:r>
          </w:p>
        </w:tc>
        <w:tc>
          <w:tcPr>
            <w:tcW w:w="0" w:type="dxa"/>
            <w:vAlign w:val="bottom"/>
          </w:tcPr>
          <w:p>
            <w:pPr>
              <w:spacing w:after="0"/>
              <w:rPr>
                <w:sz w:val="1"/>
                <w:szCs w:val="1"/>
                <w:color w:val="auto"/>
              </w:rPr>
            </w:pPr>
          </w:p>
        </w:tc>
      </w:tr>
      <w:tr>
        <w:trPr>
          <w:trHeight w:val="378"/>
        </w:trPr>
        <w:tc>
          <w:tcPr>
            <w:tcW w:w="2300" w:type="dxa"/>
            <w:vAlign w:val="bottom"/>
            <w:gridSpan w:val="2"/>
          </w:tcPr>
          <w:p>
            <w:pPr>
              <w:spacing w:after="0"/>
              <w:rPr>
                <w:sz w:val="20"/>
                <w:szCs w:val="20"/>
                <w:color w:val="auto"/>
              </w:rPr>
            </w:pPr>
            <w:r>
              <w:rPr>
                <w:rFonts w:ascii="Arial" w:cs="Arial" w:eastAsia="Arial" w:hAnsi="Arial"/>
                <w:sz w:val="22"/>
                <w:szCs w:val="22"/>
                <w:color w:val="auto"/>
              </w:rPr>
              <w:t>6-1162-CLO-1039</w:t>
            </w:r>
          </w:p>
        </w:tc>
        <w:tc>
          <w:tcPr>
            <w:tcW w:w="2500" w:type="dxa"/>
            <w:vAlign w:val="bottom"/>
          </w:tcPr>
          <w:p>
            <w:pPr>
              <w:ind w:left="146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gridSpan w:val="2"/>
          </w:tcPr>
          <w:p>
            <w:pPr>
              <w:spacing w:after="0"/>
              <w:rPr>
                <w:sz w:val="20"/>
                <w:szCs w:val="20"/>
                <w:color w:val="auto"/>
              </w:rPr>
            </w:pPr>
            <w:r>
              <w:rPr>
                <w:rFonts w:ascii="Arial" w:cs="Arial" w:eastAsia="Arial" w:hAnsi="Arial"/>
                <w:sz w:val="22"/>
                <w:szCs w:val="22"/>
                <w:color w:val="auto"/>
              </w:rPr>
              <w:t>6-1162-CLO-1042</w:t>
            </w:r>
          </w:p>
        </w:tc>
        <w:tc>
          <w:tcPr>
            <w:tcW w:w="2500" w:type="dxa"/>
            <w:vAlign w:val="bottom"/>
          </w:tcPr>
          <w:p>
            <w:pPr>
              <w:ind w:left="146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gridSpan w:val="2"/>
          </w:tcPr>
          <w:p>
            <w:pPr>
              <w:spacing w:after="0"/>
              <w:rPr>
                <w:sz w:val="20"/>
                <w:szCs w:val="20"/>
                <w:color w:val="auto"/>
              </w:rPr>
            </w:pPr>
            <w:r>
              <w:rPr>
                <w:rFonts w:ascii="Arial" w:cs="Arial" w:eastAsia="Arial" w:hAnsi="Arial"/>
                <w:sz w:val="22"/>
                <w:szCs w:val="22"/>
                <w:color w:val="auto"/>
              </w:rPr>
              <w:t>6-1162-CLO-1043R1</w:t>
            </w: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rPr>
              <w:t>787 Inspection Process</w:t>
            </w:r>
          </w:p>
        </w:tc>
        <w:tc>
          <w:tcPr>
            <w:tcW w:w="0" w:type="dxa"/>
            <w:vAlign w:val="bottom"/>
          </w:tcPr>
          <w:p>
            <w:pPr>
              <w:spacing w:after="0"/>
              <w:rPr>
                <w:sz w:val="1"/>
                <w:szCs w:val="1"/>
                <w:color w:val="auto"/>
              </w:rPr>
            </w:pPr>
          </w:p>
        </w:tc>
      </w:tr>
      <w:tr>
        <w:trPr>
          <w:trHeight w:val="378"/>
        </w:trPr>
        <w:tc>
          <w:tcPr>
            <w:tcW w:w="2300" w:type="dxa"/>
            <w:vAlign w:val="bottom"/>
            <w:gridSpan w:val="2"/>
          </w:tcPr>
          <w:p>
            <w:pPr>
              <w:spacing w:after="0"/>
              <w:rPr>
                <w:sz w:val="20"/>
                <w:szCs w:val="20"/>
                <w:color w:val="auto"/>
              </w:rPr>
            </w:pPr>
            <w:r>
              <w:rPr>
                <w:rFonts w:ascii="Arial" w:cs="Arial" w:eastAsia="Arial" w:hAnsi="Arial"/>
                <w:sz w:val="22"/>
                <w:szCs w:val="22"/>
                <w:color w:val="auto"/>
              </w:rPr>
              <w:t>6-1162-CLO-1045R1</w:t>
            </w:r>
          </w:p>
        </w:tc>
        <w:tc>
          <w:tcPr>
            <w:tcW w:w="2500" w:type="dxa"/>
            <w:vAlign w:val="bottom"/>
          </w:tcPr>
          <w:p>
            <w:pPr>
              <w:ind w:left="144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strike w:val="1"/>
                <w:w w:val="95"/>
              </w:rPr>
              <w:t>SA-eE, COTS Software and End User License Matters</w:t>
            </w:r>
          </w:p>
        </w:tc>
        <w:tc>
          <w:tcPr>
            <w:tcW w:w="0" w:type="dxa"/>
            <w:vAlign w:val="bottom"/>
          </w:tcPr>
          <w:p>
            <w:pPr>
              <w:spacing w:after="0"/>
              <w:rPr>
                <w:sz w:val="1"/>
                <w:szCs w:val="1"/>
                <w:color w:val="auto"/>
              </w:rPr>
            </w:pPr>
          </w:p>
        </w:tc>
      </w:tr>
      <w:tr>
        <w:trPr>
          <w:trHeight w:val="274"/>
        </w:trPr>
        <w:tc>
          <w:tcPr>
            <w:tcW w:w="2300" w:type="dxa"/>
            <w:vAlign w:val="bottom"/>
            <w:gridSpan w:val="2"/>
          </w:tcPr>
          <w:p>
            <w:pPr>
              <w:spacing w:after="0"/>
              <w:rPr>
                <w:sz w:val="20"/>
                <w:szCs w:val="20"/>
                <w:color w:val="auto"/>
              </w:rPr>
            </w:pPr>
            <w:r>
              <w:rPr>
                <w:rFonts w:ascii="Arial" w:cs="Arial" w:eastAsia="Arial" w:hAnsi="Arial"/>
                <w:sz w:val="22"/>
                <w:szCs w:val="22"/>
                <w:color w:val="auto"/>
                <w:strike w:val="1"/>
              </w:rPr>
              <w:t>6-1162-CLO-1046</w:t>
            </w: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78"/>
        </w:trPr>
        <w:tc>
          <w:tcPr>
            <w:tcW w:w="2300" w:type="dxa"/>
            <w:vAlign w:val="bottom"/>
            <w:gridSpan w:val="2"/>
          </w:tcPr>
          <w:p>
            <w:pPr>
              <w:spacing w:after="0"/>
              <w:rPr>
                <w:sz w:val="20"/>
                <w:szCs w:val="20"/>
                <w:color w:val="auto"/>
              </w:rPr>
            </w:pPr>
            <w:r>
              <w:rPr>
                <w:rFonts w:ascii="Arial" w:cs="Arial" w:eastAsia="Arial" w:hAnsi="Arial"/>
                <w:sz w:val="22"/>
                <w:szCs w:val="22"/>
                <w:color w:val="auto"/>
              </w:rPr>
              <w:t>6-1162-CLO-1047R4</w:t>
            </w:r>
          </w:p>
        </w:tc>
        <w:tc>
          <w:tcPr>
            <w:tcW w:w="2500" w:type="dxa"/>
            <w:vAlign w:val="bottom"/>
          </w:tcPr>
          <w:p>
            <w:pPr>
              <w:ind w:left="146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gridSpan w:val="2"/>
          </w:tcPr>
          <w:p>
            <w:pPr>
              <w:spacing w:after="0"/>
              <w:rPr>
                <w:sz w:val="20"/>
                <w:szCs w:val="20"/>
                <w:color w:val="auto"/>
              </w:rPr>
            </w:pPr>
            <w:r>
              <w:rPr>
                <w:rFonts w:ascii="Arial" w:cs="Arial" w:eastAsia="Arial" w:hAnsi="Arial"/>
                <w:sz w:val="22"/>
                <w:szCs w:val="22"/>
                <w:color w:val="auto"/>
                <w:strike w:val="1"/>
              </w:rPr>
              <w:t>6-1162-CLO-1048</w:t>
            </w:r>
          </w:p>
        </w:tc>
        <w:tc>
          <w:tcPr>
            <w:tcW w:w="2500" w:type="dxa"/>
            <w:vAlign w:val="bottom"/>
          </w:tcPr>
          <w:p>
            <w:pPr>
              <w:ind w:left="1340"/>
              <w:spacing w:after="0"/>
              <w:rPr>
                <w:sz w:val="20"/>
                <w:szCs w:val="20"/>
                <w:color w:val="auto"/>
              </w:rPr>
            </w:pPr>
            <w:r>
              <w:rPr>
                <w:rFonts w:ascii="Arial" w:cs="Arial" w:eastAsia="Arial" w:hAnsi="Arial"/>
                <w:sz w:val="22"/>
                <w:szCs w:val="22"/>
                <w:color w:val="auto"/>
                <w:strike w:val="1"/>
                <w:w w:val="89"/>
              </w:rPr>
              <w:t>Final Matters</w:t>
            </w:r>
          </w:p>
        </w:tc>
        <w:tc>
          <w:tcPr>
            <w:tcW w:w="4080" w:type="dxa"/>
            <w:vAlign w:val="bottom"/>
            <w:gridSpan w:val="5"/>
          </w:tcPr>
          <w:p>
            <w:pPr>
              <w:ind w:left="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78"/>
        </w:trPr>
        <w:tc>
          <w:tcPr>
            <w:tcW w:w="2300" w:type="dxa"/>
            <w:vAlign w:val="bottom"/>
            <w:gridSpan w:val="2"/>
          </w:tcPr>
          <w:p>
            <w:pPr>
              <w:spacing w:after="0"/>
              <w:rPr>
                <w:sz w:val="20"/>
                <w:szCs w:val="20"/>
                <w:color w:val="auto"/>
              </w:rPr>
            </w:pPr>
            <w:r>
              <w:rPr>
                <w:rFonts w:ascii="Arial" w:cs="Arial" w:eastAsia="Arial" w:hAnsi="Arial"/>
                <w:sz w:val="22"/>
                <w:szCs w:val="22"/>
                <w:color w:val="auto"/>
              </w:rPr>
              <w:t>6-1162-CLO-1049R2</w:t>
            </w:r>
          </w:p>
        </w:tc>
        <w:tc>
          <w:tcPr>
            <w:tcW w:w="6580" w:type="dxa"/>
            <w:vAlign w:val="bottom"/>
            <w:gridSpan w:val="6"/>
          </w:tcPr>
          <w:p>
            <w:pPr>
              <w:ind w:left="1460"/>
              <w:spacing w:after="0"/>
              <w:rPr>
                <w:sz w:val="20"/>
                <w:szCs w:val="20"/>
                <w:color w:val="auto"/>
              </w:rPr>
            </w:pPr>
            <w:r>
              <w:rPr>
                <w:rFonts w:ascii="Arial" w:cs="Arial" w:eastAsia="Arial" w:hAnsi="Arial"/>
                <w:sz w:val="22"/>
                <w:szCs w:val="22"/>
                <w:color w:val="auto"/>
              </w:rPr>
              <w:t>CS1 Matters</w:t>
            </w:r>
          </w:p>
        </w:tc>
        <w:tc>
          <w:tcPr>
            <w:tcW w:w="0" w:type="dxa"/>
            <w:vAlign w:val="bottom"/>
          </w:tcPr>
          <w:p>
            <w:pPr>
              <w:spacing w:after="0"/>
              <w:rPr>
                <w:sz w:val="1"/>
                <w:szCs w:val="1"/>
                <w:color w:val="auto"/>
              </w:rPr>
            </w:pPr>
          </w:p>
        </w:tc>
      </w:tr>
      <w:tr>
        <w:trPr>
          <w:trHeight w:val="338"/>
        </w:trPr>
        <w:tc>
          <w:tcPr>
            <w:tcW w:w="2300" w:type="dxa"/>
            <w:vAlign w:val="bottom"/>
            <w:gridSpan w:val="2"/>
          </w:tcPr>
          <w:p>
            <w:pPr>
              <w:spacing w:after="0"/>
              <w:rPr>
                <w:sz w:val="20"/>
                <w:szCs w:val="20"/>
                <w:color w:val="auto"/>
              </w:rPr>
            </w:pPr>
            <w:r>
              <w:rPr>
                <w:rFonts w:ascii="Arial" w:cs="Arial" w:eastAsia="Arial" w:hAnsi="Arial"/>
                <w:sz w:val="22"/>
                <w:szCs w:val="22"/>
                <w:color w:val="auto"/>
              </w:rPr>
              <w:t>6-1162-TRW-0664R2</w:t>
            </w:r>
          </w:p>
        </w:tc>
        <w:tc>
          <w:tcPr>
            <w:tcW w:w="6580" w:type="dxa"/>
            <w:vAlign w:val="bottom"/>
            <w:gridSpan w:val="6"/>
          </w:tcPr>
          <w:p>
            <w:pPr>
              <w:ind w:left="1400"/>
              <w:spacing w:after="0"/>
              <w:rPr>
                <w:sz w:val="20"/>
                <w:szCs w:val="20"/>
                <w:color w:val="auto"/>
              </w:rPr>
            </w:pPr>
            <w:r>
              <w:rPr>
                <w:rFonts w:ascii="Arial" w:cs="Arial" w:eastAsia="Arial" w:hAnsi="Arial"/>
                <w:sz w:val="22"/>
                <w:szCs w:val="22"/>
                <w:color w:val="auto"/>
              </w:rPr>
              <w:t>Aircraft Purchase Rights and Substitution Rights</w:t>
            </w:r>
          </w:p>
        </w:tc>
        <w:tc>
          <w:tcPr>
            <w:tcW w:w="0" w:type="dxa"/>
            <w:vAlign w:val="bottom"/>
          </w:tcPr>
          <w:p>
            <w:pPr>
              <w:spacing w:after="0"/>
              <w:rPr>
                <w:sz w:val="1"/>
                <w:szCs w:val="1"/>
                <w:color w:val="auto"/>
              </w:rPr>
            </w:pPr>
          </w:p>
        </w:tc>
      </w:tr>
      <w:tr>
        <w:trPr>
          <w:trHeight w:val="351"/>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180" w:type="dxa"/>
            <w:vAlign w:val="bottom"/>
            <w:gridSpan w:val="5"/>
          </w:tcPr>
          <w:p>
            <w:pPr>
              <w:ind w:left="1400"/>
              <w:spacing w:after="0"/>
              <w:rPr>
                <w:sz w:val="20"/>
                <w:szCs w:val="20"/>
                <w:color w:val="auto"/>
              </w:rPr>
            </w:pPr>
            <w:r>
              <w:rPr>
                <w:rFonts w:ascii="Arial" w:cs="Arial" w:eastAsia="Arial" w:hAnsi="Arial"/>
                <w:sz w:val="22"/>
                <w:szCs w:val="22"/>
                <w:color w:val="auto"/>
                <w:strike w:val="1"/>
                <w:w w:val="90"/>
              </w:rPr>
              <w:t>Attachment A(R2) – MADP Exercise Dates</w:t>
            </w:r>
          </w:p>
        </w:tc>
        <w:tc>
          <w:tcPr>
            <w:tcW w:w="1400" w:type="dxa"/>
            <w:vAlign w:val="bottom"/>
          </w:tcPr>
          <w:p>
            <w:pPr>
              <w:jc w:val="center"/>
              <w:spacing w:after="0"/>
              <w:rPr>
                <w:sz w:val="20"/>
                <w:szCs w:val="20"/>
                <w:color w:val="auto"/>
              </w:rPr>
            </w:pPr>
            <w:r>
              <w:rPr>
                <w:rFonts w:ascii="Arial" w:cs="Arial" w:eastAsia="Arial" w:hAnsi="Arial"/>
                <w:sz w:val="22"/>
                <w:szCs w:val="22"/>
                <w:color w:val="auto"/>
                <w:w w:val="97"/>
              </w:rPr>
              <w:t>WITHDRAWN</w:t>
            </w:r>
          </w:p>
        </w:tc>
        <w:tc>
          <w:tcPr>
            <w:tcW w:w="0" w:type="dxa"/>
            <w:vAlign w:val="bottom"/>
          </w:tcPr>
          <w:p>
            <w:pPr>
              <w:spacing w:after="0"/>
              <w:rPr>
                <w:sz w:val="1"/>
                <w:szCs w:val="1"/>
                <w:color w:val="auto"/>
              </w:rPr>
            </w:pPr>
          </w:p>
        </w:tc>
      </w:tr>
      <w:tr>
        <w:trPr>
          <w:trHeight w:val="337"/>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140" w:type="dxa"/>
            <w:vAlign w:val="bottom"/>
            <w:gridSpan w:val="4"/>
          </w:tcPr>
          <w:p>
            <w:pPr>
              <w:ind w:left="1400"/>
              <w:spacing w:after="0"/>
              <w:rPr>
                <w:sz w:val="20"/>
                <w:szCs w:val="20"/>
                <w:color w:val="auto"/>
              </w:rPr>
            </w:pPr>
            <w:r>
              <w:rPr>
                <w:rFonts w:ascii="Arial" w:cs="Arial" w:eastAsia="Arial" w:hAnsi="Arial"/>
                <w:sz w:val="22"/>
                <w:szCs w:val="22"/>
                <w:color w:val="auto"/>
                <w:strike w:val="1"/>
                <w:w w:val="89"/>
              </w:rPr>
              <w:t>Attachment B(R2) – QADP Exercise Dates</w:t>
            </w:r>
          </w:p>
        </w:tc>
        <w:tc>
          <w:tcPr>
            <w:tcW w:w="1440" w:type="dxa"/>
            <w:vAlign w:val="bottom"/>
            <w:gridSpan w:val="2"/>
          </w:tcPr>
          <w:p>
            <w:pPr>
              <w:jc w:val="center"/>
              <w:spacing w:after="0"/>
              <w:rPr>
                <w:sz w:val="20"/>
                <w:szCs w:val="20"/>
                <w:color w:val="auto"/>
              </w:rPr>
            </w:pPr>
            <w:r>
              <w:rPr>
                <w:rFonts w:ascii="Arial" w:cs="Arial" w:eastAsia="Arial" w:hAnsi="Arial"/>
                <w:sz w:val="22"/>
                <w:szCs w:val="22"/>
                <w:color w:val="auto"/>
                <w:w w:val="99"/>
              </w:rPr>
              <w:t>WITHDRAWN</w:t>
            </w:r>
          </w:p>
        </w:tc>
        <w:tc>
          <w:tcPr>
            <w:tcW w:w="0" w:type="dxa"/>
            <w:vAlign w:val="bottom"/>
          </w:tcPr>
          <w:p>
            <w:pPr>
              <w:spacing w:after="0"/>
              <w:rPr>
                <w:sz w:val="1"/>
                <w:szCs w:val="1"/>
                <w:color w:val="auto"/>
              </w:rPr>
            </w:pPr>
          </w:p>
        </w:tc>
      </w:tr>
      <w:tr>
        <w:trPr>
          <w:trHeight w:val="252"/>
        </w:trPr>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580" w:type="dxa"/>
            <w:vAlign w:val="bottom"/>
            <w:gridSpan w:val="6"/>
          </w:tcPr>
          <w:p>
            <w:pPr>
              <w:ind w:left="1400"/>
              <w:spacing w:after="0"/>
              <w:rPr>
                <w:sz w:val="20"/>
                <w:szCs w:val="20"/>
                <w:color w:val="auto"/>
              </w:rPr>
            </w:pPr>
            <w:r>
              <w:rPr>
                <w:rFonts w:ascii="Arial" w:cs="Arial" w:eastAsia="Arial" w:hAnsi="Arial"/>
                <w:sz w:val="22"/>
                <w:szCs w:val="22"/>
                <w:color w:val="auto"/>
                <w:strike w:val="1"/>
              </w:rPr>
              <w:t>Attachment C(R3) – MADP &amp; QADP Rights Aircraft:</w:t>
            </w:r>
          </w:p>
        </w:tc>
        <w:tc>
          <w:tcPr>
            <w:tcW w:w="0" w:type="dxa"/>
            <w:vAlign w:val="bottom"/>
          </w:tcPr>
          <w:p>
            <w:pPr>
              <w:spacing w:after="0"/>
              <w:rPr>
                <w:sz w:val="1"/>
                <w:szCs w:val="1"/>
                <w:color w:val="auto"/>
              </w:rPr>
            </w:pPr>
          </w:p>
        </w:tc>
      </w:tr>
      <w:tr>
        <w:trPr>
          <w:trHeight w:val="274"/>
        </w:trPr>
        <w:tc>
          <w:tcPr>
            <w:tcW w:w="9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380" w:type="dxa"/>
            <w:vAlign w:val="bottom"/>
            <w:gridSpan w:val="2"/>
          </w:tcPr>
          <w:p>
            <w:pPr>
              <w:ind w:left="1400"/>
              <w:spacing w:after="0"/>
              <w:rPr>
                <w:sz w:val="20"/>
                <w:szCs w:val="20"/>
                <w:color w:val="auto"/>
              </w:rPr>
            </w:pPr>
            <w:r>
              <w:rPr>
                <w:rFonts w:ascii="Arial" w:cs="Arial" w:eastAsia="Arial" w:hAnsi="Arial"/>
                <w:sz w:val="22"/>
                <w:szCs w:val="22"/>
                <w:color w:val="auto"/>
                <w:strike w:val="1"/>
                <w:w w:val="89"/>
              </w:rPr>
              <w:t>Description/Price Data</w:t>
            </w:r>
          </w:p>
        </w:tc>
        <w:tc>
          <w:tcPr>
            <w:tcW w:w="3200" w:type="dxa"/>
            <w:vAlign w:val="bottom"/>
            <w:gridSpan w:val="4"/>
          </w:tcPr>
          <w:p>
            <w:pPr>
              <w:ind w:left="40"/>
              <w:spacing w:after="0"/>
              <w:rPr>
                <w:sz w:val="20"/>
                <w:szCs w:val="20"/>
                <w:color w:val="auto"/>
              </w:rPr>
            </w:pPr>
            <w:r>
              <w:rPr>
                <w:rFonts w:ascii="Arial" w:cs="Arial" w:eastAsia="Arial" w:hAnsi="Arial"/>
                <w:sz w:val="22"/>
                <w:szCs w:val="22"/>
                <w:color w:val="auto"/>
              </w:rPr>
              <w:t>Attachment C(R4)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w:t>
      </w:r>
    </w:p>
    <w:p>
      <w:pPr>
        <w:jc w:val="center"/>
        <w:spacing w:after="0"/>
        <w:rPr>
          <w:sz w:val="20"/>
          <w:szCs w:val="20"/>
          <w:color w:val="auto"/>
        </w:rPr>
      </w:pPr>
      <w:r>
        <w:rPr>
          <w:rFonts w:ascii="Arial" w:cs="Arial" w:eastAsia="Arial" w:hAnsi="Arial"/>
          <w:sz w:val="21"/>
          <w:szCs w:val="2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39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SA-11</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SA-6</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SA-11</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SA-11</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SA-11</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SA-11</w:t>
      </w:r>
    </w:p>
    <w:p>
      <w:pPr>
        <w:spacing w:after="0" w:line="437" w:lineRule="exact"/>
        <w:rPr>
          <w:sz w:val="20"/>
          <w:szCs w:val="20"/>
          <w:color w:val="auto"/>
        </w:rPr>
      </w:pPr>
    </w:p>
    <w:p>
      <w:pPr>
        <w:sectPr>
          <w:pgSz w:w="11900" w:h="16838" w:orient="portrait"/>
          <w:cols w:equalWidth="0" w:num="2">
            <w:col w:w="9280" w:space="720"/>
            <w:col w:w="920"/>
          </w:cols>
          <w:pgMar w:left="320" w:top="32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4660" w:val="left"/>
        </w:tabs>
        <w:rPr>
          <w:sz w:val="20"/>
          <w:szCs w:val="20"/>
          <w:color w:val="auto"/>
        </w:rPr>
      </w:pPr>
      <w:r>
        <w:rPr>
          <w:rFonts w:ascii="Arial" w:cs="Arial" w:eastAsia="Arial" w:hAnsi="Arial"/>
          <w:sz w:val="16"/>
          <w:szCs w:val="16"/>
          <w:color w:val="auto"/>
        </w:rPr>
        <w:t>AAL-PA-03219 121168-1F.txt BOEING PROPRIETARY</w:t>
      </w:r>
      <w:r>
        <w:rPr>
          <w:sz w:val="20"/>
          <w:szCs w:val="20"/>
          <w:color w:val="auto"/>
        </w:rPr>
        <w:tab/>
      </w:r>
      <w:r>
        <w:rPr>
          <w:rFonts w:ascii="Arial" w:cs="Arial" w:eastAsia="Arial" w:hAnsi="Arial"/>
          <w:sz w:val="15"/>
          <w:szCs w:val="15"/>
          <w:color w:val="auto"/>
        </w:rPr>
        <w:t>SA-19 Table 7(R2)</w:t>
      </w:r>
    </w:p>
    <w:p>
      <w:pPr>
        <w:ind w:left="900"/>
        <w:spacing w:after="0"/>
        <w:rPr>
          <w:sz w:val="20"/>
          <w:szCs w:val="20"/>
          <w:color w:val="auto"/>
        </w:rPr>
      </w:pPr>
      <w:r>
        <w:rPr>
          <w:rFonts w:ascii="Arial" w:cs="Arial" w:eastAsia="Arial" w:hAnsi="Arial"/>
          <w:sz w:val="16"/>
          <w:szCs w:val="16"/>
          <w:color w:val="auto"/>
        </w:rPr>
        <w:t>Page ii</w:t>
      </w:r>
    </w:p>
    <w:p>
      <w:pPr>
        <w:sectPr>
          <w:pgSz w:w="11900" w:h="16838" w:orient="portrait"/>
          <w:cols w:equalWidth="0" w:num="1">
            <w:col w:w="10920"/>
          </w:cols>
          <w:pgMar w:left="320" w:top="321" w:right="659" w:bottom="144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0"/>
        <w:spacing w:after="0"/>
        <w:rPr>
          <w:sz w:val="20"/>
          <w:szCs w:val="20"/>
          <w:color w:val="auto"/>
        </w:rPr>
      </w:pPr>
      <w:r>
        <w:rPr>
          <w:rFonts w:ascii="Arial" w:cs="Arial" w:eastAsia="Arial" w:hAnsi="Arial"/>
          <w:sz w:val="22"/>
          <w:szCs w:val="22"/>
          <w:color w:val="auto"/>
          <w:strike w:val="1"/>
        </w:rPr>
        <w:t>6-1162-TRW-0665</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2"/>
          <w:szCs w:val="22"/>
          <w:color w:val="auto"/>
          <w:strike w:val="1"/>
        </w:rPr>
        <w:t>6-1162-TRW-0666</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6-1162-TRW-0667R3</w:t>
      </w:r>
    </w:p>
    <w:p>
      <w:pPr>
        <w:spacing w:after="0" w:line="34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6-1162-TRW-0668R1</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6-1162-TRW-0670R1</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2"/>
          <w:szCs w:val="22"/>
          <w:color w:val="auto"/>
          <w:strike w:val="1"/>
        </w:rPr>
        <w:t>6-1162-TRW-0671</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6-1162-TRW-0672R1</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6-1162-TRW-0673R1</w:t>
      </w:r>
    </w:p>
    <w:p>
      <w:pPr>
        <w:spacing w:after="0" w:line="125" w:lineRule="exact"/>
        <w:rPr>
          <w:sz w:val="20"/>
          <w:szCs w:val="20"/>
          <w:color w:val="auto"/>
        </w:rPr>
      </w:pPr>
    </w:p>
    <w:p>
      <w:pPr>
        <w:ind w:left="140" w:right="460"/>
        <w:spacing w:after="0" w:line="357" w:lineRule="auto"/>
        <w:rPr>
          <w:sz w:val="20"/>
          <w:szCs w:val="20"/>
          <w:color w:val="auto"/>
        </w:rPr>
      </w:pPr>
      <w:r>
        <w:rPr>
          <w:rFonts w:ascii="Arial" w:cs="Arial" w:eastAsia="Arial" w:hAnsi="Arial"/>
          <w:sz w:val="22"/>
          <w:szCs w:val="22"/>
          <w:color w:val="auto"/>
        </w:rPr>
        <w:t>6-1162-TRW-0674R4 AAL-PA-3219-LA-08836R2 AAL-PA-3219-LA-08837R1 AAL-PA-3219-LA-08838 AAL-LA-1106678 AAL-PA-3219-LA-1302236R2 AAL-PA-3219-LA-1604503R1 AAL-PA-03219-LA-1701988</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AAL-PA-03219-LA-1804779R1</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AAL-PA-03219-LA-1802262R1</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AAL-PA-03219-LA-1802492</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AAL-PA-3219-LA-2001170</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AAL-PA-3219-2101557</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AAL-LA-2100530</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AAL-PA-3219-2300600</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AAL-PA-03219-LA-2302901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Attachment D – Form of Purchase Agreement Supplement</w:t>
      </w:r>
    </w:p>
    <w:p>
      <w:pPr>
        <w:spacing w:after="0" w:line="56" w:lineRule="exact"/>
        <w:rPr>
          <w:sz w:val="20"/>
          <w:szCs w:val="20"/>
          <w:color w:val="auto"/>
        </w:rPr>
      </w:pPr>
    </w:p>
    <w:p>
      <w:pPr>
        <w:ind w:left="320" w:right="520"/>
        <w:spacing w:after="0" w:line="230" w:lineRule="auto"/>
        <w:rPr>
          <w:sz w:val="20"/>
          <w:szCs w:val="20"/>
          <w:color w:val="auto"/>
        </w:rPr>
      </w:pPr>
      <w:r>
        <w:rPr>
          <w:rFonts w:ascii="Arial" w:cs="Arial" w:eastAsia="Arial" w:hAnsi="Arial"/>
          <w:sz w:val="22"/>
          <w:szCs w:val="22"/>
          <w:color w:val="auto"/>
        </w:rPr>
        <w:t>Attachment E – Letter Agreements To Be Included In Purchase Agreement Supplement</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WITHDRAWN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WITHDRAWN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ind w:left="680" w:right="100" w:hanging="323"/>
        <w:spacing w:after="0" w:line="232" w:lineRule="auto"/>
        <w:rPr>
          <w:sz w:val="20"/>
          <w:szCs w:val="20"/>
          <w:color w:val="auto"/>
        </w:rPr>
      </w:pPr>
      <w:r>
        <w:rPr>
          <w:rFonts w:ascii="Arial" w:cs="Arial" w:eastAsia="Arial" w:hAnsi="Arial"/>
          <w:sz w:val="22"/>
          <w:szCs w:val="22"/>
          <w:color w:val="auto"/>
        </w:rPr>
        <w:t>Special Matters Relating to COTS Software and End User License Agreements</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Miscellaneous Commitments for Model 787 Aircraft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WITHDRAWN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Promotional Support Agreement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Confidentiality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Business Considerations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787 Business Matters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Open Configuration Matters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 xml:space="preserve">Special Matters- </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SA-11</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SA-6</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SA-11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SA-3</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SA-11</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SA-11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SA-6</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SA-13</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SA-8</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SA-10</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SA-19</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SA-12</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SA-11</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SA-15</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SA-16</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SA-16</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SA-18</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SA-19</w:t>
      </w:r>
    </w:p>
    <w:p>
      <w:pPr>
        <w:spacing w:after="0" w:line="315" w:lineRule="exact"/>
        <w:rPr>
          <w:sz w:val="20"/>
          <w:szCs w:val="20"/>
          <w:color w:val="auto"/>
        </w:rPr>
      </w:pPr>
    </w:p>
    <w:p>
      <w:pPr>
        <w:sectPr>
          <w:pgSz w:w="11900" w:h="16838" w:orient="portrait"/>
          <w:cols w:equalWidth="0" w:num="3">
            <w:col w:w="3320" w:space="720"/>
            <w:col w:w="5480" w:space="720"/>
            <w:col w:w="560"/>
          </w:cols>
          <w:pgMar w:left="320" w:top="32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660" w:val="left"/>
        </w:tabs>
        <w:rPr>
          <w:sz w:val="20"/>
          <w:szCs w:val="20"/>
          <w:color w:val="auto"/>
        </w:rPr>
      </w:pPr>
      <w:r>
        <w:rPr>
          <w:rFonts w:ascii="Arial" w:cs="Arial" w:eastAsia="Arial" w:hAnsi="Arial"/>
          <w:sz w:val="16"/>
          <w:szCs w:val="16"/>
          <w:color w:val="auto"/>
        </w:rPr>
        <w:t>AAL-PA-03219 121168-1F.txt BOEING PROPRIETARY</w:t>
      </w:r>
      <w:r>
        <w:rPr>
          <w:sz w:val="20"/>
          <w:szCs w:val="20"/>
          <w:color w:val="auto"/>
        </w:rPr>
        <w:tab/>
      </w:r>
      <w:r>
        <w:rPr>
          <w:rFonts w:ascii="Arial" w:cs="Arial" w:eastAsia="Arial" w:hAnsi="Arial"/>
          <w:sz w:val="15"/>
          <w:szCs w:val="15"/>
          <w:color w:val="auto"/>
        </w:rPr>
        <w:t>SA-19 Table 7(R2)</w:t>
      </w:r>
    </w:p>
    <w:p>
      <w:pPr>
        <w:ind w:left="900"/>
        <w:spacing w:after="0"/>
        <w:rPr>
          <w:sz w:val="20"/>
          <w:szCs w:val="20"/>
          <w:color w:val="auto"/>
        </w:rPr>
      </w:pPr>
      <w:r>
        <w:rPr>
          <w:rFonts w:ascii="Arial" w:cs="Arial" w:eastAsia="Arial" w:hAnsi="Arial"/>
          <w:sz w:val="16"/>
          <w:szCs w:val="16"/>
          <w:color w:val="auto"/>
        </w:rPr>
        <w:t>Page iii</w:t>
      </w:r>
    </w:p>
    <w:p>
      <w:pPr>
        <w:sectPr>
          <w:pgSz w:w="11900" w:h="16838" w:orient="portrait"/>
          <w:cols w:equalWidth="0" w:num="1">
            <w:col w:w="10800"/>
          </w:cols>
          <w:pgMar w:left="320" w:top="321" w:right="779" w:bottom="1440"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auto"/>
        </w:rPr>
        <w:t>ATTACHMENTS</w:t>
      </w:r>
    </w:p>
    <w:p>
      <w:pPr>
        <w:spacing w:after="0" w:line="25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Attachment 1</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Attachment 2</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Attachment 3</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Schedule for [****] of 787-9 MADP Rights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Schedule for [****] of 787-9 QADP Rights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787-9 Purchase Rights Aircraft [****] Delivery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SA-11</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SA-11</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SA-11</w:t>
      </w:r>
    </w:p>
    <w:p>
      <w:pPr>
        <w:spacing w:after="0" w:line="234" w:lineRule="exact"/>
        <w:rPr>
          <w:sz w:val="20"/>
          <w:szCs w:val="20"/>
          <w:color w:val="auto"/>
        </w:rPr>
      </w:pPr>
    </w:p>
    <w:p>
      <w:pPr>
        <w:sectPr>
          <w:pgSz w:w="11900" w:h="16838" w:orient="portrait"/>
          <w:cols w:equalWidth="0" w:num="3">
            <w:col w:w="3180" w:space="720"/>
            <w:col w:w="5400" w:space="720"/>
            <w:col w:w="560"/>
          </w:cols>
          <w:pgMar w:left="320" w:top="3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4660" w:val="left"/>
        </w:tabs>
        <w:rPr>
          <w:sz w:val="20"/>
          <w:szCs w:val="20"/>
          <w:color w:val="auto"/>
        </w:rPr>
      </w:pPr>
      <w:r>
        <w:rPr>
          <w:rFonts w:ascii="Arial" w:cs="Arial" w:eastAsia="Arial" w:hAnsi="Arial"/>
          <w:sz w:val="16"/>
          <w:szCs w:val="16"/>
          <w:color w:val="auto"/>
        </w:rPr>
        <w:t>AAL-PA-03219 121168-1F.txt BOEING PROPRIETARY</w:t>
      </w:r>
      <w:r>
        <w:rPr>
          <w:sz w:val="20"/>
          <w:szCs w:val="20"/>
          <w:color w:val="auto"/>
        </w:rPr>
        <w:tab/>
      </w:r>
      <w:r>
        <w:rPr>
          <w:rFonts w:ascii="Arial" w:cs="Arial" w:eastAsia="Arial" w:hAnsi="Arial"/>
          <w:sz w:val="15"/>
          <w:szCs w:val="15"/>
          <w:color w:val="auto"/>
        </w:rPr>
        <w:t>SA-19 Table 7(R2)</w:t>
      </w:r>
    </w:p>
    <w:p>
      <w:pPr>
        <w:ind w:left="900"/>
        <w:spacing w:after="0"/>
        <w:rPr>
          <w:sz w:val="20"/>
          <w:szCs w:val="20"/>
          <w:color w:val="auto"/>
        </w:rPr>
      </w:pPr>
      <w:r>
        <w:rPr>
          <w:rFonts w:ascii="Arial" w:cs="Arial" w:eastAsia="Arial" w:hAnsi="Arial"/>
          <w:sz w:val="16"/>
          <w:szCs w:val="16"/>
          <w:color w:val="auto"/>
        </w:rPr>
        <w:t>Page iv</w:t>
      </w:r>
    </w:p>
    <w:p>
      <w:pPr>
        <w:sectPr>
          <w:pgSz w:w="11900" w:h="16838" w:orient="portrait"/>
          <w:cols w:equalWidth="0" w:num="1">
            <w:col w:w="10580"/>
          </w:cols>
          <w:pgMar w:left="320" w:top="321" w:right="99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Table 5(R3) To</w:t>
      </w:r>
    </w:p>
    <w:p>
      <w:pPr>
        <w:jc w:val="center"/>
        <w:spacing w:after="0" w:line="204" w:lineRule="auto"/>
        <w:rPr>
          <w:sz w:val="20"/>
          <w:szCs w:val="20"/>
          <w:color w:val="auto"/>
        </w:rPr>
      </w:pPr>
      <w:r>
        <w:rPr>
          <w:rFonts w:ascii="Arial" w:cs="Arial" w:eastAsia="Arial" w:hAnsi="Arial"/>
          <w:sz w:val="22"/>
          <w:szCs w:val="22"/>
          <w:b w:val="1"/>
          <w:bCs w:val="1"/>
          <w:color w:val="auto"/>
        </w:rPr>
        <w:t>Purchase Agreement No. PA-03219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787-9 [****] Aircraft Delivery, Description, Price and Advance Payments</w:t>
      </w:r>
    </w:p>
    <w:p>
      <w:pPr>
        <w:sectPr>
          <w:pgSz w:w="11900" w:h="16838" w:orient="portrait"/>
          <w:cols w:equalWidth="0" w:num="1">
            <w:col w:w="11240"/>
          </w:cols>
          <w:pgMar w:left="320" w:top="8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720" w:type="dxa"/>
            <w:vAlign w:val="bottom"/>
          </w:tcPr>
          <w:p>
            <w:pPr>
              <w:spacing w:after="0"/>
              <w:rPr>
                <w:sz w:val="20"/>
                <w:szCs w:val="20"/>
                <w:color w:val="auto"/>
              </w:rPr>
            </w:pPr>
            <w:r>
              <w:rPr>
                <w:rFonts w:ascii="Arial" w:cs="Arial" w:eastAsia="Arial" w:hAnsi="Arial"/>
                <w:sz w:val="16"/>
                <w:szCs w:val="16"/>
                <w:b w:val="1"/>
                <w:bCs w:val="1"/>
                <w:color w:val="auto"/>
              </w:rPr>
              <w:t>Airframe</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6"/>
                <w:szCs w:val="16"/>
                <w:b w:val="1"/>
                <w:bCs w:val="1"/>
                <w:color w:val="auto"/>
              </w:rPr>
              <w:t>Model/MTOW:</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787-9</w:t>
            </w:r>
          </w:p>
        </w:tc>
        <w:tc>
          <w:tcPr>
            <w:tcW w:w="1120" w:type="dxa"/>
            <w:vAlign w:val="bottom"/>
          </w:tcPr>
          <w:p>
            <w:pPr>
              <w:jc w:val="right"/>
              <w:spacing w:after="0"/>
              <w:rPr>
                <w:sz w:val="20"/>
                <w:szCs w:val="20"/>
                <w:color w:val="auto"/>
              </w:rPr>
            </w:pPr>
            <w:r>
              <w:rPr>
                <w:rFonts w:ascii="Arial" w:cs="Arial" w:eastAsia="Arial" w:hAnsi="Arial"/>
                <w:sz w:val="16"/>
                <w:szCs w:val="16"/>
                <w:color w:val="auto"/>
              </w:rPr>
              <w:t>[****] pounds</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960" w:type="dxa"/>
            <w:vAlign w:val="bottom"/>
          </w:tcPr>
          <w:p>
            <w:pPr>
              <w:ind w:left="180"/>
              <w:spacing w:after="0"/>
              <w:rPr>
                <w:sz w:val="20"/>
                <w:szCs w:val="20"/>
                <w:color w:val="auto"/>
              </w:rPr>
            </w:pPr>
            <w:r>
              <w:rPr>
                <w:rFonts w:ascii="Arial" w:cs="Arial" w:eastAsia="Arial" w:hAnsi="Arial"/>
                <w:sz w:val="16"/>
                <w:szCs w:val="16"/>
                <w:color w:val="auto"/>
              </w:rPr>
              <w:t>GENX-</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6"/>
                <w:szCs w:val="16"/>
                <w:b w:val="1"/>
                <w:bCs w:val="1"/>
                <w:color w:val="auto"/>
              </w:rPr>
              <w:t>Engine Model/Thrust:</w:t>
            </w:r>
          </w:p>
        </w:tc>
        <w:tc>
          <w:tcPr>
            <w:tcW w:w="960" w:type="dxa"/>
            <w:vAlign w:val="bottom"/>
          </w:tcPr>
          <w:p>
            <w:pPr>
              <w:jc w:val="center"/>
              <w:spacing w:after="0"/>
              <w:rPr>
                <w:sz w:val="20"/>
                <w:szCs w:val="20"/>
                <w:color w:val="auto"/>
              </w:rPr>
            </w:pPr>
            <w:r>
              <w:rPr>
                <w:rFonts w:ascii="Arial" w:cs="Arial" w:eastAsia="Arial" w:hAnsi="Arial"/>
                <w:sz w:val="16"/>
                <w:szCs w:val="16"/>
                <w:color w:val="auto"/>
                <w:w w:val="93"/>
              </w:rPr>
              <w:t>1B74/75</w:t>
            </w:r>
          </w:p>
        </w:tc>
        <w:tc>
          <w:tcPr>
            <w:tcW w:w="1120" w:type="dxa"/>
            <w:vAlign w:val="bottom"/>
          </w:tcPr>
          <w:p>
            <w:pPr>
              <w:jc w:val="right"/>
              <w:spacing w:after="0"/>
              <w:rPr>
                <w:sz w:val="20"/>
                <w:szCs w:val="20"/>
                <w:color w:val="auto"/>
              </w:rPr>
            </w:pPr>
            <w:r>
              <w:rPr>
                <w:rFonts w:ascii="Arial" w:cs="Arial" w:eastAsia="Arial" w:hAnsi="Arial"/>
                <w:sz w:val="16"/>
                <w:szCs w:val="16"/>
                <w:color w:val="auto"/>
              </w:rPr>
              <w:t>[****] pounds</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Arial" w:cs="Arial" w:eastAsia="Arial" w:hAnsi="Arial"/>
                <w:sz w:val="16"/>
                <w:szCs w:val="16"/>
                <w:b w:val="1"/>
                <w:bCs w:val="1"/>
                <w:color w:val="auto"/>
              </w:rPr>
              <w:t>Airframe Price:</w:t>
            </w:r>
          </w:p>
        </w:tc>
        <w:tc>
          <w:tcPr>
            <w:tcW w:w="9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3"/>
        </w:trPr>
        <w:tc>
          <w:tcPr>
            <w:tcW w:w="1720" w:type="dxa"/>
            <w:vAlign w:val="bottom"/>
          </w:tcPr>
          <w:p>
            <w:pPr>
              <w:spacing w:after="0"/>
              <w:rPr>
                <w:sz w:val="20"/>
                <w:szCs w:val="20"/>
                <w:color w:val="auto"/>
              </w:rPr>
            </w:pPr>
            <w:r>
              <w:rPr>
                <w:rFonts w:ascii="Arial" w:cs="Arial" w:eastAsia="Arial" w:hAnsi="Arial"/>
                <w:sz w:val="16"/>
                <w:szCs w:val="16"/>
                <w:b w:val="1"/>
                <w:bCs w:val="1"/>
                <w:color w:val="auto"/>
              </w:rPr>
              <w:t>Optional Features:</w:t>
            </w:r>
          </w:p>
        </w:tc>
        <w:tc>
          <w:tcPr>
            <w:tcW w:w="9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w w:val="97"/>
              </w:rPr>
              <w:t>Sub-Total of Airframe and Features:</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0"/>
                <w:szCs w:val="20"/>
                <w:color w:val="auto"/>
              </w:rPr>
            </w:pPr>
            <w:r>
              <w:rPr>
                <w:rFonts w:ascii="Arial" w:cs="Arial" w:eastAsia="Arial" w:hAnsi="Arial"/>
                <w:sz w:val="16"/>
                <w:szCs w:val="16"/>
                <w:b w:val="1"/>
                <w:bCs w:val="1"/>
                <w:color w:val="auto"/>
              </w:rPr>
              <w:t>Engine Price (Per</w:t>
            </w: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6"/>
                <w:szCs w:val="16"/>
                <w:b w:val="1"/>
                <w:bCs w:val="1"/>
                <w:color w:val="auto"/>
              </w:rPr>
              <w:t>Aircraft):</w:t>
            </w:r>
          </w:p>
        </w:tc>
        <w:tc>
          <w:tcPr>
            <w:tcW w:w="9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Aircraft Basic Price (Excluding</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6"/>
                <w:szCs w:val="16"/>
                <w:b w:val="1"/>
                <w:bCs w:val="1"/>
                <w:color w:val="auto"/>
              </w:rPr>
              <w:t>BFE/SPE):</w:t>
            </w:r>
          </w:p>
        </w:tc>
        <w:tc>
          <w:tcPr>
            <w:tcW w:w="9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Buyer Furnished Equipment (BFE)</w:t>
            </w: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gridSpan w:val="2"/>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0"/>
                <w:szCs w:val="20"/>
                <w:color w:val="auto"/>
              </w:rPr>
            </w:pPr>
            <w:r>
              <w:rPr>
                <w:rFonts w:ascii="Arial" w:cs="Arial" w:eastAsia="Arial" w:hAnsi="Arial"/>
                <w:sz w:val="16"/>
                <w:szCs w:val="16"/>
                <w:b w:val="1"/>
                <w:bCs w:val="1"/>
                <w:color w:val="auto"/>
              </w:rPr>
              <w:t>Estimate:</w:t>
            </w:r>
          </w:p>
        </w:tc>
        <w:tc>
          <w:tcPr>
            <w:tcW w:w="9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//Seller Purchased Equipment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w w:val="98"/>
              </w:rPr>
              <w:t>(SPE)/In-Flight Entertainment (IFE)//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0"/>
                <w:szCs w:val="20"/>
                <w:color w:val="auto"/>
              </w:rPr>
            </w:pPr>
            <w:r>
              <w:rPr>
                <w:rFonts w:ascii="Arial" w:cs="Arial" w:eastAsia="Arial" w:hAnsi="Arial"/>
                <w:sz w:val="16"/>
                <w:szCs w:val="16"/>
                <w:b w:val="1"/>
                <w:bCs w:val="1"/>
                <w:color w:val="auto"/>
              </w:rPr>
              <w:t>Estimate:</w:t>
            </w:r>
          </w:p>
        </w:tc>
        <w:tc>
          <w:tcPr>
            <w:tcW w:w="9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LIFT Seats Provided by Boeing</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Arial" w:cs="Arial" w:eastAsia="Arial" w:hAnsi="Arial"/>
                <w:sz w:val="16"/>
                <w:szCs w:val="16"/>
                <w:b w:val="1"/>
                <w:bCs w:val="1"/>
                <w:color w:val="auto"/>
              </w:rPr>
              <w:t>(Estimate):</w:t>
            </w:r>
          </w:p>
        </w:tc>
        <w:tc>
          <w:tcPr>
            <w:tcW w:w="9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Arial" w:cs="Arial" w:eastAsia="Arial" w:hAnsi="Arial"/>
                <w:sz w:val="16"/>
                <w:szCs w:val="16"/>
                <w:b w:val="1"/>
                <w:bCs w:val="1"/>
                <w:color w:val="auto"/>
              </w:rPr>
              <w:t>Deposit per Aircraft:</w:t>
            </w:r>
          </w:p>
        </w:tc>
        <w:tc>
          <w:tcPr>
            <w:tcW w:w="9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40" w:type="dxa"/>
            <w:vAlign w:val="bottom"/>
            <w:gridSpan w:val="3"/>
          </w:tcPr>
          <w:p>
            <w:pPr>
              <w:spacing w:after="0"/>
              <w:rPr>
                <w:sz w:val="20"/>
                <w:szCs w:val="20"/>
                <w:color w:val="auto"/>
              </w:rPr>
            </w:pPr>
            <w:r>
              <w:rPr>
                <w:rFonts w:ascii="Arial" w:cs="Arial" w:eastAsia="Arial" w:hAnsi="Arial"/>
                <w:sz w:val="16"/>
                <w:szCs w:val="16"/>
                <w:b w:val="1"/>
                <w:bCs w:val="1"/>
                <w:color w:val="auto"/>
              </w:rPr>
              <w:t>Detail</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6"/>
                <w:szCs w:val="16"/>
                <w:b w:val="1"/>
                <w:bCs w:val="1"/>
                <w:color w:val="auto"/>
              </w:rPr>
              <w:t>Specification:</w:t>
            </w:r>
          </w:p>
        </w:tc>
        <w:tc>
          <w:tcPr>
            <w:tcW w:w="9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86"/>
        </w:trPr>
        <w:tc>
          <w:tcPr>
            <w:tcW w:w="3240" w:type="dxa"/>
            <w:vAlign w:val="bottom"/>
            <w:gridSpan w:val="3"/>
          </w:tcPr>
          <w:p>
            <w:pPr>
              <w:spacing w:after="0"/>
              <w:rPr>
                <w:sz w:val="20"/>
                <w:szCs w:val="20"/>
                <w:color w:val="auto"/>
              </w:rPr>
            </w:pPr>
            <w:r>
              <w:rPr>
                <w:rFonts w:ascii="Arial" w:cs="Arial" w:eastAsia="Arial" w:hAnsi="Arial"/>
                <w:sz w:val="16"/>
                <w:szCs w:val="16"/>
                <w:b w:val="1"/>
                <w:bCs w:val="1"/>
                <w:color w:val="auto"/>
                <w:w w:val="92"/>
              </w:rPr>
              <w:t>Airframe Price Base Year/Escalation Formula:</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79"/>
              <w:spacing w:after="0"/>
              <w:rPr>
                <w:sz w:val="20"/>
                <w:szCs w:val="20"/>
                <w:color w:val="auto"/>
              </w:rPr>
            </w:pPr>
            <w:r>
              <w:rPr>
                <w:rFonts w:ascii="Arial" w:cs="Arial" w:eastAsia="Arial" w:hAnsi="Arial"/>
                <w:sz w:val="16"/>
                <w:szCs w:val="16"/>
                <w:color w:val="auto"/>
              </w:rPr>
              <w:t>[****]</w:t>
            </w:r>
          </w:p>
        </w:tc>
      </w:tr>
      <w:tr>
        <w:trPr>
          <w:trHeight w:val="270"/>
        </w:trPr>
        <w:tc>
          <w:tcPr>
            <w:tcW w:w="3240" w:type="dxa"/>
            <w:vAlign w:val="bottom"/>
            <w:gridSpan w:val="3"/>
          </w:tcPr>
          <w:p>
            <w:pPr>
              <w:spacing w:after="0"/>
              <w:rPr>
                <w:sz w:val="20"/>
                <w:szCs w:val="20"/>
                <w:color w:val="auto"/>
              </w:rPr>
            </w:pPr>
            <w:r>
              <w:rPr>
                <w:rFonts w:ascii="Arial" w:cs="Arial" w:eastAsia="Arial" w:hAnsi="Arial"/>
                <w:sz w:val="16"/>
                <w:szCs w:val="16"/>
                <w:b w:val="1"/>
                <w:bCs w:val="1"/>
                <w:color w:val="auto"/>
                <w:w w:val="95"/>
              </w:rPr>
              <w:t>Engine Price Base Year/Escalation Formula:</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79"/>
              <w:spacing w:after="0"/>
              <w:rPr>
                <w:sz w:val="20"/>
                <w:szCs w:val="20"/>
                <w:color w:val="auto"/>
              </w:rPr>
            </w:pPr>
            <w:r>
              <w:rPr>
                <w:rFonts w:ascii="Arial" w:cs="Arial" w:eastAsia="Arial" w:hAnsi="Arial"/>
                <w:sz w:val="16"/>
                <w:szCs w:val="16"/>
                <w:color w:val="auto"/>
              </w:rPr>
              <w:t>[****]</w:t>
            </w:r>
          </w:p>
        </w:tc>
      </w:tr>
      <w:tr>
        <w:trPr>
          <w:trHeight w:val="270"/>
        </w:trPr>
        <w:tc>
          <w:tcPr>
            <w:tcW w:w="1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color w:val="FFFFFF"/>
                <w:w w:val="95"/>
              </w:rPr>
              <w:t>D019-E001-</w:t>
            </w:r>
          </w:p>
        </w:tc>
        <w:tc>
          <w:tcPr>
            <w:tcW w:w="1160" w:type="dxa"/>
            <w:vAlign w:val="bottom"/>
          </w:tcPr>
          <w:p>
            <w:pPr>
              <w:spacing w:after="0"/>
              <w:rPr>
                <w:sz w:val="23"/>
                <w:szCs w:val="23"/>
                <w:color w:val="auto"/>
              </w:rPr>
            </w:pPr>
          </w:p>
        </w:tc>
      </w:tr>
      <w:tr>
        <w:trPr>
          <w:trHeight w:val="216"/>
        </w:trPr>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FFFFFF"/>
              </w:rPr>
              <w:t>AAL89-1-</w:t>
            </w:r>
          </w:p>
        </w:tc>
        <w:tc>
          <w:tcPr>
            <w:tcW w:w="11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FFFFFF"/>
              </w:rPr>
              <w:t>{TBD]</w:t>
            </w:r>
          </w:p>
        </w:tc>
        <w:tc>
          <w:tcPr>
            <w:tcW w:w="1160" w:type="dxa"/>
            <w:vAlign w:val="bottom"/>
          </w:tcPr>
          <w:p>
            <w:pPr>
              <w:spacing w:after="0"/>
              <w:rPr>
                <w:sz w:val="18"/>
                <w:szCs w:val="18"/>
                <w:color w:val="auto"/>
              </w:rPr>
            </w:pPr>
          </w:p>
        </w:tc>
      </w:tr>
      <w:tr>
        <w:trPr>
          <w:trHeight w:val="249"/>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3"/>
              </w:rPr>
              <w:t>Airframe Escalation Data:</w:t>
            </w:r>
          </w:p>
        </w:tc>
        <w:tc>
          <w:tcPr>
            <w:tcW w:w="1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87"/>
        </w:trPr>
        <w:tc>
          <w:tcPr>
            <w:tcW w:w="3240" w:type="dxa"/>
            <w:vAlign w:val="bottom"/>
            <w:gridSpan w:val="3"/>
          </w:tcPr>
          <w:p>
            <w:pPr>
              <w:spacing w:after="0"/>
              <w:rPr>
                <w:sz w:val="20"/>
                <w:szCs w:val="20"/>
                <w:color w:val="auto"/>
              </w:rPr>
            </w:pPr>
            <w:r>
              <w:rPr>
                <w:rFonts w:ascii="Arial" w:cs="Arial" w:eastAsia="Arial" w:hAnsi="Arial"/>
                <w:sz w:val="16"/>
                <w:szCs w:val="16"/>
                <w:b w:val="1"/>
                <w:bCs w:val="1"/>
                <w:color w:val="auto"/>
              </w:rPr>
              <w:t>Base Year Index (ECI):</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4"/>
                <w:szCs w:val="24"/>
                <w:color w:val="auto"/>
              </w:rPr>
            </w:pPr>
          </w:p>
        </w:tc>
      </w:tr>
      <w:tr>
        <w:trPr>
          <w:trHeight w:val="486"/>
        </w:trPr>
        <w:tc>
          <w:tcPr>
            <w:tcW w:w="3240" w:type="dxa"/>
            <w:vAlign w:val="bottom"/>
            <w:gridSpan w:val="3"/>
          </w:tcPr>
          <w:p>
            <w:pPr>
              <w:spacing w:after="0"/>
              <w:rPr>
                <w:sz w:val="20"/>
                <w:szCs w:val="20"/>
                <w:color w:val="auto"/>
              </w:rPr>
            </w:pPr>
            <w:r>
              <w:rPr>
                <w:rFonts w:ascii="Arial" w:cs="Arial" w:eastAsia="Arial" w:hAnsi="Arial"/>
                <w:sz w:val="16"/>
                <w:szCs w:val="16"/>
                <w:b w:val="1"/>
                <w:bCs w:val="1"/>
                <w:color w:val="auto"/>
              </w:rPr>
              <w:t>Base Year Index (CPI):</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4"/>
                <w:szCs w:val="24"/>
                <w:color w:val="auto"/>
              </w:rPr>
            </w:pPr>
          </w:p>
        </w:tc>
      </w:tr>
      <w:tr>
        <w:trPr>
          <w:trHeight w:val="451"/>
        </w:trPr>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Engine Escalation Data:</w:t>
            </w:r>
          </w:p>
        </w:tc>
        <w:tc>
          <w:tcPr>
            <w:tcW w:w="15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17"/>
        </w:trPr>
        <w:tc>
          <w:tcPr>
            <w:tcW w:w="3240" w:type="dxa"/>
            <w:vAlign w:val="bottom"/>
            <w:gridSpan w:val="3"/>
          </w:tcPr>
          <w:p>
            <w:pPr>
              <w:spacing w:after="0"/>
              <w:rPr>
                <w:sz w:val="20"/>
                <w:szCs w:val="20"/>
                <w:color w:val="auto"/>
              </w:rPr>
            </w:pPr>
            <w:r>
              <w:rPr>
                <w:rFonts w:ascii="Arial" w:cs="Arial" w:eastAsia="Arial" w:hAnsi="Arial"/>
                <w:sz w:val="16"/>
                <w:szCs w:val="16"/>
                <w:b w:val="1"/>
                <w:bCs w:val="1"/>
                <w:color w:val="auto"/>
              </w:rPr>
              <w:t>Base Year Index (ECI):</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4"/>
                <w:szCs w:val="24"/>
                <w:color w:val="auto"/>
              </w:rPr>
            </w:pPr>
          </w:p>
        </w:tc>
      </w:tr>
      <w:tr>
        <w:trPr>
          <w:trHeight w:val="486"/>
        </w:trPr>
        <w:tc>
          <w:tcPr>
            <w:tcW w:w="3240" w:type="dxa"/>
            <w:vAlign w:val="bottom"/>
            <w:gridSpan w:val="3"/>
          </w:tcPr>
          <w:p>
            <w:pPr>
              <w:spacing w:after="0"/>
              <w:rPr>
                <w:sz w:val="20"/>
                <w:szCs w:val="20"/>
                <w:color w:val="auto"/>
              </w:rPr>
            </w:pPr>
            <w:r>
              <w:rPr>
                <w:rFonts w:ascii="Arial" w:cs="Arial" w:eastAsia="Arial" w:hAnsi="Arial"/>
                <w:sz w:val="16"/>
                <w:szCs w:val="16"/>
                <w:b w:val="1"/>
                <w:bCs w:val="1"/>
                <w:color w:val="auto"/>
              </w:rPr>
              <w:t>Base Year Index (CPI):</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4"/>
                <w:szCs w:val="24"/>
                <w:color w:val="auto"/>
              </w:rPr>
            </w:pPr>
          </w:p>
        </w:tc>
      </w:tr>
    </w:tbl>
    <w:p>
      <w:pPr>
        <w:spacing w:after="0" w:line="510" w:lineRule="exact"/>
        <w:rPr>
          <w:sz w:val="20"/>
          <w:szCs w:val="20"/>
          <w:color w:val="auto"/>
        </w:rPr>
      </w:pPr>
    </w:p>
    <w:p>
      <w:pPr>
        <w:sectPr>
          <w:pgSz w:w="11900" w:h="16838" w:orient="portrait"/>
          <w:cols w:equalWidth="0" w:num="2">
            <w:col w:w="4480" w:space="720"/>
            <w:col w:w="6040"/>
          </w:cols>
          <w:pgMar w:left="320" w:top="86"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080" w:type="dxa"/>
            <w:vAlign w:val="bottom"/>
            <w:tcBorders>
              <w:top w:val="single" w:sz="8" w:color="auto"/>
              <w:left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shd w:val="clear" w:color="auto" w:fill="C0C0C0"/>
          </w:tcPr>
          <w:p>
            <w:pPr>
              <w:spacing w:after="0"/>
              <w:rPr>
                <w:sz w:val="20"/>
                <w:szCs w:val="20"/>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1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4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shd w:val="clear" w:color="auto" w:fill="C0C0C0"/>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Estimate</w:t>
            </w:r>
          </w:p>
        </w:tc>
        <w:tc>
          <w:tcPr>
            <w:tcW w:w="4920" w:type="dxa"/>
            <w:vAlign w:val="bottom"/>
            <w:tcBorders>
              <w:right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5"/>
              </w:rPr>
              <w:t>Advance Payment Per Aircraft (Amts. Due/Mos. Prior to Delivery):</w:t>
            </w:r>
          </w:p>
        </w:tc>
        <w:tc>
          <w:tcPr>
            <w:tcW w:w="0" w:type="dxa"/>
            <w:vAlign w:val="bottom"/>
          </w:tcPr>
          <w:p>
            <w:pPr>
              <w:spacing w:after="0"/>
              <w:rPr>
                <w:sz w:val="1"/>
                <w:szCs w:val="1"/>
                <w:color w:val="auto"/>
              </w:rPr>
            </w:pPr>
          </w:p>
        </w:tc>
      </w:tr>
      <w:tr>
        <w:trPr>
          <w:trHeight w:val="47"/>
        </w:trPr>
        <w:tc>
          <w:tcPr>
            <w:tcW w:w="1080" w:type="dxa"/>
            <w:vAlign w:val="bottom"/>
            <w:tcBorders>
              <w:left w:val="single" w:sz="8" w:color="auto"/>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1220" w:type="dxa"/>
            <w:vAlign w:val="bottom"/>
            <w:tcBorders>
              <w:bottom w:val="single" w:sz="8" w:color="C0C0C0"/>
              <w:right w:val="single" w:sz="8" w:color="auto"/>
            </w:tcBorders>
            <w:shd w:val="clear" w:color="auto" w:fill="C0C0C0"/>
          </w:tcPr>
          <w:p>
            <w:pPr>
              <w:spacing w:after="0"/>
              <w:rPr>
                <w:sz w:val="4"/>
                <w:szCs w:val="4"/>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Adv Payment</w:t>
            </w:r>
          </w:p>
        </w:tc>
        <w:tc>
          <w:tcPr>
            <w:tcW w:w="1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vMerge w:val="continue"/>
          </w:tcPr>
          <w:p>
            <w:pPr>
              <w:spacing w:after="0"/>
              <w:rPr>
                <w:sz w:val="17"/>
                <w:szCs w:val="17"/>
                <w:color w:val="auto"/>
              </w:rPr>
            </w:pPr>
          </w:p>
        </w:tc>
        <w:tc>
          <w:tcPr>
            <w:tcW w:w="1020" w:type="dxa"/>
            <w:vAlign w:val="bottom"/>
            <w:tcBorders>
              <w:right w:val="single" w:sz="8" w:color="auto"/>
            </w:tcBorders>
            <w:vMerge w:val="continue"/>
          </w:tcPr>
          <w:p>
            <w:pPr>
              <w:spacing w:after="0"/>
              <w:rPr>
                <w:sz w:val="17"/>
                <w:szCs w:val="17"/>
                <w:color w:val="auto"/>
              </w:rPr>
            </w:pPr>
          </w:p>
        </w:tc>
        <w:tc>
          <w:tcPr>
            <w:tcW w:w="1220" w:type="dxa"/>
            <w:vAlign w:val="bottom"/>
            <w:tcBorders>
              <w:right w:val="single" w:sz="8" w:color="auto"/>
            </w:tcBorders>
            <w:shd w:val="clear" w:color="auto" w:fill="C0C0C0"/>
          </w:tcPr>
          <w:p>
            <w:pPr>
              <w:spacing w:after="0"/>
              <w:rPr>
                <w:sz w:val="17"/>
                <w:szCs w:val="17"/>
                <w:color w:val="auto"/>
              </w:rPr>
            </w:pPr>
          </w:p>
        </w:tc>
        <w:tc>
          <w:tcPr>
            <w:tcW w:w="1060" w:type="dxa"/>
            <w:vAlign w:val="bottom"/>
            <w:tcBorders>
              <w:right w:val="single" w:sz="8" w:color="auto"/>
            </w:tcBorders>
            <w:vMerge w:val="continue"/>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Number of</w:t>
            </w:r>
          </w:p>
        </w:tc>
        <w:tc>
          <w:tcPr>
            <w:tcW w:w="104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1220" w:type="dxa"/>
            <w:vAlign w:val="bottom"/>
            <w:tcBorders>
              <w:right w:val="single" w:sz="8" w:color="auto"/>
            </w:tcBorders>
            <w:shd w:val="clear" w:color="auto" w:fill="C0C0C0"/>
          </w:tcPr>
          <w:p>
            <w:pPr>
              <w:spacing w:after="0"/>
              <w:rPr>
                <w:sz w:val="13"/>
                <w:szCs w:val="13"/>
                <w:color w:val="auto"/>
              </w:rPr>
            </w:pPr>
          </w:p>
        </w:tc>
        <w:tc>
          <w:tcPr>
            <w:tcW w:w="10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3"/>
              </w:rPr>
              <w:t>Base</w:t>
            </w:r>
          </w:p>
        </w:tc>
        <w:tc>
          <w:tcPr>
            <w:tcW w:w="11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80" w:type="dxa"/>
            <w:vAlign w:val="bottom"/>
            <w:tcBorders>
              <w:left w:val="single" w:sz="8" w:color="auto"/>
              <w:right w:val="single" w:sz="8" w:color="auto"/>
            </w:tcBorders>
            <w:vMerge w:val="restart"/>
          </w:tcPr>
          <w:p>
            <w:pPr>
              <w:ind w:left="120"/>
              <w:spacing w:after="0" w:line="162" w:lineRule="exact"/>
              <w:rPr>
                <w:sz w:val="20"/>
                <w:szCs w:val="20"/>
                <w:color w:val="auto"/>
              </w:rPr>
            </w:pPr>
            <w:r>
              <w:rPr>
                <w:rFonts w:ascii="Arial" w:cs="Arial" w:eastAsia="Arial" w:hAnsi="Arial"/>
                <w:sz w:val="16"/>
                <w:szCs w:val="16"/>
                <w:b w:val="1"/>
                <w:bCs w:val="1"/>
                <w:color w:val="auto"/>
              </w:rPr>
              <w:t>Delivery</w:t>
            </w:r>
          </w:p>
        </w:tc>
        <w:tc>
          <w:tcPr>
            <w:tcW w:w="90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Factor</w:t>
            </w:r>
          </w:p>
        </w:tc>
        <w:tc>
          <w:tcPr>
            <w:tcW w:w="10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Factor</w:t>
            </w:r>
          </w:p>
        </w:tc>
        <w:tc>
          <w:tcPr>
            <w:tcW w:w="1220" w:type="dxa"/>
            <w:vAlign w:val="bottom"/>
            <w:tcBorders>
              <w:right w:val="single" w:sz="8" w:color="auto"/>
            </w:tcBorders>
            <w:shd w:val="clear" w:color="auto" w:fill="C0C0C0"/>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vMerge w:val="restart"/>
          </w:tcPr>
          <w:p>
            <w:pPr>
              <w:ind w:left="740"/>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1080" w:type="dxa"/>
            <w:vAlign w:val="bottom"/>
            <w:tcBorders>
              <w:left w:val="single" w:sz="8" w:color="auto"/>
              <w:right w:val="single" w:sz="8" w:color="auto"/>
            </w:tcBorders>
            <w:vMerge w:val="continue"/>
          </w:tcPr>
          <w:p>
            <w:pPr>
              <w:spacing w:after="0"/>
              <w:rPr>
                <w:sz w:val="4"/>
                <w:szCs w:val="4"/>
                <w:color w:val="auto"/>
              </w:rPr>
            </w:pPr>
          </w:p>
        </w:tc>
        <w:tc>
          <w:tcPr>
            <w:tcW w:w="900" w:type="dxa"/>
            <w:vAlign w:val="bottom"/>
            <w:tcBorders>
              <w:right w:val="single" w:sz="8" w:color="auto"/>
            </w:tcBorders>
            <w:vMerge w:val="restart"/>
          </w:tcPr>
          <w:p>
            <w:pPr>
              <w:jc w:val="right"/>
              <w:ind w:right="199"/>
              <w:spacing w:after="0"/>
              <w:rPr>
                <w:sz w:val="20"/>
                <w:szCs w:val="20"/>
                <w:color w:val="auto"/>
              </w:rPr>
            </w:pPr>
            <w:r>
              <w:rPr>
                <w:rFonts w:ascii="Arial" w:cs="Arial" w:eastAsia="Arial" w:hAnsi="Arial"/>
                <w:sz w:val="16"/>
                <w:szCs w:val="16"/>
                <w:b w:val="1"/>
                <w:bCs w:val="1"/>
                <w:color w:val="auto"/>
              </w:rPr>
              <w:t>Aircraft</w:t>
            </w:r>
          </w:p>
        </w:tc>
        <w:tc>
          <w:tcPr>
            <w:tcW w:w="104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1220" w:type="dxa"/>
            <w:vAlign w:val="bottom"/>
            <w:tcBorders>
              <w:right w:val="single" w:sz="8" w:color="auto"/>
            </w:tcBorders>
            <w:shd w:val="clear" w:color="auto" w:fill="C0C0C0"/>
          </w:tcPr>
          <w:p>
            <w:pPr>
              <w:spacing w:after="0"/>
              <w:rPr>
                <w:sz w:val="4"/>
                <w:szCs w:val="4"/>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Price Per A/P</w:t>
            </w:r>
          </w:p>
        </w:tc>
        <w:tc>
          <w:tcPr>
            <w:tcW w:w="112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94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6"/>
                <w:szCs w:val="16"/>
                <w:b w:val="1"/>
                <w:bCs w:val="1"/>
                <w:color w:val="auto"/>
              </w:rPr>
              <w:t>Date</w:t>
            </w:r>
          </w:p>
        </w:tc>
        <w:tc>
          <w:tcPr>
            <w:tcW w:w="900" w:type="dxa"/>
            <w:vAlign w:val="bottom"/>
            <w:tcBorders>
              <w:bottom w:val="single" w:sz="8" w:color="auto"/>
              <w:right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(Airframe)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(Engine)</w:t>
            </w:r>
          </w:p>
        </w:tc>
        <w:tc>
          <w:tcPr>
            <w:tcW w:w="1220" w:type="dxa"/>
            <w:vAlign w:val="bottom"/>
            <w:tcBorders>
              <w:bottom w:val="single" w:sz="8" w:color="auto"/>
              <w:right w:val="single" w:sz="8" w:color="auto"/>
            </w:tcBorders>
            <w:shd w:val="clear" w:color="auto" w:fill="C0C0C0"/>
          </w:tcPr>
          <w:p>
            <w:pPr>
              <w:spacing w:after="0"/>
              <w:rPr>
                <w:sz w:val="18"/>
                <w:szCs w:val="18"/>
                <w:color w:val="auto"/>
              </w:rPr>
            </w:pPr>
          </w:p>
        </w:tc>
        <w:tc>
          <w:tcPr>
            <w:tcW w:w="1060" w:type="dxa"/>
            <w:vAlign w:val="bottom"/>
            <w:tcBorders>
              <w:bottom w:val="single" w:sz="8" w:color="auto"/>
              <w:right w:val="single" w:sz="8" w:color="auto"/>
            </w:tcBorders>
            <w:vMerge w:val="continue"/>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10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[****]-2024</w:t>
            </w:r>
          </w:p>
        </w:tc>
        <w:tc>
          <w:tcPr>
            <w:tcW w:w="90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0000FF"/>
              </w:rPr>
              <w:t>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0C0C0"/>
              <w:right w:val="single" w:sz="8" w:color="auto"/>
            </w:tcBorders>
            <w:shd w:val="clear" w:color="auto" w:fill="C0C0C0"/>
          </w:tcPr>
          <w:p>
            <w:pPr>
              <w:spacing w:after="0"/>
              <w:rPr>
                <w:sz w:val="23"/>
                <w:szCs w:val="23"/>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0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[****]-2024</w:t>
            </w:r>
          </w:p>
        </w:tc>
        <w:tc>
          <w:tcPr>
            <w:tcW w:w="90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0000FF"/>
              </w:rPr>
              <w:t>1</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0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[****]-2024</w:t>
            </w:r>
          </w:p>
        </w:tc>
        <w:tc>
          <w:tcPr>
            <w:tcW w:w="90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0000FF"/>
              </w:rPr>
              <w:t>2</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0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[****]-2024</w:t>
            </w:r>
          </w:p>
        </w:tc>
        <w:tc>
          <w:tcPr>
            <w:tcW w:w="90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0000FF"/>
              </w:rPr>
              <w:t>2</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10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[****]-2024</w:t>
            </w:r>
          </w:p>
        </w:tc>
        <w:tc>
          <w:tcPr>
            <w:tcW w:w="90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0000FF"/>
              </w:rPr>
              <w:t>1</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0C0C0"/>
              <w:right w:val="single" w:sz="8" w:color="auto"/>
            </w:tcBorders>
            <w:shd w:val="clear" w:color="auto" w:fill="C0C0C0"/>
          </w:tcPr>
          <w:p>
            <w:pPr>
              <w:spacing w:after="0"/>
              <w:rPr>
                <w:sz w:val="21"/>
                <w:szCs w:val="21"/>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660" w:val="left"/>
        </w:tabs>
        <w:rPr>
          <w:sz w:val="20"/>
          <w:szCs w:val="20"/>
          <w:color w:val="auto"/>
        </w:rPr>
      </w:pPr>
      <w:r>
        <w:rPr>
          <w:rFonts w:ascii="Arial" w:cs="Arial" w:eastAsia="Arial" w:hAnsi="Arial"/>
          <w:sz w:val="16"/>
          <w:szCs w:val="16"/>
          <w:color w:val="auto"/>
        </w:rPr>
        <w:t>AAL-PA-03219 121168-1F.txt BOEING PROPRIETARY</w:t>
      </w:r>
      <w:r>
        <w:rPr>
          <w:sz w:val="20"/>
          <w:szCs w:val="20"/>
          <w:color w:val="auto"/>
        </w:rPr>
        <w:tab/>
      </w:r>
      <w:r>
        <w:rPr>
          <w:rFonts w:ascii="Arial" w:cs="Arial" w:eastAsia="Arial" w:hAnsi="Arial"/>
          <w:sz w:val="15"/>
          <w:szCs w:val="15"/>
          <w:color w:val="auto"/>
        </w:rPr>
        <w:t>SA-19 Table 7(R2)</w:t>
      </w:r>
    </w:p>
    <w:p>
      <w:pPr>
        <w:ind w:left="900"/>
        <w:spacing w:after="0"/>
        <w:rPr>
          <w:sz w:val="20"/>
          <w:szCs w:val="20"/>
          <w:color w:val="auto"/>
        </w:rPr>
      </w:pPr>
      <w:r>
        <w:rPr>
          <w:rFonts w:ascii="Arial" w:cs="Arial" w:eastAsia="Arial" w:hAnsi="Arial"/>
          <w:sz w:val="16"/>
          <w:szCs w:val="16"/>
          <w:color w:val="auto"/>
        </w:rPr>
        <w:t>Page 1</w:t>
      </w:r>
    </w:p>
    <w:p>
      <w:pPr>
        <w:sectPr>
          <w:pgSz w:w="11900" w:h="16838" w:orient="portrait"/>
          <w:cols w:equalWidth="0" w:num="1">
            <w:col w:w="11240"/>
          </w:cols>
          <w:pgMar w:left="320" w:top="86" w:right="339" w:bottom="1440" w:gutter="0" w:footer="0" w:header="0"/>
          <w:type w:val="continuous"/>
        </w:sectPr>
      </w:pPr>
    </w:p>
    <w:bookmarkStart w:id="104" w:name="page105"/>
    <w:bookmarkEnd w:id="104"/>
    <w:p>
      <w:pPr>
        <w:jc w:val="center"/>
        <w:ind w:right="-79"/>
        <w:spacing w:after="0"/>
        <w:rPr>
          <w:sz w:val="20"/>
          <w:szCs w:val="20"/>
          <w:color w:val="auto"/>
        </w:rPr>
      </w:pPr>
      <w:r>
        <w:rPr>
          <w:rFonts w:ascii="Arial" w:cs="Arial" w:eastAsia="Arial" w:hAnsi="Arial"/>
          <w:sz w:val="22"/>
          <w:szCs w:val="22"/>
          <w:b w:val="1"/>
          <w:bCs w:val="1"/>
          <w:color w:val="auto"/>
        </w:rPr>
        <w:t>Table 5(R3) To</w:t>
      </w:r>
    </w:p>
    <w:p>
      <w:pPr>
        <w:jc w:val="center"/>
        <w:ind w:right="-79"/>
        <w:spacing w:after="0" w:line="204" w:lineRule="auto"/>
        <w:rPr>
          <w:sz w:val="20"/>
          <w:szCs w:val="20"/>
          <w:color w:val="auto"/>
        </w:rPr>
      </w:pPr>
      <w:r>
        <w:rPr>
          <w:rFonts w:ascii="Arial" w:cs="Arial" w:eastAsia="Arial" w:hAnsi="Arial"/>
          <w:sz w:val="22"/>
          <w:szCs w:val="22"/>
          <w:b w:val="1"/>
          <w:bCs w:val="1"/>
          <w:color w:val="auto"/>
        </w:rPr>
        <w:t>Purchase Agreement No. PA-03219</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787-9 [****]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80" w:type="dxa"/>
            <w:vAlign w:val="bottom"/>
            <w:tcBorders>
              <w:top w:val="single" w:sz="8" w:color="auto"/>
              <w:left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shd w:val="clear" w:color="auto" w:fill="C0C0C0"/>
          </w:tcPr>
          <w:p>
            <w:pPr>
              <w:spacing w:after="0"/>
              <w:rPr>
                <w:sz w:val="15"/>
                <w:szCs w:val="15"/>
                <w:color w:val="auto"/>
              </w:rPr>
            </w:pPr>
          </w:p>
        </w:tc>
        <w:tc>
          <w:tcPr>
            <w:tcW w:w="112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Escalation</w:t>
            </w:r>
          </w:p>
        </w:tc>
        <w:tc>
          <w:tcPr>
            <w:tcW w:w="4920" w:type="dxa"/>
            <w:vAlign w:val="bottom"/>
            <w:tcBorders>
              <w:top w:val="single" w:sz="8" w:color="auto"/>
              <w:right w:val="single" w:sz="8" w:color="auto"/>
            </w:tcBorders>
            <w:gridSpan w:val="4"/>
            <w:vMerge w:val="restart"/>
          </w:tcPr>
          <w:p>
            <w:pPr>
              <w:ind w:left="100"/>
              <w:spacing w:after="0"/>
              <w:rPr>
                <w:sz w:val="20"/>
                <w:szCs w:val="20"/>
                <w:color w:val="auto"/>
              </w:rPr>
            </w:pPr>
            <w:r>
              <w:rPr>
                <w:rFonts w:ascii="Arial" w:cs="Arial" w:eastAsia="Arial" w:hAnsi="Arial"/>
                <w:sz w:val="16"/>
                <w:szCs w:val="16"/>
                <w:b w:val="1"/>
                <w:bCs w:val="1"/>
                <w:color w:val="auto"/>
                <w:w w:val="95"/>
              </w:rPr>
              <w:t>Advance Payment Per Aircraft (Amts. Due/Mos. Prior to Delivery):</w:t>
            </w:r>
          </w:p>
        </w:tc>
        <w:tc>
          <w:tcPr>
            <w:tcW w:w="0" w:type="dxa"/>
            <w:vAlign w:val="bottom"/>
          </w:tcPr>
          <w:p>
            <w:pPr>
              <w:spacing w:after="0"/>
              <w:rPr>
                <w:sz w:val="1"/>
                <w:szCs w:val="1"/>
                <w:color w:val="auto"/>
              </w:rPr>
            </w:pPr>
          </w:p>
        </w:tc>
      </w:tr>
      <w:tr>
        <w:trPr>
          <w:trHeight w:val="102"/>
        </w:trPr>
        <w:tc>
          <w:tcPr>
            <w:tcW w:w="98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6"/>
                <w:szCs w:val="16"/>
                <w:b w:val="1"/>
                <w:bCs w:val="1"/>
                <w:color w:val="auto"/>
                <w:w w:val="89"/>
              </w:rPr>
              <w:t>Escalation</w:t>
            </w:r>
          </w:p>
        </w:tc>
        <w:tc>
          <w:tcPr>
            <w:tcW w:w="10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6"/>
                <w:szCs w:val="16"/>
                <w:b w:val="1"/>
                <w:bCs w:val="1"/>
                <w:color w:val="auto"/>
                <w:w w:val="89"/>
              </w:rPr>
              <w:t>Escalation</w:t>
            </w:r>
          </w:p>
        </w:tc>
        <w:tc>
          <w:tcPr>
            <w:tcW w:w="1180" w:type="dxa"/>
            <w:vAlign w:val="bottom"/>
            <w:tcBorders>
              <w:right w:val="single" w:sz="8" w:color="auto"/>
            </w:tcBorders>
            <w:shd w:val="clear" w:color="auto" w:fill="C0C0C0"/>
          </w:tcPr>
          <w:p>
            <w:pPr>
              <w:spacing w:after="0"/>
              <w:rPr>
                <w:sz w:val="8"/>
                <w:szCs w:val="8"/>
                <w:color w:val="auto"/>
              </w:rPr>
            </w:pPr>
          </w:p>
        </w:tc>
        <w:tc>
          <w:tcPr>
            <w:tcW w:w="11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6"/>
                <w:szCs w:val="16"/>
                <w:b w:val="1"/>
                <w:bCs w:val="1"/>
                <w:color w:val="auto"/>
                <w:w w:val="89"/>
              </w:rPr>
              <w:t>Estimate</w:t>
            </w:r>
          </w:p>
        </w:tc>
        <w:tc>
          <w:tcPr>
            <w:tcW w:w="492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80" w:type="dxa"/>
            <w:vAlign w:val="bottom"/>
            <w:tcBorders>
              <w:left w:val="single" w:sz="8" w:color="auto"/>
              <w:right w:val="single" w:sz="8" w:color="auto"/>
            </w:tcBorders>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1080" w:type="dxa"/>
            <w:vAlign w:val="bottom"/>
            <w:tcBorders>
              <w:right w:val="single" w:sz="8" w:color="auto"/>
            </w:tcBorders>
            <w:vMerge w:val="continue"/>
          </w:tcPr>
          <w:p>
            <w:pPr>
              <w:spacing w:after="0"/>
              <w:rPr>
                <w:sz w:val="4"/>
                <w:szCs w:val="4"/>
                <w:color w:val="auto"/>
              </w:rPr>
            </w:pPr>
          </w:p>
        </w:tc>
        <w:tc>
          <w:tcPr>
            <w:tcW w:w="1180" w:type="dxa"/>
            <w:vAlign w:val="bottom"/>
            <w:tcBorders>
              <w:bottom w:val="single" w:sz="8" w:color="C0C0C0"/>
              <w:right w:val="single" w:sz="8" w:color="auto"/>
            </w:tcBorders>
            <w:shd w:val="clear" w:color="auto" w:fill="C0C0C0"/>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980" w:type="dxa"/>
            <w:vAlign w:val="bottom"/>
            <w:tcBorders>
              <w:left w:val="single" w:sz="8" w:color="auto"/>
              <w:right w:val="single" w:sz="8" w:color="auto"/>
            </w:tcBorders>
            <w:vMerge w:val="restart"/>
          </w:tcPr>
          <w:p>
            <w:pPr>
              <w:ind w:left="120"/>
              <w:spacing w:after="0" w:line="155" w:lineRule="exact"/>
              <w:rPr>
                <w:sz w:val="20"/>
                <w:szCs w:val="20"/>
                <w:color w:val="auto"/>
              </w:rPr>
            </w:pPr>
            <w:r>
              <w:rPr>
                <w:rFonts w:ascii="Arial" w:cs="Arial" w:eastAsia="Arial" w:hAnsi="Arial"/>
                <w:sz w:val="16"/>
                <w:szCs w:val="16"/>
                <w:b w:val="1"/>
                <w:bCs w:val="1"/>
                <w:color w:val="auto"/>
              </w:rPr>
              <w:t>Delivery</w:t>
            </w:r>
          </w:p>
        </w:tc>
        <w:tc>
          <w:tcPr>
            <w:tcW w:w="8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6"/>
                <w:szCs w:val="16"/>
                <w:b w:val="1"/>
                <w:bCs w:val="1"/>
                <w:color w:val="auto"/>
                <w:w w:val="93"/>
              </w:rPr>
              <w:t>Factor</w:t>
            </w:r>
          </w:p>
        </w:tc>
        <w:tc>
          <w:tcPr>
            <w:tcW w:w="108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6"/>
                <w:szCs w:val="16"/>
                <w:b w:val="1"/>
                <w:bCs w:val="1"/>
                <w:color w:val="auto"/>
                <w:w w:val="93"/>
              </w:rPr>
              <w:t>Factor</w:t>
            </w:r>
          </w:p>
        </w:tc>
        <w:tc>
          <w:tcPr>
            <w:tcW w:w="1180" w:type="dxa"/>
            <w:vAlign w:val="bottom"/>
            <w:tcBorders>
              <w:right w:val="single" w:sz="8" w:color="auto"/>
            </w:tcBorders>
            <w:shd w:val="clear" w:color="auto" w:fill="C0C0C0"/>
          </w:tcPr>
          <w:p>
            <w:pPr>
              <w:spacing w:after="0"/>
              <w:rPr>
                <w:sz w:val="9"/>
                <w:szCs w:val="9"/>
                <w:color w:val="auto"/>
              </w:rPr>
            </w:pPr>
          </w:p>
        </w:tc>
        <w:tc>
          <w:tcPr>
            <w:tcW w:w="112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6"/>
                <w:szCs w:val="16"/>
                <w:b w:val="1"/>
                <w:bCs w:val="1"/>
                <w:color w:val="auto"/>
                <w:w w:val="92"/>
              </w:rPr>
              <w:t>Adv Payment</w:t>
            </w:r>
          </w:p>
        </w:tc>
        <w:tc>
          <w:tcPr>
            <w:tcW w:w="114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6"/>
                <w:szCs w:val="16"/>
                <w:color w:val="auto"/>
              </w:rPr>
              <w:t>[****]</w:t>
            </w:r>
          </w:p>
        </w:tc>
        <w:tc>
          <w:tcPr>
            <w:tcW w:w="1760" w:type="dxa"/>
            <w:vAlign w:val="bottom"/>
            <w:tcBorders>
              <w:right w:val="single" w:sz="8" w:color="auto"/>
            </w:tcBorders>
            <w:vMerge w:val="restart"/>
          </w:tcPr>
          <w:p>
            <w:pPr>
              <w:ind w:left="700"/>
              <w:spacing w:after="0" w:line="15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6"/>
        </w:trPr>
        <w:tc>
          <w:tcPr>
            <w:tcW w:w="98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8"/>
              </w:rPr>
              <w:t>Aircraft</w:t>
            </w:r>
          </w:p>
        </w:tc>
        <w:tc>
          <w:tcPr>
            <w:tcW w:w="1000" w:type="dxa"/>
            <w:vAlign w:val="bottom"/>
            <w:tcBorders>
              <w:right w:val="single" w:sz="8" w:color="auto"/>
            </w:tcBorders>
            <w:vMerge w:val="continue"/>
          </w:tcPr>
          <w:p>
            <w:pPr>
              <w:spacing w:after="0"/>
              <w:rPr>
                <w:sz w:val="4"/>
                <w:szCs w:val="4"/>
                <w:color w:val="auto"/>
              </w:rPr>
            </w:pPr>
          </w:p>
        </w:tc>
        <w:tc>
          <w:tcPr>
            <w:tcW w:w="1080" w:type="dxa"/>
            <w:vAlign w:val="bottom"/>
            <w:tcBorders>
              <w:right w:val="single" w:sz="8" w:color="auto"/>
            </w:tcBorders>
            <w:vMerge w:val="continue"/>
          </w:tcPr>
          <w:p>
            <w:pPr>
              <w:spacing w:after="0"/>
              <w:rPr>
                <w:sz w:val="4"/>
                <w:szCs w:val="4"/>
                <w:color w:val="auto"/>
              </w:rPr>
            </w:pPr>
          </w:p>
        </w:tc>
        <w:tc>
          <w:tcPr>
            <w:tcW w:w="1180" w:type="dxa"/>
            <w:vAlign w:val="bottom"/>
            <w:tcBorders>
              <w:right w:val="single" w:sz="8" w:color="auto"/>
            </w:tcBorders>
            <w:shd w:val="clear" w:color="auto" w:fill="C0C0C0"/>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980" w:type="dxa"/>
            <w:vAlign w:val="bottom"/>
            <w:tcBorders>
              <w:right w:val="single" w:sz="8" w:color="auto"/>
            </w:tcBorders>
            <w:vMerge w:val="continue"/>
          </w:tcPr>
          <w:p>
            <w:pPr>
              <w:spacing w:after="0"/>
              <w:rPr>
                <w:sz w:val="4"/>
                <w:szCs w:val="4"/>
                <w:color w:val="auto"/>
              </w:rPr>
            </w:pPr>
          </w:p>
        </w:tc>
        <w:tc>
          <w:tcPr>
            <w:tcW w:w="17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880" w:type="dxa"/>
            <w:vAlign w:val="bottom"/>
            <w:tcBorders>
              <w:bottom w:val="single" w:sz="8" w:color="auto"/>
              <w:right w:val="single" w:sz="8" w:color="auto"/>
            </w:tcBorders>
            <w:vMerge w:val="continue"/>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(Airframe)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(Engine)</w:t>
            </w:r>
          </w:p>
        </w:tc>
        <w:tc>
          <w:tcPr>
            <w:tcW w:w="1180" w:type="dxa"/>
            <w:vAlign w:val="bottom"/>
            <w:tcBorders>
              <w:bottom w:val="single" w:sz="8" w:color="auto"/>
              <w:right w:val="single" w:sz="8" w:color="auto"/>
            </w:tcBorders>
            <w:shd w:val="clear" w:color="auto" w:fill="C0C0C0"/>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Base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0C0C0"/>
              <w:right w:val="single" w:sz="8" w:color="auto"/>
            </w:tcBorders>
            <w:shd w:val="clear" w:color="auto" w:fill="C0C0C0"/>
          </w:tcPr>
          <w:p>
            <w:pPr>
              <w:spacing w:after="0"/>
              <w:rPr>
                <w:sz w:val="23"/>
                <w:szCs w:val="23"/>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[****]-2025</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[****]-2025</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[****]-2025</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[****]-2025</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[****]-2026</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[****]-2026</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[****]-2026</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[****]-2026</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[****]-2027</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[****]-2027</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[****]-2027</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[****]-2027</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Total:</w:t>
            </w: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25</w:t>
            </w:r>
          </w:p>
        </w:tc>
        <w:tc>
          <w:tcPr>
            <w:tcW w:w="10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Note: [****]</w:t>
      </w:r>
    </w:p>
    <w:p>
      <w:pPr>
        <w:sectPr>
          <w:pgSz w:w="11900" w:h="16838" w:orient="portrait"/>
          <w:cols w:equalWidth="0" w:num="1">
            <w:col w:w="11160"/>
          </w:cols>
          <w:pgMar w:left="320" w:top="8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AAL-PA-03219 121168-1F.txt BOEING PROPRIETARY</w:t>
      </w:r>
    </w:p>
    <w:p>
      <w:pPr>
        <w:ind w:left="900"/>
        <w:spacing w:after="0"/>
        <w:rPr>
          <w:sz w:val="20"/>
          <w:szCs w:val="20"/>
          <w:color w:val="auto"/>
        </w:rPr>
      </w:pPr>
      <w:r>
        <w:rPr>
          <w:rFonts w:ascii="Arial" w:cs="Arial" w:eastAsia="Arial" w:hAnsi="Arial"/>
          <w:sz w:val="16"/>
          <w:szCs w:val="16"/>
          <w:color w:val="auto"/>
        </w:rPr>
        <w:t>Page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SA-19 Table 7(R2)</w:t>
      </w:r>
    </w:p>
    <w:p>
      <w:pPr>
        <w:sectPr>
          <w:pgSz w:w="11900" w:h="16838" w:orient="portrait"/>
          <w:cols w:equalWidth="0" w:num="2">
            <w:col w:w="3960" w:space="720"/>
            <w:col w:w="6480"/>
          </w:cols>
          <w:pgMar w:left="320" w:top="86" w:right="419" w:bottom="1440" w:gutter="0" w:footer="0" w:header="0"/>
          <w:type w:val="continuous"/>
        </w:sectPr>
      </w:pPr>
    </w:p>
    <w:bookmarkStart w:id="105" w:name="page106"/>
    <w:bookmarkEnd w:id="105"/>
    <w:p>
      <w:pPr>
        <w:jc w:val="center"/>
        <w:ind w:right="-19"/>
        <w:spacing w:after="0"/>
        <w:rPr>
          <w:sz w:val="20"/>
          <w:szCs w:val="20"/>
          <w:color w:val="auto"/>
        </w:rPr>
      </w:pPr>
      <w:r>
        <w:rPr>
          <w:rFonts w:ascii="Arial" w:cs="Arial" w:eastAsia="Arial" w:hAnsi="Arial"/>
          <w:sz w:val="22"/>
          <w:szCs w:val="22"/>
          <w:b w:val="1"/>
          <w:bCs w:val="1"/>
          <w:color w:val="auto"/>
        </w:rPr>
        <w:t>Table 7(R2) To</w:t>
      </w:r>
    </w:p>
    <w:p>
      <w:pPr>
        <w:jc w:val="center"/>
        <w:ind w:right="-19"/>
        <w:spacing w:after="0" w:line="204" w:lineRule="auto"/>
        <w:rPr>
          <w:sz w:val="20"/>
          <w:szCs w:val="20"/>
          <w:color w:val="auto"/>
        </w:rPr>
      </w:pPr>
      <w:r>
        <w:rPr>
          <w:rFonts w:ascii="Arial" w:cs="Arial" w:eastAsia="Arial" w:hAnsi="Arial"/>
          <w:sz w:val="22"/>
          <w:szCs w:val="22"/>
          <w:b w:val="1"/>
          <w:bCs w:val="1"/>
          <w:color w:val="auto"/>
        </w:rPr>
        <w:t>Purchase Agreement No. PA-03219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 787-9 [****] Aircraft Delivery, Description, Price and Advance Payments</w:t>
      </w:r>
    </w:p>
    <w:p>
      <w:pPr>
        <w:sectPr>
          <w:pgSz w:w="11900" w:h="16838" w:orient="portrait"/>
          <w:cols w:equalWidth="0" w:num="1">
            <w:col w:w="11240"/>
          </w:cols>
          <w:pgMar w:left="320" w:top="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920" w:type="dxa"/>
            <w:vAlign w:val="bottom"/>
          </w:tcPr>
          <w:p>
            <w:pPr>
              <w:spacing w:after="0"/>
              <w:rPr>
                <w:sz w:val="20"/>
                <w:szCs w:val="20"/>
                <w:color w:val="auto"/>
              </w:rPr>
            </w:pPr>
            <w:r>
              <w:rPr>
                <w:rFonts w:ascii="Arial" w:cs="Arial" w:eastAsia="Arial" w:hAnsi="Arial"/>
                <w:sz w:val="16"/>
                <w:szCs w:val="16"/>
                <w:b w:val="1"/>
                <w:bCs w:val="1"/>
                <w:color w:val="auto"/>
              </w:rPr>
              <w:t>Airframe Model/MTOW:</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787-9</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 pounds</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960" w:type="dxa"/>
            <w:vAlign w:val="bottom"/>
          </w:tcPr>
          <w:p>
            <w:pPr>
              <w:ind w:left="180"/>
              <w:spacing w:after="0"/>
              <w:rPr>
                <w:sz w:val="20"/>
                <w:szCs w:val="20"/>
                <w:color w:val="auto"/>
              </w:rPr>
            </w:pPr>
            <w:r>
              <w:rPr>
                <w:rFonts w:ascii="Arial" w:cs="Arial" w:eastAsia="Arial" w:hAnsi="Arial"/>
                <w:sz w:val="16"/>
                <w:szCs w:val="16"/>
                <w:color w:val="auto"/>
              </w:rPr>
              <w:t>GENX-</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0"/>
                <w:szCs w:val="20"/>
                <w:color w:val="auto"/>
              </w:rPr>
            </w:pPr>
            <w:r>
              <w:rPr>
                <w:rFonts w:ascii="Arial" w:cs="Arial" w:eastAsia="Arial" w:hAnsi="Arial"/>
                <w:sz w:val="16"/>
                <w:szCs w:val="16"/>
                <w:b w:val="1"/>
                <w:bCs w:val="1"/>
                <w:color w:val="auto"/>
              </w:rPr>
              <w:t>Engine Model/Thrust:</w:t>
            </w:r>
          </w:p>
        </w:tc>
        <w:tc>
          <w:tcPr>
            <w:tcW w:w="960" w:type="dxa"/>
            <w:vAlign w:val="bottom"/>
          </w:tcPr>
          <w:p>
            <w:pPr>
              <w:jc w:val="center"/>
              <w:spacing w:after="0"/>
              <w:rPr>
                <w:sz w:val="20"/>
                <w:szCs w:val="20"/>
                <w:color w:val="auto"/>
              </w:rPr>
            </w:pPr>
            <w:r>
              <w:rPr>
                <w:rFonts w:ascii="Arial" w:cs="Arial" w:eastAsia="Arial" w:hAnsi="Arial"/>
                <w:sz w:val="16"/>
                <w:szCs w:val="16"/>
                <w:color w:val="auto"/>
                <w:w w:val="93"/>
              </w:rPr>
              <w:t>1B74/75</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 pounds</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6"/>
                <w:szCs w:val="16"/>
                <w:b w:val="1"/>
                <w:bCs w:val="1"/>
                <w:color w:val="auto"/>
              </w:rPr>
              <w:t>Airframe Price:</w:t>
            </w:r>
          </w:p>
        </w:tc>
        <w:tc>
          <w:tcPr>
            <w:tcW w:w="9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6"/>
                <w:szCs w:val="16"/>
                <w:b w:val="1"/>
                <w:bCs w:val="1"/>
                <w:color w:val="auto"/>
              </w:rPr>
              <w:t>Optional Features:</w:t>
            </w:r>
          </w:p>
        </w:tc>
        <w:tc>
          <w:tcPr>
            <w:tcW w:w="96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Sub-Total of Airframe and Features: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16"/>
                <w:szCs w:val="16"/>
                <w:b w:val="1"/>
                <w:bCs w:val="1"/>
                <w:color w:val="auto"/>
              </w:rPr>
              <w:t>Engine Price (Per</w:t>
            </w: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0"/>
                <w:szCs w:val="20"/>
                <w:color w:val="auto"/>
              </w:rPr>
            </w:pPr>
            <w:r>
              <w:rPr>
                <w:rFonts w:ascii="Arial" w:cs="Arial" w:eastAsia="Arial" w:hAnsi="Arial"/>
                <w:sz w:val="16"/>
                <w:szCs w:val="16"/>
                <w:b w:val="1"/>
                <w:bCs w:val="1"/>
                <w:color w:val="auto"/>
              </w:rPr>
              <w:t>Aircraft):</w:t>
            </w:r>
          </w:p>
        </w:tc>
        <w:tc>
          <w:tcPr>
            <w:tcW w:w="9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Aircraft Basic Price (Excluding</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16"/>
                <w:szCs w:val="16"/>
                <w:b w:val="1"/>
                <w:bCs w:val="1"/>
                <w:color w:val="auto"/>
              </w:rPr>
              <w:t>BFE/SPE):</w:t>
            </w:r>
          </w:p>
        </w:tc>
        <w:tc>
          <w:tcPr>
            <w:tcW w:w="9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Buyer Furnished Equipment (BFE)</w:t>
            </w: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920" w:type="dxa"/>
            <w:vAlign w:val="bottom"/>
          </w:tcPr>
          <w:p>
            <w:pPr>
              <w:spacing w:after="0"/>
              <w:rPr>
                <w:sz w:val="20"/>
                <w:szCs w:val="20"/>
                <w:color w:val="auto"/>
              </w:rPr>
            </w:pPr>
            <w:r>
              <w:rPr>
                <w:rFonts w:ascii="Arial" w:cs="Arial" w:eastAsia="Arial" w:hAnsi="Arial"/>
                <w:sz w:val="16"/>
                <w:szCs w:val="16"/>
                <w:b w:val="1"/>
                <w:bCs w:val="1"/>
                <w:color w:val="auto"/>
              </w:rPr>
              <w:t>Estimate:</w:t>
            </w:r>
          </w:p>
        </w:tc>
        <w:tc>
          <w:tcPr>
            <w:tcW w:w="9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w w:val="96"/>
              </w:rPr>
              <w:t>//Seller Purchased Equipment (SPE)/In-</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Flight Entertainment (IFE)// Estimate: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LIFT Seats Provided by Boeing</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0"/>
                <w:szCs w:val="20"/>
                <w:color w:val="auto"/>
              </w:rPr>
            </w:pPr>
            <w:r>
              <w:rPr>
                <w:rFonts w:ascii="Arial" w:cs="Arial" w:eastAsia="Arial" w:hAnsi="Arial"/>
                <w:sz w:val="16"/>
                <w:szCs w:val="16"/>
                <w:b w:val="1"/>
                <w:bCs w:val="1"/>
                <w:color w:val="auto"/>
              </w:rPr>
              <w:t>(Estimate):</w:t>
            </w:r>
          </w:p>
        </w:tc>
        <w:tc>
          <w:tcPr>
            <w:tcW w:w="9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6"/>
                <w:szCs w:val="16"/>
                <w:b w:val="1"/>
                <w:bCs w:val="1"/>
                <w:color w:val="auto"/>
              </w:rPr>
              <w:t>Deposit per Aircraft:</w:t>
            </w:r>
          </w:p>
        </w:tc>
        <w:tc>
          <w:tcPr>
            <w:tcW w:w="9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Detail</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Specification:</w:t>
            </w:r>
          </w:p>
        </w:tc>
        <w:tc>
          <w:tcPr>
            <w:tcW w:w="8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27"/>
        </w:trPr>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Airframe Price Base Year/Escalation Formula:</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w:t>
            </w:r>
          </w:p>
        </w:tc>
      </w:tr>
      <w:tr>
        <w:trPr>
          <w:trHeight w:val="270"/>
        </w:trPr>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Engine Price Base Year/Escalation Formula:</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w:t>
            </w:r>
          </w:p>
        </w:tc>
      </w:tr>
      <w:tr>
        <w:trPr>
          <w:trHeight w:val="46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3"/>
              </w:rPr>
              <w:t>Airframe Escalation Data:</w:t>
            </w: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01"/>
        </w:trPr>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Base Year Index (ECI):</w:t>
            </w:r>
          </w:p>
        </w:tc>
        <w:tc>
          <w:tcPr>
            <w:tcW w:w="820" w:type="dxa"/>
            <w:vAlign w:val="bottom"/>
          </w:tcPr>
          <w:p>
            <w:pPr>
              <w:spacing w:after="0"/>
              <w:rPr>
                <w:sz w:val="24"/>
                <w:szCs w:val="24"/>
                <w:color w:val="auto"/>
              </w:rPr>
            </w:pPr>
          </w:p>
        </w:tc>
        <w:tc>
          <w:tcPr>
            <w:tcW w:w="1240" w:type="dxa"/>
            <w:vAlign w:val="bottom"/>
          </w:tcPr>
          <w:p>
            <w:pPr>
              <w:jc w:val="right"/>
              <w:ind w:right="719"/>
              <w:spacing w:after="0"/>
              <w:rPr>
                <w:sz w:val="20"/>
                <w:szCs w:val="20"/>
                <w:color w:val="auto"/>
              </w:rPr>
            </w:pPr>
            <w:r>
              <w:rPr>
                <w:rFonts w:ascii="Arial" w:cs="Arial" w:eastAsia="Arial" w:hAnsi="Arial"/>
                <w:sz w:val="16"/>
                <w:szCs w:val="16"/>
                <w:color w:val="auto"/>
              </w:rPr>
              <w:t>[****]</w:t>
            </w:r>
          </w:p>
        </w:tc>
      </w:tr>
      <w:tr>
        <w:trPr>
          <w:trHeight w:val="486"/>
        </w:trPr>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Base Year Index (CPI):</w:t>
            </w:r>
          </w:p>
        </w:tc>
        <w:tc>
          <w:tcPr>
            <w:tcW w:w="820" w:type="dxa"/>
            <w:vAlign w:val="bottom"/>
          </w:tcPr>
          <w:p>
            <w:pPr>
              <w:spacing w:after="0"/>
              <w:rPr>
                <w:sz w:val="24"/>
                <w:szCs w:val="24"/>
                <w:color w:val="auto"/>
              </w:rPr>
            </w:pPr>
          </w:p>
        </w:tc>
        <w:tc>
          <w:tcPr>
            <w:tcW w:w="1240" w:type="dxa"/>
            <w:vAlign w:val="bottom"/>
          </w:tcPr>
          <w:p>
            <w:pPr>
              <w:jc w:val="right"/>
              <w:ind w:right="719"/>
              <w:spacing w:after="0"/>
              <w:rPr>
                <w:sz w:val="20"/>
                <w:szCs w:val="20"/>
                <w:color w:val="auto"/>
              </w:rPr>
            </w:pPr>
            <w:r>
              <w:rPr>
                <w:rFonts w:ascii="Arial" w:cs="Arial" w:eastAsia="Arial" w:hAnsi="Arial"/>
                <w:sz w:val="16"/>
                <w:szCs w:val="16"/>
                <w:color w:val="auto"/>
              </w:rPr>
              <w:t>[****]</w:t>
            </w:r>
          </w:p>
        </w:tc>
      </w:tr>
      <w:tr>
        <w:trPr>
          <w:trHeight w:val="451"/>
        </w:trPr>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Engine Escalation Data:</w:t>
            </w:r>
          </w:p>
        </w:tc>
        <w:tc>
          <w:tcPr>
            <w:tcW w:w="19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01"/>
        </w:trPr>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Base Year Index (ECI):</w:t>
            </w:r>
          </w:p>
        </w:tc>
        <w:tc>
          <w:tcPr>
            <w:tcW w:w="820" w:type="dxa"/>
            <w:vAlign w:val="bottom"/>
          </w:tcPr>
          <w:p>
            <w:pPr>
              <w:spacing w:after="0"/>
              <w:rPr>
                <w:sz w:val="24"/>
                <w:szCs w:val="24"/>
                <w:color w:val="auto"/>
              </w:rPr>
            </w:pPr>
          </w:p>
        </w:tc>
        <w:tc>
          <w:tcPr>
            <w:tcW w:w="1240" w:type="dxa"/>
            <w:vAlign w:val="bottom"/>
          </w:tcPr>
          <w:p>
            <w:pPr>
              <w:jc w:val="right"/>
              <w:ind w:right="719"/>
              <w:spacing w:after="0"/>
              <w:rPr>
                <w:sz w:val="20"/>
                <w:szCs w:val="20"/>
                <w:color w:val="auto"/>
              </w:rPr>
            </w:pPr>
            <w:r>
              <w:rPr>
                <w:rFonts w:ascii="Arial" w:cs="Arial" w:eastAsia="Arial" w:hAnsi="Arial"/>
                <w:sz w:val="16"/>
                <w:szCs w:val="16"/>
                <w:color w:val="auto"/>
              </w:rPr>
              <w:t>[****]</w:t>
            </w:r>
          </w:p>
        </w:tc>
      </w:tr>
      <w:tr>
        <w:trPr>
          <w:trHeight w:val="486"/>
        </w:trPr>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Base Year Index (CPI):</w:t>
            </w:r>
          </w:p>
        </w:tc>
        <w:tc>
          <w:tcPr>
            <w:tcW w:w="820" w:type="dxa"/>
            <w:vAlign w:val="bottom"/>
          </w:tcPr>
          <w:p>
            <w:pPr>
              <w:spacing w:after="0"/>
              <w:rPr>
                <w:sz w:val="24"/>
                <w:szCs w:val="24"/>
                <w:color w:val="auto"/>
              </w:rPr>
            </w:pPr>
          </w:p>
        </w:tc>
        <w:tc>
          <w:tcPr>
            <w:tcW w:w="1240" w:type="dxa"/>
            <w:vAlign w:val="bottom"/>
          </w:tcPr>
          <w:p>
            <w:pPr>
              <w:jc w:val="right"/>
              <w:ind w:right="719"/>
              <w:spacing w:after="0"/>
              <w:rPr>
                <w:sz w:val="20"/>
                <w:szCs w:val="20"/>
                <w:color w:val="auto"/>
              </w:rPr>
            </w:pPr>
            <w:r>
              <w:rPr>
                <w:rFonts w:ascii="Arial" w:cs="Arial" w:eastAsia="Arial" w:hAnsi="Arial"/>
                <w:sz w:val="16"/>
                <w:szCs w:val="16"/>
                <w:color w:val="auto"/>
              </w:rPr>
              <w:t>[****]</w:t>
            </w:r>
          </w:p>
        </w:tc>
      </w:tr>
    </w:tbl>
    <w:p>
      <w:pPr>
        <w:spacing w:after="0" w:line="510" w:lineRule="exact"/>
        <w:rPr>
          <w:sz w:val="20"/>
          <w:szCs w:val="20"/>
          <w:color w:val="auto"/>
        </w:rPr>
      </w:pPr>
    </w:p>
    <w:p>
      <w:pPr>
        <w:sectPr>
          <w:pgSz w:w="11900" w:h="16838" w:orient="portrait"/>
          <w:cols w:equalWidth="0" w:num="2">
            <w:col w:w="4520" w:space="720"/>
            <w:col w:w="6000"/>
          </w:cols>
          <w:pgMar w:left="320" w:top="86" w:right="339" w:bottom="1440" w:gutter="0" w:footer="0" w:header="0"/>
          <w:type w:val="continuous"/>
        </w:sectPr>
      </w:pP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60" w:type="dxa"/>
            <w:vAlign w:val="bottom"/>
            <w:tcBorders>
              <w:top w:val="single" w:sz="8" w:color="auto"/>
              <w:left w:val="single" w:sz="8" w:color="auto"/>
              <w:right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spacing w:after="0"/>
              <w:rPr>
                <w:sz w:val="20"/>
                <w:szCs w:val="20"/>
                <w:color w:val="auto"/>
              </w:rPr>
            </w:pP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980" w:type="dxa"/>
            <w:vAlign w:val="bottom"/>
            <w:tcBorders>
              <w:top w:val="single" w:sz="8" w:color="auto"/>
              <w:right w:val="single" w:sz="8" w:color="auto"/>
            </w:tcBorders>
            <w:shd w:val="clear" w:color="auto" w:fill="C0C0C0"/>
          </w:tcPr>
          <w:p>
            <w:pPr>
              <w:spacing w:after="0"/>
              <w:rPr>
                <w:sz w:val="20"/>
                <w:szCs w:val="20"/>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486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Advance Payment Per Aircraft (Amts. Due/Mos. Prior to Delivery):</w:t>
            </w:r>
          </w:p>
        </w:tc>
        <w:tc>
          <w:tcPr>
            <w:tcW w:w="0" w:type="dxa"/>
            <w:vAlign w:val="bottom"/>
          </w:tcPr>
          <w:p>
            <w:pPr>
              <w:spacing w:after="0"/>
              <w:rPr>
                <w:sz w:val="1"/>
                <w:szCs w:val="1"/>
                <w:color w:val="auto"/>
              </w:rPr>
            </w:pPr>
          </w:p>
        </w:tc>
      </w:tr>
      <w:tr>
        <w:trPr>
          <w:trHeight w:val="186"/>
        </w:trPr>
        <w:tc>
          <w:tcPr>
            <w:tcW w:w="106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shd w:val="clear" w:color="auto" w:fill="C0C0C0"/>
          </w:tcPr>
          <w:p>
            <w:pPr>
              <w:spacing w:after="0"/>
              <w:rPr>
                <w:sz w:val="16"/>
                <w:szCs w:val="16"/>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60" w:type="dxa"/>
            <w:vAlign w:val="bottom"/>
            <w:tcBorders>
              <w:left w:val="single" w:sz="8" w:color="auto"/>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980" w:type="dxa"/>
            <w:vAlign w:val="bottom"/>
            <w:tcBorders>
              <w:bottom w:val="single" w:sz="8" w:color="C0C0C0"/>
              <w:right w:val="single" w:sz="8" w:color="auto"/>
            </w:tcBorders>
            <w:shd w:val="clear" w:color="auto" w:fill="C0C0C0"/>
          </w:tcPr>
          <w:p>
            <w:pPr>
              <w:spacing w:after="0"/>
              <w:rPr>
                <w:sz w:val="2"/>
                <w:szCs w:val="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Adv Payment</w:t>
            </w: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Delivery</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Factor</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Factor</w:t>
            </w:r>
          </w:p>
        </w:tc>
        <w:tc>
          <w:tcPr>
            <w:tcW w:w="980" w:type="dxa"/>
            <w:vAlign w:val="bottom"/>
            <w:tcBorders>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1060" w:type="dxa"/>
            <w:vAlign w:val="bottom"/>
            <w:tcBorders>
              <w:left w:val="single" w:sz="8" w:color="auto"/>
              <w:right w:val="single" w:sz="8" w:color="auto"/>
            </w:tcBorders>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shd w:val="clear" w:color="auto" w:fill="C0C0C0"/>
          </w:tcPr>
          <w:p>
            <w:pPr>
              <w:spacing w:after="0"/>
              <w:rPr>
                <w:sz w:val="16"/>
                <w:szCs w:val="16"/>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Base</w:t>
            </w:r>
          </w:p>
        </w:tc>
        <w:tc>
          <w:tcPr>
            <w:tcW w:w="1320" w:type="dxa"/>
            <w:vAlign w:val="bottom"/>
            <w:tcBorders>
              <w:right w:val="single" w:sz="8" w:color="auto"/>
            </w:tcBorders>
            <w:vMerge w:val="continue"/>
          </w:tcPr>
          <w:p>
            <w:pPr>
              <w:spacing w:after="0"/>
              <w:rPr>
                <w:sz w:val="16"/>
                <w:szCs w:val="16"/>
                <w:color w:val="auto"/>
              </w:rPr>
            </w:pPr>
          </w:p>
        </w:tc>
        <w:tc>
          <w:tcPr>
            <w:tcW w:w="106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Aircraft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(Airframe)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(Engine)</w:t>
            </w:r>
          </w:p>
        </w:tc>
        <w:tc>
          <w:tcPr>
            <w:tcW w:w="980" w:type="dxa"/>
            <w:vAlign w:val="bottom"/>
            <w:tcBorders>
              <w:bottom w:val="single" w:sz="8" w:color="C0C0C0"/>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-2023</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1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-2023</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0C0C0"/>
          </w:tcPr>
          <w:p>
            <w:pPr>
              <w:spacing w:after="0"/>
              <w:rPr>
                <w:sz w:val="24"/>
                <w:szCs w:val="24"/>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-2023</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0C0C0"/>
          </w:tcPr>
          <w:p>
            <w:pPr>
              <w:spacing w:after="0"/>
              <w:rPr>
                <w:sz w:val="24"/>
                <w:szCs w:val="24"/>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-2024</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00FF"/>
                <w:w w:val="89"/>
              </w:rPr>
              <w:t>1</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0C0C0"/>
          </w:tcPr>
          <w:p>
            <w:pPr>
              <w:spacing w:after="0"/>
              <w:rPr>
                <w:sz w:val="24"/>
                <w:szCs w:val="24"/>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1060" w:type="dxa"/>
            <w:vAlign w:val="bottom"/>
          </w:tcPr>
          <w:p>
            <w:pPr>
              <w:jc w:val="center"/>
              <w:spacing w:after="0"/>
              <w:rPr>
                <w:sz w:val="20"/>
                <w:szCs w:val="20"/>
                <w:color w:val="auto"/>
              </w:rPr>
            </w:pPr>
            <w:r>
              <w:rPr>
                <w:rFonts w:ascii="Arial" w:cs="Arial" w:eastAsia="Arial" w:hAnsi="Arial"/>
                <w:sz w:val="18"/>
                <w:szCs w:val="18"/>
                <w:color w:val="auto"/>
                <w:w w:val="93"/>
              </w:rPr>
              <w:t>Total:</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1060" w:type="dxa"/>
            <w:vAlign w:val="bottom"/>
          </w:tcPr>
          <w:p>
            <w:pPr>
              <w:ind w:left="80"/>
              <w:spacing w:after="0"/>
              <w:rPr>
                <w:sz w:val="20"/>
                <w:szCs w:val="20"/>
                <w:color w:val="auto"/>
              </w:rPr>
            </w:pPr>
            <w:r>
              <w:rPr>
                <w:rFonts w:ascii="Arial" w:cs="Arial" w:eastAsia="Arial" w:hAnsi="Arial"/>
                <w:sz w:val="18"/>
                <w:szCs w:val="18"/>
                <w:color w:val="auto"/>
              </w:rPr>
              <w:t>Note: [****]</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2"/>
        </w:trPr>
        <w:tc>
          <w:tcPr>
            <w:tcW w:w="4200" w:type="dxa"/>
            <w:vAlign w:val="bottom"/>
            <w:gridSpan w:val="4"/>
          </w:tcPr>
          <w:p>
            <w:pPr>
              <w:spacing w:after="0"/>
              <w:rPr>
                <w:sz w:val="20"/>
                <w:szCs w:val="20"/>
                <w:color w:val="auto"/>
              </w:rPr>
            </w:pPr>
            <w:r>
              <w:rPr>
                <w:rFonts w:ascii="Arial" w:cs="Arial" w:eastAsia="Arial" w:hAnsi="Arial"/>
                <w:sz w:val="16"/>
                <w:szCs w:val="16"/>
                <w:color w:val="auto"/>
              </w:rPr>
              <w:t>AAL-PA-03219 121168-1F.txt BOEING PROPRIETARY</w:t>
            </w:r>
          </w:p>
        </w:tc>
        <w:tc>
          <w:tcPr>
            <w:tcW w:w="2180" w:type="dxa"/>
            <w:vAlign w:val="bottom"/>
            <w:gridSpan w:val="2"/>
          </w:tcPr>
          <w:p>
            <w:pPr>
              <w:ind w:left="480"/>
              <w:spacing w:after="0"/>
              <w:rPr>
                <w:sz w:val="20"/>
                <w:szCs w:val="20"/>
                <w:color w:val="auto"/>
              </w:rPr>
            </w:pPr>
            <w:r>
              <w:rPr>
                <w:rFonts w:ascii="Arial" w:cs="Arial" w:eastAsia="Arial" w:hAnsi="Arial"/>
                <w:sz w:val="16"/>
                <w:szCs w:val="16"/>
                <w:color w:val="auto"/>
              </w:rPr>
              <w:t>SA-19 Table 7(R2)</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900" w:type="dxa"/>
            <w:vAlign w:val="bottom"/>
            <w:gridSpan w:val="2"/>
          </w:tcPr>
          <w:p>
            <w:pPr>
              <w:ind w:left="900"/>
              <w:spacing w:after="0"/>
              <w:rPr>
                <w:sz w:val="20"/>
                <w:szCs w:val="20"/>
                <w:color w:val="auto"/>
              </w:rPr>
            </w:pPr>
            <w:r>
              <w:rPr>
                <w:rFonts w:ascii="Arial" w:cs="Arial" w:eastAsia="Arial" w:hAnsi="Arial"/>
                <w:sz w:val="16"/>
                <w:szCs w:val="16"/>
                <w:color w:val="auto"/>
              </w:rPr>
              <w:t>Page 1</w:t>
            </w: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 w:right="339" w:bottom="144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AIRCRAFT CONFIGURATION</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between</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BOEING COMPANY</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49" w:lineRule="exact"/>
        <w:rPr>
          <w:sz w:val="20"/>
          <w:szCs w:val="20"/>
          <w:color w:val="auto"/>
        </w:rPr>
      </w:pPr>
    </w:p>
    <w:p>
      <w:pPr>
        <w:jc w:val="right"/>
        <w:ind w:right="2239"/>
        <w:spacing w:after="0"/>
        <w:rPr>
          <w:sz w:val="20"/>
          <w:szCs w:val="20"/>
          <w:color w:val="auto"/>
        </w:rPr>
      </w:pPr>
      <w:r>
        <w:rPr>
          <w:rFonts w:ascii="Arial" w:cs="Arial" w:eastAsia="Arial" w:hAnsi="Arial"/>
          <w:sz w:val="22"/>
          <w:szCs w:val="22"/>
          <w:color w:val="auto"/>
        </w:rPr>
        <w:t>Exhibit A(R4) to Purchase Agreement Number 3219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540" w:val="left"/>
          <w:tab w:leader="none" w:pos="2380" w:val="left"/>
        </w:tabs>
        <w:rPr>
          <w:sz w:val="20"/>
          <w:szCs w:val="20"/>
          <w:color w:val="auto"/>
        </w:rPr>
      </w:pPr>
      <w:r>
        <w:rPr>
          <w:rFonts w:ascii="Arial" w:cs="Arial" w:eastAsia="Arial" w:hAnsi="Arial"/>
          <w:sz w:val="22"/>
          <w:szCs w:val="22"/>
          <w:color w:val="auto"/>
        </w:rPr>
        <w:t>P.A. No. 3219</w:t>
        <w:tab/>
        <w:t>SA-19</w:t>
      </w:r>
      <w:r>
        <w:rPr>
          <w:sz w:val="20"/>
          <w:szCs w:val="20"/>
          <w:color w:val="auto"/>
        </w:rPr>
        <w:tab/>
      </w:r>
      <w:r>
        <w:rPr>
          <w:rFonts w:ascii="Arial" w:cs="Arial" w:eastAsia="Arial" w:hAnsi="Arial"/>
          <w:sz w:val="21"/>
          <w:szCs w:val="21"/>
          <w:color w:val="auto"/>
        </w:rPr>
        <w:t>Exhibit A(R4)</w:t>
      </w: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07" w:name="page108"/>
    <w:bookmarkEnd w:id="107"/>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A(R4)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AIRCRAFT CONFIGURATION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the effective Date of SA-19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relating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MODEL [****] AIRCRAFT</w:t>
      </w:r>
    </w:p>
    <w:p>
      <w:pPr>
        <w:spacing w:after="0" w:line="200" w:lineRule="exact"/>
        <w:rPr>
          <w:sz w:val="20"/>
          <w:szCs w:val="20"/>
          <w:color w:val="auto"/>
        </w:rPr>
      </w:pPr>
    </w:p>
    <w:p>
      <w:pPr>
        <w:spacing w:after="0" w:line="222" w:lineRule="exact"/>
        <w:rPr>
          <w:sz w:val="20"/>
          <w:szCs w:val="20"/>
          <w:color w:val="auto"/>
        </w:rPr>
      </w:pPr>
    </w:p>
    <w:p>
      <w:pPr>
        <w:jc w:val="both"/>
        <w:ind w:firstLine="270"/>
        <w:spacing w:after="0" w:line="218" w:lineRule="auto"/>
        <w:rPr>
          <w:sz w:val="20"/>
          <w:szCs w:val="20"/>
          <w:color w:val="auto"/>
        </w:rPr>
      </w:pPr>
      <w:r>
        <w:rPr>
          <w:rFonts w:ascii="Arial" w:cs="Arial" w:eastAsia="Arial" w:hAnsi="Arial"/>
          <w:sz w:val="22"/>
          <w:szCs w:val="22"/>
          <w:color w:val="auto"/>
        </w:rPr>
        <w:t>The Detail Specification is Boeing Detail Specification [****] (the [****] due to the Detail Specification being [****], e.g., for the [****], the Detail Specification is number [****]). The Detail Specification provides [****] set forth in this Exhibit A. Such Detail Specification will be comprised of Boeing 787 Airplane [****] by Customer, including the effects on [****], that are specified herein. [****]. The [****], except such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80"/>
        <w:spacing w:after="0"/>
        <w:tabs>
          <w:tab w:leader="none" w:pos="2520" w:val="left"/>
          <w:tab w:leader="none" w:pos="3360" w:val="left"/>
        </w:tabs>
        <w:rPr>
          <w:sz w:val="20"/>
          <w:szCs w:val="20"/>
          <w:color w:val="auto"/>
        </w:rPr>
      </w:pPr>
      <w:r>
        <w:rPr>
          <w:rFonts w:ascii="Arial" w:cs="Arial" w:eastAsia="Arial" w:hAnsi="Arial"/>
          <w:sz w:val="22"/>
          <w:szCs w:val="22"/>
          <w:color w:val="auto"/>
        </w:rPr>
        <w:t>P.A. No. 3219</w:t>
        <w:tab/>
        <w:t>SA-19</w:t>
      </w:r>
      <w:r>
        <w:rPr>
          <w:sz w:val="20"/>
          <w:szCs w:val="20"/>
          <w:color w:val="auto"/>
        </w:rPr>
        <w:tab/>
      </w:r>
      <w:r>
        <w:rPr>
          <w:rFonts w:ascii="Arial" w:cs="Arial" w:eastAsia="Arial" w:hAnsi="Arial"/>
          <w:sz w:val="21"/>
          <w:szCs w:val="21"/>
          <w:color w:val="auto"/>
        </w:rPr>
        <w:t>Exhibit A(R4), Page 1</w:t>
      </w: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Option Number</w:t>
            </w:r>
          </w:p>
        </w:tc>
        <w:tc>
          <w:tcPr>
            <w:tcW w:w="7480" w:type="dxa"/>
            <w:vAlign w:val="bottom"/>
            <w:tcBorders>
              <w:top w:val="single" w:sz="8" w:color="auto"/>
              <w:right w:val="single" w:sz="8" w:color="auto"/>
            </w:tcBorders>
            <w:vMerge w:val="restart"/>
          </w:tcPr>
          <w:p>
            <w:pPr>
              <w:jc w:val="right"/>
              <w:ind w:right="3230"/>
              <w:spacing w:after="0"/>
              <w:rPr>
                <w:sz w:val="20"/>
                <w:szCs w:val="20"/>
                <w:color w:val="auto"/>
              </w:rPr>
            </w:pPr>
            <w:r>
              <w:rPr>
                <w:rFonts w:ascii="Arial" w:cs="Arial" w:eastAsia="Arial" w:hAnsi="Arial"/>
                <w:sz w:val="18"/>
                <w:szCs w:val="18"/>
                <w:b w:val="1"/>
                <w:bCs w:val="1"/>
                <w:color w:val="auto"/>
              </w:rPr>
              <w:t>Description</w:t>
            </w:r>
          </w:p>
        </w:tc>
        <w:tc>
          <w:tcPr>
            <w:tcW w:w="1780" w:type="dxa"/>
            <w:vAlign w:val="bottom"/>
            <w:tcBorders>
              <w:top w:val="single" w:sz="8" w:color="auto"/>
              <w:right w:val="single" w:sz="8" w:color="auto"/>
            </w:tcBorders>
          </w:tcPr>
          <w:p>
            <w:pPr>
              <w:jc w:val="right"/>
              <w:ind w:right="57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480" w:type="dxa"/>
            <w:vAlign w:val="bottom"/>
            <w:tcBorders>
              <w:bottom w:val="single" w:sz="8" w:color="auto"/>
              <w:right w:val="single" w:sz="8" w:color="auto"/>
            </w:tcBorders>
            <w:vMerge w:val="continue"/>
          </w:tcPr>
          <w:p>
            <w:pPr>
              <w:spacing w:after="0"/>
              <w:rPr>
                <w:sz w:val="19"/>
                <w:szCs w:val="19"/>
                <w:color w:val="auto"/>
              </w:rPr>
            </w:pPr>
          </w:p>
        </w:tc>
        <w:tc>
          <w:tcPr>
            <w:tcW w:w="17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Price Per A/C</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80"/>
        <w:spacing w:after="0"/>
        <w:tabs>
          <w:tab w:leader="none" w:pos="2520" w:val="left"/>
          <w:tab w:leader="none" w:pos="3360" w:val="left"/>
        </w:tabs>
        <w:rPr>
          <w:sz w:val="20"/>
          <w:szCs w:val="20"/>
          <w:color w:val="auto"/>
        </w:rPr>
      </w:pPr>
      <w:r>
        <w:rPr>
          <w:rFonts w:ascii="Arial" w:cs="Arial" w:eastAsia="Arial" w:hAnsi="Arial"/>
          <w:sz w:val="22"/>
          <w:szCs w:val="22"/>
          <w:color w:val="auto"/>
        </w:rPr>
        <w:t>P.A. No. 3219</w:t>
        <w:tab/>
        <w:t>SA-19</w:t>
      </w:r>
      <w:r>
        <w:rPr>
          <w:sz w:val="20"/>
          <w:szCs w:val="20"/>
          <w:color w:val="auto"/>
        </w:rPr>
        <w:tab/>
      </w:r>
      <w:r>
        <w:rPr>
          <w:rFonts w:ascii="Arial" w:cs="Arial" w:eastAsia="Arial" w:hAnsi="Arial"/>
          <w:sz w:val="21"/>
          <w:szCs w:val="21"/>
          <w:color w:val="auto"/>
        </w:rPr>
        <w:t>Exhibit A(R4), Page 1</w:t>
      </w: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Option Number</w:t>
            </w:r>
          </w:p>
        </w:tc>
        <w:tc>
          <w:tcPr>
            <w:tcW w:w="7480" w:type="dxa"/>
            <w:vAlign w:val="bottom"/>
            <w:tcBorders>
              <w:top w:val="single" w:sz="8" w:color="auto"/>
              <w:right w:val="single" w:sz="8" w:color="auto"/>
            </w:tcBorders>
            <w:vMerge w:val="restart"/>
          </w:tcPr>
          <w:p>
            <w:pPr>
              <w:jc w:val="right"/>
              <w:ind w:right="3230"/>
              <w:spacing w:after="0"/>
              <w:rPr>
                <w:sz w:val="20"/>
                <w:szCs w:val="20"/>
                <w:color w:val="auto"/>
              </w:rPr>
            </w:pPr>
            <w:r>
              <w:rPr>
                <w:rFonts w:ascii="Arial" w:cs="Arial" w:eastAsia="Arial" w:hAnsi="Arial"/>
                <w:sz w:val="18"/>
                <w:szCs w:val="18"/>
                <w:b w:val="1"/>
                <w:bCs w:val="1"/>
                <w:color w:val="auto"/>
              </w:rPr>
              <w:t>Description</w:t>
            </w:r>
          </w:p>
        </w:tc>
        <w:tc>
          <w:tcPr>
            <w:tcW w:w="1780" w:type="dxa"/>
            <w:vAlign w:val="bottom"/>
            <w:tcBorders>
              <w:top w:val="single" w:sz="8" w:color="auto"/>
              <w:right w:val="single" w:sz="8" w:color="auto"/>
            </w:tcBorders>
          </w:tcPr>
          <w:p>
            <w:pPr>
              <w:jc w:val="right"/>
              <w:ind w:right="57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480" w:type="dxa"/>
            <w:vAlign w:val="bottom"/>
            <w:tcBorders>
              <w:bottom w:val="single" w:sz="8" w:color="auto"/>
              <w:right w:val="single" w:sz="8" w:color="auto"/>
            </w:tcBorders>
            <w:vMerge w:val="continue"/>
          </w:tcPr>
          <w:p>
            <w:pPr>
              <w:spacing w:after="0"/>
              <w:rPr>
                <w:sz w:val="19"/>
                <w:szCs w:val="19"/>
                <w:color w:val="auto"/>
              </w:rPr>
            </w:pPr>
          </w:p>
        </w:tc>
        <w:tc>
          <w:tcPr>
            <w:tcW w:w="17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Price Per A/C</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80"/>
        <w:spacing w:after="0"/>
        <w:tabs>
          <w:tab w:leader="none" w:pos="2520" w:val="left"/>
          <w:tab w:leader="none" w:pos="3360" w:val="left"/>
        </w:tabs>
        <w:rPr>
          <w:sz w:val="20"/>
          <w:szCs w:val="20"/>
          <w:color w:val="auto"/>
        </w:rPr>
      </w:pPr>
      <w:r>
        <w:rPr>
          <w:rFonts w:ascii="Arial" w:cs="Arial" w:eastAsia="Arial" w:hAnsi="Arial"/>
          <w:sz w:val="22"/>
          <w:szCs w:val="22"/>
          <w:color w:val="auto"/>
        </w:rPr>
        <w:t>P.A. No. 3219</w:t>
        <w:tab/>
        <w:t>SA-19</w:t>
      </w:r>
      <w:r>
        <w:rPr>
          <w:sz w:val="20"/>
          <w:szCs w:val="20"/>
          <w:color w:val="auto"/>
        </w:rPr>
        <w:tab/>
      </w:r>
      <w:r>
        <w:rPr>
          <w:rFonts w:ascii="Arial" w:cs="Arial" w:eastAsia="Arial" w:hAnsi="Arial"/>
          <w:sz w:val="21"/>
          <w:szCs w:val="21"/>
          <w:color w:val="auto"/>
        </w:rPr>
        <w:t>Exhibit A(R4), Page 2</w:t>
      </w: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Option Number</w:t>
            </w:r>
          </w:p>
        </w:tc>
        <w:tc>
          <w:tcPr>
            <w:tcW w:w="7480" w:type="dxa"/>
            <w:vAlign w:val="bottom"/>
            <w:tcBorders>
              <w:top w:val="single" w:sz="8" w:color="auto"/>
              <w:right w:val="single" w:sz="8" w:color="auto"/>
            </w:tcBorders>
            <w:vMerge w:val="restart"/>
          </w:tcPr>
          <w:p>
            <w:pPr>
              <w:jc w:val="right"/>
              <w:ind w:right="3230"/>
              <w:spacing w:after="0"/>
              <w:rPr>
                <w:sz w:val="20"/>
                <w:szCs w:val="20"/>
                <w:color w:val="auto"/>
              </w:rPr>
            </w:pPr>
            <w:r>
              <w:rPr>
                <w:rFonts w:ascii="Arial" w:cs="Arial" w:eastAsia="Arial" w:hAnsi="Arial"/>
                <w:sz w:val="18"/>
                <w:szCs w:val="18"/>
                <w:b w:val="1"/>
                <w:bCs w:val="1"/>
                <w:color w:val="auto"/>
              </w:rPr>
              <w:t>Description</w:t>
            </w:r>
          </w:p>
        </w:tc>
        <w:tc>
          <w:tcPr>
            <w:tcW w:w="1780" w:type="dxa"/>
            <w:vAlign w:val="bottom"/>
            <w:tcBorders>
              <w:top w:val="single" w:sz="8" w:color="auto"/>
              <w:right w:val="single" w:sz="8" w:color="auto"/>
            </w:tcBorders>
          </w:tcPr>
          <w:p>
            <w:pPr>
              <w:jc w:val="right"/>
              <w:ind w:right="57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480" w:type="dxa"/>
            <w:vAlign w:val="bottom"/>
            <w:tcBorders>
              <w:bottom w:val="single" w:sz="8" w:color="auto"/>
              <w:right w:val="single" w:sz="8" w:color="auto"/>
            </w:tcBorders>
            <w:vMerge w:val="continue"/>
          </w:tcPr>
          <w:p>
            <w:pPr>
              <w:spacing w:after="0"/>
              <w:rPr>
                <w:sz w:val="19"/>
                <w:szCs w:val="19"/>
                <w:color w:val="auto"/>
              </w:rPr>
            </w:pPr>
          </w:p>
        </w:tc>
        <w:tc>
          <w:tcPr>
            <w:tcW w:w="17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Price Per A/C</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80"/>
        <w:spacing w:after="0"/>
        <w:tabs>
          <w:tab w:leader="none" w:pos="2520" w:val="left"/>
          <w:tab w:leader="none" w:pos="3360" w:val="left"/>
        </w:tabs>
        <w:rPr>
          <w:sz w:val="20"/>
          <w:szCs w:val="20"/>
          <w:color w:val="auto"/>
        </w:rPr>
      </w:pPr>
      <w:r>
        <w:rPr>
          <w:rFonts w:ascii="Arial" w:cs="Arial" w:eastAsia="Arial" w:hAnsi="Arial"/>
          <w:sz w:val="22"/>
          <w:szCs w:val="22"/>
          <w:color w:val="auto"/>
        </w:rPr>
        <w:t>P.A. No. 3219</w:t>
        <w:tab/>
        <w:t>SA-19</w:t>
      </w:r>
      <w:r>
        <w:rPr>
          <w:sz w:val="20"/>
          <w:szCs w:val="20"/>
          <w:color w:val="auto"/>
        </w:rPr>
        <w:tab/>
      </w:r>
      <w:r>
        <w:rPr>
          <w:rFonts w:ascii="Arial" w:cs="Arial" w:eastAsia="Arial" w:hAnsi="Arial"/>
          <w:sz w:val="21"/>
          <w:szCs w:val="21"/>
          <w:color w:val="auto"/>
        </w:rPr>
        <w:t>Exhibit A(R4), Page 3</w:t>
      </w: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Option Number</w:t>
            </w:r>
          </w:p>
        </w:tc>
        <w:tc>
          <w:tcPr>
            <w:tcW w:w="7480" w:type="dxa"/>
            <w:vAlign w:val="bottom"/>
            <w:tcBorders>
              <w:top w:val="single" w:sz="8" w:color="auto"/>
              <w:right w:val="single" w:sz="8" w:color="auto"/>
            </w:tcBorders>
            <w:vMerge w:val="restart"/>
          </w:tcPr>
          <w:p>
            <w:pPr>
              <w:jc w:val="right"/>
              <w:ind w:right="3230"/>
              <w:spacing w:after="0"/>
              <w:rPr>
                <w:sz w:val="20"/>
                <w:szCs w:val="20"/>
                <w:color w:val="auto"/>
              </w:rPr>
            </w:pPr>
            <w:r>
              <w:rPr>
                <w:rFonts w:ascii="Arial" w:cs="Arial" w:eastAsia="Arial" w:hAnsi="Arial"/>
                <w:sz w:val="18"/>
                <w:szCs w:val="18"/>
                <w:b w:val="1"/>
                <w:bCs w:val="1"/>
                <w:color w:val="auto"/>
              </w:rPr>
              <w:t>Description</w:t>
            </w:r>
          </w:p>
        </w:tc>
        <w:tc>
          <w:tcPr>
            <w:tcW w:w="1780" w:type="dxa"/>
            <w:vAlign w:val="bottom"/>
            <w:tcBorders>
              <w:top w:val="single" w:sz="8" w:color="auto"/>
              <w:right w:val="single" w:sz="8" w:color="auto"/>
            </w:tcBorders>
          </w:tcPr>
          <w:p>
            <w:pPr>
              <w:jc w:val="right"/>
              <w:ind w:right="57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480" w:type="dxa"/>
            <w:vAlign w:val="bottom"/>
            <w:tcBorders>
              <w:bottom w:val="single" w:sz="8" w:color="auto"/>
              <w:right w:val="single" w:sz="8" w:color="auto"/>
            </w:tcBorders>
            <w:vMerge w:val="continue"/>
          </w:tcPr>
          <w:p>
            <w:pPr>
              <w:spacing w:after="0"/>
              <w:rPr>
                <w:sz w:val="19"/>
                <w:szCs w:val="19"/>
                <w:color w:val="auto"/>
              </w:rPr>
            </w:pPr>
          </w:p>
        </w:tc>
        <w:tc>
          <w:tcPr>
            <w:tcW w:w="17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Price Per A/C</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80"/>
        <w:spacing w:after="0"/>
        <w:tabs>
          <w:tab w:leader="none" w:pos="2520" w:val="left"/>
          <w:tab w:leader="none" w:pos="3360" w:val="left"/>
        </w:tabs>
        <w:rPr>
          <w:sz w:val="20"/>
          <w:szCs w:val="20"/>
          <w:color w:val="auto"/>
        </w:rPr>
      </w:pPr>
      <w:r>
        <w:rPr>
          <w:rFonts w:ascii="Arial" w:cs="Arial" w:eastAsia="Arial" w:hAnsi="Arial"/>
          <w:sz w:val="22"/>
          <w:szCs w:val="22"/>
          <w:color w:val="auto"/>
        </w:rPr>
        <w:t>P.A. No. 3219</w:t>
        <w:tab/>
        <w:t>SA-19</w:t>
      </w:r>
      <w:r>
        <w:rPr>
          <w:sz w:val="20"/>
          <w:szCs w:val="20"/>
          <w:color w:val="auto"/>
        </w:rPr>
        <w:tab/>
      </w:r>
      <w:r>
        <w:rPr>
          <w:rFonts w:ascii="Arial" w:cs="Arial" w:eastAsia="Arial" w:hAnsi="Arial"/>
          <w:sz w:val="21"/>
          <w:szCs w:val="21"/>
          <w:color w:val="auto"/>
        </w:rPr>
        <w:t>Exhibit A(R4), Page 4</w:t>
      </w: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Option Number</w:t>
            </w:r>
          </w:p>
        </w:tc>
        <w:tc>
          <w:tcPr>
            <w:tcW w:w="7480" w:type="dxa"/>
            <w:vAlign w:val="bottom"/>
            <w:tcBorders>
              <w:top w:val="single" w:sz="8" w:color="auto"/>
              <w:right w:val="single" w:sz="8" w:color="auto"/>
            </w:tcBorders>
            <w:vMerge w:val="restart"/>
          </w:tcPr>
          <w:p>
            <w:pPr>
              <w:jc w:val="right"/>
              <w:ind w:right="3230"/>
              <w:spacing w:after="0"/>
              <w:rPr>
                <w:sz w:val="20"/>
                <w:szCs w:val="20"/>
                <w:color w:val="auto"/>
              </w:rPr>
            </w:pPr>
            <w:r>
              <w:rPr>
                <w:rFonts w:ascii="Arial" w:cs="Arial" w:eastAsia="Arial" w:hAnsi="Arial"/>
                <w:sz w:val="18"/>
                <w:szCs w:val="18"/>
                <w:b w:val="1"/>
                <w:bCs w:val="1"/>
                <w:color w:val="auto"/>
              </w:rPr>
              <w:t>Description</w:t>
            </w:r>
          </w:p>
        </w:tc>
        <w:tc>
          <w:tcPr>
            <w:tcW w:w="1780" w:type="dxa"/>
            <w:vAlign w:val="bottom"/>
            <w:tcBorders>
              <w:top w:val="single" w:sz="8" w:color="auto"/>
              <w:right w:val="single" w:sz="8" w:color="auto"/>
            </w:tcBorders>
          </w:tcPr>
          <w:p>
            <w:pPr>
              <w:jc w:val="right"/>
              <w:ind w:right="57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480" w:type="dxa"/>
            <w:vAlign w:val="bottom"/>
            <w:tcBorders>
              <w:bottom w:val="single" w:sz="8" w:color="auto"/>
              <w:right w:val="single" w:sz="8" w:color="auto"/>
            </w:tcBorders>
            <w:vMerge w:val="continue"/>
          </w:tcPr>
          <w:p>
            <w:pPr>
              <w:spacing w:after="0"/>
              <w:rPr>
                <w:sz w:val="19"/>
                <w:szCs w:val="19"/>
                <w:color w:val="auto"/>
              </w:rPr>
            </w:pPr>
          </w:p>
        </w:tc>
        <w:tc>
          <w:tcPr>
            <w:tcW w:w="17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Price Per A/C</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7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80" w:type="dxa"/>
            <w:vAlign w:val="bottom"/>
            <w:tcBorders>
              <w:right w:val="single" w:sz="8" w:color="auto"/>
            </w:tcBorders>
          </w:tcPr>
          <w:p>
            <w:pPr>
              <w:jc w:val="right"/>
              <w:ind w:right="685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80"/>
        <w:spacing w:after="0"/>
        <w:tabs>
          <w:tab w:leader="none" w:pos="2520" w:val="left"/>
          <w:tab w:leader="none" w:pos="3360" w:val="left"/>
        </w:tabs>
        <w:rPr>
          <w:sz w:val="20"/>
          <w:szCs w:val="20"/>
          <w:color w:val="auto"/>
        </w:rPr>
      </w:pPr>
      <w:r>
        <w:rPr>
          <w:rFonts w:ascii="Arial" w:cs="Arial" w:eastAsia="Arial" w:hAnsi="Arial"/>
          <w:sz w:val="22"/>
          <w:szCs w:val="22"/>
          <w:color w:val="auto"/>
        </w:rPr>
        <w:t>P.A. No. 3219</w:t>
        <w:tab/>
        <w:t>SA-19</w:t>
      </w:r>
      <w:r>
        <w:rPr>
          <w:sz w:val="20"/>
          <w:szCs w:val="20"/>
          <w:color w:val="auto"/>
        </w:rPr>
        <w:tab/>
      </w:r>
      <w:r>
        <w:rPr>
          <w:rFonts w:ascii="Arial" w:cs="Arial" w:eastAsia="Arial" w:hAnsi="Arial"/>
          <w:sz w:val="21"/>
          <w:szCs w:val="21"/>
          <w:color w:val="auto"/>
        </w:rPr>
        <w:t>Exhibit A(R4), Page 5</w:t>
      </w: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13" w:name="page114"/>
    <w:bookmarkEnd w:id="113"/>
    <w:p>
      <w:pPr>
        <w:ind w:left="286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243205</wp:posOffset>
            </wp:positionV>
            <wp:extent cx="1491615" cy="3429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860"/>
        <w:spacing w:after="0" w:line="216" w:lineRule="auto"/>
        <w:rPr>
          <w:sz w:val="20"/>
          <w:szCs w:val="20"/>
          <w:color w:val="auto"/>
        </w:rPr>
      </w:pPr>
      <w:r>
        <w:rPr>
          <w:rFonts w:ascii="Arial" w:cs="Arial" w:eastAsia="Arial" w:hAnsi="Arial"/>
          <w:sz w:val="13"/>
          <w:szCs w:val="13"/>
          <w:color w:val="808080"/>
        </w:rPr>
        <w:t>P.O. Box 3707</w:t>
      </w:r>
    </w:p>
    <w:p>
      <w:pPr>
        <w:ind w:left="286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AAL-PA-03219-LA-1804779R1</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325"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318" w:lineRule="exact"/>
        <w:rPr>
          <w:sz w:val="20"/>
          <w:szCs w:val="20"/>
          <w:color w:val="auto"/>
        </w:rPr>
      </w:pPr>
    </w:p>
    <w:p>
      <w:pPr>
        <w:ind w:left="1340" w:hanging="1538"/>
        <w:spacing w:after="0" w:line="289" w:lineRule="auto"/>
        <w:tabs>
          <w:tab w:leader="none" w:pos="1320" w:val="left"/>
        </w:tabs>
        <w:rPr>
          <w:sz w:val="20"/>
          <w:szCs w:val="20"/>
          <w:color w:val="auto"/>
        </w:rPr>
      </w:pPr>
      <w:r>
        <w:rPr>
          <w:rFonts w:ascii="Arial" w:cs="Arial" w:eastAsia="Arial" w:hAnsi="Arial"/>
          <w:sz w:val="22"/>
          <w:szCs w:val="22"/>
          <w:color w:val="auto"/>
        </w:rPr>
        <w:t>Reference:</w:t>
        <w:tab/>
        <w:t>Purchase Agreement No. 03219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787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228"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26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Right to [****] Aircraft</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Subject to the terms and conditions contained in this Letter Agreement, in [****] to the Aircraft described in Table 1(R7), Table 5(R3) and Table 7(R2) to the Purchase Agreement as of the date of execution of this Letter Agreement, [****].</w:t>
      </w:r>
    </w:p>
    <w:p>
      <w:pPr>
        <w:spacing w:after="0" w:line="19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Delivery</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The number of initial [****] are listed in Attachment A to this Letter Agreement. No later than [****] in each calendar year as listed in Attachment A to this Letter Agreement, Boeing will provide written notice [****] in such calendar year. Such [****] will constitute an amendment to Attachment A.</w:t>
      </w:r>
    </w:p>
    <w:p>
      <w:pPr>
        <w:spacing w:after="0" w:line="19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3.1 Customer may [****] by giving written notice to Boeing [****] on or before the date that is the later of [****]. Upon the giving of such [****] referenced in such [****] shall be deemed an Aircraft for all purposes of the Purchase Agreement and an [****] for the purposes of this Letter Agreement.</w:t>
      </w:r>
    </w:p>
    <w:p>
      <w:pPr>
        <w:spacing w:after="0" w:line="155" w:lineRule="exact"/>
        <w:rPr>
          <w:sz w:val="20"/>
          <w:szCs w:val="20"/>
          <w:color w:val="auto"/>
        </w:rPr>
      </w:pPr>
    </w:p>
    <w:p>
      <w:pPr>
        <w:jc w:val="both"/>
        <w:ind w:left="20" w:firstLine="6"/>
        <w:spacing w:after="0" w:line="264" w:lineRule="auto"/>
        <w:rPr>
          <w:sz w:val="20"/>
          <w:szCs w:val="20"/>
          <w:color w:val="auto"/>
        </w:rPr>
      </w:pPr>
      <w:r>
        <w:rPr>
          <w:rFonts w:ascii="Arial" w:cs="Arial" w:eastAsia="Arial" w:hAnsi="Arial"/>
          <w:sz w:val="22"/>
          <w:szCs w:val="22"/>
          <w:color w:val="auto"/>
        </w:rPr>
        <w:t>3.2 If Boeing must [****], subject to Customer's agreement. Such [****]. If Boeing [****]. If within [****]. If the parties are [****]. Immediately upon the [****] to Customer by Boeing. When making any such [****].</w:t>
      </w:r>
    </w:p>
    <w:p>
      <w:pPr>
        <w:spacing w:after="0" w:line="172"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Customer will have the [****], subject to the following terms: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80" w:type="dxa"/>
            <w:vAlign w:val="bottom"/>
          </w:tcPr>
          <w:p>
            <w:pPr>
              <w:spacing w:after="0"/>
              <w:rPr>
                <w:sz w:val="20"/>
                <w:szCs w:val="20"/>
                <w:color w:val="auto"/>
              </w:rPr>
            </w:pPr>
            <w:r>
              <w:rPr>
                <w:rFonts w:ascii="Arial" w:cs="Arial" w:eastAsia="Arial" w:hAnsi="Arial"/>
                <w:sz w:val="22"/>
                <w:szCs w:val="22"/>
                <w:color w:val="auto"/>
              </w:rPr>
              <w:t>AAL-PA-03219-LA-1804779R1</w:t>
            </w:r>
          </w:p>
        </w:tc>
        <w:tc>
          <w:tcPr>
            <w:tcW w:w="3160" w:type="dxa"/>
            <w:vAlign w:val="bottom"/>
          </w:tcPr>
          <w:p>
            <w:pPr>
              <w:ind w:left="1200"/>
              <w:spacing w:after="0"/>
              <w:rPr>
                <w:sz w:val="20"/>
                <w:szCs w:val="20"/>
                <w:color w:val="auto"/>
              </w:rPr>
            </w:pPr>
            <w:r>
              <w:rPr>
                <w:rFonts w:ascii="Arial" w:cs="Arial" w:eastAsia="Arial" w:hAnsi="Arial"/>
                <w:sz w:val="22"/>
                <w:szCs w:val="22"/>
                <w:color w:val="auto"/>
              </w:rPr>
              <w:t>SA-19</w:t>
            </w:r>
          </w:p>
        </w:tc>
        <w:tc>
          <w:tcPr>
            <w:tcW w:w="0" w:type="dxa"/>
            <w:vAlign w:val="bottom"/>
          </w:tcPr>
          <w:p>
            <w:pPr>
              <w:spacing w:after="0"/>
              <w:rPr>
                <w:sz w:val="1"/>
                <w:szCs w:val="1"/>
                <w:color w:val="auto"/>
              </w:rPr>
            </w:pPr>
          </w:p>
        </w:tc>
      </w:tr>
      <w:tr>
        <w:trPr>
          <w:trHeight w:val="275"/>
        </w:trPr>
        <w:tc>
          <w:tcPr>
            <w:tcW w:w="3680" w:type="dxa"/>
            <w:vAlign w:val="bottom"/>
          </w:tcPr>
          <w:p>
            <w:pPr>
              <w:spacing w:after="0"/>
              <w:rPr>
                <w:sz w:val="20"/>
                <w:szCs w:val="20"/>
                <w:color w:val="auto"/>
              </w:rPr>
            </w:pPr>
            <w:r>
              <w:rPr>
                <w:rFonts w:ascii="Arial" w:cs="Arial" w:eastAsia="Arial" w:hAnsi="Arial"/>
                <w:sz w:val="22"/>
                <w:szCs w:val="22"/>
                <w:color w:val="auto"/>
              </w:rPr>
              <w:t>[****]  Page 1 of 10</w:t>
            </w:r>
          </w:p>
        </w:tc>
        <w:tc>
          <w:tcPr>
            <w:tcW w:w="3160" w:type="dxa"/>
            <w:vAlign w:val="bottom"/>
            <w:vMerge w:val="restart"/>
          </w:tcPr>
          <w:p>
            <w:pPr>
              <w:ind w:left="720"/>
              <w:spacing w:after="0"/>
              <w:rPr>
                <w:sz w:val="20"/>
                <w:szCs w:val="20"/>
                <w:color w:val="auto"/>
              </w:rPr>
            </w:pPr>
            <w:r>
              <w:rPr>
                <w:rFonts w:ascii="Arial" w:cs="Arial" w:eastAsia="Arial" w:hAnsi="Arial"/>
                <w:sz w:val="22"/>
                <w:szCs w:val="22"/>
                <w:b w:val="1"/>
                <w:bCs w:val="1"/>
                <w:color w:val="auto"/>
                <w:w w:val="96"/>
              </w:rPr>
              <w:t>BOEING PROPRIETARY</w:t>
            </w:r>
          </w:p>
        </w:tc>
        <w:tc>
          <w:tcPr>
            <w:tcW w:w="0" w:type="dxa"/>
            <w:vAlign w:val="bottom"/>
          </w:tcPr>
          <w:p>
            <w:pPr>
              <w:spacing w:after="0"/>
              <w:rPr>
                <w:sz w:val="1"/>
                <w:szCs w:val="1"/>
                <w:color w:val="auto"/>
              </w:rPr>
            </w:pPr>
          </w:p>
        </w:tc>
      </w:tr>
      <w:tr>
        <w:trPr>
          <w:trHeight w:val="232"/>
        </w:trPr>
        <w:tc>
          <w:tcPr>
            <w:tcW w:w="3680" w:type="dxa"/>
            <w:vAlign w:val="bottom"/>
          </w:tcPr>
          <w:p>
            <w:pPr>
              <w:spacing w:after="0"/>
              <w:rPr>
                <w:sz w:val="20"/>
                <w:szCs w:val="20"/>
                <w:color w:val="auto"/>
              </w:rPr>
            </w:pPr>
          </w:p>
        </w:tc>
        <w:tc>
          <w:tcPr>
            <w:tcW w:w="3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2"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4.1 The [****] are shown in Attachments A and B to this Letter Agreement are [****], subject to the provisions in Section 4.2 below.</w:t>
      </w:r>
    </w:p>
    <w:p>
      <w:pPr>
        <w:spacing w:after="0" w:line="1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4.2 For each of the [****] indicated in Attachment A to this Letter Agreement. Customer may [****]. By way of example, if an [****].</w:t>
      </w:r>
    </w:p>
    <w:p>
      <w:pPr>
        <w:spacing w:after="0" w:line="132" w:lineRule="exact"/>
        <w:rPr>
          <w:sz w:val="20"/>
          <w:szCs w:val="20"/>
          <w:color w:val="auto"/>
        </w:rPr>
      </w:pPr>
    </w:p>
    <w:p>
      <w:pPr>
        <w:jc w:val="both"/>
        <w:ind w:firstLine="924"/>
        <w:spacing w:after="0" w:line="254" w:lineRule="auto"/>
        <w:rPr>
          <w:sz w:val="20"/>
          <w:szCs w:val="20"/>
          <w:color w:val="auto"/>
        </w:rPr>
      </w:pPr>
      <w:r>
        <w:rPr>
          <w:rFonts w:ascii="Arial" w:cs="Arial" w:eastAsia="Arial" w:hAnsi="Arial"/>
          <w:sz w:val="22"/>
          <w:szCs w:val="22"/>
          <w:color w:val="auto"/>
        </w:rPr>
        <w:t>4.2.1 Notwithstanding the foregoing, Customer may [****] in Attachment A to this Letter Agreement by giving Boeing written notice of such [****] in the event of any of the following: (i) an [****] in accordance with Section 3.2 above, (ii) such [****] in accordance with Section 3.2 above, or (iii) a [****], in accordance with Section 2 of Letter Agreement No. AAL-PA-03219-LA-1802262R1, entitled “[****]”.</w:t>
      </w:r>
    </w:p>
    <w:p>
      <w:pPr>
        <w:spacing w:after="0" w:line="158" w:lineRule="exact"/>
        <w:rPr>
          <w:sz w:val="20"/>
          <w:szCs w:val="20"/>
          <w:color w:val="auto"/>
        </w:rPr>
      </w:pPr>
    </w:p>
    <w:p>
      <w:pPr>
        <w:jc w:val="both"/>
        <w:ind w:firstLine="1134"/>
        <w:spacing w:after="0" w:line="264" w:lineRule="auto"/>
        <w:rPr>
          <w:sz w:val="20"/>
          <w:szCs w:val="20"/>
          <w:color w:val="auto"/>
        </w:rPr>
      </w:pPr>
      <w:r>
        <w:rPr>
          <w:rFonts w:ascii="Arial" w:cs="Arial" w:eastAsia="Arial" w:hAnsi="Arial"/>
          <w:sz w:val="22"/>
          <w:szCs w:val="22"/>
          <w:color w:val="auto"/>
        </w:rPr>
        <w:t>4.2.2 If Customer provides Boeing with an [****]. If Boeing [****] as set forth on Attachment B to this Letter Agreement.</w:t>
      </w:r>
    </w:p>
    <w:p>
      <w:pPr>
        <w:spacing w:after="0" w:line="132" w:lineRule="exact"/>
        <w:rPr>
          <w:sz w:val="20"/>
          <w:szCs w:val="20"/>
          <w:color w:val="auto"/>
        </w:rPr>
      </w:pPr>
    </w:p>
    <w:p>
      <w:pPr>
        <w:jc w:val="both"/>
        <w:ind w:firstLine="1134"/>
        <w:spacing w:after="0" w:line="264" w:lineRule="auto"/>
        <w:rPr>
          <w:sz w:val="20"/>
          <w:szCs w:val="20"/>
          <w:color w:val="auto"/>
        </w:rPr>
      </w:pPr>
      <w:r>
        <w:rPr>
          <w:rFonts w:ascii="Arial" w:cs="Arial" w:eastAsia="Arial" w:hAnsi="Arial"/>
          <w:sz w:val="22"/>
          <w:szCs w:val="22"/>
          <w:color w:val="auto"/>
        </w:rPr>
        <w:t>4.2.3 If Boeing is [****] set forth on Attachment B to this Letter Agreement, then Boeing shall [****]. If Customer [****].</w:t>
      </w:r>
    </w:p>
    <w:p>
      <w:pPr>
        <w:spacing w:after="0" w:line="145" w:lineRule="exact"/>
        <w:rPr>
          <w:sz w:val="20"/>
          <w:szCs w:val="20"/>
          <w:color w:val="auto"/>
        </w:rPr>
      </w:pPr>
    </w:p>
    <w:p>
      <w:pPr>
        <w:jc w:val="both"/>
        <w:ind w:firstLine="1134"/>
        <w:spacing w:after="0" w:line="264" w:lineRule="auto"/>
        <w:rPr>
          <w:sz w:val="20"/>
          <w:szCs w:val="20"/>
          <w:color w:val="auto"/>
        </w:rPr>
      </w:pPr>
      <w:r>
        <w:rPr>
          <w:rFonts w:ascii="Arial" w:cs="Arial" w:eastAsia="Arial" w:hAnsi="Arial"/>
          <w:sz w:val="22"/>
          <w:szCs w:val="22"/>
          <w:color w:val="auto"/>
        </w:rPr>
        <w:t>4.2.4 [****] in accordance with Section 4.2.3 shall be [****] until the Limited Scope Supplemental Agreement is executed by the parties.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4.3 A [****] for the purposes of this Letter Agreement, and the terms applicable to [****], as follows:</w:t>
      </w:r>
    </w:p>
    <w:p>
      <w:pPr>
        <w:spacing w:after="0" w:line="17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4.3.1 Upon the [****] as set forth on Attachment B of this Letter Agreement; or</w:t>
      </w:r>
    </w:p>
    <w:p>
      <w:pPr>
        <w:spacing w:after="0" w:line="19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4.3.2 Upon Customer’s [****] as set forth on Attachment B of this Letter Agreement and [****].</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4.4 For avoidance of doubt, all [****].</w:t>
      </w:r>
    </w:p>
    <w:p>
      <w:pPr>
        <w:spacing w:after="0" w:line="220"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22"/>
          <w:szCs w:val="22"/>
          <w:color w:val="auto"/>
        </w:rPr>
        <w:t>5.1 Subject to the provisions of Section 5.2, below, the [****] shown in Attachment A to this Letter Agreement.</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Boeing [****] pursuant to the provisions of Section 5.1 at [****] to Customer.</w:t>
      </w:r>
    </w:p>
    <w:p>
      <w:pPr>
        <w:spacing w:after="0" w:line="22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22"/>
          <w:szCs w:val="22"/>
          <w:color w:val="auto"/>
        </w:rPr>
        <w:t>6.1 The [****] are identified in Attachment A to this Letter Agreement. The [****] are identified in Attachment B to this Letter Agreement.</w:t>
      </w:r>
    </w:p>
    <w:p>
      <w:pPr>
        <w:spacing w:after="0" w:line="11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6.2</w:t>
        <w:tab/>
        <w:t>The [****] in accordance with the terms set forth in [****] as such provisions have been applied to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800"/>
        <w:spacing w:after="0"/>
        <w:tabs>
          <w:tab w:leader="none" w:pos="10760" w:val="left"/>
        </w:tabs>
        <w:rPr>
          <w:sz w:val="20"/>
          <w:szCs w:val="20"/>
          <w:color w:val="auto"/>
        </w:rPr>
      </w:pPr>
      <w:r>
        <w:rPr>
          <w:rFonts w:ascii="Arial" w:cs="Arial" w:eastAsia="Arial" w:hAnsi="Arial"/>
          <w:sz w:val="14"/>
          <w:szCs w:val="14"/>
          <w:color w:val="auto"/>
        </w:rPr>
        <w:t>AAL-PA-03219-LA-1804779R1, Attach A, [****], 121168-1F.txt SA-19</w:t>
      </w:r>
      <w:r>
        <w:rPr>
          <w:sz w:val="20"/>
          <w:szCs w:val="20"/>
          <w:color w:val="auto"/>
        </w:rPr>
        <w:tab/>
      </w:r>
      <w:r>
        <w:rPr>
          <w:rFonts w:ascii="Arial" w:cs="Arial" w:eastAsia="Arial" w:hAnsi="Arial"/>
          <w:sz w:val="14"/>
          <w:szCs w:val="14"/>
          <w:color w:val="auto"/>
        </w:rPr>
        <w:t>Page 2</w:t>
      </w:r>
    </w:p>
    <w:p>
      <w:pPr>
        <w:jc w:val="center"/>
        <w:spacing w:after="0"/>
        <w:rPr>
          <w:sz w:val="20"/>
          <w:szCs w:val="20"/>
          <w:color w:val="auto"/>
        </w:rPr>
      </w:pPr>
      <w:r>
        <w:rPr>
          <w:rFonts w:ascii="Arial" w:cs="Arial" w:eastAsia="Arial" w:hAnsi="Arial"/>
          <w:sz w:val="14"/>
          <w:szCs w:val="14"/>
          <w:b w:val="1"/>
          <w:bCs w:val="1"/>
          <w:color w:val="auto"/>
        </w:rPr>
        <w:t>BOEING PROPRIETARY</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6.3 At the time of execution of each Limited Scope Supplemental Agreement, the [****] in accordance with the terms of the Purchase Agreement.</w:t>
      </w:r>
    </w:p>
    <w:p>
      <w:pPr>
        <w:spacing w:after="0" w:line="14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color w:val="auto"/>
        </w:rPr>
        <w:t>[****]. Boeing will [****] to Customer:</w:t>
      </w:r>
    </w:p>
    <w:p>
      <w:pPr>
        <w:spacing w:after="0" w:line="179"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6.4.1</w:t>
      </w:r>
      <w:r>
        <w:rPr>
          <w:sz w:val="20"/>
          <w:szCs w:val="20"/>
          <w:color w:val="auto"/>
        </w:rPr>
        <w:tab/>
      </w:r>
      <w:r>
        <w:rPr>
          <w:rFonts w:ascii="Arial" w:cs="Arial" w:eastAsia="Arial" w:hAnsi="Arial"/>
          <w:sz w:val="21"/>
          <w:szCs w:val="21"/>
          <w:color w:val="auto"/>
        </w:rPr>
        <w:t>[****]. Boeing will [****] to Customer at the [****]. The [****] is:</w:t>
      </w:r>
    </w:p>
    <w:p>
      <w:pPr>
        <w:spacing w:after="0" w:line="193"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17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w:t>
        <w:tab/>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Each such [****] in accordance with the provisions of the [****] as such provisions have been applied to the [****].</w:t>
      </w:r>
    </w:p>
    <w:p>
      <w:pPr>
        <w:spacing w:after="0" w:line="179"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22"/>
          <w:szCs w:val="22"/>
          <w:color w:val="auto"/>
        </w:rPr>
        <w:t>6.4.2 [****]</w:t>
      </w:r>
      <w:r>
        <w:rPr>
          <w:rFonts w:ascii="Arial" w:cs="Arial" w:eastAsia="Arial" w:hAnsi="Arial"/>
          <w:sz w:val="22"/>
          <w:szCs w:val="22"/>
          <w:u w:val="single" w:color="auto"/>
          <w:color w:val="auto"/>
        </w:rPr>
        <w:t>.</w:t>
      </w:r>
      <w:r>
        <w:rPr>
          <w:rFonts w:ascii="Arial" w:cs="Arial" w:eastAsia="Arial" w:hAnsi="Arial"/>
          <w:sz w:val="22"/>
          <w:szCs w:val="22"/>
          <w:color w:val="auto"/>
        </w:rPr>
        <w:t xml:space="preserve"> Boeing will [****] to Customer at the [****]. The [****] in accordance with the provisions of the [****] as such provisions have been applied to the [****]. Such [****].</w:t>
      </w:r>
    </w:p>
    <w:p>
      <w:pPr>
        <w:spacing w:after="0" w:line="118" w:lineRule="exact"/>
        <w:rPr>
          <w:sz w:val="20"/>
          <w:szCs w:val="20"/>
          <w:color w:val="auto"/>
        </w:rPr>
      </w:pPr>
    </w:p>
    <w:p>
      <w:pPr>
        <w:jc w:val="both"/>
        <w:ind w:firstLine="1134"/>
        <w:spacing w:after="0" w:line="264" w:lineRule="auto"/>
        <w:rPr>
          <w:sz w:val="20"/>
          <w:szCs w:val="20"/>
          <w:color w:val="auto"/>
        </w:rPr>
      </w:pPr>
      <w:r>
        <w:rPr>
          <w:rFonts w:ascii="Arial" w:cs="Arial" w:eastAsia="Arial" w:hAnsi="Arial"/>
          <w:sz w:val="22"/>
          <w:szCs w:val="22"/>
          <w:color w:val="auto"/>
        </w:rPr>
        <w:t>6.4.3 [****]. Boeing will [****] to Customer at the [****]. The [****] in accordance with the provisions of the [****] as such provisions have been applied to the [****]. Such [****].</w:t>
      </w:r>
    </w:p>
    <w:p>
      <w:pPr>
        <w:spacing w:after="0" w:line="145"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22"/>
          <w:szCs w:val="22"/>
          <w:color w:val="auto"/>
        </w:rPr>
        <w:t>6.4.4 [****]. In recognition of Customer [****] per this Letter Agreement, Boeing will [****] to Customer up to [****]. The [****] in accordance with the provisions of the [****] as such provisions have been applied to the [****]. Except as set forth below in this Section 6.4.4, the [****]. Each [****].</w:t>
      </w:r>
    </w:p>
    <w:p>
      <w:pPr>
        <w:spacing w:after="0" w:line="155" w:lineRule="exact"/>
        <w:rPr>
          <w:sz w:val="20"/>
          <w:szCs w:val="20"/>
          <w:color w:val="auto"/>
        </w:rPr>
      </w:pPr>
    </w:p>
    <w:p>
      <w:pPr>
        <w:jc w:val="both"/>
        <w:ind w:firstLine="1944"/>
        <w:spacing w:after="0" w:line="264" w:lineRule="auto"/>
        <w:rPr>
          <w:sz w:val="20"/>
          <w:szCs w:val="20"/>
          <w:color w:val="auto"/>
        </w:rPr>
      </w:pPr>
      <w:r>
        <w:rPr>
          <w:rFonts w:ascii="Arial" w:cs="Arial" w:eastAsia="Arial" w:hAnsi="Arial"/>
          <w:sz w:val="22"/>
          <w:szCs w:val="22"/>
          <w:color w:val="auto"/>
        </w:rPr>
        <w:t>6.4.4.1 If (i) Customer [****] or (ii) the [****]. The [****] in accordance with the provisions of the [****] Letter Agreement, as such provisions have been applied to the [****]. The [****]; provided that:</w:t>
      </w:r>
    </w:p>
    <w:p>
      <w:pPr>
        <w:spacing w:after="0" w:line="132" w:lineRule="exact"/>
        <w:rPr>
          <w:sz w:val="20"/>
          <w:szCs w:val="20"/>
          <w:color w:val="auto"/>
        </w:rPr>
      </w:pPr>
    </w:p>
    <w:p>
      <w:pPr>
        <w:ind w:left="2860" w:hanging="260"/>
        <w:spacing w:after="0"/>
        <w:tabs>
          <w:tab w:leader="none" w:pos="28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the [****];</w:t>
      </w:r>
    </w:p>
    <w:p>
      <w:pPr>
        <w:spacing w:after="0" w:line="192" w:lineRule="exact"/>
        <w:rPr>
          <w:rFonts w:ascii="Arial" w:cs="Arial" w:eastAsia="Arial" w:hAnsi="Arial"/>
          <w:sz w:val="22"/>
          <w:szCs w:val="22"/>
          <w:color w:val="auto"/>
        </w:rPr>
      </w:pPr>
    </w:p>
    <w:p>
      <w:pPr>
        <w:ind w:left="2900" w:hanging="300"/>
        <w:spacing w:after="0"/>
        <w:tabs>
          <w:tab w:leader="none" w:pos="29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the [****];</w:t>
      </w:r>
    </w:p>
    <w:p>
      <w:pPr>
        <w:spacing w:after="0" w:line="179" w:lineRule="exact"/>
        <w:rPr>
          <w:rFonts w:ascii="Arial" w:cs="Arial" w:eastAsia="Arial" w:hAnsi="Arial"/>
          <w:sz w:val="22"/>
          <w:szCs w:val="22"/>
          <w:color w:val="auto"/>
        </w:rPr>
      </w:pPr>
    </w:p>
    <w:p>
      <w:pPr>
        <w:ind w:left="2940" w:hanging="340"/>
        <w:spacing w:after="0"/>
        <w:tabs>
          <w:tab w:leader="none" w:pos="2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the [****];</w:t>
      </w:r>
    </w:p>
    <w:p>
      <w:pPr>
        <w:spacing w:after="0" w:line="192" w:lineRule="exact"/>
        <w:rPr>
          <w:rFonts w:ascii="Arial" w:cs="Arial" w:eastAsia="Arial" w:hAnsi="Arial"/>
          <w:sz w:val="22"/>
          <w:szCs w:val="22"/>
          <w:color w:val="auto"/>
        </w:rPr>
      </w:pPr>
    </w:p>
    <w:p>
      <w:pPr>
        <w:ind w:left="2960" w:hanging="360"/>
        <w:spacing w:after="0"/>
        <w:tabs>
          <w:tab w:leader="none" w:pos="29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the [****].</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w:t>
      </w:r>
    </w:p>
    <w:p>
      <w:pPr>
        <w:spacing w:after="0" w:line="193" w:lineRule="exact"/>
        <w:rPr>
          <w:sz w:val="20"/>
          <w:szCs w:val="20"/>
          <w:color w:val="auto"/>
        </w:rPr>
      </w:pPr>
    </w:p>
    <w:p>
      <w:pPr>
        <w:ind w:firstLine="926"/>
        <w:spacing w:after="0" w:line="264" w:lineRule="auto"/>
        <w:rPr>
          <w:sz w:val="20"/>
          <w:szCs w:val="20"/>
          <w:color w:val="auto"/>
        </w:rPr>
      </w:pPr>
      <w:r>
        <w:rPr>
          <w:rFonts w:ascii="Arial" w:cs="Arial" w:eastAsia="Arial" w:hAnsi="Arial"/>
          <w:sz w:val="22"/>
          <w:szCs w:val="22"/>
          <w:color w:val="auto"/>
        </w:rPr>
        <w:t>6.4.5. [****]. Boeing will [****] to Customer at the [****]. The [****] in accordance with the provisions of the [****] as such provisions have been applied to the [****]. Such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800"/>
        <w:spacing w:after="0"/>
        <w:tabs>
          <w:tab w:leader="none" w:pos="10760" w:val="left"/>
        </w:tabs>
        <w:rPr>
          <w:sz w:val="20"/>
          <w:szCs w:val="20"/>
          <w:color w:val="auto"/>
        </w:rPr>
      </w:pPr>
      <w:r>
        <w:rPr>
          <w:rFonts w:ascii="Arial" w:cs="Arial" w:eastAsia="Arial" w:hAnsi="Arial"/>
          <w:sz w:val="14"/>
          <w:szCs w:val="14"/>
          <w:color w:val="auto"/>
        </w:rPr>
        <w:t>AAL-PA-03219-LA-1804779R1, Attach A, [****], 121168-1F.txt SA-19</w:t>
      </w:r>
      <w:r>
        <w:rPr>
          <w:sz w:val="20"/>
          <w:szCs w:val="20"/>
          <w:color w:val="auto"/>
        </w:rPr>
        <w:tab/>
      </w:r>
      <w:r>
        <w:rPr>
          <w:rFonts w:ascii="Arial" w:cs="Arial" w:eastAsia="Arial" w:hAnsi="Arial"/>
          <w:sz w:val="14"/>
          <w:szCs w:val="14"/>
          <w:color w:val="auto"/>
        </w:rPr>
        <w:t>Page 3</w:t>
      </w:r>
    </w:p>
    <w:p>
      <w:pPr>
        <w:jc w:val="center"/>
        <w:spacing w:after="0"/>
        <w:rPr>
          <w:sz w:val="20"/>
          <w:szCs w:val="20"/>
          <w:color w:val="auto"/>
        </w:rPr>
      </w:pPr>
      <w:r>
        <w:rPr>
          <w:rFonts w:ascii="Arial" w:cs="Arial" w:eastAsia="Arial" w:hAnsi="Arial"/>
          <w:sz w:val="14"/>
          <w:szCs w:val="14"/>
          <w:b w:val="1"/>
          <w:bCs w:val="1"/>
          <w:color w:val="auto"/>
        </w:rPr>
        <w:t>BOEING PROPRIETARY</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500" w:firstLine="648"/>
        <w:spacing w:after="0" w:line="264" w:lineRule="auto"/>
        <w:rPr>
          <w:sz w:val="20"/>
          <w:szCs w:val="20"/>
          <w:color w:val="auto"/>
        </w:rPr>
      </w:pPr>
      <w:r>
        <w:rPr>
          <w:rFonts w:ascii="Arial" w:cs="Arial" w:eastAsia="Arial" w:hAnsi="Arial"/>
          <w:sz w:val="22"/>
          <w:szCs w:val="22"/>
          <w:color w:val="auto"/>
        </w:rPr>
        <w:t>7.1 Customer will [****], on the date of execution of this Letter Agreement. If Customer [****]. If Customer [****].</w:t>
      </w:r>
    </w:p>
    <w:p>
      <w:pPr>
        <w:spacing w:after="0" w:line="145"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Customer shall [****]. For the avoidance of doubt, there shall be no [****].</w:t>
      </w:r>
    </w:p>
    <w:p>
      <w:pPr>
        <w:spacing w:after="0" w:line="179"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1"/>
          <w:szCs w:val="21"/>
          <w:color w:val="auto"/>
        </w:rPr>
        <w:t>Notwithstanding the [****], the [****]. Upon execution of SA-11, [****].</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7.4 Upon execution of a Limited Scope Supplemental Agreement [****] as specified in Section 1.4.2 of Letter Agreement 6-1162-CLO-1047R4, entitled “[****]” of the Purchase Agreement. The remainder of the [****] in accordance with the provisions of the Purchase Agreement. For the avoidance of doubt, [****] until the applicable Limited Scope Supplemental Agreement has been entered into by the parties.</w:t>
      </w:r>
    </w:p>
    <w:p>
      <w:pPr>
        <w:spacing w:after="0" w:line="188"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t>
      </w:r>
    </w:p>
    <w:p>
      <w:pPr>
        <w:spacing w:after="0" w:line="193" w:lineRule="exact"/>
        <w:rPr>
          <w:sz w:val="20"/>
          <w:szCs w:val="20"/>
          <w:color w:val="auto"/>
        </w:rPr>
      </w:pPr>
    </w:p>
    <w:p>
      <w:pPr>
        <w:jc w:val="both"/>
        <w:ind w:firstLine="405"/>
        <w:spacing w:after="0" w:line="249" w:lineRule="auto"/>
        <w:rPr>
          <w:sz w:val="20"/>
          <w:szCs w:val="20"/>
          <w:color w:val="auto"/>
        </w:rPr>
      </w:pPr>
      <w:r>
        <w:rPr>
          <w:rFonts w:ascii="Arial" w:cs="Arial" w:eastAsia="Arial" w:hAnsi="Arial"/>
          <w:sz w:val="22"/>
          <w:szCs w:val="22"/>
          <w:color w:val="auto"/>
        </w:rPr>
        <w:t>Upon Customer’s [****], Boeing and Customer will enter into a Supplemental Agreement with respect to each [****], the scope and purpose of which shall be limited to [****] into the Purchase Agreement as an [****] (</w:t>
      </w:r>
      <w:r>
        <w:rPr>
          <w:rFonts w:ascii="Arial" w:cs="Arial" w:eastAsia="Arial" w:hAnsi="Arial"/>
          <w:sz w:val="22"/>
          <w:szCs w:val="22"/>
          <w:b w:val="1"/>
          <w:bCs w:val="1"/>
          <w:color w:val="auto"/>
        </w:rPr>
        <w:t>Limited</w:t>
      </w:r>
      <w:r>
        <w:rPr>
          <w:rFonts w:ascii="Arial" w:cs="Arial" w:eastAsia="Arial" w:hAnsi="Arial"/>
          <w:sz w:val="22"/>
          <w:szCs w:val="22"/>
          <w:color w:val="auto"/>
        </w:rPr>
        <w:t xml:space="preserve"> </w:t>
      </w:r>
      <w:r>
        <w:rPr>
          <w:rFonts w:ascii="Arial" w:cs="Arial" w:eastAsia="Arial" w:hAnsi="Arial"/>
          <w:sz w:val="22"/>
          <w:szCs w:val="22"/>
          <w:b w:val="1"/>
          <w:bCs w:val="1"/>
          <w:color w:val="auto"/>
        </w:rPr>
        <w:t>Scope Supplemental Agreement</w:t>
      </w:r>
      <w:r>
        <w:rPr>
          <w:rFonts w:ascii="Arial" w:cs="Arial" w:eastAsia="Arial" w:hAnsi="Arial"/>
          <w:sz w:val="22"/>
          <w:szCs w:val="22"/>
          <w:color w:val="auto"/>
        </w:rPr>
        <w:t>). The Limited Scope Supplemental Agreement will incorporate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Purchase Agreement as modified to reflect the provisions of this Letter Agreement (including, but not limited to, modifications to Attachment A to this Letter Agreement to reflect the addition of new [****] and modifications to Attachment A to Letter Agreement AAL-PA-03219-LA-1802262 entitled “[****]” to reflect the addition of the new Aircraft).</w:t>
      </w:r>
    </w:p>
    <w:p>
      <w:pPr>
        <w:spacing w:after="0" w:line="188"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9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00"/>
        <w:spacing w:after="0"/>
        <w:tabs>
          <w:tab w:leader="none" w:pos="10760" w:val="left"/>
        </w:tabs>
        <w:rPr>
          <w:sz w:val="20"/>
          <w:szCs w:val="20"/>
          <w:color w:val="auto"/>
        </w:rPr>
      </w:pPr>
      <w:r>
        <w:rPr>
          <w:rFonts w:ascii="Arial" w:cs="Arial" w:eastAsia="Arial" w:hAnsi="Arial"/>
          <w:sz w:val="14"/>
          <w:szCs w:val="14"/>
          <w:color w:val="auto"/>
        </w:rPr>
        <w:t>AAL-PA-03219-LA-1804779R1, Attach A, [****], 121168-1F.txt SA-19</w:t>
      </w:r>
      <w:r>
        <w:rPr>
          <w:sz w:val="20"/>
          <w:szCs w:val="20"/>
          <w:color w:val="auto"/>
        </w:rPr>
        <w:tab/>
      </w:r>
      <w:r>
        <w:rPr>
          <w:rFonts w:ascii="Arial" w:cs="Arial" w:eastAsia="Arial" w:hAnsi="Arial"/>
          <w:sz w:val="14"/>
          <w:szCs w:val="14"/>
          <w:color w:val="auto"/>
        </w:rPr>
        <w:t>Page 4</w:t>
      </w:r>
    </w:p>
    <w:p>
      <w:pPr>
        <w:jc w:val="center"/>
        <w:spacing w:after="0"/>
        <w:rPr>
          <w:sz w:val="20"/>
          <w:szCs w:val="20"/>
          <w:color w:val="auto"/>
        </w:rPr>
      </w:pPr>
      <w:r>
        <w:rPr>
          <w:rFonts w:ascii="Arial" w:cs="Arial" w:eastAsia="Arial" w:hAnsi="Arial"/>
          <w:sz w:val="14"/>
          <w:szCs w:val="14"/>
          <w:b w:val="1"/>
          <w:bCs w:val="1"/>
          <w:color w:val="auto"/>
        </w:rPr>
        <w:t>BOEING PROPRIETARY</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98" w:lineRule="exact"/>
        <w:rPr>
          <w:sz w:val="20"/>
          <w:szCs w:val="20"/>
          <w:color w:val="auto"/>
        </w:rPr>
      </w:pPr>
    </w:p>
    <w:p>
      <w:pPr>
        <w:jc w:val="both"/>
        <w:ind w:firstLine="405"/>
        <w:spacing w:after="0" w:line="249"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 Subject to the terms and conditions of Letter Agreement 6-1162-TRW-0673R1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 either party may disclose the information contained herein without the consent of the other party when and to the extent required by any law applicable to such party or by a Governmental Authority.</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51"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42545</wp:posOffset>
            </wp:positionV>
            <wp:extent cx="3317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48"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33655</wp:posOffset>
            </wp:positionV>
            <wp:extent cx="33172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ACCEPTED AND AGREED TO this</w:t>
      </w:r>
    </w:p>
    <w:p>
      <w:pPr>
        <w:spacing w:after="0" w:line="341" w:lineRule="exact"/>
        <w:rPr>
          <w:sz w:val="20"/>
          <w:szCs w:val="20"/>
          <w:color w:val="auto"/>
        </w:rPr>
      </w:pPr>
    </w:p>
    <w:tbl>
      <w:tblPr>
        <w:tblLayout w:type="fixed"/>
        <w:tblInd w:w="180" w:type="dxa"/>
        <w:tblCellMar>
          <w:top w:w="0" w:type="dxa"/>
          <w:left w:w="0" w:type="dxa"/>
          <w:bottom w:w="0" w:type="dxa"/>
          <w:right w:w="0" w:type="dxa"/>
        </w:tblCellMar>
      </w:tblPr>
      <w:tr>
        <w:trPr>
          <w:trHeight w:val="275"/>
        </w:trPr>
        <w:tc>
          <w:tcPr>
            <w:tcW w:w="700" w:type="dxa"/>
            <w:vAlign w:val="bottom"/>
          </w:tcPr>
          <w:p>
            <w:pPr>
              <w:spacing w:after="0"/>
              <w:rPr>
                <w:sz w:val="20"/>
                <w:szCs w:val="20"/>
                <w:color w:val="auto"/>
              </w:rPr>
            </w:pPr>
            <w:r>
              <w:rPr>
                <w:rFonts w:ascii="Arial" w:cs="Arial" w:eastAsia="Arial" w:hAnsi="Arial"/>
                <w:sz w:val="22"/>
                <w:szCs w:val="22"/>
                <w:color w:val="auto"/>
              </w:rPr>
              <w:t>Date:</w:t>
            </w:r>
          </w:p>
        </w:tc>
        <w:tc>
          <w:tcPr>
            <w:tcW w:w="1160" w:type="dxa"/>
            <w:vAlign w:val="bottom"/>
          </w:tcPr>
          <w:p>
            <w:pPr>
              <w:spacing w:after="0"/>
              <w:rPr>
                <w:sz w:val="23"/>
                <w:szCs w:val="23"/>
                <w:color w:val="auto"/>
              </w:rPr>
            </w:pPr>
          </w:p>
        </w:tc>
        <w:tc>
          <w:tcPr>
            <w:tcW w:w="4060" w:type="dxa"/>
            <w:vAlign w:val="bottom"/>
          </w:tcPr>
          <w:p>
            <w:pPr>
              <w:ind w:left="60"/>
              <w:spacing w:after="0"/>
              <w:rPr>
                <w:sz w:val="20"/>
                <w:szCs w:val="20"/>
                <w:color w:val="auto"/>
              </w:rPr>
            </w:pPr>
            <w:r>
              <w:rPr>
                <w:rFonts w:ascii="Arial" w:cs="Arial" w:eastAsia="Arial" w:hAnsi="Arial"/>
                <w:sz w:val="22"/>
                <w:szCs w:val="22"/>
                <w:color w:val="auto"/>
              </w:rPr>
              <w:t>April 25, 2023</w:t>
            </w:r>
          </w:p>
        </w:tc>
      </w:tr>
      <w:tr>
        <w:trPr>
          <w:trHeight w:val="44"/>
        </w:trPr>
        <w:tc>
          <w:tcPr>
            <w:tcW w:w="1860" w:type="dxa"/>
            <w:vAlign w:val="bottom"/>
            <w:gridSpan w:val="2"/>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573"/>
        </w:trPr>
        <w:tc>
          <w:tcPr>
            <w:tcW w:w="5920" w:type="dxa"/>
            <w:vAlign w:val="bottom"/>
            <w:gridSpan w:val="3"/>
          </w:tcPr>
          <w:p>
            <w:pPr>
              <w:spacing w:after="0"/>
              <w:rPr>
                <w:sz w:val="20"/>
                <w:szCs w:val="20"/>
                <w:color w:val="auto"/>
              </w:rPr>
            </w:pPr>
            <w:r>
              <w:rPr>
                <w:rFonts w:ascii="Arial" w:cs="Arial" w:eastAsia="Arial" w:hAnsi="Arial"/>
                <w:sz w:val="22"/>
                <w:szCs w:val="22"/>
                <w:b w:val="1"/>
                <w:bCs w:val="1"/>
                <w:color w:val="auto"/>
              </w:rPr>
              <w:t>AMERICAN AIRLINES, INC.</w:t>
            </w:r>
          </w:p>
        </w:tc>
      </w:tr>
      <w:tr>
        <w:trPr>
          <w:trHeight w:val="578"/>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gridSpan w:val="2"/>
          </w:tcPr>
          <w:p>
            <w:pPr>
              <w:ind w:left="60"/>
              <w:spacing w:after="0"/>
              <w:rPr>
                <w:sz w:val="20"/>
                <w:szCs w:val="20"/>
                <w:color w:val="auto"/>
              </w:rPr>
            </w:pPr>
            <w:r>
              <w:rPr>
                <w:rFonts w:ascii="Arial" w:cs="Arial" w:eastAsia="Arial" w:hAnsi="Arial"/>
                <w:sz w:val="22"/>
                <w:szCs w:val="22"/>
                <w:color w:val="auto"/>
              </w:rPr>
              <w:t>/s/ American Airlines, Inc.</w:t>
            </w:r>
          </w:p>
        </w:tc>
      </w:tr>
      <w:tr>
        <w:trPr>
          <w:trHeight w:val="30"/>
        </w:trPr>
        <w:tc>
          <w:tcPr>
            <w:tcW w:w="700" w:type="dxa"/>
            <w:vAlign w:val="bottom"/>
          </w:tcPr>
          <w:p>
            <w:pPr>
              <w:spacing w:after="0"/>
              <w:rPr>
                <w:sz w:val="2"/>
                <w:szCs w:val="2"/>
                <w:color w:val="auto"/>
              </w:rPr>
            </w:pPr>
          </w:p>
        </w:tc>
        <w:tc>
          <w:tcPr>
            <w:tcW w:w="5220" w:type="dxa"/>
            <w:vAlign w:val="bottom"/>
            <w:tcBorders>
              <w:bottom w:val="single" w:sz="8" w:color="auto"/>
            </w:tcBorders>
            <w:gridSpan w:val="2"/>
          </w:tcPr>
          <w:p>
            <w:pPr>
              <w:spacing w:after="0"/>
              <w:rPr>
                <w:sz w:val="2"/>
                <w:szCs w:val="2"/>
                <w:color w:val="auto"/>
              </w:rPr>
            </w:pPr>
          </w:p>
        </w:tc>
      </w:tr>
      <w:tr>
        <w:trPr>
          <w:trHeight w:val="571"/>
        </w:trPr>
        <w:tc>
          <w:tcPr>
            <w:tcW w:w="700" w:type="dxa"/>
            <w:vAlign w:val="bottom"/>
          </w:tcPr>
          <w:p>
            <w:pPr>
              <w:spacing w:after="0"/>
              <w:rPr>
                <w:sz w:val="20"/>
                <w:szCs w:val="20"/>
                <w:color w:val="auto"/>
              </w:rPr>
            </w:pPr>
            <w:r>
              <w:rPr>
                <w:rFonts w:ascii="Arial" w:cs="Arial" w:eastAsia="Arial" w:hAnsi="Arial"/>
                <w:sz w:val="22"/>
                <w:szCs w:val="22"/>
                <w:color w:val="auto"/>
              </w:rPr>
              <w:t>Its:</w:t>
            </w:r>
          </w:p>
        </w:tc>
        <w:tc>
          <w:tcPr>
            <w:tcW w:w="5220" w:type="dxa"/>
            <w:vAlign w:val="bottom"/>
            <w:gridSpan w:val="2"/>
          </w:tcPr>
          <w:p>
            <w:pPr>
              <w:ind w:left="60"/>
              <w:spacing w:after="0"/>
              <w:rPr>
                <w:sz w:val="20"/>
                <w:szCs w:val="20"/>
                <w:color w:val="auto"/>
              </w:rPr>
            </w:pPr>
            <w:r>
              <w:rPr>
                <w:rFonts w:ascii="Arial" w:cs="Arial" w:eastAsia="Arial" w:hAnsi="Arial"/>
                <w:sz w:val="22"/>
                <w:szCs w:val="22"/>
                <w:color w:val="auto"/>
              </w:rPr>
              <w:t>VP, Treasurer</w:t>
            </w:r>
          </w:p>
        </w:tc>
      </w:tr>
      <w:tr>
        <w:trPr>
          <w:trHeight w:val="30"/>
        </w:trPr>
        <w:tc>
          <w:tcPr>
            <w:tcW w:w="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00"/>
        <w:spacing w:after="0"/>
        <w:tabs>
          <w:tab w:leader="none" w:pos="10760" w:val="left"/>
        </w:tabs>
        <w:rPr>
          <w:sz w:val="20"/>
          <w:szCs w:val="20"/>
          <w:color w:val="auto"/>
        </w:rPr>
      </w:pPr>
      <w:r>
        <w:rPr>
          <w:rFonts w:ascii="Arial" w:cs="Arial" w:eastAsia="Arial" w:hAnsi="Arial"/>
          <w:sz w:val="14"/>
          <w:szCs w:val="14"/>
          <w:color w:val="auto"/>
        </w:rPr>
        <w:t>AAL-PA-03219-LA-1804779R1, Attach A, [****], 121168-1F.txt SA-19</w:t>
      </w:r>
      <w:r>
        <w:rPr>
          <w:sz w:val="20"/>
          <w:szCs w:val="20"/>
          <w:color w:val="auto"/>
        </w:rPr>
        <w:tab/>
      </w:r>
      <w:r>
        <w:rPr>
          <w:rFonts w:ascii="Arial" w:cs="Arial" w:eastAsia="Arial" w:hAnsi="Arial"/>
          <w:sz w:val="14"/>
          <w:szCs w:val="14"/>
          <w:color w:val="auto"/>
        </w:rPr>
        <w:t>Page 5</w:t>
      </w:r>
    </w:p>
    <w:p>
      <w:pPr>
        <w:jc w:val="center"/>
        <w:spacing w:after="0"/>
        <w:rPr>
          <w:sz w:val="20"/>
          <w:szCs w:val="20"/>
          <w:color w:val="auto"/>
        </w:rPr>
      </w:pPr>
      <w:r>
        <w:rPr>
          <w:rFonts w:ascii="Arial" w:cs="Arial" w:eastAsia="Arial" w:hAnsi="Arial"/>
          <w:sz w:val="14"/>
          <w:szCs w:val="14"/>
          <w:b w:val="1"/>
          <w:bCs w:val="1"/>
          <w:color w:val="auto"/>
        </w:rPr>
        <w:t>BOEING PROPRIETARY</w:t>
      </w:r>
    </w:p>
    <w:p>
      <w:pPr>
        <w:sectPr>
          <w:pgSz w:w="11900" w:h="16838" w:orient="portrait"/>
          <w:cols w:equalWidth="0" w:num="1">
            <w:col w:w="11240"/>
          </w:cols>
          <w:pgMar w:left="320" w:top="1440"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Attachment A to</w:t>
      </w:r>
    </w:p>
    <w:p>
      <w:pPr>
        <w:jc w:val="center"/>
        <w:spacing w:after="0" w:line="204" w:lineRule="auto"/>
        <w:rPr>
          <w:sz w:val="20"/>
          <w:szCs w:val="20"/>
          <w:color w:val="auto"/>
        </w:rPr>
      </w:pPr>
      <w:r>
        <w:rPr>
          <w:rFonts w:ascii="Arial" w:cs="Arial" w:eastAsia="Arial" w:hAnsi="Arial"/>
          <w:sz w:val="22"/>
          <w:szCs w:val="22"/>
          <w:b w:val="1"/>
          <w:bCs w:val="1"/>
          <w:color w:val="auto"/>
        </w:rPr>
        <w:t>Letter Agreement No. AAL-0319-LA-1804779R1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Detail</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Airframe Model/MTOW:</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ind w:right="308"/>
              <w:spacing w:after="0"/>
              <w:rPr>
                <w:sz w:val="20"/>
                <w:szCs w:val="20"/>
                <w:color w:val="auto"/>
              </w:rPr>
            </w:pPr>
            <w:r>
              <w:rPr>
                <w:rFonts w:ascii="Arial" w:cs="Arial" w:eastAsia="Arial" w:hAnsi="Arial"/>
                <w:sz w:val="14"/>
                <w:szCs w:val="14"/>
                <w:color w:val="auto"/>
                <w:w w:val="89"/>
              </w:rPr>
              <w:t>787-9</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 pounds</w:t>
            </w:r>
          </w:p>
        </w:tc>
        <w:tc>
          <w:tcPr>
            <w:tcW w:w="780" w:type="dxa"/>
            <w:vAlign w:val="bottom"/>
          </w:tcPr>
          <w:p>
            <w:pPr>
              <w:spacing w:after="0"/>
              <w:rPr>
                <w:sz w:val="16"/>
                <w:szCs w:val="16"/>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Specification:</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rPr>
              <w:t>Airframe Price Base Year/Escalation</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Engine Model/Thrust:</w:t>
            </w:r>
          </w:p>
        </w:tc>
        <w:tc>
          <w:tcPr>
            <w:tcW w:w="1660" w:type="dxa"/>
            <w:vAlign w:val="bottom"/>
            <w:gridSpan w:val="3"/>
          </w:tcPr>
          <w:p>
            <w:pPr>
              <w:jc w:val="center"/>
              <w:ind w:left="488"/>
              <w:spacing w:after="0"/>
              <w:rPr>
                <w:sz w:val="20"/>
                <w:szCs w:val="20"/>
                <w:color w:val="auto"/>
              </w:rPr>
            </w:pPr>
            <w:r>
              <w:rPr>
                <w:rFonts w:ascii="Arial" w:cs="Arial" w:eastAsia="Arial" w:hAnsi="Arial"/>
                <w:sz w:val="14"/>
                <w:szCs w:val="14"/>
                <w:color w:val="auto"/>
                <w:w w:val="97"/>
              </w:rPr>
              <w:t>GENX-1B74/75</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 pounds</w:t>
            </w:r>
          </w:p>
        </w:tc>
        <w:tc>
          <w:tcPr>
            <w:tcW w:w="7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6"/>
              </w:rPr>
              <w:t>Formula:</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Airframe Price:</w:t>
            </w: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w w:val="92"/>
              </w:rPr>
              <w:t>Engine Price Base Year/Escalation Formula:</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Optional Features:</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7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Sub-Total of Airframe and Features:</w:t>
            </w:r>
          </w:p>
        </w:tc>
        <w:tc>
          <w:tcPr>
            <w:tcW w:w="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Airframe Escalation Data:</w:t>
            </w: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74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w w:val="93"/>
              </w:rPr>
              <w:t>Engine Price (Per Aircraft):</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Base Year Index (ECI):</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w w:val="95"/>
              </w:rPr>
              <w:t>Aircraft Basic Price (Excluding BFE/SPE):</w:t>
            </w:r>
          </w:p>
        </w:tc>
        <w:tc>
          <w:tcPr>
            <w:tcW w:w="720" w:type="dxa"/>
            <w:vAlign w:val="bottom"/>
          </w:tcPr>
          <w:p>
            <w:pPr>
              <w:spacing w:after="0"/>
              <w:rPr>
                <w:sz w:val="22"/>
                <w:szCs w:val="22"/>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Base Year Index (CPI):</w:t>
            </w: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346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Buyer Furnished Equipment (BFE) Estimate:</w:t>
            </w: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Engine Escalation Data:</w:t>
            </w: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gridSpan w:val="6"/>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4"/>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gridSpan w:val="6"/>
            <w:vMerge w:val="continue"/>
          </w:tcPr>
          <w:p>
            <w:pPr>
              <w:spacing w:after="0"/>
              <w:rPr>
                <w:sz w:val="12"/>
                <w:szCs w:val="12"/>
                <w:color w:val="auto"/>
              </w:rPr>
            </w:pPr>
          </w:p>
        </w:tc>
        <w:tc>
          <w:tcPr>
            <w:tcW w:w="9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460" w:type="dxa"/>
            <w:vAlign w:val="bottom"/>
            <w:gridSpan w:val="6"/>
          </w:tcPr>
          <w:p>
            <w:pPr>
              <w:ind w:left="80"/>
              <w:spacing w:after="0"/>
              <w:rPr>
                <w:sz w:val="20"/>
                <w:szCs w:val="20"/>
                <w:color w:val="auto"/>
              </w:rPr>
            </w:pPr>
            <w:r>
              <w:rPr>
                <w:rFonts w:ascii="Arial" w:cs="Arial" w:eastAsia="Arial" w:hAnsi="Arial"/>
                <w:sz w:val="14"/>
                <w:szCs w:val="14"/>
                <w:b w:val="1"/>
                <w:bCs w:val="1"/>
                <w:color w:val="auto"/>
              </w:rPr>
              <w:t>//Seller Purchased Equipment (SPE)/In-Flight</w:t>
            </w: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Entertainment (IFE)// Estimate:</w:t>
            </w:r>
          </w:p>
        </w:tc>
        <w:tc>
          <w:tcPr>
            <w:tcW w:w="720" w:type="dxa"/>
            <w:vAlign w:val="bottom"/>
          </w:tcPr>
          <w:p>
            <w:pPr>
              <w:spacing w:after="0"/>
              <w:rPr>
                <w:sz w:val="17"/>
                <w:szCs w:val="17"/>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Base Year Index (ECI):</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w w:val="93"/>
              </w:rPr>
              <w:t>LIFT Seats Provided by Boeing (Estimate):</w:t>
            </w:r>
          </w:p>
        </w:tc>
        <w:tc>
          <w:tcPr>
            <w:tcW w:w="720" w:type="dxa"/>
            <w:vAlign w:val="bottom"/>
          </w:tcPr>
          <w:p>
            <w:pPr>
              <w:spacing w:after="0"/>
              <w:rPr>
                <w:sz w:val="22"/>
                <w:szCs w:val="22"/>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Base Year Index (CPI):</w:t>
            </w: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Deposit per Aircraft:</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4"/>
        </w:trPr>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2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11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200" w:type="dxa"/>
            <w:vAlign w:val="bottom"/>
          </w:tcPr>
          <w:p>
            <w:pPr>
              <w:spacing w:after="0"/>
              <w:rPr>
                <w:sz w:val="11"/>
                <w:szCs w:val="11"/>
                <w:color w:val="auto"/>
              </w:rPr>
            </w:pPr>
          </w:p>
        </w:tc>
        <w:tc>
          <w:tcPr>
            <w:tcW w:w="3720" w:type="dxa"/>
            <w:vAlign w:val="bottom"/>
            <w:tcBorders>
              <w:right w:val="single" w:sz="8" w:color="auto"/>
            </w:tcBorders>
            <w:gridSpan w:val="6"/>
          </w:tcPr>
          <w:p>
            <w:pPr>
              <w:jc w:val="center"/>
              <w:ind w:right="168"/>
              <w:spacing w:after="0" w:line="133" w:lineRule="exact"/>
              <w:rPr>
                <w:sz w:val="20"/>
                <w:szCs w:val="20"/>
                <w:color w:val="auto"/>
              </w:rPr>
            </w:pPr>
            <w:r>
              <w:rPr>
                <w:rFonts w:ascii="Arial" w:cs="Arial" w:eastAsia="Arial" w:hAnsi="Arial"/>
                <w:sz w:val="14"/>
                <w:szCs w:val="14"/>
                <w:b w:val="1"/>
                <w:bCs w:val="1"/>
                <w:color w:val="auto"/>
                <w:w w:val="94"/>
              </w:rPr>
              <w:t>Advance Payment Per Aircraft (Amts. Due/Mos. Prior to</w:t>
            </w:r>
          </w:p>
        </w:tc>
        <w:tc>
          <w:tcPr>
            <w:tcW w:w="0" w:type="dxa"/>
            <w:vAlign w:val="bottom"/>
          </w:tcPr>
          <w:p>
            <w:pPr>
              <w:spacing w:after="0"/>
              <w:rPr>
                <w:sz w:val="1"/>
                <w:szCs w:val="1"/>
                <w:color w:val="auto"/>
              </w:rPr>
            </w:pPr>
          </w:p>
        </w:tc>
      </w:tr>
      <w:tr>
        <w:trPr>
          <w:trHeight w:val="119"/>
        </w:trPr>
        <w:tc>
          <w:tcPr>
            <w:tcW w:w="102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00" w:type="dxa"/>
            <w:vAlign w:val="bottom"/>
            <w:shd w:val="clear" w:color="auto" w:fill="C0C0C0"/>
          </w:tcPr>
          <w:p>
            <w:pPr>
              <w:spacing w:after="0"/>
              <w:rPr>
                <w:sz w:val="10"/>
                <w:szCs w:val="10"/>
                <w:color w:val="auto"/>
              </w:rPr>
            </w:pPr>
          </w:p>
        </w:tc>
        <w:tc>
          <w:tcPr>
            <w:tcW w:w="320" w:type="dxa"/>
            <w:vAlign w:val="bottom"/>
            <w:tcBorders>
              <w:right w:val="single" w:sz="8" w:color="auto"/>
            </w:tcBorders>
            <w:shd w:val="clear" w:color="auto" w:fill="C0C0C0"/>
          </w:tcPr>
          <w:p>
            <w:pPr>
              <w:spacing w:after="0"/>
              <w:rPr>
                <w:sz w:val="10"/>
                <w:szCs w:val="10"/>
                <w:color w:val="auto"/>
              </w:rPr>
            </w:pPr>
          </w:p>
        </w:tc>
        <w:tc>
          <w:tcPr>
            <w:tcW w:w="1180" w:type="dxa"/>
            <w:vAlign w:val="bottom"/>
            <w:tcBorders>
              <w:righ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left="228"/>
              <w:spacing w:after="0"/>
              <w:rPr>
                <w:sz w:val="20"/>
                <w:szCs w:val="20"/>
                <w:color w:val="auto"/>
              </w:rPr>
            </w:pPr>
            <w:r>
              <w:rPr>
                <w:rFonts w:ascii="Arial" w:cs="Arial" w:eastAsia="Arial" w:hAnsi="Arial"/>
                <w:sz w:val="14"/>
                <w:szCs w:val="14"/>
                <w:b w:val="1"/>
                <w:bCs w:val="1"/>
                <w:color w:val="auto"/>
                <w:w w:val="97"/>
              </w:rPr>
              <w:t>Delivery):</w:t>
            </w:r>
          </w:p>
        </w:tc>
        <w:tc>
          <w:tcPr>
            <w:tcW w:w="7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20" w:type="dxa"/>
            <w:vAlign w:val="bottom"/>
            <w:tcBorders>
              <w:left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60" w:type="dxa"/>
            <w:vAlign w:val="bottom"/>
          </w:tcPr>
          <w:p>
            <w:pPr>
              <w:spacing w:after="0"/>
              <w:rPr>
                <w:sz w:val="5"/>
                <w:szCs w:val="5"/>
                <w:color w:val="auto"/>
              </w:rPr>
            </w:pPr>
          </w:p>
        </w:tc>
        <w:tc>
          <w:tcPr>
            <w:tcW w:w="72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1"/>
              </w:rPr>
              <w:t>Escalation</w:t>
            </w:r>
          </w:p>
        </w:tc>
        <w:tc>
          <w:tcPr>
            <w:tcW w:w="900" w:type="dxa"/>
            <w:vAlign w:val="bottom"/>
            <w:vMerge w:val="restart"/>
            <w:shd w:val="clear" w:color="auto" w:fill="C0C0C0"/>
          </w:tcPr>
          <w:p>
            <w:pPr>
              <w:jc w:val="center"/>
              <w:ind w:left="2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auto"/>
            </w:tcBorders>
            <w:shd w:val="clear" w:color="auto" w:fill="C0C0C0"/>
          </w:tcPr>
          <w:p>
            <w:pPr>
              <w:spacing w:after="0"/>
              <w:rPr>
                <w:sz w:val="5"/>
                <w:szCs w:val="5"/>
                <w:color w:val="auto"/>
              </w:rPr>
            </w:pPr>
          </w:p>
        </w:tc>
        <w:tc>
          <w:tcPr>
            <w:tcW w:w="11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900" w:type="dxa"/>
            <w:vAlign w:val="bottom"/>
            <w:vMerge w:val="continue"/>
            <w:shd w:val="clear" w:color="auto" w:fill="C0C0C0"/>
          </w:tcPr>
          <w:p>
            <w:pPr>
              <w:spacing w:after="0"/>
              <w:rPr>
                <w:sz w:val="10"/>
                <w:szCs w:val="10"/>
                <w:color w:val="auto"/>
              </w:rPr>
            </w:pPr>
          </w:p>
        </w:tc>
        <w:tc>
          <w:tcPr>
            <w:tcW w:w="320" w:type="dxa"/>
            <w:vAlign w:val="bottom"/>
            <w:tcBorders>
              <w:right w:val="single" w:sz="8" w:color="auto"/>
            </w:tcBorders>
            <w:shd w:val="clear" w:color="auto" w:fill="C0C0C0"/>
          </w:tcPr>
          <w:p>
            <w:pPr>
              <w:spacing w:after="0"/>
              <w:rPr>
                <w:sz w:val="10"/>
                <w:szCs w:val="10"/>
                <w:color w:val="auto"/>
              </w:rPr>
            </w:pPr>
          </w:p>
        </w:tc>
        <w:tc>
          <w:tcPr>
            <w:tcW w:w="1180" w:type="dxa"/>
            <w:vAlign w:val="bottom"/>
            <w:tcBorders>
              <w:righ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020" w:type="dxa"/>
            <w:vAlign w:val="bottom"/>
            <w:tcBorders>
              <w:left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1220" w:type="dxa"/>
            <w:vAlign w:val="bottom"/>
            <w:tcBorders>
              <w:bottom w:val="single" w:sz="8" w:color="C0C0C0"/>
              <w:right w:val="single" w:sz="8" w:color="auto"/>
            </w:tcBorders>
            <w:gridSpan w:val="2"/>
            <w:vMerge w:val="restart"/>
            <w:shd w:val="clear" w:color="auto" w:fill="C0C0C0"/>
          </w:tcPr>
          <w:p>
            <w:pPr>
              <w:jc w:val="center"/>
              <w:ind w:right="40"/>
              <w:spacing w:after="0"/>
              <w:rPr>
                <w:sz w:val="20"/>
                <w:szCs w:val="20"/>
                <w:color w:val="auto"/>
              </w:rPr>
            </w:pPr>
            <w:r>
              <w:rPr>
                <w:rFonts w:ascii="Arial" w:cs="Arial" w:eastAsia="Arial" w:hAnsi="Arial"/>
                <w:sz w:val="14"/>
                <w:szCs w:val="14"/>
                <w:b w:val="1"/>
                <w:bCs w:val="1"/>
                <w:color w:val="auto"/>
              </w:rPr>
              <w:t>Aircraft</w:t>
            </w:r>
          </w:p>
        </w:tc>
        <w:tc>
          <w:tcPr>
            <w:tcW w:w="11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Adv Payment</w:t>
            </w: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vMerge w:val="continue"/>
            <w:shd w:val="clear" w:color="auto" w:fill="C0C0C0"/>
          </w:tcPr>
          <w:p>
            <w:pPr>
              <w:spacing w:after="0"/>
              <w:rPr>
                <w:sz w:val="16"/>
                <w:szCs w:val="16"/>
                <w:color w:val="auto"/>
              </w:rPr>
            </w:pPr>
          </w:p>
        </w:tc>
        <w:tc>
          <w:tcPr>
            <w:tcW w:w="1180" w:type="dxa"/>
            <w:vAlign w:val="bottom"/>
            <w:tcBorders>
              <w:right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Delivery</w:t>
            </w:r>
          </w:p>
        </w:tc>
        <w:tc>
          <w:tcPr>
            <w:tcW w:w="40" w:type="dxa"/>
            <w:vAlign w:val="bottom"/>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60" w:type="dxa"/>
            <w:vAlign w:val="bottom"/>
          </w:tcPr>
          <w:p>
            <w:pPr>
              <w:spacing w:after="0"/>
              <w:rPr>
                <w:sz w:val="17"/>
                <w:szCs w:val="17"/>
                <w:color w:val="auto"/>
              </w:rPr>
            </w:pPr>
          </w:p>
        </w:tc>
        <w:tc>
          <w:tcPr>
            <w:tcW w:w="7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Factor</w:t>
            </w:r>
          </w:p>
        </w:tc>
        <w:tc>
          <w:tcPr>
            <w:tcW w:w="1220" w:type="dxa"/>
            <w:vAlign w:val="bottom"/>
            <w:tcBorders>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b w:val="1"/>
                <w:bCs w:val="1"/>
                <w:color w:val="auto"/>
                <w:w w:val="90"/>
              </w:rPr>
              <w:t>Scheduled</w:t>
            </w:r>
          </w:p>
        </w:tc>
        <w:tc>
          <w:tcPr>
            <w:tcW w:w="11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Base</w:t>
            </w: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Borders>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2"/>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0" w:type="dxa"/>
            <w:vAlign w:val="bottom"/>
          </w:tcPr>
          <w:p>
            <w:pPr>
              <w:spacing w:after="0"/>
              <w:rPr>
                <w:sz w:val="24"/>
                <w:szCs w:val="24"/>
                <w:color w:val="auto"/>
              </w:rPr>
            </w:pPr>
          </w:p>
        </w:tc>
        <w:tc>
          <w:tcPr>
            <w:tcW w:w="74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Aircraft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60" w:type="dxa"/>
            <w:vAlign w:val="bottom"/>
          </w:tcPr>
          <w:p>
            <w:pPr>
              <w:spacing w:after="0"/>
              <w:rPr>
                <w:sz w:val="24"/>
                <w:szCs w:val="24"/>
                <w:color w:val="auto"/>
              </w:rPr>
            </w:pPr>
          </w:p>
        </w:tc>
        <w:tc>
          <w:tcPr>
            <w:tcW w:w="7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(Engine)</w:t>
            </w:r>
          </w:p>
        </w:tc>
        <w:tc>
          <w:tcPr>
            <w:tcW w:w="1220" w:type="dxa"/>
            <w:vAlign w:val="bottom"/>
            <w:tcBorders>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b w:val="1"/>
                <w:bCs w:val="1"/>
                <w:color w:val="auto"/>
                <w:w w:val="95"/>
              </w:rPr>
              <w:t>Delivery Quarter</w:t>
            </w:r>
          </w:p>
        </w:tc>
        <w:tc>
          <w:tcPr>
            <w:tcW w:w="11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Price Per A/P</w:t>
            </w:r>
          </w:p>
        </w:tc>
        <w:tc>
          <w:tcPr>
            <w:tcW w:w="2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Borders>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40" w:type="dxa"/>
            <w:vAlign w:val="bottom"/>
            <w:tcBorders>
              <w:top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AAL-PA-03219-LA-1804779R1, Attach A, [****], 121168-1F.txt SA-19</w:t>
      </w:r>
      <w:r>
        <w:rPr>
          <w:sz w:val="20"/>
          <w:szCs w:val="20"/>
          <w:color w:val="auto"/>
        </w:rPr>
        <w:tab/>
      </w:r>
      <w:r>
        <w:rPr>
          <w:rFonts w:ascii="Arial" w:cs="Arial" w:eastAsia="Arial" w:hAnsi="Arial"/>
          <w:sz w:val="14"/>
          <w:szCs w:val="14"/>
          <w:color w:val="auto"/>
        </w:rPr>
        <w:t>Page 1</w:t>
      </w:r>
    </w:p>
    <w:p>
      <w:pPr>
        <w:jc w:val="center"/>
        <w:spacing w:after="0"/>
        <w:rPr>
          <w:sz w:val="20"/>
          <w:szCs w:val="20"/>
          <w:color w:val="auto"/>
        </w:rPr>
      </w:pPr>
      <w:r>
        <w:rPr>
          <w:rFonts w:ascii="Arial" w:cs="Arial" w:eastAsia="Arial" w:hAnsi="Arial"/>
          <w:sz w:val="14"/>
          <w:szCs w:val="14"/>
          <w:b w:val="1"/>
          <w:bCs w:val="1"/>
          <w:color w:val="auto"/>
        </w:rPr>
        <w:t>BOEING PROPRIETARY</w:t>
      </w:r>
    </w:p>
    <w:p>
      <w:pPr>
        <w:sectPr>
          <w:pgSz w:w="11900" w:h="16838" w:orient="portrait"/>
          <w:cols w:equalWidth="0" w:num="1">
            <w:col w:w="11240"/>
          </w:cols>
          <w:pgMar w:left="320" w:top="86"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color w:val="auto"/>
        </w:rPr>
        <w:t>Attachment A to</w:t>
      </w:r>
    </w:p>
    <w:p>
      <w:pPr>
        <w:jc w:val="center"/>
        <w:spacing w:after="0" w:line="204" w:lineRule="auto"/>
        <w:rPr>
          <w:sz w:val="20"/>
          <w:szCs w:val="20"/>
          <w:color w:val="auto"/>
        </w:rPr>
      </w:pPr>
      <w:r>
        <w:rPr>
          <w:rFonts w:ascii="Arial" w:cs="Arial" w:eastAsia="Arial" w:hAnsi="Arial"/>
          <w:sz w:val="22"/>
          <w:szCs w:val="22"/>
          <w:b w:val="1"/>
          <w:bCs w:val="1"/>
          <w:color w:val="auto"/>
        </w:rPr>
        <w:t>Letter Agreement No. AAL-0319-LA-1804779R1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980" w:type="dxa"/>
            <w:vAlign w:val="bottom"/>
            <w:tcBorders>
              <w:top w:val="single" w:sz="8" w:color="auto"/>
              <w:left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shd w:val="clear" w:color="auto" w:fill="C0C0C0"/>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392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Advance Payment Per Aircraft (Amts. Due/Mos. Prior to</w:t>
            </w:r>
          </w:p>
        </w:tc>
        <w:tc>
          <w:tcPr>
            <w:tcW w:w="0" w:type="dxa"/>
            <w:vAlign w:val="bottom"/>
          </w:tcPr>
          <w:p>
            <w:pPr>
              <w:spacing w:after="0"/>
              <w:rPr>
                <w:sz w:val="1"/>
                <w:szCs w:val="1"/>
                <w:color w:val="auto"/>
              </w:rPr>
            </w:pPr>
          </w:p>
        </w:tc>
      </w:tr>
      <w:tr>
        <w:trPr>
          <w:trHeight w:val="200"/>
        </w:trPr>
        <w:tc>
          <w:tcPr>
            <w:tcW w:w="98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1200" w:type="dxa"/>
            <w:vAlign w:val="bottom"/>
          </w:tcPr>
          <w:p>
            <w:pPr>
              <w:spacing w:after="0"/>
              <w:rPr>
                <w:sz w:val="17"/>
                <w:szCs w:val="17"/>
                <w:color w:val="auto"/>
              </w:rPr>
            </w:pPr>
          </w:p>
        </w:tc>
        <w:tc>
          <w:tcPr>
            <w:tcW w:w="108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7"/>
              </w:rPr>
              <w:t>Delivery):</w:t>
            </w:r>
          </w:p>
        </w:tc>
        <w:tc>
          <w:tcPr>
            <w:tcW w:w="7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80" w:type="dxa"/>
            <w:vAlign w:val="bottom"/>
            <w:tcBorders>
              <w:left w:val="single" w:sz="8" w:color="auto"/>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18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Aircraft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Adv Payment</w:t>
            </w: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98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vMerge w:val="continue"/>
            <w:shd w:val="clear" w:color="auto" w:fill="C0C0C0"/>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7"/>
              </w:rPr>
              <w:t>Scheduled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Base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(Airframe)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(Engine)</w:t>
            </w:r>
          </w:p>
        </w:tc>
        <w:tc>
          <w:tcPr>
            <w:tcW w:w="11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7"/>
              </w:rPr>
              <w:t>Delivery Quarter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8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14</w:t>
            </w:r>
          </w:p>
        </w:tc>
        <w:tc>
          <w:tcPr>
            <w:tcW w:w="8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80"/>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AAL-PA-03219-LA-1804779R1, Attach A, [****], 121168-1F.txt SA-19</w:t>
      </w:r>
      <w:r>
        <w:rPr>
          <w:sz w:val="20"/>
          <w:szCs w:val="20"/>
          <w:color w:val="auto"/>
        </w:rPr>
        <w:tab/>
      </w:r>
      <w:r>
        <w:rPr>
          <w:rFonts w:ascii="Arial" w:cs="Arial" w:eastAsia="Arial" w:hAnsi="Arial"/>
          <w:sz w:val="14"/>
          <w:szCs w:val="14"/>
          <w:color w:val="auto"/>
        </w:rPr>
        <w:t>Page 2</w:t>
      </w:r>
    </w:p>
    <w:p>
      <w:pPr>
        <w:jc w:val="center"/>
        <w:spacing w:after="0"/>
        <w:rPr>
          <w:sz w:val="20"/>
          <w:szCs w:val="20"/>
          <w:color w:val="auto"/>
        </w:rPr>
      </w:pPr>
      <w:r>
        <w:rPr>
          <w:rFonts w:ascii="Arial" w:cs="Arial" w:eastAsia="Arial" w:hAnsi="Arial"/>
          <w:sz w:val="14"/>
          <w:szCs w:val="14"/>
          <w:b w:val="1"/>
          <w:bCs w:val="1"/>
          <w:color w:val="auto"/>
        </w:rPr>
        <w:t>BOEING PROPRIETARY</w:t>
      </w:r>
    </w:p>
    <w:p>
      <w:pPr>
        <w:sectPr>
          <w:pgSz w:w="11900" w:h="16838" w:orient="portrait"/>
          <w:cols w:equalWidth="0" w:num="1">
            <w:col w:w="11240"/>
          </w:cols>
          <w:pgMar w:left="320" w:top="86" w:right="339" w:bottom="1440" w:gutter="0" w:footer="0" w:header="0"/>
        </w:sectPr>
      </w:pPr>
    </w:p>
    <w:bookmarkStart w:id="120" w:name="page121"/>
    <w:bookmarkEnd w:id="120"/>
    <w:p>
      <w:pPr>
        <w:jc w:val="center"/>
        <w:ind w:right="-1100"/>
        <w:spacing w:after="0"/>
        <w:rPr>
          <w:sz w:val="20"/>
          <w:szCs w:val="20"/>
          <w:color w:val="auto"/>
        </w:rPr>
      </w:pPr>
      <w:r>
        <w:rPr>
          <w:rFonts w:ascii="Arial" w:cs="Arial" w:eastAsia="Arial" w:hAnsi="Arial"/>
          <w:sz w:val="22"/>
          <w:szCs w:val="22"/>
          <w:b w:val="1"/>
          <w:bCs w:val="1"/>
          <w:color w:val="auto"/>
        </w:rPr>
        <w:t>Attachment B to</w:t>
      </w:r>
    </w:p>
    <w:p>
      <w:pPr>
        <w:jc w:val="center"/>
        <w:ind w:right="-1100"/>
        <w:spacing w:after="0" w:line="204" w:lineRule="auto"/>
        <w:rPr>
          <w:sz w:val="20"/>
          <w:szCs w:val="20"/>
          <w:color w:val="auto"/>
        </w:rPr>
      </w:pPr>
      <w:r>
        <w:rPr>
          <w:rFonts w:ascii="Arial" w:cs="Arial" w:eastAsia="Arial" w:hAnsi="Arial"/>
          <w:sz w:val="22"/>
          <w:szCs w:val="22"/>
          <w:b w:val="1"/>
          <w:bCs w:val="1"/>
          <w:color w:val="auto"/>
        </w:rPr>
        <w:t>Letter Agreement No. AAL-0319-LA-1804779R1</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Detail</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Airframe Model/MTOW:</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ind w:right="308"/>
              <w:spacing w:after="0"/>
              <w:rPr>
                <w:sz w:val="20"/>
                <w:szCs w:val="20"/>
                <w:color w:val="auto"/>
              </w:rPr>
            </w:pPr>
            <w:r>
              <w:rPr>
                <w:rFonts w:ascii="Arial" w:cs="Arial" w:eastAsia="Arial" w:hAnsi="Arial"/>
                <w:sz w:val="14"/>
                <w:szCs w:val="14"/>
                <w:color w:val="auto"/>
                <w:w w:val="89"/>
              </w:rPr>
              <w:t>787-9</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 pounds</w:t>
            </w:r>
          </w:p>
        </w:tc>
        <w:tc>
          <w:tcPr>
            <w:tcW w:w="780" w:type="dxa"/>
            <w:vAlign w:val="bottom"/>
          </w:tcPr>
          <w:p>
            <w:pPr>
              <w:spacing w:after="0"/>
              <w:rPr>
                <w:sz w:val="16"/>
                <w:szCs w:val="16"/>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Specification:</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rPr>
              <w:t>Airframe Price Base Year/Escalation</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Engine Model/Thrust:</w:t>
            </w:r>
          </w:p>
        </w:tc>
        <w:tc>
          <w:tcPr>
            <w:tcW w:w="1660" w:type="dxa"/>
            <w:vAlign w:val="bottom"/>
            <w:gridSpan w:val="3"/>
          </w:tcPr>
          <w:p>
            <w:pPr>
              <w:jc w:val="center"/>
              <w:ind w:left="488"/>
              <w:spacing w:after="0"/>
              <w:rPr>
                <w:sz w:val="20"/>
                <w:szCs w:val="20"/>
                <w:color w:val="auto"/>
              </w:rPr>
            </w:pPr>
            <w:r>
              <w:rPr>
                <w:rFonts w:ascii="Arial" w:cs="Arial" w:eastAsia="Arial" w:hAnsi="Arial"/>
                <w:sz w:val="14"/>
                <w:szCs w:val="14"/>
                <w:color w:val="auto"/>
                <w:w w:val="97"/>
              </w:rPr>
              <w:t>GENX-1B74/75</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 pounds</w:t>
            </w:r>
          </w:p>
        </w:tc>
        <w:tc>
          <w:tcPr>
            <w:tcW w:w="7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6"/>
              </w:rPr>
              <w:t>Formula:</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Airframe Price:</w:t>
            </w: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w w:val="92"/>
              </w:rPr>
              <w:t>Engine Price Base Year/Escalation Formula:</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Optional Features:</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7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Sub-Total of Airframe and Features:</w:t>
            </w:r>
          </w:p>
        </w:tc>
        <w:tc>
          <w:tcPr>
            <w:tcW w:w="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Airframe Escalation Data:</w:t>
            </w: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74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w w:val="93"/>
              </w:rPr>
              <w:t>Engine Price (Per Aircraft):</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Base Year Index (ECI):</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w w:val="95"/>
              </w:rPr>
              <w:t>Aircraft Basic Price (Excluding BFE/SPE):</w:t>
            </w:r>
          </w:p>
        </w:tc>
        <w:tc>
          <w:tcPr>
            <w:tcW w:w="720" w:type="dxa"/>
            <w:vAlign w:val="bottom"/>
          </w:tcPr>
          <w:p>
            <w:pPr>
              <w:spacing w:after="0"/>
              <w:rPr>
                <w:sz w:val="22"/>
                <w:szCs w:val="22"/>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Base Year Index (CPI):</w:t>
            </w: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346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Buyer Furnished Equipment (BFE) Estimate:</w:t>
            </w: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Engine Escalation Data:</w:t>
            </w: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gridSpan w:val="6"/>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4"/>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gridSpan w:val="6"/>
            <w:vMerge w:val="continue"/>
          </w:tcPr>
          <w:p>
            <w:pPr>
              <w:spacing w:after="0"/>
              <w:rPr>
                <w:sz w:val="12"/>
                <w:szCs w:val="12"/>
                <w:color w:val="auto"/>
              </w:rPr>
            </w:pPr>
          </w:p>
        </w:tc>
        <w:tc>
          <w:tcPr>
            <w:tcW w:w="9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460" w:type="dxa"/>
            <w:vAlign w:val="bottom"/>
            <w:gridSpan w:val="6"/>
          </w:tcPr>
          <w:p>
            <w:pPr>
              <w:ind w:left="80"/>
              <w:spacing w:after="0"/>
              <w:rPr>
                <w:sz w:val="20"/>
                <w:szCs w:val="20"/>
                <w:color w:val="auto"/>
              </w:rPr>
            </w:pPr>
            <w:r>
              <w:rPr>
                <w:rFonts w:ascii="Arial" w:cs="Arial" w:eastAsia="Arial" w:hAnsi="Arial"/>
                <w:sz w:val="14"/>
                <w:szCs w:val="14"/>
                <w:b w:val="1"/>
                <w:bCs w:val="1"/>
                <w:color w:val="auto"/>
              </w:rPr>
              <w:t>//Seller Purchased Equipment (SPE)/In-Flight</w:t>
            </w: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Entertainment (IFE)// Estimate:</w:t>
            </w:r>
          </w:p>
        </w:tc>
        <w:tc>
          <w:tcPr>
            <w:tcW w:w="720" w:type="dxa"/>
            <w:vAlign w:val="bottom"/>
          </w:tcPr>
          <w:p>
            <w:pPr>
              <w:spacing w:after="0"/>
              <w:rPr>
                <w:sz w:val="17"/>
                <w:szCs w:val="17"/>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Base Year Index (ECI):</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w w:val="93"/>
              </w:rPr>
              <w:t>LIFT Seats Provided by Boeing (Estimate):</w:t>
            </w:r>
          </w:p>
        </w:tc>
        <w:tc>
          <w:tcPr>
            <w:tcW w:w="720" w:type="dxa"/>
            <w:vAlign w:val="bottom"/>
          </w:tcPr>
          <w:p>
            <w:pPr>
              <w:spacing w:after="0"/>
              <w:rPr>
                <w:sz w:val="22"/>
                <w:szCs w:val="22"/>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Base Year Index (CPI):</w:t>
            </w: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Deposit per Aircraft:</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4"/>
        </w:trPr>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2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0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11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200" w:type="dxa"/>
            <w:vAlign w:val="bottom"/>
          </w:tcPr>
          <w:p>
            <w:pPr>
              <w:spacing w:after="0"/>
              <w:rPr>
                <w:sz w:val="11"/>
                <w:szCs w:val="11"/>
                <w:color w:val="auto"/>
              </w:rPr>
            </w:pPr>
          </w:p>
        </w:tc>
        <w:tc>
          <w:tcPr>
            <w:tcW w:w="3720" w:type="dxa"/>
            <w:vAlign w:val="bottom"/>
            <w:tcBorders>
              <w:right w:val="single" w:sz="8" w:color="auto"/>
            </w:tcBorders>
            <w:gridSpan w:val="6"/>
          </w:tcPr>
          <w:p>
            <w:pPr>
              <w:jc w:val="center"/>
              <w:ind w:right="168"/>
              <w:spacing w:after="0" w:line="133" w:lineRule="exact"/>
              <w:rPr>
                <w:sz w:val="20"/>
                <w:szCs w:val="20"/>
                <w:color w:val="auto"/>
              </w:rPr>
            </w:pPr>
            <w:r>
              <w:rPr>
                <w:rFonts w:ascii="Arial" w:cs="Arial" w:eastAsia="Arial" w:hAnsi="Arial"/>
                <w:sz w:val="14"/>
                <w:szCs w:val="14"/>
                <w:b w:val="1"/>
                <w:bCs w:val="1"/>
                <w:color w:val="auto"/>
                <w:w w:val="94"/>
              </w:rPr>
              <w:t>Advance Payment Per Aircraft (Amts. Due/Mos. Prior to</w:t>
            </w:r>
          </w:p>
        </w:tc>
        <w:tc>
          <w:tcPr>
            <w:tcW w:w="0" w:type="dxa"/>
            <w:vAlign w:val="bottom"/>
          </w:tcPr>
          <w:p>
            <w:pPr>
              <w:spacing w:after="0"/>
              <w:rPr>
                <w:sz w:val="1"/>
                <w:szCs w:val="1"/>
                <w:color w:val="auto"/>
              </w:rPr>
            </w:pPr>
          </w:p>
        </w:tc>
      </w:tr>
      <w:tr>
        <w:trPr>
          <w:trHeight w:val="119"/>
        </w:trPr>
        <w:tc>
          <w:tcPr>
            <w:tcW w:w="102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00" w:type="dxa"/>
            <w:vAlign w:val="bottom"/>
            <w:shd w:val="clear" w:color="auto" w:fill="C0C0C0"/>
          </w:tcPr>
          <w:p>
            <w:pPr>
              <w:spacing w:after="0"/>
              <w:rPr>
                <w:sz w:val="10"/>
                <w:szCs w:val="10"/>
                <w:color w:val="auto"/>
              </w:rPr>
            </w:pPr>
          </w:p>
        </w:tc>
        <w:tc>
          <w:tcPr>
            <w:tcW w:w="320" w:type="dxa"/>
            <w:vAlign w:val="bottom"/>
            <w:tcBorders>
              <w:right w:val="single" w:sz="8" w:color="auto"/>
            </w:tcBorders>
            <w:shd w:val="clear" w:color="auto" w:fill="C0C0C0"/>
          </w:tcPr>
          <w:p>
            <w:pPr>
              <w:spacing w:after="0"/>
              <w:rPr>
                <w:sz w:val="10"/>
                <w:szCs w:val="10"/>
                <w:color w:val="auto"/>
              </w:rPr>
            </w:pPr>
          </w:p>
        </w:tc>
        <w:tc>
          <w:tcPr>
            <w:tcW w:w="1180" w:type="dxa"/>
            <w:vAlign w:val="bottom"/>
            <w:tcBorders>
              <w:righ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left="228"/>
              <w:spacing w:after="0"/>
              <w:rPr>
                <w:sz w:val="20"/>
                <w:szCs w:val="20"/>
                <w:color w:val="auto"/>
              </w:rPr>
            </w:pPr>
            <w:r>
              <w:rPr>
                <w:rFonts w:ascii="Arial" w:cs="Arial" w:eastAsia="Arial" w:hAnsi="Arial"/>
                <w:sz w:val="14"/>
                <w:szCs w:val="14"/>
                <w:b w:val="1"/>
                <w:bCs w:val="1"/>
                <w:color w:val="auto"/>
                <w:w w:val="97"/>
              </w:rPr>
              <w:t>Delivery):</w:t>
            </w:r>
          </w:p>
        </w:tc>
        <w:tc>
          <w:tcPr>
            <w:tcW w:w="7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20" w:type="dxa"/>
            <w:vAlign w:val="bottom"/>
            <w:tcBorders>
              <w:left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60" w:type="dxa"/>
            <w:vAlign w:val="bottom"/>
          </w:tcPr>
          <w:p>
            <w:pPr>
              <w:spacing w:after="0"/>
              <w:rPr>
                <w:sz w:val="5"/>
                <w:szCs w:val="5"/>
                <w:color w:val="auto"/>
              </w:rPr>
            </w:pPr>
          </w:p>
        </w:tc>
        <w:tc>
          <w:tcPr>
            <w:tcW w:w="72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1"/>
              </w:rPr>
              <w:t>Escalation</w:t>
            </w:r>
          </w:p>
        </w:tc>
        <w:tc>
          <w:tcPr>
            <w:tcW w:w="900" w:type="dxa"/>
            <w:vAlign w:val="bottom"/>
            <w:vMerge w:val="restart"/>
            <w:shd w:val="clear" w:color="auto" w:fill="C0C0C0"/>
          </w:tcPr>
          <w:p>
            <w:pPr>
              <w:jc w:val="center"/>
              <w:ind w:left="2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auto"/>
            </w:tcBorders>
            <w:shd w:val="clear" w:color="auto" w:fill="C0C0C0"/>
          </w:tcPr>
          <w:p>
            <w:pPr>
              <w:spacing w:after="0"/>
              <w:rPr>
                <w:sz w:val="5"/>
                <w:szCs w:val="5"/>
                <w:color w:val="auto"/>
              </w:rPr>
            </w:pPr>
          </w:p>
        </w:tc>
        <w:tc>
          <w:tcPr>
            <w:tcW w:w="11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900" w:type="dxa"/>
            <w:vAlign w:val="bottom"/>
            <w:vMerge w:val="continue"/>
            <w:shd w:val="clear" w:color="auto" w:fill="C0C0C0"/>
          </w:tcPr>
          <w:p>
            <w:pPr>
              <w:spacing w:after="0"/>
              <w:rPr>
                <w:sz w:val="10"/>
                <w:szCs w:val="10"/>
                <w:color w:val="auto"/>
              </w:rPr>
            </w:pPr>
          </w:p>
        </w:tc>
        <w:tc>
          <w:tcPr>
            <w:tcW w:w="320" w:type="dxa"/>
            <w:vAlign w:val="bottom"/>
            <w:tcBorders>
              <w:right w:val="single" w:sz="8" w:color="auto"/>
            </w:tcBorders>
            <w:shd w:val="clear" w:color="auto" w:fill="C0C0C0"/>
          </w:tcPr>
          <w:p>
            <w:pPr>
              <w:spacing w:after="0"/>
              <w:rPr>
                <w:sz w:val="10"/>
                <w:szCs w:val="10"/>
                <w:color w:val="auto"/>
              </w:rPr>
            </w:pPr>
          </w:p>
        </w:tc>
        <w:tc>
          <w:tcPr>
            <w:tcW w:w="1180" w:type="dxa"/>
            <w:vAlign w:val="bottom"/>
            <w:tcBorders>
              <w:righ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020" w:type="dxa"/>
            <w:vAlign w:val="bottom"/>
            <w:tcBorders>
              <w:left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1220" w:type="dxa"/>
            <w:vAlign w:val="bottom"/>
            <w:tcBorders>
              <w:bottom w:val="single" w:sz="8" w:color="C0C0C0"/>
              <w:right w:val="single" w:sz="8" w:color="auto"/>
            </w:tcBorders>
            <w:gridSpan w:val="2"/>
            <w:vMerge w:val="restart"/>
            <w:shd w:val="clear" w:color="auto" w:fill="C0C0C0"/>
          </w:tcPr>
          <w:p>
            <w:pPr>
              <w:jc w:val="center"/>
              <w:ind w:right="40"/>
              <w:spacing w:after="0"/>
              <w:rPr>
                <w:sz w:val="20"/>
                <w:szCs w:val="20"/>
                <w:color w:val="auto"/>
              </w:rPr>
            </w:pPr>
            <w:r>
              <w:rPr>
                <w:rFonts w:ascii="Arial" w:cs="Arial" w:eastAsia="Arial" w:hAnsi="Arial"/>
                <w:sz w:val="14"/>
                <w:szCs w:val="14"/>
                <w:b w:val="1"/>
                <w:bCs w:val="1"/>
                <w:color w:val="auto"/>
              </w:rPr>
              <w:t>Aircraft</w:t>
            </w:r>
          </w:p>
        </w:tc>
        <w:tc>
          <w:tcPr>
            <w:tcW w:w="11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Adv Payment</w:t>
            </w: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0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gridSpan w:val="2"/>
            <w:vMerge w:val="continue"/>
            <w:shd w:val="clear" w:color="auto" w:fill="C0C0C0"/>
          </w:tcPr>
          <w:p>
            <w:pPr>
              <w:spacing w:after="0"/>
              <w:rPr>
                <w:sz w:val="16"/>
                <w:szCs w:val="16"/>
                <w:color w:val="auto"/>
              </w:rPr>
            </w:pPr>
          </w:p>
        </w:tc>
        <w:tc>
          <w:tcPr>
            <w:tcW w:w="1180" w:type="dxa"/>
            <w:vAlign w:val="bottom"/>
            <w:tcBorders>
              <w:right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Delivery</w:t>
            </w:r>
          </w:p>
        </w:tc>
        <w:tc>
          <w:tcPr>
            <w:tcW w:w="40" w:type="dxa"/>
            <w:vAlign w:val="bottom"/>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60" w:type="dxa"/>
            <w:vAlign w:val="bottom"/>
          </w:tcPr>
          <w:p>
            <w:pPr>
              <w:spacing w:after="0"/>
              <w:rPr>
                <w:sz w:val="17"/>
                <w:szCs w:val="17"/>
                <w:color w:val="auto"/>
              </w:rPr>
            </w:pPr>
          </w:p>
        </w:tc>
        <w:tc>
          <w:tcPr>
            <w:tcW w:w="7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Factor</w:t>
            </w:r>
          </w:p>
        </w:tc>
        <w:tc>
          <w:tcPr>
            <w:tcW w:w="1220" w:type="dxa"/>
            <w:vAlign w:val="bottom"/>
            <w:tcBorders>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b w:val="1"/>
                <w:bCs w:val="1"/>
                <w:color w:val="auto"/>
                <w:w w:val="90"/>
              </w:rPr>
              <w:t>Scheduled</w:t>
            </w:r>
          </w:p>
        </w:tc>
        <w:tc>
          <w:tcPr>
            <w:tcW w:w="11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Base</w:t>
            </w: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Borders>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2"/>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0" w:type="dxa"/>
            <w:vAlign w:val="bottom"/>
          </w:tcPr>
          <w:p>
            <w:pPr>
              <w:spacing w:after="0"/>
              <w:rPr>
                <w:sz w:val="24"/>
                <w:szCs w:val="24"/>
                <w:color w:val="auto"/>
              </w:rPr>
            </w:pPr>
          </w:p>
        </w:tc>
        <w:tc>
          <w:tcPr>
            <w:tcW w:w="74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Aircraft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60" w:type="dxa"/>
            <w:vAlign w:val="bottom"/>
          </w:tcPr>
          <w:p>
            <w:pPr>
              <w:spacing w:after="0"/>
              <w:rPr>
                <w:sz w:val="24"/>
                <w:szCs w:val="24"/>
                <w:color w:val="auto"/>
              </w:rPr>
            </w:pPr>
          </w:p>
        </w:tc>
        <w:tc>
          <w:tcPr>
            <w:tcW w:w="7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(Engine)</w:t>
            </w:r>
          </w:p>
        </w:tc>
        <w:tc>
          <w:tcPr>
            <w:tcW w:w="1220" w:type="dxa"/>
            <w:vAlign w:val="bottom"/>
            <w:tcBorders>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b w:val="1"/>
                <w:bCs w:val="1"/>
                <w:color w:val="auto"/>
                <w:w w:val="95"/>
              </w:rPr>
              <w:t>Delivery Quarter</w:t>
            </w:r>
          </w:p>
        </w:tc>
        <w:tc>
          <w:tcPr>
            <w:tcW w:w="11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Price Per A/P</w:t>
            </w:r>
          </w:p>
        </w:tc>
        <w:tc>
          <w:tcPr>
            <w:tcW w:w="2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Borders>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40" w:type="dxa"/>
            <w:vAlign w:val="bottom"/>
            <w:tcBorders>
              <w:top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0C0C0"/>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4"/>
                <w:szCs w:val="14"/>
                <w:color w:val="auto"/>
              </w:rPr>
              <w:t>[****] 2027</w:t>
            </w:r>
          </w:p>
        </w:tc>
        <w:tc>
          <w:tcPr>
            <w:tcW w:w="11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4980" w:val="left"/>
        </w:tabs>
        <w:rPr>
          <w:sz w:val="20"/>
          <w:szCs w:val="20"/>
          <w:color w:val="auto"/>
        </w:rPr>
      </w:pPr>
      <w:r>
        <w:rPr>
          <w:rFonts w:ascii="Arial" w:cs="Arial" w:eastAsia="Arial" w:hAnsi="Arial"/>
          <w:sz w:val="14"/>
          <w:szCs w:val="14"/>
          <w:color w:val="auto"/>
        </w:rPr>
        <w:t>AAL-PA-03219-LA-1804779R1, Attach B, [****], 121168-1F.txt SA-19</w:t>
      </w:r>
      <w:r>
        <w:rPr>
          <w:sz w:val="20"/>
          <w:szCs w:val="20"/>
          <w:color w:val="auto"/>
        </w:rPr>
        <w:tab/>
      </w:r>
      <w:r>
        <w:rPr>
          <w:rFonts w:ascii="Arial" w:cs="Arial" w:eastAsia="Arial" w:hAnsi="Arial"/>
          <w:sz w:val="13"/>
          <w:szCs w:val="13"/>
          <w:color w:val="auto"/>
        </w:rPr>
        <w:t>Page 1</w:t>
      </w:r>
    </w:p>
    <w:p>
      <w:pPr>
        <w:ind w:left="4800"/>
        <w:spacing w:after="0"/>
        <w:rPr>
          <w:sz w:val="20"/>
          <w:szCs w:val="20"/>
          <w:color w:val="auto"/>
        </w:rPr>
      </w:pPr>
      <w:r>
        <w:rPr>
          <w:rFonts w:ascii="Arial" w:cs="Arial" w:eastAsia="Arial" w:hAnsi="Arial"/>
          <w:sz w:val="14"/>
          <w:szCs w:val="14"/>
          <w:b w:val="1"/>
          <w:bCs w:val="1"/>
          <w:color w:val="auto"/>
        </w:rPr>
        <w:t>BOEING PROPRIETARY</w:t>
      </w:r>
    </w:p>
    <w:p>
      <w:pPr>
        <w:sectPr>
          <w:pgSz w:w="11900" w:h="16838" w:orient="portrait"/>
          <w:cols w:equalWidth="0" w:num="1">
            <w:col w:w="10139"/>
          </w:cols>
          <w:pgMar w:left="320" w:top="86" w:right="1440" w:bottom="1440" w:gutter="0" w:footer="0" w:header="0"/>
        </w:sectPr>
      </w:pPr>
    </w:p>
    <w:bookmarkStart w:id="121" w:name="page122"/>
    <w:bookmarkEnd w:id="121"/>
    <w:p>
      <w:pPr>
        <w:jc w:val="center"/>
        <w:ind w:right="-1100"/>
        <w:spacing w:after="0"/>
        <w:rPr>
          <w:sz w:val="20"/>
          <w:szCs w:val="20"/>
          <w:color w:val="auto"/>
        </w:rPr>
      </w:pPr>
      <w:r>
        <w:rPr>
          <w:rFonts w:ascii="Arial" w:cs="Arial" w:eastAsia="Arial" w:hAnsi="Arial"/>
          <w:sz w:val="22"/>
          <w:szCs w:val="22"/>
          <w:b w:val="1"/>
          <w:bCs w:val="1"/>
          <w:color w:val="auto"/>
        </w:rPr>
        <w:t>Attachment B to</w:t>
      </w:r>
    </w:p>
    <w:p>
      <w:pPr>
        <w:jc w:val="center"/>
        <w:ind w:right="-1100"/>
        <w:spacing w:after="0" w:line="204" w:lineRule="auto"/>
        <w:rPr>
          <w:sz w:val="20"/>
          <w:szCs w:val="20"/>
          <w:color w:val="auto"/>
        </w:rPr>
      </w:pPr>
      <w:r>
        <w:rPr>
          <w:rFonts w:ascii="Arial" w:cs="Arial" w:eastAsia="Arial" w:hAnsi="Arial"/>
          <w:sz w:val="22"/>
          <w:szCs w:val="22"/>
          <w:b w:val="1"/>
          <w:bCs w:val="1"/>
          <w:color w:val="auto"/>
        </w:rPr>
        <w:t>Letter Agreement No. AAL-0319-LA-1804779R1</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980" w:type="dxa"/>
            <w:vAlign w:val="bottom"/>
            <w:tcBorders>
              <w:top w:val="single" w:sz="8" w:color="auto"/>
              <w:left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shd w:val="clear" w:color="auto" w:fill="C0C0C0"/>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392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Advance Payment Per Aircraft (Amts. Due/Mos. Prior to</w:t>
            </w:r>
          </w:p>
        </w:tc>
        <w:tc>
          <w:tcPr>
            <w:tcW w:w="0" w:type="dxa"/>
            <w:vAlign w:val="bottom"/>
          </w:tcPr>
          <w:p>
            <w:pPr>
              <w:spacing w:after="0"/>
              <w:rPr>
                <w:sz w:val="1"/>
                <w:szCs w:val="1"/>
                <w:color w:val="auto"/>
              </w:rPr>
            </w:pPr>
          </w:p>
        </w:tc>
      </w:tr>
      <w:tr>
        <w:trPr>
          <w:trHeight w:val="200"/>
        </w:trPr>
        <w:tc>
          <w:tcPr>
            <w:tcW w:w="98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1200" w:type="dxa"/>
            <w:vAlign w:val="bottom"/>
          </w:tcPr>
          <w:p>
            <w:pPr>
              <w:spacing w:after="0"/>
              <w:rPr>
                <w:sz w:val="17"/>
                <w:szCs w:val="17"/>
                <w:color w:val="auto"/>
              </w:rPr>
            </w:pPr>
          </w:p>
        </w:tc>
        <w:tc>
          <w:tcPr>
            <w:tcW w:w="108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7"/>
              </w:rPr>
              <w:t>Delivery):</w:t>
            </w:r>
          </w:p>
        </w:tc>
        <w:tc>
          <w:tcPr>
            <w:tcW w:w="7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80" w:type="dxa"/>
            <w:vAlign w:val="bottom"/>
            <w:tcBorders>
              <w:left w:val="single" w:sz="8" w:color="auto"/>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18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Aircraft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Adv Payment</w:t>
            </w: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98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vMerge w:val="continue"/>
            <w:shd w:val="clear" w:color="auto" w:fill="C0C0C0"/>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7"/>
              </w:rPr>
              <w:t>Scheduled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Base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(Airframe)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(Engine)</w:t>
            </w:r>
          </w:p>
        </w:tc>
        <w:tc>
          <w:tcPr>
            <w:tcW w:w="11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7"/>
              </w:rPr>
              <w:t>Delivery Quarter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8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14</w:t>
            </w:r>
          </w:p>
        </w:tc>
        <w:tc>
          <w:tcPr>
            <w:tcW w:w="8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80"/>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Note: [****]</w:t>
      </w:r>
    </w:p>
    <w:p>
      <w:pPr>
        <w:sectPr>
          <w:pgSz w:w="11900" w:h="16838" w:orient="portrait"/>
          <w:cols w:equalWidth="0" w:num="1">
            <w:col w:w="10139"/>
          </w:cols>
          <w:pgMar w:left="320" w:top="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AAL-PA-03219-LA-1804779R1, Attach B, [****], 121168-1F.txt SA-19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Page 2</w:t>
      </w:r>
    </w:p>
    <w:p>
      <w:pPr>
        <w:spacing w:after="0"/>
        <w:rPr>
          <w:sz w:val="20"/>
          <w:szCs w:val="20"/>
          <w:color w:val="auto"/>
        </w:rPr>
      </w:pPr>
      <w:r>
        <w:rPr>
          <w:rFonts w:ascii="Arial" w:cs="Arial" w:eastAsia="Arial" w:hAnsi="Arial"/>
          <w:sz w:val="14"/>
          <w:szCs w:val="14"/>
          <w:b w:val="1"/>
          <w:bCs w:val="1"/>
          <w:color w:val="auto"/>
        </w:rPr>
        <w:t>BOEING PROPRIETARY</w:t>
      </w:r>
    </w:p>
    <w:p>
      <w:pPr>
        <w:sectPr>
          <w:pgSz w:w="11900" w:h="16838" w:orient="portrait"/>
          <w:cols w:equalWidth="0" w:num="2">
            <w:col w:w="4360" w:space="440"/>
            <w:col w:w="5339"/>
          </w:cols>
          <w:pgMar w:left="320" w:top="86" w:right="1440" w:bottom="1440" w:gutter="0" w:footer="0" w:header="0"/>
          <w:type w:val="continuous"/>
        </w:sectPr>
      </w:pPr>
    </w:p>
    <w:bookmarkStart w:id="122" w:name="page123"/>
    <w:bookmarkEnd w:id="122"/>
    <w:p>
      <w:pPr>
        <w:ind w:left="2720"/>
        <w:spacing w:after="0"/>
        <w:rPr>
          <w:sz w:val="20"/>
          <w:szCs w:val="20"/>
          <w:color w:val="auto"/>
        </w:rPr>
      </w:pPr>
      <w:r>
        <w:rPr>
          <w:rFonts w:ascii="Arial" w:cs="Arial" w:eastAsia="Arial" w:hAnsi="Arial"/>
          <w:sz w:val="18"/>
          <w:szCs w:val="18"/>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560195" cy="360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2720"/>
        <w:spacing w:after="0" w:line="219" w:lineRule="auto"/>
        <w:rPr>
          <w:sz w:val="20"/>
          <w:szCs w:val="20"/>
          <w:color w:val="auto"/>
        </w:rPr>
      </w:pPr>
      <w:r>
        <w:rPr>
          <w:rFonts w:ascii="Arial" w:cs="Arial" w:eastAsia="Arial" w:hAnsi="Arial"/>
          <w:sz w:val="18"/>
          <w:szCs w:val="18"/>
          <w:color w:val="auto"/>
        </w:rPr>
        <w:t>P.O. Box 3707</w:t>
      </w:r>
    </w:p>
    <w:p>
      <w:pPr>
        <w:ind w:left="2720"/>
        <w:spacing w:after="0"/>
        <w:rPr>
          <w:sz w:val="20"/>
          <w:szCs w:val="20"/>
          <w:color w:val="auto"/>
        </w:rPr>
      </w:pPr>
      <w:r>
        <w:rPr>
          <w:rFonts w:ascii="Arial" w:cs="Arial" w:eastAsia="Arial" w:hAnsi="Arial"/>
          <w:sz w:val="18"/>
          <w:szCs w:val="18"/>
          <w:color w:val="auto"/>
        </w:rPr>
        <w:t>Seattle, WA 98124 2207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AAL-PA-03219-LA-2302901</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00" w:lineRule="exact"/>
        <w:rPr>
          <w:sz w:val="20"/>
          <w:szCs w:val="20"/>
          <w:color w:val="auto"/>
        </w:rPr>
      </w:pPr>
    </w:p>
    <w:p>
      <w:pPr>
        <w:spacing w:after="0" w:line="23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Special Matters – [****]</w:t>
      </w:r>
    </w:p>
    <w:p>
      <w:pPr>
        <w:spacing w:after="0" w:line="196" w:lineRule="exact"/>
        <w:rPr>
          <w:sz w:val="20"/>
          <w:szCs w:val="20"/>
          <w:color w:val="auto"/>
        </w:rPr>
      </w:pPr>
    </w:p>
    <w:p>
      <w:pPr>
        <w:ind w:left="1300" w:hanging="1295"/>
        <w:spacing w:after="0" w:line="250" w:lineRule="auto"/>
        <w:tabs>
          <w:tab w:leader="none" w:pos="1280" w:val="left"/>
        </w:tabs>
        <w:rPr>
          <w:sz w:val="20"/>
          <w:szCs w:val="20"/>
          <w:color w:val="auto"/>
        </w:rPr>
      </w:pPr>
      <w:r>
        <w:rPr>
          <w:rFonts w:ascii="Arial" w:cs="Arial" w:eastAsia="Arial" w:hAnsi="Arial"/>
          <w:sz w:val="22"/>
          <w:szCs w:val="22"/>
          <w:color w:val="auto"/>
        </w:rPr>
        <w:t>Reference:</w:t>
        <w:tab/>
        <w:t>Purchase Agreement No. 03219 (</w:t>
      </w:r>
      <w:r>
        <w:rPr>
          <w:rFonts w:ascii="Arial" w:cs="Arial" w:eastAsia="Arial" w:hAnsi="Arial"/>
          <w:sz w:val="22"/>
          <w:szCs w:val="22"/>
          <w:b w:val="1"/>
          <w:bCs w:val="1"/>
          <w:color w:val="auto"/>
        </w:rPr>
        <w:t>Purchase Agreement</w:t>
      </w:r>
      <w:r>
        <w:rPr>
          <w:rFonts w:ascii="Arial" w:cs="Arial" w:eastAsia="Arial" w:hAnsi="Arial"/>
          <w:sz w:val="22"/>
          <w:szCs w:val="22"/>
          <w:color w:val="auto"/>
        </w:rPr>
        <w:t xml:space="preserve"> )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787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200" w:lineRule="exact"/>
        <w:rPr>
          <w:sz w:val="20"/>
          <w:szCs w:val="20"/>
          <w:color w:val="auto"/>
        </w:rPr>
      </w:pPr>
    </w:p>
    <w:p>
      <w:pPr>
        <w:spacing w:after="0" w:line="299"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will have the same meaning as in the Purchase Agreement.</w:t>
      </w:r>
    </w:p>
    <w:p>
      <w:pPr>
        <w:spacing w:after="0" w:line="50" w:lineRule="exact"/>
        <w:rPr>
          <w:sz w:val="20"/>
          <w:szCs w:val="20"/>
          <w:color w:val="auto"/>
        </w:rPr>
      </w:pPr>
    </w:p>
    <w:p>
      <w:pPr>
        <w:ind w:left="720" w:hanging="712"/>
        <w:spacing w:after="0"/>
        <w:tabs>
          <w:tab w:leader="none" w:pos="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 the [****].</w:t>
      </w:r>
    </w:p>
    <w:p>
      <w:pPr>
        <w:spacing w:after="0" w:line="71" w:lineRule="exact"/>
        <w:rPr>
          <w:sz w:val="20"/>
          <w:szCs w:val="20"/>
          <w:color w:val="auto"/>
        </w:rPr>
      </w:pPr>
    </w:p>
    <w:p>
      <w:pPr>
        <w:ind w:left="900" w:hanging="892"/>
        <w:spacing w:after="0"/>
        <w:tabs>
          <w:tab w:leader="none" w:pos="9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 in accordance with the provisions of the [****] as such provisions have been applied to the [****].</w:t>
      </w:r>
    </w:p>
    <w:p>
      <w:pPr>
        <w:spacing w:after="0"/>
        <w:rPr>
          <w:sz w:val="20"/>
          <w:szCs w:val="20"/>
          <w:color w:val="auto"/>
        </w:rPr>
      </w:pPr>
      <w:r>
        <w:rPr>
          <w:rFonts w:ascii="Arial" w:cs="Arial" w:eastAsia="Arial" w:hAnsi="Arial"/>
          <w:sz w:val="22"/>
          <w:szCs w:val="22"/>
          <w:color w:val="auto"/>
        </w:rPr>
        <w:t>The [****].</w:t>
      </w:r>
    </w:p>
    <w:p>
      <w:pPr>
        <w:spacing w:after="0" w:line="55" w:lineRule="exact"/>
        <w:rPr>
          <w:sz w:val="20"/>
          <w:szCs w:val="20"/>
          <w:color w:val="auto"/>
        </w:rPr>
      </w:pPr>
    </w:p>
    <w:p>
      <w:pPr>
        <w:ind w:left="900" w:hanging="892"/>
        <w:spacing w:after="0"/>
        <w:tabs>
          <w:tab w:leader="none" w:pos="9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7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Notwithstanding any other provision of the Purchase Agreement except for the AGTA Assignment Provisions (as defined in Section 1 of Letter Agreement AAL-LA-1106678 entitled “</w:t>
      </w:r>
      <w:r>
        <w:rPr>
          <w:rFonts w:ascii="Arial" w:cs="Arial" w:eastAsia="Arial" w:hAnsi="Arial"/>
          <w:sz w:val="22"/>
          <w:szCs w:val="22"/>
          <w:u w:val="single" w:color="auto"/>
          <w:color w:val="auto"/>
        </w:rPr>
        <w:t>Assignment Matter</w:t>
      </w:r>
      <w:r>
        <w:rPr>
          <w:rFonts w:ascii="Arial" w:cs="Arial" w:eastAsia="Arial" w:hAnsi="Arial"/>
          <w:sz w:val="22"/>
          <w:szCs w:val="22"/>
          <w:color w:val="auto"/>
        </w:rPr>
        <w: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49" w:lineRule="exact"/>
        <w:rPr>
          <w:sz w:val="20"/>
          <w:szCs w:val="20"/>
          <w:color w:val="auto"/>
        </w:rPr>
      </w:pPr>
    </w:p>
    <w:p>
      <w:pPr>
        <w:ind w:left="900" w:hanging="892"/>
        <w:spacing w:after="0"/>
        <w:tabs>
          <w:tab w:leader="none" w:pos="9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w:t>
      </w:r>
    </w:p>
    <w:p>
      <w:pPr>
        <w:spacing w:after="0" w:line="7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Customer and Boeing understand that the information contained herein represents confidential business information and has value precisely because it is not available generally or to other parties. This Letter Agreement Letter shall be subject to the terms and conditions of Letter Agreement 6-1162-TRW-0673R1 entitled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2960" w:val="left"/>
        </w:tabs>
        <w:rPr>
          <w:sz w:val="20"/>
          <w:szCs w:val="20"/>
          <w:color w:val="auto"/>
        </w:rPr>
      </w:pPr>
      <w:r>
        <w:rPr>
          <w:rFonts w:ascii="Arial" w:cs="Arial" w:eastAsia="Arial" w:hAnsi="Arial"/>
          <w:sz w:val="22"/>
          <w:szCs w:val="22"/>
          <w:color w:val="auto"/>
        </w:rPr>
        <w:t>AAL-PA-03219-LA-2302901</w:t>
      </w:r>
      <w:r>
        <w:rPr>
          <w:sz w:val="20"/>
          <w:szCs w:val="20"/>
          <w:color w:val="auto"/>
        </w:rPr>
        <w:tab/>
      </w:r>
      <w:r>
        <w:rPr>
          <w:rFonts w:ascii="Arial" w:cs="Arial" w:eastAsia="Arial" w:hAnsi="Arial"/>
          <w:sz w:val="21"/>
          <w:szCs w:val="21"/>
          <w:color w:val="auto"/>
        </w:rPr>
        <w:t>SA-19</w:t>
      </w:r>
    </w:p>
    <w:p>
      <w:pPr>
        <w:spacing w:after="0" w:line="204" w:lineRule="auto"/>
        <w:tabs>
          <w:tab w:leader="none" w:pos="740" w:val="left"/>
        </w:tabs>
        <w:rPr>
          <w:sz w:val="20"/>
          <w:szCs w:val="20"/>
          <w:color w:val="auto"/>
        </w:rPr>
      </w:pPr>
      <w:r>
        <w:rPr>
          <w:rFonts w:ascii="Arial" w:cs="Arial" w:eastAsia="Arial" w:hAnsi="Arial"/>
          <w:sz w:val="22"/>
          <w:szCs w:val="22"/>
          <w:color w:val="auto"/>
        </w:rPr>
        <w:t>[****]</w:t>
        <w:tab/>
        <w:t>Page 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8" w:right="339" w:bottom="1440" w:gutter="0" w:footer="0" w:header="0"/>
        </w:sectPr>
      </w:pPr>
    </w:p>
    <w:bookmarkStart w:id="123" w:name="page124"/>
    <w:bookmarkEnd w:id="123"/>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75"/>
        </w:trPr>
        <w:tc>
          <w:tcPr>
            <w:tcW w:w="5060" w:type="dxa"/>
            <w:vAlign w:val="bottom"/>
            <w:gridSpan w:val="2"/>
          </w:tcPr>
          <w:p>
            <w:pPr>
              <w:spacing w:after="0"/>
              <w:rPr>
                <w:sz w:val="20"/>
                <w:szCs w:val="20"/>
                <w:color w:val="auto"/>
              </w:rPr>
            </w:pPr>
            <w:r>
              <w:rPr>
                <w:rFonts w:ascii="Arial" w:cs="Arial" w:eastAsia="Arial" w:hAnsi="Arial"/>
                <w:sz w:val="22"/>
                <w:szCs w:val="22"/>
                <w:color w:val="auto"/>
              </w:rPr>
              <w:t>ACCEPTED AND AGREED TO this</w:t>
            </w:r>
          </w:p>
        </w:tc>
        <w:tc>
          <w:tcPr>
            <w:tcW w:w="144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634"/>
        </w:trPr>
        <w:tc>
          <w:tcPr>
            <w:tcW w:w="980" w:type="dxa"/>
            <w:vAlign w:val="bottom"/>
          </w:tcPr>
          <w:p>
            <w:pPr>
              <w:spacing w:after="0"/>
              <w:rPr>
                <w:sz w:val="20"/>
                <w:szCs w:val="20"/>
                <w:color w:val="auto"/>
              </w:rPr>
            </w:pPr>
            <w:r>
              <w:rPr>
                <w:rFonts w:ascii="Arial" w:cs="Arial" w:eastAsia="Arial" w:hAnsi="Arial"/>
                <w:sz w:val="22"/>
                <w:szCs w:val="22"/>
                <w:color w:val="auto"/>
              </w:rPr>
              <w:t>Date:</w:t>
            </w:r>
          </w:p>
        </w:tc>
        <w:tc>
          <w:tcPr>
            <w:tcW w:w="4080" w:type="dxa"/>
            <w:vAlign w:val="bottom"/>
          </w:tcPr>
          <w:p>
            <w:pPr>
              <w:ind w:left="20"/>
              <w:spacing w:after="0"/>
              <w:rPr>
                <w:sz w:val="20"/>
                <w:szCs w:val="20"/>
                <w:color w:val="auto"/>
              </w:rPr>
            </w:pPr>
            <w:r>
              <w:rPr>
                <w:rFonts w:ascii="Arial" w:cs="Arial" w:eastAsia="Arial" w:hAnsi="Arial"/>
                <w:sz w:val="22"/>
                <w:szCs w:val="22"/>
                <w:color w:val="auto"/>
              </w:rPr>
              <w:t>April 25, 2023</w:t>
            </w:r>
          </w:p>
        </w:tc>
        <w:tc>
          <w:tcPr>
            <w:tcW w:w="144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0"/>
        </w:trPr>
        <w:tc>
          <w:tcPr>
            <w:tcW w:w="9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6100" w:type="dxa"/>
            <w:vAlign w:val="bottom"/>
            <w:gridSpan w:val="2"/>
          </w:tcPr>
          <w:p>
            <w:pPr>
              <w:spacing w:after="0"/>
              <w:rPr>
                <w:sz w:val="2"/>
                <w:szCs w:val="2"/>
                <w:color w:val="auto"/>
              </w:rPr>
            </w:pPr>
          </w:p>
        </w:tc>
      </w:tr>
      <w:tr>
        <w:trPr>
          <w:trHeight w:val="598"/>
        </w:trPr>
        <w:tc>
          <w:tcPr>
            <w:tcW w:w="5060" w:type="dxa"/>
            <w:vAlign w:val="bottom"/>
            <w:gridSpan w:val="2"/>
          </w:tcPr>
          <w:p>
            <w:pPr>
              <w:spacing w:after="0"/>
              <w:rPr>
                <w:sz w:val="20"/>
                <w:szCs w:val="20"/>
                <w:color w:val="auto"/>
              </w:rPr>
            </w:pPr>
            <w:r>
              <w:rPr>
                <w:rFonts w:ascii="Arial" w:cs="Arial" w:eastAsia="Arial" w:hAnsi="Arial"/>
                <w:sz w:val="22"/>
                <w:szCs w:val="22"/>
                <w:color w:val="auto"/>
              </w:rPr>
              <w:t>AMERICAN AIRLINES, INC.</w:t>
            </w:r>
          </w:p>
        </w:tc>
        <w:tc>
          <w:tcPr>
            <w:tcW w:w="6100" w:type="dxa"/>
            <w:vAlign w:val="bottom"/>
            <w:gridSpan w:val="2"/>
          </w:tcPr>
          <w:p>
            <w:pPr>
              <w:ind w:left="460"/>
              <w:spacing w:after="0"/>
              <w:rPr>
                <w:sz w:val="20"/>
                <w:szCs w:val="20"/>
                <w:color w:val="auto"/>
              </w:rPr>
            </w:pPr>
            <w:r>
              <w:rPr>
                <w:rFonts w:ascii="Arial" w:cs="Arial" w:eastAsia="Arial" w:hAnsi="Arial"/>
                <w:sz w:val="22"/>
                <w:szCs w:val="22"/>
                <w:color w:val="auto"/>
              </w:rPr>
              <w:t>THE BOEING COMPANY</w:t>
            </w:r>
          </w:p>
        </w:tc>
      </w:tr>
      <w:tr>
        <w:trPr>
          <w:trHeight w:val="634"/>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080" w:type="dxa"/>
            <w:vAlign w:val="bottom"/>
          </w:tcPr>
          <w:p>
            <w:pPr>
              <w:ind w:left="20"/>
              <w:spacing w:after="0"/>
              <w:rPr>
                <w:sz w:val="20"/>
                <w:szCs w:val="20"/>
                <w:color w:val="auto"/>
              </w:rPr>
            </w:pPr>
            <w:r>
              <w:rPr>
                <w:rFonts w:ascii="Arial" w:cs="Arial" w:eastAsia="Arial" w:hAnsi="Arial"/>
                <w:sz w:val="22"/>
                <w:szCs w:val="22"/>
                <w:color w:val="auto"/>
              </w:rPr>
              <w:t>/s/ American Airlines, Inc.</w:t>
            </w:r>
          </w:p>
        </w:tc>
        <w:tc>
          <w:tcPr>
            <w:tcW w:w="1440" w:type="dxa"/>
            <w:vAlign w:val="bottom"/>
          </w:tcPr>
          <w:p>
            <w:pPr>
              <w:ind w:left="460"/>
              <w:spacing w:after="0"/>
              <w:rPr>
                <w:sz w:val="20"/>
                <w:szCs w:val="20"/>
                <w:color w:val="auto"/>
              </w:rPr>
            </w:pPr>
            <w:r>
              <w:rPr>
                <w:rFonts w:ascii="Arial" w:cs="Arial" w:eastAsia="Arial" w:hAnsi="Arial"/>
                <w:sz w:val="22"/>
                <w:szCs w:val="22"/>
                <w:color w:val="auto"/>
              </w:rPr>
              <w:t>By:</w:t>
            </w:r>
          </w:p>
        </w:tc>
        <w:tc>
          <w:tcPr>
            <w:tcW w:w="4660" w:type="dxa"/>
            <w:vAlign w:val="bottom"/>
          </w:tcPr>
          <w:p>
            <w:pPr>
              <w:ind w:left="20"/>
              <w:spacing w:after="0"/>
              <w:rPr>
                <w:sz w:val="20"/>
                <w:szCs w:val="20"/>
                <w:color w:val="auto"/>
              </w:rPr>
            </w:pPr>
            <w:r>
              <w:rPr>
                <w:rFonts w:ascii="Arial" w:cs="Arial" w:eastAsia="Arial" w:hAnsi="Arial"/>
                <w:sz w:val="22"/>
                <w:szCs w:val="22"/>
                <w:color w:val="auto"/>
              </w:rPr>
              <w:t>/s/ The Boeing Company</w:t>
            </w:r>
          </w:p>
        </w:tc>
      </w:tr>
      <w:tr>
        <w:trPr>
          <w:trHeight w:val="30"/>
        </w:trPr>
        <w:tc>
          <w:tcPr>
            <w:tcW w:w="9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598"/>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080" w:type="dxa"/>
            <w:vAlign w:val="bottom"/>
          </w:tcPr>
          <w:p>
            <w:pPr>
              <w:ind w:left="20"/>
              <w:spacing w:after="0"/>
              <w:rPr>
                <w:sz w:val="20"/>
                <w:szCs w:val="20"/>
                <w:color w:val="auto"/>
              </w:rPr>
            </w:pPr>
            <w:r>
              <w:rPr>
                <w:rFonts w:ascii="Arial" w:cs="Arial" w:eastAsia="Arial" w:hAnsi="Arial"/>
                <w:sz w:val="22"/>
                <w:szCs w:val="22"/>
                <w:color w:val="auto"/>
              </w:rPr>
              <w:t>American Airlines, Inc.</w:t>
            </w:r>
          </w:p>
        </w:tc>
        <w:tc>
          <w:tcPr>
            <w:tcW w:w="1440" w:type="dxa"/>
            <w:vAlign w:val="bottom"/>
          </w:tcPr>
          <w:p>
            <w:pPr>
              <w:ind w:left="460"/>
              <w:spacing w:after="0"/>
              <w:rPr>
                <w:sz w:val="20"/>
                <w:szCs w:val="20"/>
                <w:color w:val="auto"/>
              </w:rPr>
            </w:pPr>
            <w:r>
              <w:rPr>
                <w:rFonts w:ascii="Arial" w:cs="Arial" w:eastAsia="Arial" w:hAnsi="Arial"/>
                <w:sz w:val="22"/>
                <w:szCs w:val="22"/>
                <w:color w:val="auto"/>
              </w:rPr>
              <w:t>Name:</w:t>
            </w:r>
          </w:p>
        </w:tc>
        <w:tc>
          <w:tcPr>
            <w:tcW w:w="4660" w:type="dxa"/>
            <w:vAlign w:val="bottom"/>
          </w:tcPr>
          <w:p>
            <w:pPr>
              <w:ind w:left="20"/>
              <w:spacing w:after="0"/>
              <w:rPr>
                <w:sz w:val="20"/>
                <w:szCs w:val="20"/>
                <w:color w:val="auto"/>
              </w:rPr>
            </w:pPr>
            <w:r>
              <w:rPr>
                <w:rFonts w:ascii="Arial" w:cs="Arial" w:eastAsia="Arial" w:hAnsi="Arial"/>
                <w:sz w:val="22"/>
                <w:szCs w:val="22"/>
                <w:color w:val="auto"/>
              </w:rPr>
              <w:t>The Boeing Company</w:t>
            </w:r>
          </w:p>
        </w:tc>
      </w:tr>
      <w:tr>
        <w:trPr>
          <w:trHeight w:val="31"/>
        </w:trPr>
        <w:tc>
          <w:tcPr>
            <w:tcW w:w="9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598"/>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080" w:type="dxa"/>
            <w:vAlign w:val="bottom"/>
          </w:tcPr>
          <w:p>
            <w:pPr>
              <w:ind w:left="20"/>
              <w:spacing w:after="0"/>
              <w:rPr>
                <w:sz w:val="20"/>
                <w:szCs w:val="20"/>
                <w:color w:val="auto"/>
              </w:rPr>
            </w:pPr>
            <w:r>
              <w:rPr>
                <w:rFonts w:ascii="Arial" w:cs="Arial" w:eastAsia="Arial" w:hAnsi="Arial"/>
                <w:sz w:val="22"/>
                <w:szCs w:val="22"/>
                <w:color w:val="auto"/>
              </w:rPr>
              <w:t>VP, Treasurer</w:t>
            </w:r>
          </w:p>
        </w:tc>
        <w:tc>
          <w:tcPr>
            <w:tcW w:w="1440" w:type="dxa"/>
            <w:vAlign w:val="bottom"/>
          </w:tcPr>
          <w:p>
            <w:pPr>
              <w:ind w:left="460"/>
              <w:spacing w:after="0"/>
              <w:rPr>
                <w:sz w:val="20"/>
                <w:szCs w:val="20"/>
                <w:color w:val="auto"/>
              </w:rPr>
            </w:pPr>
            <w:r>
              <w:rPr>
                <w:rFonts w:ascii="Arial" w:cs="Arial" w:eastAsia="Arial" w:hAnsi="Arial"/>
                <w:sz w:val="22"/>
                <w:szCs w:val="22"/>
                <w:color w:val="auto"/>
              </w:rPr>
              <w:t>Title:</w:t>
            </w:r>
          </w:p>
        </w:tc>
        <w:tc>
          <w:tcPr>
            <w:tcW w:w="4660" w:type="dxa"/>
            <w:vAlign w:val="bottom"/>
          </w:tcPr>
          <w:p>
            <w:pPr>
              <w:ind w:left="20"/>
              <w:spacing w:after="0"/>
              <w:rPr>
                <w:sz w:val="20"/>
                <w:szCs w:val="20"/>
                <w:color w:val="auto"/>
              </w:rPr>
            </w:pPr>
            <w:r>
              <w:rPr>
                <w:rFonts w:ascii="Arial" w:cs="Arial" w:eastAsia="Arial" w:hAnsi="Arial"/>
                <w:sz w:val="22"/>
                <w:szCs w:val="22"/>
                <w:color w:val="auto"/>
              </w:rPr>
              <w:t>Attorney-In-Fact</w:t>
            </w:r>
          </w:p>
        </w:tc>
      </w:tr>
      <w:tr>
        <w:trPr>
          <w:trHeight w:val="44"/>
        </w:trPr>
        <w:tc>
          <w:tcPr>
            <w:tcW w:w="98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2960" w:val="left"/>
        </w:tabs>
        <w:rPr>
          <w:sz w:val="20"/>
          <w:szCs w:val="20"/>
          <w:color w:val="auto"/>
        </w:rPr>
      </w:pPr>
      <w:r>
        <w:rPr>
          <w:rFonts w:ascii="Arial" w:cs="Arial" w:eastAsia="Arial" w:hAnsi="Arial"/>
          <w:sz w:val="22"/>
          <w:szCs w:val="22"/>
          <w:color w:val="auto"/>
        </w:rPr>
        <w:t>AAL-PA-03219-LA-2302901</w:t>
      </w:r>
      <w:r>
        <w:rPr>
          <w:sz w:val="20"/>
          <w:szCs w:val="20"/>
          <w:color w:val="auto"/>
        </w:rPr>
        <w:tab/>
      </w:r>
      <w:r>
        <w:rPr>
          <w:rFonts w:ascii="Arial" w:cs="Arial" w:eastAsia="Arial" w:hAnsi="Arial"/>
          <w:sz w:val="21"/>
          <w:szCs w:val="21"/>
          <w:color w:val="auto"/>
        </w:rPr>
        <w:t>SA-19</w:t>
      </w:r>
    </w:p>
    <w:p>
      <w:pPr>
        <w:spacing w:after="0" w:line="204" w:lineRule="auto"/>
        <w:tabs>
          <w:tab w:leader="none" w:pos="740" w:val="left"/>
        </w:tabs>
        <w:rPr>
          <w:sz w:val="20"/>
          <w:szCs w:val="20"/>
          <w:color w:val="auto"/>
        </w:rPr>
      </w:pPr>
      <w:r>
        <w:rPr>
          <w:rFonts w:ascii="Arial" w:cs="Arial" w:eastAsia="Arial" w:hAnsi="Arial"/>
          <w:sz w:val="22"/>
          <w:szCs w:val="22"/>
          <w:color w:val="auto"/>
        </w:rPr>
        <w:t>[****]</w:t>
        <w:tab/>
        <w:t>Page 2</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180"/>
          </w:cols>
          <w:pgMar w:left="320" w:top="1440" w:right="399" w:bottom="1440" w:gutter="0" w:footer="0" w:header="0"/>
        </w:sectPr>
      </w:pPr>
    </w:p>
    <w:bookmarkStart w:id="124" w:name="page125"/>
    <w:bookmarkEnd w:id="124"/>
    <w:p>
      <w:pPr>
        <w:ind w:left="10240"/>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282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5" w:lineRule="exact"/>
        <w:rPr>
          <w:sz w:val="20"/>
          <w:szCs w:val="20"/>
          <w:color w:val="auto"/>
        </w:rPr>
      </w:pPr>
    </w:p>
    <w:p>
      <w:pPr>
        <w:ind w:left="40" w:right="80"/>
        <w:spacing w:after="0" w:line="260"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29</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8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This SUPPLEMENTAL AGREEMENT No. 29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29</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May _2</w:t>
      </w:r>
      <w:r>
        <w:rPr>
          <w:rFonts w:ascii="Arial" w:cs="Arial" w:eastAsia="Arial" w:hAnsi="Arial"/>
          <w:sz w:val="22"/>
          <w:szCs w:val="22"/>
          <w:u w:val="single" w:color="auto"/>
          <w:color w:val="auto"/>
        </w:rPr>
        <w:t>3</w:t>
      </w:r>
      <w:r>
        <w:rPr>
          <w:rFonts w:ascii="Arial" w:cs="Arial" w:eastAsia="Arial" w:hAnsi="Arial"/>
          <w:sz w:val="22"/>
          <w:szCs w:val="22"/>
          <w:color w:val="auto"/>
        </w:rPr>
        <w:t>_, 2023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4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86" w:lineRule="exact"/>
        <w:rPr>
          <w:sz w:val="20"/>
          <w:szCs w:val="20"/>
          <w:color w:val="auto"/>
        </w:rPr>
      </w:pPr>
    </w:p>
    <w:p>
      <w:pPr>
        <w:jc w:val="both"/>
        <w:ind w:firstLine="267"/>
        <w:spacing w:after="0" w:line="219" w:lineRule="auto"/>
        <w:rPr>
          <w:sz w:val="20"/>
          <w:szCs w:val="20"/>
          <w:color w:val="auto"/>
        </w:rPr>
      </w:pPr>
      <w:r>
        <w:rPr>
          <w:rFonts w:ascii="Arial" w:cs="Arial" w:eastAsia="Arial" w:hAnsi="Arial"/>
          <w:sz w:val="22"/>
          <w:szCs w:val="22"/>
          <w:color w:val="auto"/>
        </w:rPr>
        <w:t>WHEREAS, in [****] to the [****] Aircraft that Customer had previously [****] as set forth in Table 1R12, 1-2, 1-3R6, and 1-4R6 to the Purchase Agreement, Customer [****], [****] in Attachment A(R9) to Letter Agreement No. AAL-PA-03735-LA-1106651R9 entitled “</w:t>
      </w:r>
      <w:r>
        <w:rPr>
          <w:rFonts w:ascii="Arial" w:cs="Arial" w:eastAsia="Arial" w:hAnsi="Arial"/>
          <w:sz w:val="22"/>
          <w:szCs w:val="22"/>
          <w:u w:val="single" w:color="auto"/>
          <w:color w:val="auto"/>
        </w:rPr>
        <w:t>[****]” (</w:t>
      </w:r>
      <w:r>
        <w:rPr>
          <w:rFonts w:ascii="Arial" w:cs="Arial" w:eastAsia="Arial" w:hAnsi="Arial"/>
          <w:sz w:val="22"/>
          <w:szCs w:val="22"/>
          <w:b w:val="1"/>
          <w:bCs w:val="1"/>
          <w:color w:val="auto"/>
        </w:rPr>
        <w:t>[****] Letter Agreement</w:t>
      </w:r>
      <w:r>
        <w:rPr>
          <w:rFonts w:ascii="Arial" w:cs="Arial" w:eastAsia="Arial" w:hAnsi="Arial"/>
          <w:sz w:val="22"/>
          <w:szCs w:val="22"/>
          <w:color w:val="auto"/>
        </w:rPr>
        <w:t>) with [****], pursuant to the terms and conditions of the [****] Letter Agreement.</w:t>
      </w:r>
    </w:p>
    <w:p>
      <w:pPr>
        <w:spacing w:after="0" w:line="18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WHERAS, Boeing and Customer have agreed to a [****] ([****]) for those 737-8 aircraft [****]. With respect to such [****], Customer and Boeing now agree to incorporate Exhibit A3 [****] for Boeing Model 737-8 aircraft, replacing Table 1-4(R6) [****], and adding Table 1-5 [****] per this SA-29.</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298"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SA-28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SA-29 in the footer to reflect changes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SA-29, 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04" w:right="339" w:bottom="1440" w:gutter="0" w:footer="0" w:header="0"/>
        </w:sectPr>
      </w:pPr>
    </w:p>
    <w:bookmarkStart w:id="125" w:name="page126"/>
    <w:bookmarkEnd w:id="125"/>
    <w:p>
      <w:pPr>
        <w:spacing w:after="0" w:line="95"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the Purchase Agreement by this SA-29. Such new Table of Contents is hereby incorporated into the Purchase Agreement in replacement of its predecessor.</w:t>
      </w:r>
    </w:p>
    <w:p>
      <w:pPr>
        <w:spacing w:after="0" w:line="15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Table 1-4R6</w:t>
      </w:r>
      <w:r>
        <w:rPr>
          <w:rFonts w:ascii="Arial" w:cs="Arial" w:eastAsia="Arial" w:hAnsi="Arial"/>
          <w:sz w:val="22"/>
          <w:szCs w:val="22"/>
          <w:color w:val="auto"/>
        </w:rPr>
        <w:t>. Table 1-4R6 entitled “</w:t>
      </w:r>
      <w:r>
        <w:rPr>
          <w:rFonts w:ascii="Arial" w:cs="Arial" w:eastAsia="Arial" w:hAnsi="Arial"/>
          <w:sz w:val="22"/>
          <w:szCs w:val="22"/>
          <w:u w:val="single" w:color="auto"/>
          <w:color w:val="auto"/>
        </w:rPr>
        <w:t>737-8 [****]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is hereby deleted in its entirety and replaced with Table 1-4R7 entitled “</w:t>
      </w:r>
      <w:r>
        <w:rPr>
          <w:rFonts w:ascii="Arial" w:cs="Arial" w:eastAsia="Arial" w:hAnsi="Arial"/>
          <w:sz w:val="22"/>
          <w:szCs w:val="22"/>
          <w:u w:val="single" w:color="auto"/>
          <w:color w:val="auto"/>
        </w:rPr>
        <w:t>737-8 [****] Aircraft Delivery,</w:t>
      </w:r>
      <w:r>
        <w:rPr>
          <w:rFonts w:ascii="Arial" w:cs="Arial" w:eastAsia="Arial" w:hAnsi="Arial"/>
          <w:sz w:val="22"/>
          <w:szCs w:val="22"/>
          <w:color w:val="auto"/>
        </w:rPr>
        <w:t xml:space="preserve"> </w:t>
      </w:r>
      <w:r>
        <w:rPr>
          <w:rFonts w:ascii="Arial" w:cs="Arial" w:eastAsia="Arial" w:hAnsi="Arial"/>
          <w:sz w:val="22"/>
          <w:szCs w:val="22"/>
          <w:u w:val="single" w:color="auto"/>
          <w:color w:val="auto"/>
        </w:rPr>
        <w:t>Description, Price and Advance Payments</w:t>
      </w:r>
      <w:r>
        <w:rPr>
          <w:rFonts w:ascii="Arial" w:cs="Arial" w:eastAsia="Arial" w:hAnsi="Arial"/>
          <w:sz w:val="22"/>
          <w:szCs w:val="22"/>
          <w:color w:val="auto"/>
        </w:rPr>
        <w:t>” (attached hereto) referencing SA-29 in the footer is hereby incorporated into the Purchase Agreement in replacement of Table 1-4R6. For avoidance of doubt, the only difference between Table 1-4R6 and Table 1-4R7 is the [****] in the Purchase Agreement, resulting in Table 1-4R7.</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Table 1-5</w:t>
      </w:r>
      <w:r>
        <w:rPr>
          <w:rFonts w:ascii="Arial" w:cs="Arial" w:eastAsia="Arial" w:hAnsi="Arial"/>
          <w:sz w:val="22"/>
          <w:szCs w:val="22"/>
          <w:color w:val="auto"/>
        </w:rPr>
        <w:t>. Table 1-5 entitled “</w:t>
      </w:r>
      <w:r>
        <w:rPr>
          <w:rFonts w:ascii="Arial" w:cs="Arial" w:eastAsia="Arial" w:hAnsi="Arial"/>
          <w:sz w:val="22"/>
          <w:szCs w:val="22"/>
          <w:u w:val="single" w:color="auto"/>
          <w:color w:val="auto"/>
        </w:rPr>
        <w:t>[****] 737-8 [****] Option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and referencing SA-29 in the footer is hereby incorporated into the Purchase Agreement. For avoidance of doubt, this Table 1-5 [****].</w:t>
      </w:r>
    </w:p>
    <w:p>
      <w:pPr>
        <w:spacing w:after="0" w:line="159"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196"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u w:val="single" w:color="auto"/>
          <w:color w:val="auto"/>
        </w:rPr>
        <w:t>Exhibit A3</w:t>
      </w:r>
      <w:r>
        <w:rPr>
          <w:rFonts w:ascii="Arial" w:cs="Arial" w:eastAsia="Arial" w:hAnsi="Arial"/>
          <w:sz w:val="22"/>
          <w:szCs w:val="22"/>
          <w:color w:val="auto"/>
        </w:rPr>
        <w:t>. Exhibit A3 entitled “</w:t>
      </w:r>
      <w:r>
        <w:rPr>
          <w:rFonts w:ascii="Arial" w:cs="Arial" w:eastAsia="Arial" w:hAnsi="Arial"/>
          <w:sz w:val="22"/>
          <w:szCs w:val="22"/>
          <w:u w:val="single" w:color="auto"/>
          <w:color w:val="auto"/>
        </w:rPr>
        <w:t>[****] Aircraft Configuration</w:t>
      </w:r>
      <w:r>
        <w:rPr>
          <w:rFonts w:ascii="Arial" w:cs="Arial" w:eastAsia="Arial" w:hAnsi="Arial"/>
          <w:sz w:val="22"/>
          <w:szCs w:val="22"/>
          <w:color w:val="auto"/>
        </w:rPr>
        <w:t>,” [****] (</w:t>
      </w:r>
      <w:r>
        <w:rPr>
          <w:rFonts w:ascii="Arial" w:cs="Arial" w:eastAsia="Arial" w:hAnsi="Arial"/>
          <w:sz w:val="22"/>
          <w:szCs w:val="22"/>
          <w:b w:val="1"/>
          <w:bCs w:val="1"/>
          <w:i w:val="1"/>
          <w:iCs w:val="1"/>
          <w:color w:val="auto"/>
        </w:rPr>
        <w:t>Exhibit A3</w:t>
      </w:r>
      <w:r>
        <w:rPr>
          <w:rFonts w:ascii="Arial" w:cs="Arial" w:eastAsia="Arial" w:hAnsi="Arial"/>
          <w:sz w:val="22"/>
          <w:szCs w:val="22"/>
          <w:color w:val="auto"/>
        </w:rPr>
        <w:t>) is hereby incorporated into the Purchase Agreement. For the avoidance of doubt, Boeing will (i) [****] and (ii) [****].</w:t>
      </w:r>
    </w:p>
    <w:p>
      <w:pPr>
        <w:spacing w:after="0" w:line="158"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 xml:space="preserve">4.1 Letter Agreement No. AAL-PA-03735-LA-1106651R10 (including Attachment A(R10)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is hereby deleted in its entirety and replaced with Letter Agreement No. AAL-PA-03735-LA-1106651R11 (including Attachment A(R11) (attached hereto)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referencing SA-29 in the footer. The [****] is hereby incorporated into the Purchase Agreement.</w:t>
      </w:r>
    </w:p>
    <w:p>
      <w:pPr>
        <w:spacing w:after="0" w:line="18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4.2 Letter Agreement No. ALL-PA-03735-LA-1106650R6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is hereby deleted in its entirety and replaced with Letter Agreement No. ALL-PA-03735-LA-1106650R7 (attached hereto) entitled </w:t>
      </w:r>
      <w:r>
        <w:rPr>
          <w:rFonts w:ascii="Arial" w:cs="Arial" w:eastAsia="Arial" w:hAnsi="Arial"/>
          <w:sz w:val="22"/>
          <w:szCs w:val="22"/>
          <w:u w:val="single" w:color="auto"/>
          <w:color w:val="auto"/>
        </w:rPr>
        <w:t>[****] ([****]</w:t>
      </w:r>
      <w:r>
        <w:rPr>
          <w:rFonts w:ascii="Arial" w:cs="Arial" w:eastAsia="Arial" w:hAnsi="Arial"/>
          <w:sz w:val="22"/>
          <w:szCs w:val="22"/>
          <w:color w:val="auto"/>
        </w:rPr>
        <w:t xml:space="preserve">) referencing SA-29 in the footer. The </w:t>
      </w:r>
      <w:r>
        <w:rPr>
          <w:rFonts w:ascii="Arial" w:cs="Arial" w:eastAsia="Arial" w:hAnsi="Arial"/>
          <w:sz w:val="22"/>
          <w:szCs w:val="22"/>
          <w:u w:val="single" w:color="auto"/>
          <w:color w:val="auto"/>
        </w:rPr>
        <w:t>[****]</w:t>
      </w:r>
      <w:r>
        <w:rPr>
          <w:rFonts w:ascii="Arial" w:cs="Arial" w:eastAsia="Arial" w:hAnsi="Arial"/>
          <w:sz w:val="22"/>
          <w:szCs w:val="22"/>
          <w:color w:val="auto"/>
        </w:rPr>
        <w:t xml:space="preserve"> is hereby incorporated into the Purchase Agreement.</w:t>
      </w:r>
    </w:p>
    <w:p>
      <w:pPr>
        <w:spacing w:after="0" w:line="18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4.3 The parties agree [****] to Letter Agreement No. AAL-PA-03735-LA-1106652R2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and [****] to Letter Agreement No. AAL-PA-03735-LA-2204032 entitled </w:t>
      </w:r>
      <w:r>
        <w:rPr>
          <w:rFonts w:ascii="Arial" w:cs="Arial" w:eastAsia="Arial" w:hAnsi="Arial"/>
          <w:sz w:val="22"/>
          <w:szCs w:val="22"/>
          <w:u w:val="single" w:color="auto"/>
          <w:color w:val="auto"/>
        </w:rPr>
        <w:t>[****]</w:t>
      </w:r>
      <w:r>
        <w:rPr>
          <w:rFonts w:ascii="Arial" w:cs="Arial" w:eastAsia="Arial" w:hAnsi="Arial"/>
          <w:sz w:val="22"/>
          <w:szCs w:val="22"/>
          <w:color w:val="auto"/>
        </w:rPr>
        <w:t>, will be [****], or such [****], to [****].</w:t>
      </w:r>
    </w:p>
    <w:p>
      <w:pPr>
        <w:spacing w:after="0" w:line="292"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179"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 for the [****], [****] ([****]) ([****] specified in Table 1-5 to the Purchase Agreement for the [****]) are [****] per [****] of the [****] and as specified in the [****] upon execution of this SA-29.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SA-29, Page 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40" w:right="339" w:bottom="1440" w:gutter="0" w:footer="0" w:header="0"/>
        </w:sectPr>
      </w:pPr>
    </w:p>
    <w:bookmarkStart w:id="126" w:name="page127"/>
    <w:bookmarkEnd w:id="126"/>
    <w:p>
      <w:pPr>
        <w:ind w:left="733"/>
        <w:spacing w:after="0"/>
        <w:tabs>
          <w:tab w:leader="none" w:pos="1233"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ind w:left="733"/>
        <w:spacing w:after="0"/>
        <w:rPr>
          <w:sz w:val="20"/>
          <w:szCs w:val="20"/>
          <w:color w:val="auto"/>
        </w:rPr>
      </w:pPr>
      <w:r>
        <w:rPr>
          <w:rFonts w:ascii="Arial" w:cs="Arial" w:eastAsia="Arial" w:hAnsi="Arial"/>
          <w:sz w:val="22"/>
          <w:szCs w:val="22"/>
          <w:color w:val="auto"/>
        </w:rPr>
        <w:t>[****], Customer shall [****] (the [****]). Such [****].</w:t>
      </w:r>
    </w:p>
    <w:p>
      <w:pPr>
        <w:spacing w:after="0" w:line="206" w:lineRule="exact"/>
        <w:rPr>
          <w:sz w:val="20"/>
          <w:szCs w:val="20"/>
          <w:color w:val="auto"/>
        </w:rPr>
      </w:pPr>
    </w:p>
    <w:p>
      <w:pPr>
        <w:ind w:left="733" w:hanging="733"/>
        <w:spacing w:after="0"/>
        <w:tabs>
          <w:tab w:leader="none" w:pos="733"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3" w:lineRule="auto"/>
        <w:rPr>
          <w:sz w:val="20"/>
          <w:szCs w:val="20"/>
          <w:color w:val="auto"/>
        </w:rPr>
      </w:pPr>
      <w:r>
        <w:rPr>
          <w:rFonts w:ascii="Arial" w:cs="Arial" w:eastAsia="Arial" w:hAnsi="Arial"/>
          <w:sz w:val="22"/>
          <w:szCs w:val="22"/>
          <w:color w:val="auto"/>
        </w:rPr>
        <w:t>6.1 The Purchase Agreement is amended and supplemented as set forth above by the revised Table Of Contents, Table 1-4R7, Table 1-5, Exhibit A3, [****] and the [****]. All other terms and conditions of the Purchase Agreement remain unchanged and are in full force and effect.</w:t>
      </w:r>
    </w:p>
    <w:p>
      <w:pPr>
        <w:spacing w:after="0" w:line="159" w:lineRule="exact"/>
        <w:rPr>
          <w:sz w:val="20"/>
          <w:szCs w:val="20"/>
          <w:color w:val="auto"/>
        </w:rPr>
      </w:pPr>
    </w:p>
    <w:p>
      <w:pPr>
        <w:jc w:val="both"/>
        <w:ind w:left="73" w:firstLine="648"/>
        <w:spacing w:after="0" w:line="233" w:lineRule="auto"/>
        <w:rPr>
          <w:sz w:val="20"/>
          <w:szCs w:val="20"/>
          <w:color w:val="auto"/>
        </w:rPr>
      </w:pPr>
      <w:r>
        <w:rPr>
          <w:rFonts w:ascii="Arial" w:cs="Arial" w:eastAsia="Arial" w:hAnsi="Arial"/>
          <w:sz w:val="22"/>
          <w:szCs w:val="22"/>
          <w:color w:val="auto"/>
        </w:rPr>
        <w:t>6.2 The following references in the Purchase Agreement and any supplemental agreements and associated letter agreements are deemed to refer to “Table 1R12, Table 1-2, Table 1-3R6,Table 1-4R7 and Table 1-5”:</w:t>
      </w:r>
    </w:p>
    <w:p>
      <w:pPr>
        <w:spacing w:after="0" w:line="136" w:lineRule="exact"/>
        <w:rPr>
          <w:sz w:val="20"/>
          <w:szCs w:val="20"/>
          <w:color w:val="auto"/>
        </w:rPr>
      </w:pPr>
    </w:p>
    <w:p>
      <w:pPr>
        <w:ind w:left="1373" w:hanging="320"/>
        <w:spacing w:after="0"/>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 or “Table 1R2” or “Table 1R3”, or “Table1R4 and Table 1-2”,</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1R5 and Table 1-2”,</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1R6, Table 1-2, and Table 1-3”,</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1R7, Table 1-2, and Table 1-3R1”,</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1R8, Table 1-2, and Table 1-3R2”,</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1R9, Table 1-2, and Table 1-3R3”,</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1R10, Table 1-2, and Table 1-3R4”,</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1R11, Table 1-2, and Table 1-3R5”,</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1R12, Table 1-2 and Table 1-3R6”,</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1R12, Table 1-2, Table 1-3R6, and Table 1-4”,</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1R12, Table 1-2, Table 1-3R6, and Table 1-4R1”</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1R12, Table 1-2, Table 1-3R6, and Table 1-4R2”</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1R12, Table 1-2, Table 1-3R6, and Table 1-4R3”.</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1R12, Table 1-2, Table 1-3R6, and Table 1-4R4”</w:t>
      </w:r>
    </w:p>
    <w:p>
      <w:pPr>
        <w:ind w:left="1373" w:hanging="320"/>
        <w:spacing w:after="0" w:line="204" w:lineRule="auto"/>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1R12, Table 1-2, Table 1-3R6, and Table 1-4R5”</w:t>
      </w:r>
    </w:p>
    <w:p>
      <w:pPr>
        <w:ind w:left="1373" w:hanging="320"/>
        <w:spacing w:after="0"/>
        <w:tabs>
          <w:tab w:leader="none" w:pos="1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“Table 1R12, Table 1-2, Table 1-3R6, and Table 1-4R6”</w:t>
      </w:r>
    </w:p>
    <w:p>
      <w:pPr>
        <w:spacing w:after="0" w:line="189" w:lineRule="exact"/>
        <w:rPr>
          <w:sz w:val="20"/>
          <w:szCs w:val="20"/>
          <w:color w:val="auto"/>
        </w:rPr>
      </w:pPr>
    </w:p>
    <w:p>
      <w:pPr>
        <w:ind w:left="733"/>
        <w:spacing w:after="0"/>
        <w:rPr>
          <w:sz w:val="20"/>
          <w:szCs w:val="20"/>
          <w:color w:val="auto"/>
        </w:rPr>
      </w:pPr>
      <w:r>
        <w:rPr>
          <w:rFonts w:ascii="Arial" w:cs="Arial" w:eastAsia="Arial" w:hAnsi="Arial"/>
          <w:sz w:val="21"/>
          <w:szCs w:val="21"/>
          <w:color w:val="auto"/>
        </w:rPr>
        <w:t>References in the Purchase Agreement and any supplemental agreements and associated letter agreements to</w:t>
      </w:r>
    </w:p>
    <w:p>
      <w:pPr>
        <w:jc w:val="both"/>
        <w:ind w:left="73"/>
        <w:spacing w:after="0" w:line="218" w:lineRule="auto"/>
        <w:rPr>
          <w:sz w:val="20"/>
          <w:szCs w:val="20"/>
          <w:color w:val="auto"/>
        </w:rPr>
      </w:pPr>
      <w:r>
        <w:rPr>
          <w:rFonts w:ascii="Arial" w:cs="Arial" w:eastAsia="Arial" w:hAnsi="Arial"/>
          <w:sz w:val="20"/>
          <w:szCs w:val="20"/>
          <w:color w:val="auto"/>
        </w:rPr>
        <w:t>“Table 1R4” or “Table 1R5” (where no corresponding reference to Table 1-2 is made) are deemed to refer to “Table 1R12 and Table 1-3R6”, (including without limitation, and for the avoidance of doubt, the references to Table 1R4 in Section 3 of Supplemental Agreement No. 9 dated April 6, 2018). However, references in the Purchase Agreement to Table 1R5 in Letter Agreement AAL-PA-LA-1106650R4 entitled “[****]” is deemed to only refer to Table 1R12 and the references to Table</w:t>
      </w:r>
    </w:p>
    <w:p>
      <w:pPr>
        <w:spacing w:after="0" w:line="1" w:lineRule="exact"/>
        <w:rPr>
          <w:sz w:val="20"/>
          <w:szCs w:val="20"/>
          <w:color w:val="auto"/>
        </w:rPr>
      </w:pPr>
    </w:p>
    <w:p>
      <w:pPr>
        <w:ind w:left="73"/>
        <w:spacing w:after="0"/>
        <w:rPr>
          <w:sz w:val="20"/>
          <w:szCs w:val="20"/>
          <w:color w:val="auto"/>
        </w:rPr>
      </w:pPr>
      <w:r>
        <w:rPr>
          <w:rFonts w:ascii="Arial" w:cs="Arial" w:eastAsia="Arial" w:hAnsi="Arial"/>
          <w:sz w:val="21"/>
          <w:szCs w:val="21"/>
          <w:color w:val="auto"/>
        </w:rPr>
        <w:t>1R5 in the Slide Letter Agreement remain references to Table 1R5.</w:t>
      </w:r>
    </w:p>
    <w:p>
      <w:pPr>
        <w:spacing w:after="0" w:line="190" w:lineRule="exact"/>
        <w:rPr>
          <w:sz w:val="20"/>
          <w:szCs w:val="20"/>
          <w:color w:val="auto"/>
        </w:rPr>
      </w:pPr>
    </w:p>
    <w:p>
      <w:pPr>
        <w:jc w:val="both"/>
        <w:ind w:left="73" w:firstLine="648"/>
        <w:spacing w:after="0" w:line="214" w:lineRule="auto"/>
        <w:rPr>
          <w:sz w:val="20"/>
          <w:szCs w:val="20"/>
          <w:color w:val="auto"/>
        </w:rPr>
      </w:pPr>
      <w:r>
        <w:rPr>
          <w:rFonts w:ascii="Arial" w:cs="Arial" w:eastAsia="Arial" w:hAnsi="Arial"/>
          <w:sz w:val="21"/>
          <w:szCs w:val="21"/>
          <w:color w:val="auto"/>
        </w:rPr>
        <w:t>References in the Purchase Agreement and any supplemental agreements and associated letter agreements to “Table 1R6”, “Table 1R7”, “Table 1R8”, “Table 1R9”, “Table 1R10” or “Table 1R11” (where no corresponding reference to</w:t>
      </w:r>
    </w:p>
    <w:p>
      <w:pPr>
        <w:spacing w:after="0" w:line="2" w:lineRule="exact"/>
        <w:rPr>
          <w:sz w:val="20"/>
          <w:szCs w:val="20"/>
          <w:color w:val="auto"/>
        </w:rPr>
      </w:pPr>
    </w:p>
    <w:p>
      <w:pPr>
        <w:ind w:left="73"/>
        <w:spacing w:after="0"/>
        <w:rPr>
          <w:sz w:val="20"/>
          <w:szCs w:val="20"/>
          <w:color w:val="auto"/>
        </w:rPr>
      </w:pPr>
      <w:r>
        <w:rPr>
          <w:rFonts w:ascii="Arial" w:cs="Arial" w:eastAsia="Arial" w:hAnsi="Arial"/>
          <w:sz w:val="21"/>
          <w:szCs w:val="21"/>
          <w:color w:val="auto"/>
        </w:rPr>
        <w:t>either Table 1-2 or Table 1-3 is made) are deemed to refer to only “Table 1R12”.</w:t>
      </w:r>
    </w:p>
    <w:p>
      <w:pPr>
        <w:spacing w:after="0" w:line="163" w:lineRule="exact"/>
        <w:rPr>
          <w:sz w:val="20"/>
          <w:szCs w:val="20"/>
          <w:color w:val="auto"/>
        </w:rPr>
      </w:pPr>
    </w:p>
    <w:p>
      <w:pPr>
        <w:jc w:val="both"/>
        <w:ind w:left="73" w:firstLine="648"/>
        <w:spacing w:after="0" w:line="225" w:lineRule="auto"/>
        <w:rPr>
          <w:sz w:val="20"/>
          <w:szCs w:val="20"/>
          <w:color w:val="auto"/>
        </w:rPr>
      </w:pPr>
      <w:r>
        <w:rPr>
          <w:rFonts w:ascii="Arial" w:cs="Arial" w:eastAsia="Arial" w:hAnsi="Arial"/>
          <w:sz w:val="20"/>
          <w:szCs w:val="20"/>
          <w:color w:val="auto"/>
        </w:rPr>
        <w:t>Additionally, for the avoidance of doubt, references in the Purchase Agreement and any supplemental agreements and associated letter agreements to “Table 1-2” (where no corresponding reference to Table 1R4 or Table 1R5 is made)</w:t>
      </w:r>
    </w:p>
    <w:p>
      <w:pPr>
        <w:spacing w:after="0" w:line="1" w:lineRule="exact"/>
        <w:rPr>
          <w:sz w:val="20"/>
          <w:szCs w:val="20"/>
          <w:color w:val="auto"/>
        </w:rPr>
      </w:pPr>
    </w:p>
    <w:p>
      <w:pPr>
        <w:ind w:left="73"/>
        <w:spacing w:after="0"/>
        <w:rPr>
          <w:sz w:val="20"/>
          <w:szCs w:val="20"/>
          <w:color w:val="auto"/>
        </w:rPr>
      </w:pPr>
      <w:r>
        <w:rPr>
          <w:rFonts w:ascii="Arial" w:cs="Arial" w:eastAsia="Arial" w:hAnsi="Arial"/>
          <w:sz w:val="21"/>
          <w:szCs w:val="21"/>
          <w:color w:val="auto"/>
        </w:rPr>
        <w:t>remain references to “Table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3"/>
        <w:spacing w:after="0"/>
        <w:tabs>
          <w:tab w:leader="none" w:pos="121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SA-29, Page 3</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426" w:right="339" w:bottom="1440" w:gutter="0" w:footer="0" w:header="0"/>
        </w:sectPr>
      </w:pPr>
    </w:p>
    <w:bookmarkStart w:id="127" w:name="page128"/>
    <w:bookmarkEnd w:id="127"/>
    <w:p>
      <w:pPr>
        <w:spacing w:after="0" w:line="9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6.3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426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2"/>
                <w:szCs w:val="22"/>
                <w:color w:val="auto"/>
              </w:rPr>
              <w:t>Reference</w:t>
            </w:r>
          </w:p>
        </w:tc>
        <w:tc>
          <w:tcPr>
            <w:tcW w:w="700" w:type="dxa"/>
            <w:vAlign w:val="bottom"/>
            <w:tcBorders>
              <w:top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9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268"/>
        </w:trPr>
        <w:tc>
          <w:tcPr>
            <w:tcW w:w="40" w:type="dxa"/>
            <w:vAlign w:val="bottom"/>
            <w:tcBorders>
              <w:left w:val="single" w:sz="8" w:color="auto"/>
            </w:tcBorders>
          </w:tcPr>
          <w:p>
            <w:pPr>
              <w:spacing w:after="0"/>
              <w:rPr>
                <w:sz w:val="23"/>
                <w:szCs w:val="23"/>
                <w:color w:val="auto"/>
              </w:rPr>
            </w:pPr>
          </w:p>
        </w:tc>
        <w:tc>
          <w:tcPr>
            <w:tcW w:w="4220" w:type="dxa"/>
            <w:vAlign w:val="bottom"/>
            <w:gridSpan w:val="2"/>
          </w:tcPr>
          <w:p>
            <w:pPr>
              <w:spacing w:after="0"/>
              <w:rPr>
                <w:sz w:val="20"/>
                <w:szCs w:val="20"/>
                <w:color w:val="auto"/>
              </w:rPr>
            </w:pPr>
            <w:r>
              <w:rPr>
                <w:rFonts w:ascii="Arial" w:cs="Arial" w:eastAsia="Arial" w:hAnsi="Arial"/>
                <w:sz w:val="22"/>
                <w:szCs w:val="22"/>
                <w:color w:val="auto"/>
              </w:rPr>
              <w:t>Letter Agreement No. AAL-PA-03735-LA-</w:t>
            </w:r>
          </w:p>
        </w:tc>
        <w:tc>
          <w:tcPr>
            <w:tcW w:w="7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w:t>
            </w:r>
          </w:p>
        </w:tc>
      </w:tr>
      <w:tr>
        <w:trPr>
          <w:trHeight w:val="286"/>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1106651R10</w:t>
            </w:r>
          </w:p>
        </w:tc>
        <w:tc>
          <w:tcPr>
            <w:tcW w:w="7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1106651R11</w:t>
            </w:r>
          </w:p>
        </w:tc>
      </w:tr>
      <w:tr>
        <w:trPr>
          <w:trHeight w:val="423"/>
        </w:trPr>
        <w:tc>
          <w:tcPr>
            <w:tcW w:w="40" w:type="dxa"/>
            <w:vAlign w:val="bottom"/>
            <w:tcBorders>
              <w:left w:val="single" w:sz="8" w:color="auto"/>
            </w:tcBorders>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22"/>
                <w:szCs w:val="22"/>
                <w:color w:val="auto"/>
              </w:rPr>
              <w:t>Letter Agreement No. AAL-PA-03735-LA-</w:t>
            </w:r>
          </w:p>
        </w:tc>
        <w:tc>
          <w:tcPr>
            <w:tcW w:w="7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ind w:left="60"/>
              <w:spacing w:after="0"/>
              <w:rPr>
                <w:sz w:val="20"/>
                <w:szCs w:val="20"/>
                <w:color w:val="auto"/>
              </w:rPr>
            </w:pPr>
            <w:r>
              <w:rPr>
                <w:rFonts w:ascii="Arial" w:cs="Arial" w:eastAsia="Arial" w:hAnsi="Arial"/>
                <w:sz w:val="22"/>
                <w:szCs w:val="22"/>
                <w:color w:val="auto"/>
              </w:rPr>
              <w:t>Letter Agreement No. AAL-PA-03735-LA-</w:t>
            </w:r>
          </w:p>
        </w:tc>
      </w:tr>
      <w:tr>
        <w:trPr>
          <w:trHeight w:val="277"/>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1106650R6</w:t>
            </w:r>
          </w:p>
        </w:tc>
        <w:tc>
          <w:tcPr>
            <w:tcW w:w="7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2"/>
                <w:szCs w:val="22"/>
                <w:color w:val="auto"/>
              </w:rPr>
              <w:t>1106650R7</w:t>
            </w:r>
          </w:p>
        </w:tc>
      </w:tr>
      <w:tr>
        <w:trPr>
          <w:trHeight w:val="572"/>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80" w:type="dxa"/>
            <w:vAlign w:val="bottom"/>
            <w:gridSpan w:val="4"/>
          </w:tcPr>
          <w:p>
            <w:pPr>
              <w:ind w:left="280"/>
              <w:spacing w:after="0"/>
              <w:rPr>
                <w:sz w:val="20"/>
                <w:szCs w:val="20"/>
                <w:color w:val="auto"/>
              </w:rPr>
            </w:pPr>
            <w:r>
              <w:rPr>
                <w:rFonts w:ascii="Arial" w:cs="Arial" w:eastAsia="Arial" w:hAnsi="Arial"/>
                <w:sz w:val="22"/>
                <w:szCs w:val="22"/>
                <w:color w:val="auto"/>
              </w:rPr>
              <w:t>Intentionally Left Blank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SA-29, Page 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57"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23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59690</wp:posOffset>
            </wp:positionV>
            <wp:extent cx="32575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67945</wp:posOffset>
            </wp:positionV>
            <wp:extent cx="3531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59690</wp:posOffset>
            </wp:positionV>
            <wp:extent cx="3531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Sr.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74930</wp:posOffset>
            </wp:positionV>
            <wp:extent cx="3531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204" w:lineRule="auto"/>
        <w:rPr>
          <w:sz w:val="20"/>
          <w:szCs w:val="20"/>
          <w:color w:val="auto"/>
        </w:rPr>
      </w:pPr>
      <w:r>
        <w:rPr>
          <w:rFonts w:ascii="Arial" w:cs="Arial" w:eastAsia="Arial" w:hAnsi="Arial"/>
          <w:sz w:val="22"/>
          <w:szCs w:val="22"/>
          <w:color w:val="auto"/>
        </w:rPr>
        <w:t>SA-29</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ARTICLES</w:t>
      </w:r>
    </w:p>
    <w:p>
      <w:pPr>
        <w:spacing w:after="0" w:line="108"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1.</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2.</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3.</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4.</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5.</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6.</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w:t>
      </w:r>
    </w:p>
    <w:p>
      <w:pPr>
        <w:spacing w:after="0" w:line="74" w:lineRule="exact"/>
        <w:rPr>
          <w:sz w:val="20"/>
          <w:szCs w:val="20"/>
          <w:color w:val="auto"/>
        </w:rPr>
      </w:pPr>
    </w:p>
    <w:p>
      <w:pPr>
        <w:jc w:val="center"/>
        <w:ind w:left="580"/>
        <w:spacing w:after="0"/>
        <w:rPr>
          <w:sz w:val="20"/>
          <w:szCs w:val="20"/>
          <w:color w:val="auto"/>
        </w:rPr>
      </w:pPr>
      <w:r>
        <w:rPr>
          <w:rFonts w:ascii="Arial" w:cs="Arial" w:eastAsia="Arial" w:hAnsi="Arial"/>
          <w:sz w:val="22"/>
          <w:szCs w:val="22"/>
          <w:color w:val="auto"/>
        </w:rPr>
        <w:t>1R12</w:t>
      </w:r>
    </w:p>
    <w:p>
      <w:pPr>
        <w:jc w:val="center"/>
        <w:ind w:left="580"/>
        <w:spacing w:after="0" w:line="204" w:lineRule="auto"/>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jc w:val="center"/>
        <w:ind w:left="580"/>
        <w:spacing w:after="0"/>
        <w:rPr>
          <w:sz w:val="20"/>
          <w:szCs w:val="20"/>
          <w:color w:val="auto"/>
        </w:rPr>
      </w:pPr>
      <w:r>
        <w:rPr>
          <w:rFonts w:ascii="Arial" w:cs="Arial" w:eastAsia="Arial" w:hAnsi="Arial"/>
          <w:sz w:val="22"/>
          <w:szCs w:val="22"/>
          <w:color w:val="auto"/>
        </w:rPr>
        <w:t>1-3R6</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1-4R7</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1-5</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87" w:lineRule="exact"/>
        <w:rPr>
          <w:sz w:val="20"/>
          <w:szCs w:val="20"/>
          <w:color w:val="auto"/>
        </w:rPr>
      </w:pPr>
    </w:p>
    <w:p>
      <w:pPr>
        <w:ind w:left="940"/>
        <w:spacing w:after="0"/>
        <w:rPr>
          <w:sz w:val="20"/>
          <w:szCs w:val="20"/>
          <w:color w:val="auto"/>
        </w:rPr>
      </w:pPr>
      <w:r>
        <w:rPr>
          <w:rFonts w:ascii="Arial" w:cs="Arial" w:eastAsia="Arial" w:hAnsi="Arial"/>
          <w:sz w:val="22"/>
          <w:szCs w:val="22"/>
          <w:color w:val="auto"/>
        </w:rPr>
        <w:t>AR1</w:t>
      </w:r>
    </w:p>
    <w:p>
      <w:pPr>
        <w:ind w:left="1000"/>
        <w:spacing w:after="0"/>
        <w:rPr>
          <w:sz w:val="20"/>
          <w:szCs w:val="20"/>
          <w:color w:val="auto"/>
        </w:rPr>
      </w:pPr>
      <w:r>
        <w:rPr>
          <w:rFonts w:ascii="Arial" w:cs="Arial" w:eastAsia="Arial" w:hAnsi="Arial"/>
          <w:sz w:val="22"/>
          <w:szCs w:val="22"/>
          <w:color w:val="auto"/>
        </w:rPr>
        <w:t>A2</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A3</w:t>
      </w:r>
    </w:p>
    <w:p>
      <w:pPr>
        <w:spacing w:after="0" w:line="2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B.</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r>
      <w:tr>
        <w:trPr>
          <w:trHeight w:val="230"/>
        </w:trPr>
        <w:tc>
          <w:tcPr>
            <w:tcW w:w="7520" w:type="dxa"/>
            <w:vAlign w:val="bottom"/>
          </w:tcPr>
          <w:p>
            <w:pPr>
              <w:spacing w:after="0"/>
              <w:rPr>
                <w:sz w:val="19"/>
                <w:szCs w:val="19"/>
                <w:color w:val="auto"/>
              </w:rPr>
            </w:pPr>
          </w:p>
        </w:tc>
        <w:tc>
          <w:tcPr>
            <w:tcW w:w="94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7"/>
              </w:rPr>
              <w:t>NUMBER</w:t>
            </w:r>
          </w:p>
        </w:tc>
      </w:tr>
      <w:tr>
        <w:trPr>
          <w:trHeight w:val="436"/>
        </w:trPr>
        <w:tc>
          <w:tcPr>
            <w:tcW w:w="7520" w:type="dxa"/>
            <w:vAlign w:val="bottom"/>
          </w:tcPr>
          <w:p>
            <w:pPr>
              <w:spacing w:after="0"/>
              <w:rPr>
                <w:sz w:val="20"/>
                <w:szCs w:val="20"/>
                <w:color w:val="auto"/>
              </w:rPr>
            </w:pPr>
            <w:r>
              <w:rPr>
                <w:rFonts w:ascii="Arial" w:cs="Arial" w:eastAsia="Arial" w:hAnsi="Arial"/>
                <w:sz w:val="22"/>
                <w:szCs w:val="22"/>
                <w:color w:val="auto"/>
              </w:rPr>
              <w:t>Quantity, Model and Description</w:t>
            </w:r>
          </w:p>
        </w:tc>
        <w:tc>
          <w:tcPr>
            <w:tcW w:w="940" w:type="dxa"/>
            <w:vAlign w:val="bottom"/>
          </w:tcPr>
          <w:p>
            <w:pPr>
              <w:spacing w:after="0"/>
              <w:rPr>
                <w:sz w:val="24"/>
                <w:szCs w:val="24"/>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22"/>
                <w:szCs w:val="22"/>
                <w:color w:val="auto"/>
              </w:rPr>
              <w:t>Delivery Schedule</w:t>
            </w:r>
          </w:p>
        </w:tc>
        <w:tc>
          <w:tcPr>
            <w:tcW w:w="940" w:type="dxa"/>
            <w:vAlign w:val="bottom"/>
          </w:tcPr>
          <w:p>
            <w:pPr>
              <w:spacing w:after="0"/>
              <w:rPr>
                <w:sz w:val="24"/>
                <w:szCs w:val="24"/>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22"/>
                <w:szCs w:val="22"/>
                <w:color w:val="auto"/>
              </w:rPr>
              <w:t>Price</w:t>
            </w:r>
          </w:p>
        </w:tc>
        <w:tc>
          <w:tcPr>
            <w:tcW w:w="940" w:type="dxa"/>
            <w:vAlign w:val="bottom"/>
          </w:tcPr>
          <w:p>
            <w:pPr>
              <w:spacing w:after="0"/>
              <w:rPr>
                <w:sz w:val="24"/>
                <w:szCs w:val="24"/>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22"/>
                <w:szCs w:val="22"/>
                <w:color w:val="auto"/>
              </w:rPr>
              <w:t>Payment</w:t>
            </w:r>
          </w:p>
        </w:tc>
        <w:tc>
          <w:tcPr>
            <w:tcW w:w="940" w:type="dxa"/>
            <w:vAlign w:val="bottom"/>
          </w:tcPr>
          <w:p>
            <w:pPr>
              <w:spacing w:after="0"/>
              <w:rPr>
                <w:sz w:val="24"/>
                <w:szCs w:val="24"/>
                <w:color w:val="auto"/>
              </w:rPr>
            </w:pPr>
          </w:p>
        </w:tc>
      </w:tr>
      <w:tr>
        <w:trPr>
          <w:trHeight w:val="346"/>
        </w:trPr>
        <w:tc>
          <w:tcPr>
            <w:tcW w:w="7520" w:type="dxa"/>
            <w:vAlign w:val="bottom"/>
          </w:tcPr>
          <w:p>
            <w:pPr>
              <w:spacing w:after="0"/>
              <w:rPr>
                <w:sz w:val="20"/>
                <w:szCs w:val="20"/>
                <w:color w:val="auto"/>
              </w:rPr>
            </w:pPr>
            <w:r>
              <w:rPr>
                <w:rFonts w:ascii="Arial" w:cs="Arial" w:eastAsia="Arial" w:hAnsi="Arial"/>
                <w:sz w:val="22"/>
                <w:szCs w:val="22"/>
                <w:color w:val="auto"/>
              </w:rPr>
              <w:t>Additional Terms</w:t>
            </w:r>
          </w:p>
        </w:tc>
        <w:tc>
          <w:tcPr>
            <w:tcW w:w="940" w:type="dxa"/>
            <w:vAlign w:val="bottom"/>
          </w:tcPr>
          <w:p>
            <w:pPr>
              <w:spacing w:after="0"/>
              <w:rPr>
                <w:sz w:val="24"/>
                <w:szCs w:val="24"/>
                <w:color w:val="auto"/>
              </w:rPr>
            </w:pPr>
          </w:p>
        </w:tc>
      </w:tr>
      <w:tr>
        <w:trPr>
          <w:trHeight w:val="275"/>
        </w:trPr>
        <w:tc>
          <w:tcPr>
            <w:tcW w:w="7520" w:type="dxa"/>
            <w:vAlign w:val="bottom"/>
          </w:tcPr>
          <w:p>
            <w:pPr>
              <w:spacing w:after="0"/>
              <w:rPr>
                <w:sz w:val="20"/>
                <w:szCs w:val="20"/>
                <w:color w:val="auto"/>
              </w:rPr>
            </w:pPr>
            <w:r>
              <w:rPr>
                <w:rFonts w:ascii="Arial" w:cs="Arial" w:eastAsia="Arial" w:hAnsi="Arial"/>
                <w:sz w:val="22"/>
                <w:szCs w:val="22"/>
                <w:color w:val="auto"/>
              </w:rPr>
              <w:t>Confidentiality</w:t>
            </w:r>
          </w:p>
        </w:tc>
        <w:tc>
          <w:tcPr>
            <w:tcW w:w="940" w:type="dxa"/>
            <w:vAlign w:val="bottom"/>
          </w:tcPr>
          <w:p>
            <w:pPr>
              <w:spacing w:after="0"/>
              <w:rPr>
                <w:sz w:val="23"/>
                <w:szCs w:val="23"/>
                <w:color w:val="auto"/>
              </w:rPr>
            </w:pPr>
          </w:p>
        </w:tc>
      </w:tr>
      <w:tr>
        <w:trPr>
          <w:trHeight w:val="629"/>
        </w:trPr>
        <w:tc>
          <w:tcPr>
            <w:tcW w:w="7520" w:type="dxa"/>
            <w:vAlign w:val="bottom"/>
          </w:tcPr>
          <w:p>
            <w:pPr>
              <w:spacing w:after="0"/>
              <w:rPr>
                <w:sz w:val="20"/>
                <w:szCs w:val="20"/>
                <w:color w:val="auto"/>
              </w:rPr>
            </w:pPr>
            <w:r>
              <w:rPr>
                <w:rFonts w:ascii="Arial" w:cs="Arial" w:eastAsia="Arial" w:hAnsi="Arial"/>
                <w:sz w:val="22"/>
                <w:szCs w:val="22"/>
                <w:color w:val="auto"/>
              </w:rPr>
              <w:t>Aircraft Information Table</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19</w:t>
            </w:r>
          </w:p>
        </w:tc>
      </w:tr>
      <w:tr>
        <w:trPr>
          <w:trHeight w:val="216"/>
        </w:trPr>
        <w:tc>
          <w:tcPr>
            <w:tcW w:w="7520" w:type="dxa"/>
            <w:vAlign w:val="bottom"/>
          </w:tcPr>
          <w:p>
            <w:pPr>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4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r>
      <w:tr>
        <w:trPr>
          <w:trHeight w:val="260"/>
        </w:trPr>
        <w:tc>
          <w:tcPr>
            <w:tcW w:w="7520" w:type="dxa"/>
            <w:vAlign w:val="bottom"/>
          </w:tcPr>
          <w:p>
            <w:pP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21"/>
                <w:szCs w:val="21"/>
                <w:color w:val="auto"/>
              </w:rPr>
              <w:t>Aircraft Delivery, Description, Price, and Advance Payments</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19</w:t>
            </w:r>
          </w:p>
        </w:tc>
      </w:tr>
      <w:tr>
        <w:trPr>
          <w:trHeight w:val="221"/>
        </w:trPr>
        <w:tc>
          <w:tcPr>
            <w:tcW w:w="7520" w:type="dxa"/>
            <w:vAlign w:val="bottom"/>
          </w:tcPr>
          <w:p>
            <w:pPr>
              <w:spacing w:after="0" w:line="222" w:lineRule="exact"/>
              <w:rPr>
                <w:sz w:val="20"/>
                <w:szCs w:val="20"/>
                <w:color w:val="auto"/>
              </w:rPr>
            </w:pPr>
            <w:r>
              <w:rPr>
                <w:rFonts w:ascii="Arial" w:cs="Arial" w:eastAsia="Arial" w:hAnsi="Arial"/>
                <w:sz w:val="22"/>
                <w:szCs w:val="22"/>
                <w:b w:val="1"/>
                <w:bCs w:val="1"/>
                <w:color w:val="auto"/>
              </w:rPr>
              <w:t xml:space="preserve">737-8 </w:t>
            </w:r>
            <w:r>
              <w:rPr>
                <w:rFonts w:ascii="Arial" w:cs="Arial" w:eastAsia="Arial" w:hAnsi="Arial"/>
                <w:sz w:val="18"/>
                <w:szCs w:val="18"/>
                <w:b w:val="1"/>
                <w:bCs w:val="1"/>
                <w:color w:val="auto"/>
              </w:rPr>
              <w:t>[****]</w:t>
            </w:r>
            <w:r>
              <w:rPr>
                <w:rFonts w:ascii="Arial" w:cs="Arial" w:eastAsia="Arial" w:hAnsi="Arial"/>
                <w:sz w:val="22"/>
                <w:szCs w:val="22"/>
                <w:b w:val="1"/>
                <w:bCs w:val="1"/>
                <w:color w:val="auto"/>
              </w:rPr>
              <w:t xml:space="preserve"> Aircraft Delivery, Description, Price, and Advance</w:t>
            </w:r>
          </w:p>
        </w:tc>
        <w:tc>
          <w:tcPr>
            <w:tcW w:w="940" w:type="dxa"/>
            <w:vAlign w:val="bottom"/>
          </w:tcPr>
          <w:p>
            <w:pPr>
              <w:jc w:val="center"/>
              <w:spacing w:after="0" w:line="222" w:lineRule="exact"/>
              <w:rPr>
                <w:sz w:val="20"/>
                <w:szCs w:val="20"/>
                <w:color w:val="auto"/>
              </w:rPr>
            </w:pPr>
            <w:r>
              <w:rPr>
                <w:rFonts w:ascii="Arial" w:cs="Arial" w:eastAsia="Arial" w:hAnsi="Arial"/>
                <w:sz w:val="22"/>
                <w:szCs w:val="22"/>
                <w:b w:val="1"/>
                <w:bCs w:val="1"/>
                <w:color w:val="auto"/>
                <w:w w:val="97"/>
              </w:rPr>
              <w:t>29</w:t>
            </w:r>
          </w:p>
        </w:tc>
      </w:tr>
      <w:tr>
        <w:trPr>
          <w:trHeight w:val="265"/>
        </w:trPr>
        <w:tc>
          <w:tcPr>
            <w:tcW w:w="7520" w:type="dxa"/>
            <w:vAlign w:val="bottom"/>
          </w:tcPr>
          <w:p>
            <w:pPr>
              <w:spacing w:after="0"/>
              <w:rPr>
                <w:sz w:val="20"/>
                <w:szCs w:val="20"/>
                <w:color w:val="auto"/>
              </w:rPr>
            </w:pPr>
            <w:r>
              <w:rPr>
                <w:rFonts w:ascii="Arial" w:cs="Arial" w:eastAsia="Arial" w:hAnsi="Arial"/>
                <w:sz w:val="22"/>
                <w:szCs w:val="22"/>
                <w:b w:val="1"/>
                <w:bCs w:val="1"/>
                <w:color w:val="auto"/>
              </w:rPr>
              <w:t>Payments</w:t>
            </w:r>
          </w:p>
        </w:tc>
        <w:tc>
          <w:tcPr>
            <w:tcW w:w="940" w:type="dxa"/>
            <w:vAlign w:val="bottom"/>
          </w:tcPr>
          <w:p>
            <w:pPr>
              <w:spacing w:after="0"/>
              <w:rPr>
                <w:sz w:val="23"/>
                <w:szCs w:val="23"/>
                <w:color w:val="auto"/>
              </w:rPr>
            </w:pPr>
          </w:p>
        </w:tc>
      </w:tr>
      <w:tr>
        <w:trPr>
          <w:trHeight w:val="221"/>
        </w:trPr>
        <w:tc>
          <w:tcPr>
            <w:tcW w:w="7520" w:type="dxa"/>
            <w:vAlign w:val="bottom"/>
          </w:tcPr>
          <w:p>
            <w:pPr>
              <w:spacing w:after="0" w:line="222" w:lineRule="exact"/>
              <w:rPr>
                <w:sz w:val="20"/>
                <w:szCs w:val="20"/>
                <w:color w:val="auto"/>
              </w:rPr>
            </w:pPr>
            <w:r>
              <w:rPr>
                <w:rFonts w:ascii="Arial" w:cs="Arial" w:eastAsia="Arial" w:hAnsi="Arial"/>
                <w:sz w:val="22"/>
                <w:szCs w:val="22"/>
                <w:b w:val="1"/>
                <w:bCs w:val="1"/>
                <w:color w:val="auto"/>
              </w:rPr>
              <w:t xml:space="preserve">[****] 737-8 </w:t>
            </w:r>
            <w:r>
              <w:rPr>
                <w:rFonts w:ascii="Arial" w:cs="Arial" w:eastAsia="Arial" w:hAnsi="Arial"/>
                <w:sz w:val="18"/>
                <w:szCs w:val="18"/>
                <w:b w:val="1"/>
                <w:bCs w:val="1"/>
                <w:color w:val="auto"/>
              </w:rPr>
              <w:t>[****]</w:t>
            </w:r>
            <w:r>
              <w:rPr>
                <w:rFonts w:ascii="Arial" w:cs="Arial" w:eastAsia="Arial" w:hAnsi="Arial"/>
                <w:sz w:val="22"/>
                <w:szCs w:val="22"/>
                <w:b w:val="1"/>
                <w:bCs w:val="1"/>
                <w:color w:val="auto"/>
              </w:rPr>
              <w:t xml:space="preserve"> Aircraft Delivery, Description, Price, and Advance</w:t>
            </w:r>
          </w:p>
        </w:tc>
        <w:tc>
          <w:tcPr>
            <w:tcW w:w="940" w:type="dxa"/>
            <w:vAlign w:val="bottom"/>
          </w:tcPr>
          <w:p>
            <w:pPr>
              <w:jc w:val="center"/>
              <w:spacing w:after="0" w:line="222" w:lineRule="exact"/>
              <w:rPr>
                <w:sz w:val="20"/>
                <w:szCs w:val="20"/>
                <w:color w:val="auto"/>
              </w:rPr>
            </w:pPr>
            <w:r>
              <w:rPr>
                <w:rFonts w:ascii="Arial" w:cs="Arial" w:eastAsia="Arial" w:hAnsi="Arial"/>
                <w:sz w:val="22"/>
                <w:szCs w:val="22"/>
                <w:color w:val="auto"/>
                <w:w w:val="97"/>
              </w:rPr>
              <w:t>29</w:t>
            </w:r>
          </w:p>
        </w:tc>
      </w:tr>
      <w:tr>
        <w:trPr>
          <w:trHeight w:val="301"/>
        </w:trPr>
        <w:tc>
          <w:tcPr>
            <w:tcW w:w="7520" w:type="dxa"/>
            <w:vAlign w:val="bottom"/>
          </w:tcPr>
          <w:p>
            <w:pPr>
              <w:spacing w:after="0"/>
              <w:rPr>
                <w:sz w:val="20"/>
                <w:szCs w:val="20"/>
                <w:color w:val="auto"/>
              </w:rPr>
            </w:pPr>
            <w:r>
              <w:rPr>
                <w:rFonts w:ascii="Arial" w:cs="Arial" w:eastAsia="Arial" w:hAnsi="Arial"/>
                <w:sz w:val="22"/>
                <w:szCs w:val="22"/>
                <w:b w:val="1"/>
                <w:bCs w:val="1"/>
                <w:color w:val="auto"/>
              </w:rPr>
              <w:t>Payments</w:t>
            </w:r>
          </w:p>
        </w:tc>
        <w:tc>
          <w:tcPr>
            <w:tcW w:w="940" w:type="dxa"/>
            <w:vAlign w:val="bottom"/>
          </w:tcPr>
          <w:p>
            <w:pPr>
              <w:spacing w:after="0"/>
              <w:rPr>
                <w:sz w:val="24"/>
                <w:szCs w:val="24"/>
                <w:color w:val="auto"/>
              </w:rPr>
            </w:pPr>
          </w:p>
        </w:tc>
      </w:tr>
      <w:tr>
        <w:trPr>
          <w:trHeight w:val="621"/>
        </w:trPr>
        <w:tc>
          <w:tcPr>
            <w:tcW w:w="7520" w:type="dxa"/>
            <w:vAlign w:val="bottom"/>
          </w:tcPr>
          <w:p>
            <w:pPr>
              <w:spacing w:after="0"/>
              <w:rPr>
                <w:sz w:val="20"/>
                <w:szCs w:val="20"/>
                <w:color w:val="auto"/>
              </w:rPr>
            </w:pPr>
            <w:r>
              <w:rPr>
                <w:rFonts w:ascii="Arial" w:cs="Arial" w:eastAsia="Arial" w:hAnsi="Arial"/>
                <w:sz w:val="22"/>
                <w:szCs w:val="22"/>
                <w:color w:val="auto"/>
              </w:rPr>
              <w:t>Aircraft Configuration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60"/>
        </w:trPr>
        <w:tc>
          <w:tcPr>
            <w:tcW w:w="7520" w:type="dxa"/>
            <w:vAlign w:val="bottom"/>
          </w:tcPr>
          <w:p>
            <w:pPr>
              <w:spacing w:after="0"/>
              <w:rPr>
                <w:sz w:val="20"/>
                <w:szCs w:val="20"/>
                <w:color w:val="auto"/>
              </w:rPr>
            </w:pPr>
            <w:r>
              <w:rPr>
                <w:rFonts w:ascii="Arial" w:cs="Arial" w:eastAsia="Arial" w:hAnsi="Arial"/>
                <w:sz w:val="22"/>
                <w:szCs w:val="22"/>
                <w:color w:val="auto"/>
              </w:rPr>
              <w:t>Revised Delivery Aircraft Configuration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9</w:t>
            </w:r>
          </w:p>
        </w:tc>
      </w:tr>
      <w:tr>
        <w:trPr>
          <w:trHeight w:val="280"/>
        </w:trPr>
        <w:tc>
          <w:tcPr>
            <w:tcW w:w="7520" w:type="dxa"/>
            <w:vAlign w:val="bottom"/>
          </w:tcPr>
          <w:p>
            <w:pPr>
              <w:spacing w:after="0"/>
              <w:rPr>
                <w:sz w:val="20"/>
                <w:szCs w:val="20"/>
                <w:color w:val="auto"/>
              </w:rPr>
            </w:pPr>
            <w:r>
              <w:rPr>
                <w:rFonts w:ascii="Arial" w:cs="Arial" w:eastAsia="Arial" w:hAnsi="Arial"/>
                <w:sz w:val="22"/>
                <w:szCs w:val="22"/>
                <w:b w:val="1"/>
                <w:bCs w:val="1"/>
                <w:color w:val="auto"/>
              </w:rPr>
              <w:t>[****] Aircraft Configuration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29</w:t>
            </w: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Aircraft Delivery Requirements and Responsibilities</w:t>
            </w:r>
          </w:p>
        </w:tc>
        <w:tc>
          <w:tcPr>
            <w:tcW w:w="940" w:type="dxa"/>
            <w:vAlign w:val="bottom"/>
          </w:tcPr>
          <w:p>
            <w:pPr>
              <w:spacing w:after="0"/>
              <w:rPr>
                <w:sz w:val="23"/>
                <w:szCs w:val="23"/>
                <w:color w:val="auto"/>
              </w:rPr>
            </w:pPr>
          </w:p>
        </w:tc>
      </w:tr>
      <w:tr>
        <w:trPr>
          <w:trHeight w:val="275"/>
        </w:trPr>
        <w:tc>
          <w:tcPr>
            <w:tcW w:w="7520" w:type="dxa"/>
            <w:vAlign w:val="bottom"/>
          </w:tcPr>
          <w:p>
            <w:pPr>
              <w:spacing w:after="0"/>
              <w:rPr>
                <w:sz w:val="20"/>
                <w:szCs w:val="20"/>
                <w:color w:val="auto"/>
              </w:rPr>
            </w:pPr>
            <w:r>
              <w:rPr>
                <w:rFonts w:ascii="Arial" w:cs="Arial" w:eastAsia="Arial" w:hAnsi="Arial"/>
                <w:sz w:val="22"/>
                <w:szCs w:val="22"/>
                <w:color w:val="auto"/>
              </w:rPr>
              <w:t>Definitions</w:t>
            </w:r>
          </w:p>
        </w:tc>
        <w:tc>
          <w:tcPr>
            <w:tcW w:w="940" w:type="dxa"/>
            <w:vAlign w:val="bottom"/>
          </w:tcPr>
          <w:p>
            <w:pPr>
              <w:spacing w:after="0"/>
              <w:rPr>
                <w:sz w:val="23"/>
                <w:szCs w:val="23"/>
                <w:color w:val="auto"/>
              </w:rPr>
            </w:pPr>
          </w:p>
        </w:tc>
      </w:tr>
    </w:tbl>
    <w:p>
      <w:pPr>
        <w:spacing w:after="0" w:line="66" w:lineRule="exact"/>
        <w:rPr>
          <w:sz w:val="20"/>
          <w:szCs w:val="20"/>
          <w:color w:val="auto"/>
        </w:rPr>
      </w:pPr>
    </w:p>
    <w:p>
      <w:pPr>
        <w:sectPr>
          <w:pgSz w:w="11900" w:h="16838" w:orient="portrait"/>
          <w:cols w:equalWidth="0" w:num="2">
            <w:col w:w="1700" w:space="720"/>
            <w:col w:w="8460"/>
          </w:cols>
          <w:pgMar w:left="400" w:top="1440" w:right="619" w:bottom="1440" w:gutter="0" w:footer="0" w:header="0"/>
        </w:sectPr>
      </w:pPr>
    </w:p>
    <w:p>
      <w:pPr>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00" w:type="dxa"/>
            <w:vAlign w:val="bottom"/>
          </w:tcPr>
          <w:p>
            <w:pPr>
              <w:jc w:val="center"/>
              <w:ind w:right="12"/>
              <w:spacing w:after="0"/>
              <w:rPr>
                <w:sz w:val="20"/>
                <w:szCs w:val="20"/>
                <w:color w:val="auto"/>
              </w:rPr>
            </w:pPr>
            <w:r>
              <w:rPr>
                <w:rFonts w:ascii="Arial" w:cs="Arial" w:eastAsia="Arial" w:hAnsi="Arial"/>
                <w:sz w:val="22"/>
                <w:szCs w:val="22"/>
                <w:color w:val="auto"/>
              </w:rPr>
              <w:t>AE1.</w:t>
            </w:r>
          </w:p>
        </w:tc>
        <w:tc>
          <w:tcPr>
            <w:tcW w:w="5300" w:type="dxa"/>
            <w:vAlign w:val="bottom"/>
          </w:tcPr>
          <w:p>
            <w:pPr>
              <w:ind w:left="20"/>
              <w:spacing w:after="0"/>
              <w:rPr>
                <w:sz w:val="20"/>
                <w:szCs w:val="20"/>
                <w:color w:val="auto"/>
              </w:rPr>
            </w:pPr>
            <w:r>
              <w:rPr>
                <w:rFonts w:ascii="Arial" w:cs="Arial" w:eastAsia="Arial" w:hAnsi="Arial"/>
                <w:sz w:val="19"/>
                <w:szCs w:val="19"/>
                <w:color w:val="auto"/>
              </w:rPr>
              <w:t>[****]</w:t>
            </w:r>
          </w:p>
        </w:tc>
        <w:tc>
          <w:tcPr>
            <w:tcW w:w="2820" w:type="dxa"/>
            <w:vAlign w:val="bottom"/>
          </w:tcPr>
          <w:p>
            <w:pPr>
              <w:spacing w:after="0"/>
              <w:rPr>
                <w:sz w:val="23"/>
                <w:szCs w:val="23"/>
                <w:color w:val="auto"/>
              </w:rPr>
            </w:pPr>
          </w:p>
        </w:tc>
      </w:tr>
      <w:tr>
        <w:trPr>
          <w:trHeight w:val="270"/>
        </w:trPr>
        <w:tc>
          <w:tcPr>
            <w:tcW w:w="2400" w:type="dxa"/>
            <w:vAlign w:val="bottom"/>
          </w:tcPr>
          <w:p>
            <w:pPr>
              <w:jc w:val="center"/>
              <w:ind w:right="12"/>
              <w:spacing w:after="0"/>
              <w:rPr>
                <w:sz w:val="20"/>
                <w:szCs w:val="20"/>
                <w:color w:val="auto"/>
              </w:rPr>
            </w:pPr>
            <w:r>
              <w:rPr>
                <w:rFonts w:ascii="Arial" w:cs="Arial" w:eastAsia="Arial" w:hAnsi="Arial"/>
                <w:sz w:val="22"/>
                <w:szCs w:val="22"/>
                <w:color w:val="auto"/>
                <w:w w:val="98"/>
              </w:rPr>
              <w:t>BFE1.</w:t>
            </w:r>
          </w:p>
        </w:tc>
        <w:tc>
          <w:tcPr>
            <w:tcW w:w="5300" w:type="dxa"/>
            <w:vAlign w:val="bottom"/>
          </w:tcPr>
          <w:p>
            <w:pPr>
              <w:ind w:left="20"/>
              <w:spacing w:after="0"/>
              <w:rPr>
                <w:sz w:val="20"/>
                <w:szCs w:val="20"/>
                <w:color w:val="auto"/>
              </w:rPr>
            </w:pPr>
            <w:r>
              <w:rPr>
                <w:rFonts w:ascii="Arial" w:cs="Arial" w:eastAsia="Arial" w:hAnsi="Arial"/>
                <w:sz w:val="22"/>
                <w:szCs w:val="22"/>
                <w:color w:val="auto"/>
              </w:rPr>
              <w:t>BFE Variables</w:t>
            </w:r>
          </w:p>
        </w:tc>
        <w:tc>
          <w:tcPr>
            <w:tcW w:w="2820" w:type="dxa"/>
            <w:vAlign w:val="bottom"/>
          </w:tcPr>
          <w:p>
            <w:pPr>
              <w:spacing w:after="0"/>
              <w:rPr>
                <w:sz w:val="23"/>
                <w:szCs w:val="23"/>
                <w:color w:val="auto"/>
              </w:rPr>
            </w:pPr>
          </w:p>
        </w:tc>
      </w:tr>
      <w:tr>
        <w:trPr>
          <w:trHeight w:val="270"/>
        </w:trPr>
        <w:tc>
          <w:tcPr>
            <w:tcW w:w="2400" w:type="dxa"/>
            <w:vAlign w:val="bottom"/>
          </w:tcPr>
          <w:p>
            <w:pPr>
              <w:jc w:val="center"/>
              <w:ind w:right="12"/>
              <w:spacing w:after="0"/>
              <w:rPr>
                <w:sz w:val="20"/>
                <w:szCs w:val="20"/>
                <w:color w:val="auto"/>
              </w:rPr>
            </w:pPr>
            <w:r>
              <w:rPr>
                <w:rFonts w:ascii="Arial" w:cs="Arial" w:eastAsia="Arial" w:hAnsi="Arial"/>
                <w:sz w:val="22"/>
                <w:szCs w:val="22"/>
                <w:color w:val="auto"/>
                <w:w w:val="98"/>
              </w:rPr>
              <w:t>CS1R1.</w:t>
            </w:r>
          </w:p>
        </w:tc>
        <w:tc>
          <w:tcPr>
            <w:tcW w:w="5300" w:type="dxa"/>
            <w:vAlign w:val="bottom"/>
          </w:tcPr>
          <w:p>
            <w:pPr>
              <w:ind w:left="20"/>
              <w:spacing w:after="0"/>
              <w:rPr>
                <w:sz w:val="20"/>
                <w:szCs w:val="20"/>
                <w:color w:val="auto"/>
              </w:rPr>
            </w:pPr>
            <w:r>
              <w:rPr>
                <w:rFonts w:ascii="Arial" w:cs="Arial" w:eastAsia="Arial" w:hAnsi="Arial"/>
                <w:sz w:val="22"/>
                <w:szCs w:val="22"/>
                <w:color w:val="auto"/>
              </w:rPr>
              <w:t>Customer Support Variables</w:t>
            </w:r>
          </w:p>
        </w:tc>
        <w:tc>
          <w:tcPr>
            <w:tcW w:w="2820" w:type="dxa"/>
            <w:vAlign w:val="bottom"/>
          </w:tcPr>
          <w:p>
            <w:pPr>
              <w:jc w:val="center"/>
              <w:ind w:left="2472"/>
              <w:spacing w:after="0"/>
              <w:rPr>
                <w:sz w:val="20"/>
                <w:szCs w:val="20"/>
                <w:color w:val="auto"/>
              </w:rPr>
            </w:pPr>
            <w:r>
              <w:rPr>
                <w:rFonts w:ascii="Arial" w:cs="Arial" w:eastAsia="Arial" w:hAnsi="Arial"/>
                <w:sz w:val="22"/>
                <w:szCs w:val="22"/>
                <w:color w:val="auto"/>
                <w:w w:val="97"/>
              </w:rPr>
              <w:t>4</w:t>
            </w:r>
          </w:p>
        </w:tc>
      </w:tr>
      <w:tr>
        <w:trPr>
          <w:trHeight w:val="270"/>
        </w:trPr>
        <w:tc>
          <w:tcPr>
            <w:tcW w:w="2400" w:type="dxa"/>
            <w:vAlign w:val="bottom"/>
          </w:tcPr>
          <w:p>
            <w:pPr>
              <w:jc w:val="center"/>
              <w:ind w:right="12"/>
              <w:spacing w:after="0"/>
              <w:rPr>
                <w:sz w:val="20"/>
                <w:szCs w:val="20"/>
                <w:color w:val="auto"/>
              </w:rPr>
            </w:pPr>
            <w:r>
              <w:rPr>
                <w:rFonts w:ascii="Arial" w:cs="Arial" w:eastAsia="Arial" w:hAnsi="Arial"/>
                <w:sz w:val="22"/>
                <w:szCs w:val="22"/>
                <w:color w:val="auto"/>
              </w:rPr>
              <w:t>EE1.</w:t>
            </w:r>
          </w:p>
        </w:tc>
        <w:tc>
          <w:tcPr>
            <w:tcW w:w="5300" w:type="dxa"/>
            <w:vAlign w:val="bottom"/>
          </w:tcPr>
          <w:p>
            <w:pPr>
              <w:ind w:left="20"/>
              <w:spacing w:after="0"/>
              <w:rPr>
                <w:sz w:val="20"/>
                <w:szCs w:val="20"/>
                <w:color w:val="auto"/>
              </w:rPr>
            </w:pPr>
            <w:r>
              <w:rPr>
                <w:rFonts w:ascii="Arial" w:cs="Arial" w:eastAsia="Arial" w:hAnsi="Arial"/>
                <w:sz w:val="19"/>
                <w:szCs w:val="19"/>
                <w:color w:val="auto"/>
              </w:rPr>
              <w:t>[****]</w:t>
            </w:r>
          </w:p>
        </w:tc>
        <w:tc>
          <w:tcPr>
            <w:tcW w:w="2820" w:type="dxa"/>
            <w:vAlign w:val="bottom"/>
          </w:tcPr>
          <w:p>
            <w:pPr>
              <w:spacing w:after="0"/>
              <w:rPr>
                <w:sz w:val="23"/>
                <w:szCs w:val="23"/>
                <w:color w:val="auto"/>
              </w:rPr>
            </w:pPr>
          </w:p>
        </w:tc>
      </w:tr>
      <w:tr>
        <w:trPr>
          <w:trHeight w:val="275"/>
        </w:trPr>
        <w:tc>
          <w:tcPr>
            <w:tcW w:w="2400" w:type="dxa"/>
            <w:vAlign w:val="bottom"/>
          </w:tcPr>
          <w:p>
            <w:pPr>
              <w:jc w:val="center"/>
              <w:ind w:right="12"/>
              <w:spacing w:after="0"/>
              <w:rPr>
                <w:sz w:val="20"/>
                <w:szCs w:val="20"/>
                <w:color w:val="auto"/>
              </w:rPr>
            </w:pPr>
            <w:r>
              <w:rPr>
                <w:rFonts w:ascii="Arial" w:cs="Arial" w:eastAsia="Arial" w:hAnsi="Arial"/>
                <w:sz w:val="22"/>
                <w:szCs w:val="22"/>
                <w:color w:val="auto"/>
              </w:rPr>
              <w:t>SLP1.</w:t>
            </w:r>
          </w:p>
        </w:tc>
        <w:tc>
          <w:tcPr>
            <w:tcW w:w="5300" w:type="dxa"/>
            <w:vAlign w:val="bottom"/>
          </w:tcPr>
          <w:p>
            <w:pPr>
              <w:ind w:left="20"/>
              <w:spacing w:after="0"/>
              <w:rPr>
                <w:sz w:val="20"/>
                <w:szCs w:val="20"/>
                <w:color w:val="auto"/>
              </w:rPr>
            </w:pPr>
            <w:r>
              <w:rPr>
                <w:rFonts w:ascii="Arial" w:cs="Arial" w:eastAsia="Arial" w:hAnsi="Arial"/>
                <w:sz w:val="19"/>
                <w:szCs w:val="19"/>
                <w:color w:val="auto"/>
              </w:rPr>
              <w:t>[****]</w:t>
            </w:r>
          </w:p>
        </w:tc>
        <w:tc>
          <w:tcPr>
            <w:tcW w:w="2820" w:type="dxa"/>
            <w:vAlign w:val="bottom"/>
          </w:tcPr>
          <w:p>
            <w:pPr>
              <w:spacing w:after="0"/>
              <w:rPr>
                <w:sz w:val="23"/>
                <w:szCs w:val="23"/>
                <w:color w:val="auto"/>
              </w:rPr>
            </w:pPr>
          </w:p>
        </w:tc>
      </w:tr>
      <w:tr>
        <w:trPr>
          <w:trHeight w:val="300"/>
        </w:trPr>
        <w:tc>
          <w:tcPr>
            <w:tcW w:w="24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LETTER AGREEMENTS</w:t>
            </w:r>
          </w:p>
        </w:tc>
        <w:tc>
          <w:tcPr>
            <w:tcW w:w="5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76"/>
        </w:trPr>
        <w:tc>
          <w:tcPr>
            <w:tcW w:w="2400" w:type="dxa"/>
            <w:vAlign w:val="bottom"/>
          </w:tcPr>
          <w:p>
            <w:pPr>
              <w:spacing w:after="0"/>
              <w:rPr>
                <w:sz w:val="20"/>
                <w:szCs w:val="20"/>
                <w:color w:val="auto"/>
              </w:rPr>
            </w:pPr>
            <w:r>
              <w:rPr>
                <w:rFonts w:ascii="Arial" w:cs="Arial" w:eastAsia="Arial" w:hAnsi="Arial"/>
                <w:sz w:val="22"/>
                <w:szCs w:val="22"/>
                <w:color w:val="auto"/>
              </w:rPr>
              <w:t>LA-1106648R1</w:t>
            </w:r>
          </w:p>
        </w:tc>
        <w:tc>
          <w:tcPr>
            <w:tcW w:w="5300" w:type="dxa"/>
            <w:vAlign w:val="bottom"/>
          </w:tcPr>
          <w:p>
            <w:pPr>
              <w:ind w:left="20"/>
              <w:spacing w:after="0"/>
              <w:rPr>
                <w:sz w:val="20"/>
                <w:szCs w:val="20"/>
                <w:color w:val="auto"/>
              </w:rPr>
            </w:pPr>
            <w:r>
              <w:rPr>
                <w:rFonts w:ascii="Arial" w:cs="Arial" w:eastAsia="Arial" w:hAnsi="Arial"/>
                <w:sz w:val="22"/>
                <w:szCs w:val="22"/>
                <w:color w:val="auto"/>
              </w:rPr>
              <w:t>Special Matters</w:t>
            </w:r>
          </w:p>
        </w:tc>
        <w:tc>
          <w:tcPr>
            <w:tcW w:w="2820" w:type="dxa"/>
            <w:vAlign w:val="bottom"/>
          </w:tcPr>
          <w:p>
            <w:pPr>
              <w:jc w:val="center"/>
              <w:ind w:left="2472"/>
              <w:spacing w:after="0"/>
              <w:rPr>
                <w:sz w:val="20"/>
                <w:szCs w:val="20"/>
                <w:color w:val="auto"/>
              </w:rPr>
            </w:pPr>
            <w:r>
              <w:rPr>
                <w:rFonts w:ascii="Arial" w:cs="Arial" w:eastAsia="Arial" w:hAnsi="Arial"/>
                <w:sz w:val="22"/>
                <w:szCs w:val="22"/>
                <w:color w:val="auto"/>
                <w:w w:val="97"/>
              </w:rPr>
              <w:t>6</w:t>
            </w:r>
          </w:p>
        </w:tc>
      </w:tr>
      <w:tr>
        <w:trPr>
          <w:trHeight w:val="260"/>
        </w:trPr>
        <w:tc>
          <w:tcPr>
            <w:tcW w:w="2400" w:type="dxa"/>
            <w:vAlign w:val="bottom"/>
          </w:tcPr>
          <w:p>
            <w:pPr>
              <w:spacing w:after="0"/>
              <w:rPr>
                <w:sz w:val="20"/>
                <w:szCs w:val="20"/>
                <w:color w:val="auto"/>
              </w:rPr>
            </w:pPr>
            <w:r>
              <w:rPr>
                <w:rFonts w:ascii="Arial" w:cs="Arial" w:eastAsia="Arial" w:hAnsi="Arial"/>
                <w:sz w:val="22"/>
                <w:szCs w:val="22"/>
                <w:color w:val="auto"/>
              </w:rPr>
              <w:t>LA-1106649</w:t>
            </w:r>
          </w:p>
        </w:tc>
        <w:tc>
          <w:tcPr>
            <w:tcW w:w="5300" w:type="dxa"/>
            <w:vAlign w:val="bottom"/>
          </w:tcPr>
          <w:p>
            <w:pPr>
              <w:ind w:left="20"/>
              <w:spacing w:after="0"/>
              <w:rPr>
                <w:sz w:val="20"/>
                <w:szCs w:val="20"/>
                <w:color w:val="auto"/>
              </w:rPr>
            </w:pPr>
            <w:r>
              <w:rPr>
                <w:rFonts w:ascii="Arial" w:cs="Arial" w:eastAsia="Arial" w:hAnsi="Arial"/>
                <w:sz w:val="19"/>
                <w:szCs w:val="19"/>
                <w:color w:val="auto"/>
              </w:rPr>
              <w:t>[****]</w:t>
            </w:r>
          </w:p>
        </w:tc>
        <w:tc>
          <w:tcPr>
            <w:tcW w:w="2820" w:type="dxa"/>
            <w:vAlign w:val="bottom"/>
          </w:tcPr>
          <w:p>
            <w:pPr>
              <w:spacing w:after="0"/>
              <w:rPr>
                <w:sz w:val="22"/>
                <w:szCs w:val="22"/>
                <w:color w:val="auto"/>
              </w:rPr>
            </w:pPr>
          </w:p>
        </w:tc>
      </w:tr>
      <w:tr>
        <w:trPr>
          <w:trHeight w:val="301"/>
        </w:trPr>
        <w:tc>
          <w:tcPr>
            <w:tcW w:w="2400" w:type="dxa"/>
            <w:vAlign w:val="bottom"/>
          </w:tcPr>
          <w:p>
            <w:pPr>
              <w:spacing w:after="0"/>
              <w:rPr>
                <w:sz w:val="20"/>
                <w:szCs w:val="20"/>
                <w:color w:val="auto"/>
              </w:rPr>
            </w:pPr>
            <w:r>
              <w:rPr>
                <w:rFonts w:ascii="Arial" w:cs="Arial" w:eastAsia="Arial" w:hAnsi="Arial"/>
                <w:sz w:val="22"/>
                <w:szCs w:val="22"/>
                <w:b w:val="1"/>
                <w:bCs w:val="1"/>
                <w:color w:val="auto"/>
              </w:rPr>
              <w:t>LA-1106650R7</w:t>
            </w:r>
          </w:p>
        </w:tc>
        <w:tc>
          <w:tcPr>
            <w:tcW w:w="5300" w:type="dxa"/>
            <w:vAlign w:val="bottom"/>
          </w:tcPr>
          <w:p>
            <w:pPr>
              <w:ind w:left="20"/>
              <w:spacing w:after="0"/>
              <w:rPr>
                <w:sz w:val="20"/>
                <w:szCs w:val="20"/>
                <w:color w:val="auto"/>
              </w:rPr>
            </w:pPr>
            <w:r>
              <w:rPr>
                <w:rFonts w:ascii="Arial" w:cs="Arial" w:eastAsia="Arial" w:hAnsi="Arial"/>
                <w:sz w:val="19"/>
                <w:szCs w:val="19"/>
                <w:b w:val="1"/>
                <w:bCs w:val="1"/>
                <w:color w:val="auto"/>
              </w:rPr>
              <w:t>[****]</w:t>
            </w:r>
          </w:p>
        </w:tc>
        <w:tc>
          <w:tcPr>
            <w:tcW w:w="2820" w:type="dxa"/>
            <w:vAlign w:val="bottom"/>
          </w:tcPr>
          <w:p>
            <w:pPr>
              <w:jc w:val="center"/>
              <w:ind w:left="2472"/>
              <w:spacing w:after="0"/>
              <w:rPr>
                <w:sz w:val="20"/>
                <w:szCs w:val="20"/>
                <w:color w:val="auto"/>
              </w:rPr>
            </w:pPr>
            <w:r>
              <w:rPr>
                <w:rFonts w:ascii="Arial" w:cs="Arial" w:eastAsia="Arial" w:hAnsi="Arial"/>
                <w:sz w:val="22"/>
                <w:szCs w:val="22"/>
                <w:b w:val="1"/>
                <w:bCs w:val="1"/>
                <w:color w:val="auto"/>
                <w:w w:val="97"/>
              </w:rPr>
              <w:t>29</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SA-29</w:t>
      </w:r>
    </w:p>
    <w:p>
      <w:pPr>
        <w:jc w:val="center"/>
        <w:ind w:right="-1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880"/>
          </w:cols>
          <w:pgMar w:left="400" w:top="1440" w:right="619" w:bottom="1440" w:gutter="0" w:footer="0" w:header="0"/>
          <w:type w:val="continuous"/>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72" w:type="dxa"/>
        <w:tblCellMar>
          <w:top w:w="0" w:type="dxa"/>
          <w:left w:w="0" w:type="dxa"/>
          <w:bottom w:w="0" w:type="dxa"/>
          <w:right w:w="0" w:type="dxa"/>
        </w:tblCellMar>
      </w:tblPr>
      <w:tr>
        <w:trPr>
          <w:trHeight w:val="301"/>
        </w:trPr>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80" w:type="dxa"/>
            <w:vAlign w:val="bottom"/>
            <w:gridSpan w:val="2"/>
          </w:tcPr>
          <w:p>
            <w:pPr>
              <w:ind w:left="260"/>
              <w:spacing w:after="0"/>
              <w:rPr>
                <w:sz w:val="20"/>
                <w:szCs w:val="20"/>
                <w:color w:val="auto"/>
              </w:rPr>
            </w:pPr>
            <w:r>
              <w:rPr>
                <w:rFonts w:ascii="Arial" w:cs="Arial" w:eastAsia="Arial" w:hAnsi="Arial"/>
                <w:sz w:val="22"/>
                <w:szCs w:val="22"/>
                <w:b w:val="1"/>
                <w:bCs w:val="1"/>
                <w:color w:val="auto"/>
              </w:rPr>
              <w:t>TABLE OF CONTENTS, continued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2000" w:type="dxa"/>
            <w:vAlign w:val="bottom"/>
          </w:tcPr>
          <w:p>
            <w:pPr>
              <w:spacing w:after="0"/>
              <w:rPr>
                <w:sz w:val="20"/>
                <w:szCs w:val="20"/>
                <w:color w:val="auto"/>
              </w:rPr>
            </w:pPr>
            <w:r>
              <w:rPr>
                <w:rFonts w:ascii="Arial" w:cs="Arial" w:eastAsia="Arial" w:hAnsi="Arial"/>
                <w:sz w:val="22"/>
                <w:szCs w:val="22"/>
                <w:b w:val="1"/>
                <w:bCs w:val="1"/>
                <w:color w:val="auto"/>
              </w:rPr>
              <w:t>LA-1106651R10</w:t>
            </w:r>
          </w:p>
        </w:tc>
        <w:tc>
          <w:tcPr>
            <w:tcW w:w="1560" w:type="dxa"/>
            <w:vAlign w:val="bottom"/>
          </w:tcPr>
          <w:p>
            <w:pPr>
              <w:ind w:left="420"/>
              <w:spacing w:after="0"/>
              <w:rPr>
                <w:sz w:val="20"/>
                <w:szCs w:val="20"/>
                <w:color w:val="auto"/>
              </w:rPr>
            </w:pPr>
            <w:r>
              <w:rPr>
                <w:rFonts w:ascii="Arial" w:cs="Arial" w:eastAsia="Arial" w:hAnsi="Arial"/>
                <w:sz w:val="19"/>
                <w:szCs w:val="19"/>
                <w:b w:val="1"/>
                <w:bCs w:val="1"/>
                <w:color w:val="auto"/>
              </w:rPr>
              <w:t>[****]</w:t>
            </w:r>
          </w:p>
        </w:tc>
        <w:tc>
          <w:tcPr>
            <w:tcW w:w="1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2"/>
                <w:szCs w:val="22"/>
                <w:b w:val="1"/>
                <w:bCs w:val="1"/>
                <w:color w:val="auto"/>
                <w:w w:val="97"/>
              </w:rPr>
              <w:t>27</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LA-1106652R1</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Aircraft Model Substitution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28</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LA-1106654</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AGTA Terms Revisions for MAX</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strike w:val="1"/>
              </w:rPr>
              <w:t>LA-1106655</w:t>
            </w:r>
          </w:p>
        </w:tc>
        <w:tc>
          <w:tcPr>
            <w:tcW w:w="2860" w:type="dxa"/>
            <w:vAlign w:val="bottom"/>
            <w:gridSpan w:val="2"/>
          </w:tcPr>
          <w:p>
            <w:pPr>
              <w:ind w:left="420"/>
              <w:spacing w:after="0"/>
              <w:rPr>
                <w:sz w:val="20"/>
                <w:szCs w:val="20"/>
                <w:color w:val="auto"/>
              </w:rPr>
            </w:pPr>
            <w:r>
              <w:rPr>
                <w:rFonts w:ascii="Arial" w:cs="Arial" w:eastAsia="Arial" w:hAnsi="Arial"/>
                <w:sz w:val="22"/>
                <w:szCs w:val="22"/>
                <w:color w:val="auto"/>
                <w:strike w:val="1"/>
                <w:w w:val="97"/>
              </w:rPr>
              <w:t>Open Matters – 737 MAX</w:t>
            </w:r>
          </w:p>
        </w:tc>
        <w:tc>
          <w:tcPr>
            <w:tcW w:w="5080" w:type="dxa"/>
            <w:vAlign w:val="bottom"/>
          </w:tcPr>
          <w:p>
            <w:pPr>
              <w:ind w:left="60"/>
              <w:spacing w:after="0"/>
              <w:rPr>
                <w:sz w:val="20"/>
                <w:szCs w:val="20"/>
                <w:color w:val="auto"/>
              </w:rPr>
            </w:pPr>
            <w:r>
              <w:rPr>
                <w:rFonts w:ascii="Arial" w:cs="Arial" w:eastAsia="Arial" w:hAnsi="Arial"/>
                <w:sz w:val="22"/>
                <w:szCs w:val="22"/>
                <w:color w:val="auto"/>
              </w:rPr>
              <w:t>Withdrawn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LA-1106656R1</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Most Favored Customer – 737 MAX</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LA-1106657R1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LA-1106663 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LA-1106664 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LA-1106658</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LA-1106659R3</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21</w:t>
            </w:r>
          </w:p>
        </w:tc>
        <w:tc>
          <w:tcPr>
            <w:tcW w:w="0" w:type="dxa"/>
            <w:vAlign w:val="bottom"/>
          </w:tcPr>
          <w:p>
            <w:pPr>
              <w:spacing w:after="0"/>
              <w:rPr>
                <w:sz w:val="1"/>
                <w:szCs w:val="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22"/>
                <w:szCs w:val="22"/>
                <w:color w:val="auto"/>
              </w:rPr>
              <w:t>LA-1106660</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Spare Parts Initial Provisioning</w:t>
            </w:r>
          </w:p>
        </w:tc>
        <w:tc>
          <w:tcPr>
            <w:tcW w:w="9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206"/>
        </w:trPr>
        <w:tc>
          <w:tcPr>
            <w:tcW w:w="994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LETTER AGREEMENTS, continued</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9940" w:type="dxa"/>
            <w:vAlign w:val="bottom"/>
            <w:gridSpan w:val="4"/>
            <w:vMerge w:val="continue"/>
          </w:tcPr>
          <w:p>
            <w:pPr>
              <w:spacing w:after="0"/>
              <w:rPr>
                <w:sz w:val="12"/>
                <w:szCs w:val="12"/>
                <w:color w:val="auto"/>
              </w:rPr>
            </w:pPr>
          </w:p>
        </w:tc>
        <w:tc>
          <w:tcPr>
            <w:tcW w:w="940" w:type="dxa"/>
            <w:vAlign w:val="bottom"/>
            <w:vMerge w:val="restart"/>
          </w:tcPr>
          <w:p>
            <w:pPr>
              <w:jc w:val="center"/>
              <w:spacing w:after="0" w:line="229" w:lineRule="exact"/>
              <w:rPr>
                <w:sz w:val="20"/>
                <w:szCs w:val="20"/>
                <w:color w:val="auto"/>
              </w:rPr>
            </w:pPr>
            <w:r>
              <w:rPr>
                <w:rFonts w:ascii="Arial" w:cs="Arial" w:eastAsia="Arial" w:hAnsi="Arial"/>
                <w:sz w:val="22"/>
                <w:szCs w:val="22"/>
                <w:b w:val="1"/>
                <w:bCs w:val="1"/>
                <w:color w:val="auto"/>
                <w:w w:val="97"/>
              </w:rPr>
              <w:t>NUMBER</w:t>
            </w:r>
          </w:p>
        </w:tc>
        <w:tc>
          <w:tcPr>
            <w:tcW w:w="0" w:type="dxa"/>
            <w:vAlign w:val="bottom"/>
          </w:tcPr>
          <w:p>
            <w:pPr>
              <w:spacing w:after="0"/>
              <w:rPr>
                <w:sz w:val="1"/>
                <w:szCs w:val="1"/>
                <w:color w:val="auto"/>
              </w:rPr>
            </w:pPr>
          </w:p>
        </w:tc>
      </w:tr>
      <w:tr>
        <w:trPr>
          <w:trHeight w:val="66"/>
        </w:trPr>
        <w:tc>
          <w:tcPr>
            <w:tcW w:w="2000" w:type="dxa"/>
            <w:vAlign w:val="bottom"/>
            <w:tcBorders>
              <w:top w:val="single" w:sz="8" w:color="auto"/>
            </w:tcBorders>
          </w:tcPr>
          <w:p>
            <w:pPr>
              <w:spacing w:after="0"/>
              <w:rPr>
                <w:sz w:val="5"/>
                <w:szCs w:val="5"/>
                <w:color w:val="auto"/>
              </w:rPr>
            </w:pPr>
          </w:p>
        </w:tc>
        <w:tc>
          <w:tcPr>
            <w:tcW w:w="156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5080" w:type="dxa"/>
            <w:vAlign w:val="bottom"/>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000" w:type="dxa"/>
            <w:vAlign w:val="bottom"/>
          </w:tcPr>
          <w:p>
            <w:pPr>
              <w:spacing w:after="0"/>
              <w:rPr>
                <w:sz w:val="20"/>
                <w:szCs w:val="20"/>
                <w:color w:val="auto"/>
              </w:rPr>
            </w:pPr>
            <w:r>
              <w:rPr>
                <w:rFonts w:ascii="Arial" w:cs="Arial" w:eastAsia="Arial" w:hAnsi="Arial"/>
                <w:sz w:val="22"/>
                <w:szCs w:val="22"/>
                <w:color w:val="auto"/>
              </w:rPr>
              <w:t>LA-1106661R2</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LA-1106667</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LA-1106668R1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LA-1106669</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LA-1106670</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Confidentiality</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LA-1106671R1</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Miscellaneous Commitments</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LA-1106672</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Extended Warranty Option</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LA-1106673R1*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LA-1106677</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Optional Features Comfort Letter</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LA-1600073</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LA-1600852</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LA-1603773</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LA-1605402R1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LA-1700919</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LA-1801206</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LA-2002704</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LA-2002743</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LA-2003342</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LA-2003486</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14</w:t>
            </w:r>
          </w:p>
        </w:tc>
        <w:tc>
          <w:tcPr>
            <w:tcW w:w="0" w:type="dxa"/>
            <w:vAlign w:val="bottom"/>
          </w:tcPr>
          <w:p>
            <w:pPr>
              <w:spacing w:after="0"/>
              <w:rPr>
                <w:sz w:val="1"/>
                <w:szCs w:val="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22"/>
                <w:szCs w:val="22"/>
                <w:color w:val="auto"/>
              </w:rPr>
              <w:t>LA-2204032</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28</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8" w:firstLine="8"/>
        <w:spacing w:after="0" w:line="233" w:lineRule="auto"/>
        <w:tabs>
          <w:tab w:leader="none" w:pos="136" w:val="left"/>
        </w:tabs>
        <w:numPr>
          <w:ilvl w:val="0"/>
          <w:numId w:val="73"/>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ectPr>
          <w:pgSz w:w="11900" w:h="16838" w:orient="portrait"/>
          <w:cols w:equalWidth="0" w:num="1">
            <w:col w:w="10992"/>
          </w:cols>
          <w:pgMar w:left="328"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1"/>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SA-29</w:t>
      </w:r>
    </w:p>
    <w:p>
      <w:pPr>
        <w:jc w:val="center"/>
        <w:ind w:right="-231"/>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92"/>
          </w:cols>
          <w:pgMar w:left="328" w:top="1440" w:right="57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Table 1-4R7 To</w:t>
      </w:r>
    </w:p>
    <w:p>
      <w:pPr>
        <w:jc w:val="center"/>
        <w:spacing w:after="0" w:line="204" w:lineRule="auto"/>
        <w:rPr>
          <w:sz w:val="20"/>
          <w:szCs w:val="20"/>
          <w:color w:val="auto"/>
        </w:rPr>
      </w:pPr>
      <w:r>
        <w:rPr>
          <w:rFonts w:ascii="Arial" w:cs="Arial" w:eastAsia="Arial" w:hAnsi="Arial"/>
          <w:sz w:val="22"/>
          <w:szCs w:val="22"/>
          <w:b w:val="1"/>
          <w:bCs w:val="1"/>
          <w:color w:val="auto"/>
        </w:rPr>
        <w:t>Purchase Agreement No. PA-03735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737-8 [****] Aircraft Delivery, Description, Price and Advance Payments</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0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Airframe</w:t>
            </w: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Arial" w:cs="Arial" w:eastAsia="Arial" w:hAnsi="Arial"/>
                <w:sz w:val="16"/>
                <w:szCs w:val="16"/>
                <w:b w:val="1"/>
                <w:bCs w:val="1"/>
                <w:color w:val="auto"/>
              </w:rPr>
              <w:t>Model/MTOW:</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737-8</w:t>
            </w:r>
          </w:p>
        </w:tc>
        <w:tc>
          <w:tcPr>
            <w:tcW w:w="80" w:type="dxa"/>
            <w:vAlign w:val="bottom"/>
          </w:tcPr>
          <w:p>
            <w:pPr>
              <w:spacing w:after="0"/>
              <w:rPr>
                <w:sz w:val="24"/>
                <w:szCs w:val="24"/>
                <w:color w:val="auto"/>
              </w:rPr>
            </w:pPr>
          </w:p>
        </w:tc>
        <w:tc>
          <w:tcPr>
            <w:tcW w:w="1760" w:type="dxa"/>
            <w:vAlign w:val="bottom"/>
            <w:gridSpan w:val="2"/>
          </w:tcPr>
          <w:p>
            <w:pPr>
              <w:ind w:left="400"/>
              <w:spacing w:after="0"/>
              <w:rPr>
                <w:sz w:val="20"/>
                <w:szCs w:val="20"/>
                <w:color w:val="auto"/>
              </w:rPr>
            </w:pPr>
            <w:r>
              <w:rPr>
                <w:rFonts w:ascii="Arial" w:cs="Arial" w:eastAsia="Arial" w:hAnsi="Arial"/>
                <w:sz w:val="16"/>
                <w:szCs w:val="16"/>
                <w:color w:val="auto"/>
              </w:rPr>
              <w:t>[****] pounds</w:t>
            </w:r>
          </w:p>
        </w:tc>
        <w:tc>
          <w:tcPr>
            <w:tcW w:w="6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6"/>
                <w:szCs w:val="16"/>
                <w:b w:val="1"/>
                <w:bCs w:val="1"/>
                <w:color w:val="auto"/>
                <w:w w:val="91"/>
              </w:rPr>
              <w:t>Detail Specification:</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2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gridSpan w:val="4"/>
          </w:tcPr>
          <w:p>
            <w:pPr>
              <w:spacing w:after="0"/>
              <w:rPr>
                <w:sz w:val="20"/>
                <w:szCs w:val="20"/>
                <w:color w:val="auto"/>
              </w:rPr>
            </w:pPr>
            <w:r>
              <w:rPr>
                <w:rFonts w:ascii="Arial" w:cs="Arial" w:eastAsia="Arial" w:hAnsi="Arial"/>
                <w:sz w:val="16"/>
                <w:szCs w:val="16"/>
                <w:b w:val="1"/>
                <w:bCs w:val="1"/>
                <w:color w:val="auto"/>
              </w:rPr>
              <w:t>Airframe Price Base Year/Escalation</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Engine Model/Thrust:</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8"/>
              </w:rPr>
              <w:t>CFMLEAP-1B25</w:t>
            </w:r>
          </w:p>
        </w:tc>
        <w:tc>
          <w:tcPr>
            <w:tcW w:w="1760" w:type="dxa"/>
            <w:vAlign w:val="bottom"/>
            <w:gridSpan w:val="2"/>
          </w:tcPr>
          <w:p>
            <w:pPr>
              <w:ind w:left="400"/>
              <w:spacing w:after="0"/>
              <w:rPr>
                <w:sz w:val="20"/>
                <w:szCs w:val="20"/>
                <w:color w:val="auto"/>
              </w:rPr>
            </w:pPr>
            <w:r>
              <w:rPr>
                <w:rFonts w:ascii="Arial" w:cs="Arial" w:eastAsia="Arial" w:hAnsi="Arial"/>
                <w:sz w:val="16"/>
                <w:szCs w:val="16"/>
                <w:color w:val="auto"/>
              </w:rPr>
              <w:t>[****] pounds</w:t>
            </w:r>
          </w:p>
        </w:tc>
        <w:tc>
          <w:tcPr>
            <w:tcW w:w="6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6"/>
                <w:szCs w:val="16"/>
                <w:b w:val="1"/>
                <w:bCs w:val="1"/>
                <w:color w:val="auto"/>
              </w:rPr>
              <w:t>Formula:</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6"/>
                <w:szCs w:val="16"/>
                <w:b w:val="1"/>
                <w:bCs w:val="1"/>
                <w:color w:val="auto"/>
              </w:rPr>
              <w:t>Airframe Price: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gridSpan w:val="4"/>
          </w:tcPr>
          <w:p>
            <w:pPr>
              <w:spacing w:after="0"/>
              <w:rPr>
                <w:sz w:val="20"/>
                <w:szCs w:val="20"/>
                <w:color w:val="auto"/>
              </w:rPr>
            </w:pPr>
            <w:r>
              <w:rPr>
                <w:rFonts w:ascii="Arial" w:cs="Arial" w:eastAsia="Arial" w:hAnsi="Arial"/>
                <w:sz w:val="16"/>
                <w:szCs w:val="16"/>
                <w:b w:val="1"/>
                <w:bCs w:val="1"/>
                <w:color w:val="auto"/>
                <w:w w:val="95"/>
              </w:rPr>
              <w:t>Engine Price Base Year/Escalation Formula:</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6"/>
                <w:szCs w:val="16"/>
                <w:b w:val="1"/>
                <w:bCs w:val="1"/>
                <w:color w:val="auto"/>
              </w:rPr>
              <w:t>Optional Features: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000" w:type="dxa"/>
            <w:vAlign w:val="bottom"/>
          </w:tcPr>
          <w:p>
            <w:pPr>
              <w:spacing w:after="0"/>
              <w:rPr>
                <w:sz w:val="5"/>
                <w:szCs w:val="5"/>
                <w:color w:val="auto"/>
              </w:rPr>
            </w:pPr>
          </w:p>
        </w:tc>
        <w:tc>
          <w:tcPr>
            <w:tcW w:w="304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rPr>
              <w:t>Sub-Total of Airframe and Features:</w:t>
            </w:r>
          </w:p>
        </w:tc>
        <w:tc>
          <w:tcPr>
            <w:tcW w:w="760" w:type="dxa"/>
            <w:vAlign w:val="bottom"/>
            <w:tcBorders>
              <w:bottom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4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3"/>
              </w:rPr>
              <w:t>Airframe Escalation Data:</w:t>
            </w:r>
          </w:p>
        </w:tc>
        <w:tc>
          <w:tcPr>
            <w:tcW w:w="44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040" w:type="dxa"/>
            <w:vAlign w:val="bottom"/>
            <w:gridSpan w:val="6"/>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Borders>
              <w:bottom w:val="single" w:sz="8" w:color="auto"/>
            </w:tcBorders>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000" w:type="dxa"/>
            <w:vAlign w:val="bottom"/>
          </w:tcPr>
          <w:p>
            <w:pPr>
              <w:spacing w:after="0"/>
              <w:rPr>
                <w:sz w:val="24"/>
                <w:szCs w:val="24"/>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rPr>
              <w:t>Engine Price (Per Aircraft):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Base Year Index (ECI):</w:t>
            </w:r>
          </w:p>
        </w:tc>
        <w:tc>
          <w:tcPr>
            <w:tcW w:w="9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00" w:type="dxa"/>
            <w:vAlign w:val="bottom"/>
          </w:tcPr>
          <w:p>
            <w:pPr>
              <w:spacing w:after="0"/>
              <w:rPr>
                <w:sz w:val="24"/>
                <w:szCs w:val="24"/>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w w:val="94"/>
              </w:rPr>
              <w:t>Aircraft Basic Price (Excluding BFE/SPE):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Base Year Index (CPI):</w:t>
            </w:r>
          </w:p>
        </w:tc>
        <w:tc>
          <w:tcPr>
            <w:tcW w:w="9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304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rPr>
              <w:t>Buyer Furnished Equipment (BFE)</w:t>
            </w:r>
          </w:p>
        </w:tc>
        <w:tc>
          <w:tcPr>
            <w:tcW w:w="760" w:type="dxa"/>
            <w:vAlign w:val="bottom"/>
            <w:tcBorders>
              <w:bottom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40" w:type="dxa"/>
            <w:vAlign w:val="bottom"/>
            <w:gridSpan w:val="6"/>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0" w:type="dxa"/>
            <w:vAlign w:val="bottom"/>
          </w:tcPr>
          <w:p>
            <w:pPr>
              <w:spacing w:after="0"/>
              <w:rPr>
                <w:sz w:val="18"/>
                <w:szCs w:val="18"/>
                <w:color w:val="auto"/>
              </w:rPr>
            </w:pPr>
          </w:p>
        </w:tc>
        <w:tc>
          <w:tcPr>
            <w:tcW w:w="3040" w:type="dxa"/>
            <w:vAlign w:val="bottom"/>
            <w:gridSpan w:val="6"/>
            <w:vMerge w:val="continue"/>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rPr>
              <w:t>Estimate: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rPr>
              <w:t>Seller Purchased Equipment (SPE)</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rPr>
              <w:t>Estimate: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rPr>
              <w:t>LIFT Seats Provided by Boeing</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w w:val="91"/>
              </w:rPr>
              <w:t>(Estimate):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6"/>
                <w:szCs w:val="16"/>
                <w:b w:val="1"/>
                <w:bCs w:val="1"/>
                <w:color w:val="auto"/>
              </w:rPr>
              <w:t>Deposit per Aircraft: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3940" w:type="dxa"/>
            <w:vAlign w:val="bottom"/>
            <w:tcBorders>
              <w:right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w w:val="94"/>
              </w:rPr>
              <w:t>Advance Payment Per Aircraft (Amts. Due/Mos. Prior</w:t>
            </w:r>
          </w:p>
        </w:tc>
        <w:tc>
          <w:tcPr>
            <w:tcW w:w="0" w:type="dxa"/>
            <w:vAlign w:val="bottom"/>
          </w:tcPr>
          <w:p>
            <w:pPr>
              <w:spacing w:after="0"/>
              <w:rPr>
                <w:sz w:val="1"/>
                <w:szCs w:val="1"/>
                <w:color w:val="auto"/>
              </w:rPr>
            </w:pPr>
          </w:p>
        </w:tc>
      </w:tr>
      <w:tr>
        <w:trPr>
          <w:trHeight w:val="283"/>
        </w:trPr>
        <w:tc>
          <w:tcPr>
            <w:tcW w:w="10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8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spacing w:after="0"/>
              <w:rPr>
                <w:sz w:val="24"/>
                <w:szCs w:val="24"/>
                <w:color w:val="auto"/>
              </w:rPr>
            </w:pPr>
          </w:p>
        </w:tc>
        <w:tc>
          <w:tcPr>
            <w:tcW w:w="1000" w:type="dxa"/>
            <w:vAlign w:val="bottom"/>
            <w:tcBorders>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2"/>
              </w:rPr>
              <w:t>Escalation Estimate</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to Delivery):</w:t>
            </w: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000" w:type="dxa"/>
            <w:vAlign w:val="bottom"/>
            <w:tcBorders>
              <w:left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80" w:type="dxa"/>
            <w:vAlign w:val="bottom"/>
            <w:tcBorders>
              <w:bottom w:val="single" w:sz="8" w:color="C0C0C0"/>
            </w:tcBorders>
            <w:shd w:val="clear" w:color="auto" w:fill="C0C0C0"/>
          </w:tcPr>
          <w:p>
            <w:pPr>
              <w:spacing w:after="0"/>
              <w:rPr>
                <w:sz w:val="5"/>
                <w:szCs w:val="5"/>
                <w:color w:val="auto"/>
              </w:rPr>
            </w:pPr>
          </w:p>
        </w:tc>
        <w:tc>
          <w:tcPr>
            <w:tcW w:w="760" w:type="dxa"/>
            <w:vAlign w:val="bottom"/>
            <w:tcBorders>
              <w:bottom w:val="single" w:sz="8" w:color="C0C0C0"/>
              <w:right w:val="single" w:sz="8" w:color="auto"/>
            </w:tcBorders>
            <w:shd w:val="clear" w:color="auto" w:fill="C0C0C0"/>
          </w:tcPr>
          <w:p>
            <w:pPr>
              <w:spacing w:after="0"/>
              <w:rPr>
                <w:sz w:val="5"/>
                <w:szCs w:val="5"/>
                <w:color w:val="auto"/>
              </w:rPr>
            </w:pPr>
          </w:p>
        </w:tc>
        <w:tc>
          <w:tcPr>
            <w:tcW w:w="100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Nominal</w:t>
            </w:r>
          </w:p>
        </w:tc>
        <w:tc>
          <w:tcPr>
            <w:tcW w:w="6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vMerge w:val="continue"/>
            <w:shd w:val="clear" w:color="auto" w:fill="C0C0C0"/>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3"/>
              </w:rPr>
              <w:t>Delivery</w:t>
            </w:r>
          </w:p>
        </w:tc>
        <w:tc>
          <w:tcPr>
            <w:tcW w:w="10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Number of</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Factor</w:t>
            </w:r>
          </w:p>
        </w:tc>
        <w:tc>
          <w:tcPr>
            <w:tcW w:w="8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spacing w:after="0"/>
              <w:rPr>
                <w:sz w:val="24"/>
                <w:szCs w:val="24"/>
                <w:color w:val="auto"/>
              </w:rPr>
            </w:pPr>
          </w:p>
        </w:tc>
        <w:tc>
          <w:tcPr>
            <w:tcW w:w="10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Delivery</w:t>
            </w:r>
          </w:p>
        </w:tc>
        <w:tc>
          <w:tcPr>
            <w:tcW w:w="60" w:type="dxa"/>
            <w:vAlign w:val="bottom"/>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Adv Payment Base</w:t>
            </w:r>
          </w:p>
        </w:tc>
        <w:tc>
          <w:tcPr>
            <w:tcW w:w="8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9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2"/>
              </w:rPr>
              <w:t>Date</w:t>
            </w:r>
          </w:p>
        </w:tc>
        <w:tc>
          <w:tcPr>
            <w:tcW w:w="10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Notes</w:t>
            </w:r>
          </w:p>
        </w:tc>
        <w:tc>
          <w:tcPr>
            <w:tcW w:w="80" w:type="dxa"/>
            <w:vAlign w:val="bottom"/>
          </w:tcPr>
          <w:p>
            <w:pPr>
              <w:spacing w:after="0"/>
              <w:rPr>
                <w:sz w:val="24"/>
                <w:szCs w:val="24"/>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Aircraft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(Airframe)</w:t>
            </w:r>
          </w:p>
        </w:tc>
        <w:tc>
          <w:tcPr>
            <w:tcW w:w="8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spacing w:after="0"/>
              <w:rPr>
                <w:sz w:val="24"/>
                <w:szCs w:val="24"/>
                <w:color w:val="auto"/>
              </w:rPr>
            </w:pPr>
          </w:p>
        </w:tc>
        <w:tc>
          <w:tcPr>
            <w:tcW w:w="10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Month</w:t>
            </w:r>
          </w:p>
        </w:tc>
        <w:tc>
          <w:tcPr>
            <w:tcW w:w="60" w:type="dxa"/>
            <w:vAlign w:val="bottom"/>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A/P</w:t>
            </w:r>
          </w:p>
        </w:tc>
        <w:tc>
          <w:tcPr>
            <w:tcW w:w="8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[****]-2023</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0000FF"/>
              </w:rPr>
              <w:t>*</w:t>
            </w: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[****]-2023</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0000FF"/>
              </w:rPr>
              <w:t>**</w:t>
            </w: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[****]-2023</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[****]-2023</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[****]-2023</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[****]-2023</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[****]-2023</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[****]-2023</w:t>
            </w:r>
          </w:p>
        </w:tc>
        <w:tc>
          <w:tcPr>
            <w:tcW w:w="10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0C0C0"/>
            </w:tcBorders>
            <w:shd w:val="clear" w:color="auto" w:fill="C0C0C0"/>
          </w:tcPr>
          <w:p>
            <w:pPr>
              <w:spacing w:after="0"/>
              <w:rPr>
                <w:sz w:val="24"/>
                <w:szCs w:val="24"/>
                <w:color w:val="auto"/>
              </w:rPr>
            </w:pPr>
          </w:p>
        </w:tc>
        <w:tc>
          <w:tcPr>
            <w:tcW w:w="760" w:type="dxa"/>
            <w:vAlign w:val="bottom"/>
            <w:tcBorders>
              <w:bottom w:val="single" w:sz="8" w:color="C0C0C0"/>
              <w:right w:val="single" w:sz="8" w:color="auto"/>
            </w:tcBorders>
            <w:shd w:val="clear" w:color="auto" w:fill="C0C0C0"/>
          </w:tcPr>
          <w:p>
            <w:pPr>
              <w:spacing w:after="0"/>
              <w:rPr>
                <w:sz w:val="24"/>
                <w:szCs w:val="24"/>
                <w:color w:val="auto"/>
              </w:rPr>
            </w:pPr>
          </w:p>
        </w:tc>
        <w:tc>
          <w:tcPr>
            <w:tcW w:w="1000" w:type="dxa"/>
            <w:vAlign w:val="bottom"/>
            <w:tcBorders>
              <w:bottom w:val="single" w:sz="8" w:color="C0C0C0"/>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8"/>
        </w:trPr>
        <w:tc>
          <w:tcPr>
            <w:tcW w:w="1000" w:type="dxa"/>
            <w:vAlign w:val="bottom"/>
            <w:tcBorders>
              <w:top w:val="single" w:sz="8" w:color="auto"/>
              <w:left w:val="single" w:sz="8" w:color="auto"/>
            </w:tcBorders>
          </w:tcPr>
          <w:p>
            <w:pPr>
              <w:jc w:val="center"/>
              <w:ind w:left="39"/>
              <w:spacing w:after="0"/>
              <w:rPr>
                <w:sz w:val="20"/>
                <w:szCs w:val="20"/>
                <w:color w:val="auto"/>
              </w:rPr>
            </w:pPr>
            <w:r>
              <w:rPr>
                <w:rFonts w:ascii="Arial" w:cs="Arial" w:eastAsia="Arial" w:hAnsi="Arial"/>
                <w:sz w:val="16"/>
                <w:szCs w:val="16"/>
                <w:color w:val="auto"/>
              </w:rPr>
              <w:t>[****]-2024</w:t>
            </w:r>
          </w:p>
        </w:tc>
        <w:tc>
          <w:tcPr>
            <w:tcW w:w="100" w:type="dxa"/>
            <w:vAlign w:val="bottom"/>
            <w:tcBorders>
              <w:top w:val="single" w:sz="8" w:color="auto"/>
              <w:right w:val="single" w:sz="8" w:color="auto"/>
            </w:tcBorders>
          </w:tcPr>
          <w:p>
            <w:pPr>
              <w:spacing w:after="0"/>
              <w:rPr>
                <w:sz w:val="22"/>
                <w:szCs w:val="22"/>
                <w:color w:val="auto"/>
              </w:rPr>
            </w:pPr>
          </w:p>
        </w:tc>
        <w:tc>
          <w:tcPr>
            <w:tcW w:w="640" w:type="dxa"/>
            <w:vAlign w:val="bottom"/>
            <w:tcBorders>
              <w:top w:val="single" w:sz="8" w:color="auto"/>
              <w:right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2</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C0C0C0"/>
          </w:tcPr>
          <w:p>
            <w:pPr>
              <w:spacing w:after="0"/>
              <w:rPr>
                <w:sz w:val="22"/>
                <w:szCs w:val="22"/>
                <w:color w:val="auto"/>
              </w:rPr>
            </w:pPr>
          </w:p>
        </w:tc>
        <w:tc>
          <w:tcPr>
            <w:tcW w:w="760" w:type="dxa"/>
            <w:vAlign w:val="bottom"/>
            <w:tcBorders>
              <w:top w:val="single" w:sz="8" w:color="auto"/>
              <w:right w:val="single" w:sz="8" w:color="auto"/>
            </w:tcBorders>
            <w:shd w:val="clear" w:color="auto" w:fill="C0C0C0"/>
          </w:tcPr>
          <w:p>
            <w:pPr>
              <w:spacing w:after="0"/>
              <w:rPr>
                <w:sz w:val="22"/>
                <w:szCs w:val="22"/>
                <w:color w:val="auto"/>
              </w:rPr>
            </w:pPr>
          </w:p>
        </w:tc>
        <w:tc>
          <w:tcPr>
            <w:tcW w:w="1000" w:type="dxa"/>
            <w:vAlign w:val="bottom"/>
            <w:tcBorders>
              <w:top w:val="single" w:sz="8" w:color="auto"/>
              <w:right w:val="single" w:sz="8" w:color="auto"/>
            </w:tcBorders>
            <w:shd w:val="clear" w:color="auto" w:fill="C0C0C0"/>
          </w:tcPr>
          <w:p>
            <w:pPr>
              <w:spacing w:after="0"/>
              <w:rPr>
                <w:sz w:val="22"/>
                <w:szCs w:val="22"/>
                <w:color w:val="auto"/>
              </w:rPr>
            </w:pPr>
          </w:p>
        </w:tc>
        <w:tc>
          <w:tcPr>
            <w:tcW w:w="15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[****]-2024</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[****]-2024</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[****]-2024</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[****]-2024</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color w:val="auto"/>
              </w:rPr>
              <w:t>[****]-2024</w:t>
            </w:r>
          </w:p>
        </w:tc>
        <w:tc>
          <w:tcPr>
            <w:tcW w:w="10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0000FF"/>
                <w:w w:val="89"/>
              </w:rPr>
              <w:t>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0C0C0"/>
          </w:tcPr>
          <w:p>
            <w:pPr>
              <w:spacing w:after="0"/>
              <w:rPr>
                <w:sz w:val="22"/>
                <w:szCs w:val="22"/>
                <w:color w:val="auto"/>
              </w:rPr>
            </w:pPr>
          </w:p>
        </w:tc>
        <w:tc>
          <w:tcPr>
            <w:tcW w:w="760" w:type="dxa"/>
            <w:vAlign w:val="bottom"/>
            <w:tcBorders>
              <w:right w:val="single" w:sz="8" w:color="auto"/>
            </w:tcBorders>
            <w:shd w:val="clear" w:color="auto" w:fill="C0C0C0"/>
          </w:tcPr>
          <w:p>
            <w:pPr>
              <w:spacing w:after="0"/>
              <w:rPr>
                <w:sz w:val="22"/>
                <w:szCs w:val="22"/>
                <w:color w:val="auto"/>
              </w:rPr>
            </w:pPr>
          </w:p>
        </w:tc>
        <w:tc>
          <w:tcPr>
            <w:tcW w:w="1000" w:type="dxa"/>
            <w:vAlign w:val="bottom"/>
            <w:tcBorders>
              <w:right w:val="single" w:sz="8" w:color="auto"/>
            </w:tcBorders>
            <w:shd w:val="clear" w:color="auto" w:fill="C0C0C0"/>
          </w:tcPr>
          <w:p>
            <w:pPr>
              <w:spacing w:after="0"/>
              <w:rPr>
                <w:sz w:val="22"/>
                <w:szCs w:val="22"/>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100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000" w:type="dxa"/>
            <w:vAlign w:val="bottom"/>
            <w:tcBorders>
              <w:bottom w:val="single" w:sz="8" w:color="auto"/>
              <w:right w:val="single" w:sz="8" w:color="auto"/>
            </w:tcBorders>
            <w:shd w:val="clear" w:color="auto" w:fill="C0C0C0"/>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2180" w:val="left"/>
        </w:tabs>
        <w:rPr>
          <w:sz w:val="20"/>
          <w:szCs w:val="20"/>
          <w:color w:val="auto"/>
        </w:rPr>
      </w:pPr>
      <w:r>
        <w:rPr>
          <w:rFonts w:ascii="Arial" w:cs="Arial" w:eastAsia="Arial" w:hAnsi="Arial"/>
          <w:sz w:val="15"/>
          <w:szCs w:val="15"/>
          <w:color w:val="auto"/>
        </w:rPr>
        <w:t>AAL-PA-03735 121430-1F.txt</w:t>
        <w:tab/>
        <w:t>SA-29</w:t>
      </w:r>
    </w:p>
    <w:p>
      <w:pPr>
        <w:ind w:left="180"/>
        <w:spacing w:after="0" w:line="206" w:lineRule="auto"/>
        <w:rPr>
          <w:sz w:val="20"/>
          <w:szCs w:val="20"/>
          <w:color w:val="auto"/>
        </w:rPr>
      </w:pPr>
      <w:r>
        <w:rPr>
          <w:rFonts w:ascii="Arial" w:cs="Arial" w:eastAsia="Arial" w:hAnsi="Arial"/>
          <w:sz w:val="15"/>
          <w:szCs w:val="15"/>
          <w:color w:val="auto"/>
        </w:rPr>
        <w:t>Page 1</w:t>
      </w:r>
    </w:p>
    <w:p>
      <w:pPr>
        <w:jc w:val="center"/>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40"/>
          </w:cols>
          <w:pgMar w:left="320" w:top="734" w:right="33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324"/>
        </w:trPr>
        <w:tc>
          <w:tcPr>
            <w:tcW w:w="1100" w:type="dxa"/>
            <w:vAlign w:val="bottom"/>
            <w:tcBorders>
              <w:top w:val="single" w:sz="8" w:color="auto"/>
              <w:left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shd w:val="clear" w:color="auto" w:fill="C0C0C0"/>
          </w:tcPr>
          <w:p>
            <w:pPr>
              <w:spacing w:after="0"/>
              <w:rPr>
                <w:sz w:val="24"/>
                <w:szCs w:val="24"/>
                <w:color w:val="auto"/>
              </w:rPr>
            </w:pPr>
          </w:p>
        </w:tc>
        <w:tc>
          <w:tcPr>
            <w:tcW w:w="1040" w:type="dxa"/>
            <w:vAlign w:val="bottom"/>
            <w:tcBorders>
              <w:top w:val="single" w:sz="8" w:color="auto"/>
              <w:right w:val="single" w:sz="8" w:color="auto"/>
            </w:tcBorders>
            <w:shd w:val="clear" w:color="auto" w:fill="C0C0C0"/>
          </w:tcPr>
          <w:p>
            <w:pPr>
              <w:spacing w:after="0"/>
              <w:rPr>
                <w:sz w:val="24"/>
                <w:szCs w:val="24"/>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04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Advance Payment Per Aircraft (Amts. Due/Mos.</w:t>
            </w:r>
          </w:p>
        </w:tc>
        <w:tc>
          <w:tcPr>
            <w:tcW w:w="0" w:type="dxa"/>
            <w:vAlign w:val="bottom"/>
          </w:tcPr>
          <w:p>
            <w:pPr>
              <w:spacing w:after="0"/>
              <w:rPr>
                <w:sz w:val="1"/>
                <w:szCs w:val="1"/>
                <w:color w:val="auto"/>
              </w:rPr>
            </w:pPr>
          </w:p>
        </w:tc>
      </w:tr>
      <w:tr>
        <w:trPr>
          <w:trHeight w:val="310"/>
        </w:trPr>
        <w:tc>
          <w:tcPr>
            <w:tcW w:w="1100" w:type="dxa"/>
            <w:vAlign w:val="bottom"/>
            <w:tcBorders>
              <w:left w:val="single" w:sz="8" w:color="auto"/>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740" w:type="dxa"/>
            <w:vAlign w:val="bottom"/>
            <w:tcBorders>
              <w:right w:val="single" w:sz="8" w:color="auto"/>
            </w:tcBorders>
            <w:shd w:val="clear" w:color="auto" w:fill="C0C0C0"/>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w:t>
            </w:r>
          </w:p>
        </w:tc>
        <w:tc>
          <w:tcPr>
            <w:tcW w:w="88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Prior to Delivery):</w:t>
            </w: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00" w:type="dxa"/>
            <w:vAlign w:val="bottom"/>
            <w:tcBorders>
              <w:left w:val="single" w:sz="8" w:color="auto"/>
              <w:right w:val="single" w:sz="8" w:color="auto"/>
            </w:tcBorders>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740" w:type="dxa"/>
            <w:vAlign w:val="bottom"/>
            <w:tcBorders>
              <w:bottom w:val="single" w:sz="8" w:color="C0C0C0"/>
              <w:right w:val="single" w:sz="8" w:color="auto"/>
            </w:tcBorders>
            <w:shd w:val="clear" w:color="auto" w:fill="C0C0C0"/>
          </w:tcPr>
          <w:p>
            <w:pPr>
              <w:spacing w:after="0"/>
              <w:rPr>
                <w:sz w:val="4"/>
                <w:szCs w:val="4"/>
                <w:color w:val="auto"/>
              </w:rPr>
            </w:pPr>
          </w:p>
        </w:tc>
        <w:tc>
          <w:tcPr>
            <w:tcW w:w="104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Nominal</w:t>
            </w:r>
          </w:p>
        </w:tc>
        <w:tc>
          <w:tcPr>
            <w:tcW w:w="1520" w:type="dxa"/>
            <w:vAlign w:val="bottom"/>
            <w:tcBorders>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100" w:type="dxa"/>
            <w:vAlign w:val="bottom"/>
            <w:tcBorders>
              <w:left w:val="single" w:sz="8" w:color="auto"/>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shd w:val="clear" w:color="auto" w:fill="C0C0C0"/>
          </w:tcPr>
          <w:p>
            <w:pPr>
              <w:spacing w:after="0"/>
              <w:rPr>
                <w:sz w:val="24"/>
                <w:szCs w:val="24"/>
                <w:color w:val="auto"/>
              </w:rPr>
            </w:pPr>
          </w:p>
        </w:tc>
        <w:tc>
          <w:tcPr>
            <w:tcW w:w="1040" w:type="dxa"/>
            <w:vAlign w:val="bottom"/>
            <w:tcBorders>
              <w:right w:val="single" w:sz="8" w:color="auto"/>
            </w:tcBorders>
            <w:vMerge w:val="continue"/>
            <w:shd w:val="clear" w:color="auto" w:fill="C0C0C0"/>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6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Factor</w:t>
            </w:r>
          </w:p>
        </w:tc>
        <w:tc>
          <w:tcPr>
            <w:tcW w:w="740" w:type="dxa"/>
            <w:vAlign w:val="bottom"/>
            <w:tcBorders>
              <w:right w:val="single" w:sz="8" w:color="auto"/>
            </w:tcBorders>
            <w:shd w:val="clear" w:color="auto" w:fill="C0C0C0"/>
          </w:tcPr>
          <w:p>
            <w:pPr>
              <w:spacing w:after="0"/>
              <w:rPr>
                <w:sz w:val="24"/>
                <w:szCs w:val="24"/>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Adv Payment Base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94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7"/>
        </w:trPr>
        <w:tc>
          <w:tcPr>
            <w:tcW w:w="1100" w:type="dxa"/>
            <w:vAlign w:val="bottom"/>
            <w:tcBorders>
              <w:left w:val="single" w:sz="8" w:color="auto"/>
              <w:right w:val="single" w:sz="8" w:color="auto"/>
            </w:tcBorders>
          </w:tcPr>
          <w:p>
            <w:pPr>
              <w:spacing w:after="0"/>
              <w:rPr>
                <w:sz w:val="5"/>
                <w:szCs w:val="5"/>
                <w:color w:val="auto"/>
              </w:rPr>
            </w:pPr>
          </w:p>
        </w:tc>
        <w:tc>
          <w:tcPr>
            <w:tcW w:w="6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Notes</w:t>
            </w:r>
          </w:p>
        </w:tc>
        <w:tc>
          <w:tcPr>
            <w:tcW w:w="96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0" w:type="dxa"/>
            <w:vAlign w:val="bottom"/>
            <w:tcBorders>
              <w:bottom w:val="single" w:sz="8" w:color="C0C0C0"/>
              <w:right w:val="single" w:sz="8" w:color="auto"/>
            </w:tcBorders>
            <w:shd w:val="clear" w:color="auto" w:fill="C0C0C0"/>
          </w:tcPr>
          <w:p>
            <w:pPr>
              <w:spacing w:after="0"/>
              <w:rPr>
                <w:sz w:val="5"/>
                <w:szCs w:val="5"/>
                <w:color w:val="auto"/>
              </w:rPr>
            </w:pPr>
          </w:p>
        </w:tc>
        <w:tc>
          <w:tcPr>
            <w:tcW w:w="1040" w:type="dxa"/>
            <w:vAlign w:val="bottom"/>
            <w:tcBorders>
              <w:bottom w:val="single" w:sz="8" w:color="C0C0C0"/>
              <w:right w:val="single" w:sz="8" w:color="auto"/>
            </w:tcBorders>
            <w:shd w:val="clear" w:color="auto" w:fill="C0C0C0"/>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640" w:type="dxa"/>
            <w:vAlign w:val="bottom"/>
            <w:tcBorders>
              <w:right w:val="single" w:sz="8" w:color="auto"/>
            </w:tcBorders>
            <w:vMerge w:val="continue"/>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740" w:type="dxa"/>
            <w:vAlign w:val="bottom"/>
            <w:tcBorders>
              <w:right w:val="single" w:sz="8" w:color="auto"/>
            </w:tcBorders>
            <w:shd w:val="clear" w:color="auto" w:fill="C0C0C0"/>
          </w:tcPr>
          <w:p>
            <w:pPr>
              <w:spacing w:after="0"/>
              <w:rPr>
                <w:sz w:val="24"/>
                <w:szCs w:val="24"/>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6"/>
              </w:rPr>
              <w:t>Month</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Per A/P</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7"/>
        </w:trPr>
        <w:tc>
          <w:tcPr>
            <w:tcW w:w="1100" w:type="dxa"/>
            <w:vAlign w:val="bottom"/>
            <w:tcBorders>
              <w:left w:val="single" w:sz="8" w:color="auto"/>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shd w:val="clear" w:color="auto" w:fill="C0C0C0"/>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[****]-2024</w:t>
            </w:r>
          </w:p>
        </w:tc>
        <w:tc>
          <w:tcPr>
            <w:tcW w:w="6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79"/>
              </w:rPr>
              <w:t>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0C0C0"/>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7"/>
        </w:trPr>
        <w:tc>
          <w:tcPr>
            <w:tcW w:w="1100" w:type="dxa"/>
            <w:vAlign w:val="bottom"/>
            <w:tcBorders>
              <w:left w:val="single" w:sz="8" w:color="auto"/>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shd w:val="clear" w:color="auto" w:fill="C0C0C0"/>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[****]-2024</w:t>
            </w:r>
          </w:p>
        </w:tc>
        <w:tc>
          <w:tcPr>
            <w:tcW w:w="6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79"/>
              </w:rPr>
              <w:t>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0C0C0"/>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100" w:type="dxa"/>
            <w:vAlign w:val="bottom"/>
            <w:tcBorders>
              <w:left w:val="single" w:sz="8" w:color="auto"/>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shd w:val="clear" w:color="auto" w:fill="C0C0C0"/>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[****]-2024</w:t>
            </w:r>
          </w:p>
        </w:tc>
        <w:tc>
          <w:tcPr>
            <w:tcW w:w="6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79"/>
              </w:rPr>
              <w:t>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0C0C0"/>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shd w:val="clear" w:color="auto" w:fill="C0C0C0"/>
          </w:tcPr>
          <w:p>
            <w:pPr>
              <w:spacing w:after="0"/>
              <w:rPr>
                <w:sz w:val="7"/>
                <w:szCs w:val="7"/>
                <w:color w:val="auto"/>
              </w:rPr>
            </w:pPr>
          </w:p>
        </w:tc>
        <w:tc>
          <w:tcPr>
            <w:tcW w:w="1040" w:type="dxa"/>
            <w:vAlign w:val="bottom"/>
            <w:tcBorders>
              <w:bottom w:val="single" w:sz="8" w:color="auto"/>
              <w:right w:val="single" w:sz="8" w:color="auto"/>
            </w:tcBorders>
            <w:shd w:val="clear" w:color="auto" w:fill="C0C0C0"/>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100" w:type="dxa"/>
            <w:vAlign w:val="bottom"/>
          </w:tcPr>
          <w:p>
            <w:pPr>
              <w:jc w:val="center"/>
              <w:spacing w:after="0"/>
              <w:rPr>
                <w:sz w:val="20"/>
                <w:szCs w:val="20"/>
                <w:color w:val="auto"/>
              </w:rPr>
            </w:pPr>
            <w:r>
              <w:rPr>
                <w:rFonts w:ascii="Arial" w:cs="Arial" w:eastAsia="Arial" w:hAnsi="Arial"/>
                <w:sz w:val="18"/>
                <w:szCs w:val="18"/>
                <w:color w:val="auto"/>
                <w:w w:val="93"/>
              </w:rPr>
              <w:t>Total:</w:t>
            </w:r>
          </w:p>
        </w:tc>
        <w:tc>
          <w:tcPr>
            <w:tcW w:w="160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9"/>
              </w:rPr>
              <w:t>30</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Notes:</w:t>
      </w:r>
    </w:p>
    <w:p>
      <w:pPr>
        <w:spacing w:after="0" w:line="20" w:lineRule="exact"/>
        <w:rPr>
          <w:sz w:val="20"/>
          <w:szCs w:val="20"/>
          <w:color w:val="auto"/>
        </w:rPr>
      </w:pPr>
    </w:p>
    <w:p>
      <w:pPr>
        <w:ind w:right="10540" w:firstLine="8"/>
        <w:spacing w:after="0" w:line="249" w:lineRule="auto"/>
        <w:tabs>
          <w:tab w:leader="none" w:pos="144" w:val="left"/>
        </w:tabs>
        <w:numPr>
          <w:ilvl w:val="0"/>
          <w:numId w:val="74"/>
        </w:numPr>
        <w:rPr>
          <w:rFonts w:ascii="Arial" w:cs="Arial" w:eastAsia="Arial" w:hAnsi="Arial"/>
          <w:sz w:val="22"/>
          <w:szCs w:val="22"/>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180" w:val="left"/>
        </w:tabs>
        <w:rPr>
          <w:sz w:val="20"/>
          <w:szCs w:val="20"/>
          <w:color w:val="auto"/>
        </w:rPr>
      </w:pPr>
      <w:r>
        <w:rPr>
          <w:rFonts w:ascii="Arial" w:cs="Arial" w:eastAsia="Arial" w:hAnsi="Arial"/>
          <w:sz w:val="15"/>
          <w:szCs w:val="15"/>
          <w:color w:val="auto"/>
        </w:rPr>
        <w:t>AAL-PA-03735 121430-1F.txt</w:t>
        <w:tab/>
        <w:t>SA-29</w:t>
      </w:r>
    </w:p>
    <w:p>
      <w:pPr>
        <w:ind w:left="180"/>
        <w:spacing w:after="0" w:line="225" w:lineRule="auto"/>
        <w:rPr>
          <w:sz w:val="20"/>
          <w:szCs w:val="20"/>
          <w:color w:val="auto"/>
        </w:rPr>
      </w:pPr>
      <w:r>
        <w:rPr>
          <w:rFonts w:ascii="Arial" w:cs="Arial" w:eastAsia="Arial" w:hAnsi="Arial"/>
          <w:sz w:val="15"/>
          <w:szCs w:val="15"/>
          <w:color w:val="auto"/>
        </w:rPr>
        <w:t>Page 2</w:t>
      </w:r>
    </w:p>
    <w:p>
      <w:pPr>
        <w:jc w:val="center"/>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40"/>
          </w:cols>
          <w:pgMar w:left="320" w:top="794"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b w:val="1"/>
          <w:bCs w:val="1"/>
          <w:color w:val="auto"/>
        </w:rPr>
        <w:t>Table 1-5 To</w:t>
      </w:r>
    </w:p>
    <w:p>
      <w:pPr>
        <w:jc w:val="center"/>
        <w:spacing w:after="0" w:line="204" w:lineRule="auto"/>
        <w:rPr>
          <w:sz w:val="20"/>
          <w:szCs w:val="20"/>
          <w:color w:val="auto"/>
        </w:rPr>
      </w:pPr>
      <w:r>
        <w:rPr>
          <w:rFonts w:ascii="Arial" w:cs="Arial" w:eastAsia="Arial" w:hAnsi="Arial"/>
          <w:sz w:val="22"/>
          <w:szCs w:val="22"/>
          <w:b w:val="1"/>
          <w:bCs w:val="1"/>
          <w:color w:val="auto"/>
        </w:rPr>
        <w:t>Purchase Agreement No. PA-03735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737-8 [****] Aircraft Delivery, Description, Price and Advance Payments</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Airframe</w:t>
            </w: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Model/MTOW:</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737-8</w:t>
            </w:r>
          </w:p>
        </w:tc>
        <w:tc>
          <w:tcPr>
            <w:tcW w:w="2220" w:type="dxa"/>
            <w:vAlign w:val="bottom"/>
            <w:gridSpan w:val="2"/>
          </w:tcPr>
          <w:p>
            <w:pPr>
              <w:ind w:left="580"/>
              <w:spacing w:after="0"/>
              <w:rPr>
                <w:sz w:val="20"/>
                <w:szCs w:val="20"/>
                <w:color w:val="auto"/>
              </w:rPr>
            </w:pPr>
            <w:r>
              <w:rPr>
                <w:rFonts w:ascii="Arial" w:cs="Arial" w:eastAsia="Arial" w:hAnsi="Arial"/>
                <w:sz w:val="18"/>
                <w:szCs w:val="18"/>
                <w:color w:val="auto"/>
              </w:rPr>
              <w:t>[****] pounds</w:t>
            </w:r>
          </w:p>
        </w:tc>
        <w:tc>
          <w:tcPr>
            <w:tcW w:w="4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Detail Specification:</w:t>
            </w:r>
          </w:p>
        </w:tc>
        <w:tc>
          <w:tcPr>
            <w:tcW w:w="800" w:type="dxa"/>
            <w:vAlign w:val="bottom"/>
          </w:tcPr>
          <w:p>
            <w:pPr>
              <w:spacing w:after="0"/>
              <w:rPr>
                <w:sz w:val="24"/>
                <w:szCs w:val="24"/>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CFMLEAP-</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4"/>
          </w:tcPr>
          <w:p>
            <w:pPr>
              <w:spacing w:after="0"/>
              <w:rPr>
                <w:sz w:val="20"/>
                <w:szCs w:val="20"/>
                <w:color w:val="auto"/>
              </w:rPr>
            </w:pPr>
            <w:r>
              <w:rPr>
                <w:rFonts w:ascii="Arial" w:cs="Arial" w:eastAsia="Arial" w:hAnsi="Arial"/>
                <w:sz w:val="18"/>
                <w:szCs w:val="18"/>
                <w:b w:val="1"/>
                <w:bCs w:val="1"/>
                <w:color w:val="auto"/>
                <w:w w:val="99"/>
              </w:rPr>
              <w:t>Airframe Price Base Year/Escalation</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Engine Model/Thrust:</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1B25</w:t>
            </w:r>
          </w:p>
        </w:tc>
        <w:tc>
          <w:tcPr>
            <w:tcW w:w="2220" w:type="dxa"/>
            <w:vAlign w:val="bottom"/>
            <w:gridSpan w:val="2"/>
          </w:tcPr>
          <w:p>
            <w:pPr>
              <w:ind w:left="580"/>
              <w:spacing w:after="0"/>
              <w:rPr>
                <w:sz w:val="20"/>
                <w:szCs w:val="20"/>
                <w:color w:val="auto"/>
              </w:rPr>
            </w:pPr>
            <w:r>
              <w:rPr>
                <w:rFonts w:ascii="Arial" w:cs="Arial" w:eastAsia="Arial" w:hAnsi="Arial"/>
                <w:sz w:val="18"/>
                <w:szCs w:val="18"/>
                <w:color w:val="auto"/>
              </w:rPr>
              <w:t>[****] pounds</w:t>
            </w:r>
          </w:p>
        </w:tc>
        <w:tc>
          <w:tcPr>
            <w:tcW w:w="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Formula:</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4"/>
          </w:tcPr>
          <w:p>
            <w:pPr>
              <w:spacing w:after="0"/>
              <w:rPr>
                <w:sz w:val="20"/>
                <w:szCs w:val="20"/>
                <w:color w:val="auto"/>
              </w:rPr>
            </w:pPr>
            <w:r>
              <w:rPr>
                <w:rFonts w:ascii="Arial" w:cs="Arial" w:eastAsia="Arial" w:hAnsi="Arial"/>
                <w:sz w:val="18"/>
                <w:szCs w:val="18"/>
                <w:b w:val="1"/>
                <w:bCs w:val="1"/>
                <w:color w:val="auto"/>
              </w:rPr>
              <w:t>Engine Price Base Year/Escalation</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Airframe Price:</w:t>
            </w: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Formula:</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Optional Features:</w:t>
            </w: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Sub-Total of Airframe and Features:</w:t>
            </w:r>
          </w:p>
        </w:tc>
        <w:tc>
          <w:tcPr>
            <w:tcW w:w="102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Airframe Escalation Data:</w:t>
            </w: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00" w:type="dxa"/>
            <w:vAlign w:val="bottom"/>
            <w:gridSpan w:val="3"/>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0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3200" w:type="dxa"/>
            <w:vAlign w:val="bottom"/>
            <w:gridSpan w:val="3"/>
          </w:tcPr>
          <w:p>
            <w:pPr>
              <w:ind w:left="80"/>
              <w:spacing w:after="0"/>
              <w:rPr>
                <w:sz w:val="20"/>
                <w:szCs w:val="20"/>
                <w:color w:val="auto"/>
              </w:rPr>
            </w:pPr>
            <w:r>
              <w:rPr>
                <w:rFonts w:ascii="Arial" w:cs="Arial" w:eastAsia="Arial" w:hAnsi="Arial"/>
                <w:sz w:val="18"/>
                <w:szCs w:val="18"/>
                <w:b w:val="1"/>
                <w:bCs w:val="1"/>
                <w:color w:val="auto"/>
              </w:rPr>
              <w:t>Engine Price (Per Aircraft):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Base Year Index (ECI):</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0" w:type="dxa"/>
            <w:vAlign w:val="bottom"/>
            <w:gridSpan w:val="3"/>
          </w:tcPr>
          <w:p>
            <w:pPr>
              <w:ind w:left="80"/>
              <w:spacing w:after="0"/>
              <w:rPr>
                <w:sz w:val="20"/>
                <w:szCs w:val="20"/>
                <w:color w:val="auto"/>
              </w:rPr>
            </w:pPr>
            <w:r>
              <w:rPr>
                <w:rFonts w:ascii="Arial" w:cs="Arial" w:eastAsia="Arial" w:hAnsi="Arial"/>
                <w:sz w:val="18"/>
                <w:szCs w:val="18"/>
                <w:b w:val="1"/>
                <w:bCs w:val="1"/>
                <w:color w:val="auto"/>
              </w:rPr>
              <w:t>Aircraft Basic Price (Excluding</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BFE/SPE):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Base Year Index (CPI):</w:t>
            </w:r>
          </w:p>
        </w:tc>
        <w:tc>
          <w:tcPr>
            <w:tcW w:w="8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Buyer Furnished Equipment (BFE)</w:t>
            </w:r>
          </w:p>
        </w:tc>
        <w:tc>
          <w:tcPr>
            <w:tcW w:w="102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00" w:type="dxa"/>
            <w:vAlign w:val="bottom"/>
            <w:gridSpan w:val="3"/>
            <w:vMerge w:val="continue"/>
          </w:tcPr>
          <w:p>
            <w:pPr>
              <w:spacing w:after="0"/>
              <w:rPr>
                <w:sz w:val="21"/>
                <w:szCs w:val="21"/>
                <w:color w:val="auto"/>
              </w:rPr>
            </w:pP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Estimate: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0" w:type="dxa"/>
            <w:vAlign w:val="bottom"/>
            <w:gridSpan w:val="3"/>
          </w:tcPr>
          <w:p>
            <w:pPr>
              <w:ind w:left="80"/>
              <w:spacing w:after="0"/>
              <w:rPr>
                <w:sz w:val="20"/>
                <w:szCs w:val="20"/>
                <w:color w:val="auto"/>
              </w:rPr>
            </w:pPr>
            <w:r>
              <w:rPr>
                <w:rFonts w:ascii="Arial" w:cs="Arial" w:eastAsia="Arial" w:hAnsi="Arial"/>
                <w:sz w:val="18"/>
                <w:szCs w:val="18"/>
                <w:b w:val="1"/>
                <w:bCs w:val="1"/>
                <w:color w:val="auto"/>
              </w:rPr>
              <w:t>Seller Purchased Equipment (SPE)</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Estimate: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0" w:type="dxa"/>
            <w:vAlign w:val="bottom"/>
            <w:gridSpan w:val="3"/>
          </w:tcPr>
          <w:p>
            <w:pPr>
              <w:ind w:left="80"/>
              <w:spacing w:after="0"/>
              <w:rPr>
                <w:sz w:val="20"/>
                <w:szCs w:val="20"/>
                <w:color w:val="auto"/>
              </w:rPr>
            </w:pPr>
            <w:r>
              <w:rPr>
                <w:rFonts w:ascii="Arial" w:cs="Arial" w:eastAsia="Arial" w:hAnsi="Arial"/>
                <w:sz w:val="18"/>
                <w:szCs w:val="18"/>
                <w:b w:val="1"/>
                <w:bCs w:val="1"/>
                <w:color w:val="auto"/>
              </w:rPr>
              <w:t>LIFT Seats Provided by Boeing</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(Estimate):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Deposit per Aircraft:</w:t>
            </w: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0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8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Escalation</w:t>
            </w:r>
          </w:p>
        </w:tc>
        <w:tc>
          <w:tcPr>
            <w:tcW w:w="4320" w:type="dxa"/>
            <w:vAlign w:val="bottom"/>
            <w:tcBorders>
              <w:right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3"/>
              </w:rPr>
              <w:t>Advance Payment Per Aircraft (Amts. Due/Mos. Prior</w:t>
            </w:r>
          </w:p>
        </w:tc>
        <w:tc>
          <w:tcPr>
            <w:tcW w:w="0" w:type="dxa"/>
            <w:vAlign w:val="bottom"/>
          </w:tcPr>
          <w:p>
            <w:pPr>
              <w:spacing w:after="0"/>
              <w:rPr>
                <w:sz w:val="1"/>
                <w:szCs w:val="1"/>
                <w:color w:val="auto"/>
              </w:rPr>
            </w:pPr>
          </w:p>
        </w:tc>
      </w:tr>
      <w:tr>
        <w:trPr>
          <w:trHeight w:val="310"/>
        </w:trPr>
        <w:tc>
          <w:tcPr>
            <w:tcW w:w="108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w w:val="92"/>
              </w:rPr>
              <w:t>to Delivery):</w:t>
            </w: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8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020" w:type="dxa"/>
            <w:vAlign w:val="bottom"/>
            <w:tcBorders>
              <w:bottom w:val="single" w:sz="8" w:color="C0C0C0"/>
              <w:right w:val="single" w:sz="8" w:color="auto"/>
            </w:tcBorders>
            <w:shd w:val="clear" w:color="auto" w:fill="C0C0C0"/>
          </w:tcPr>
          <w:p>
            <w:pPr>
              <w:spacing w:after="0"/>
              <w:rPr>
                <w:sz w:val="5"/>
                <w:szCs w:val="5"/>
                <w:color w:val="auto"/>
              </w:rPr>
            </w:pPr>
          </w:p>
        </w:tc>
        <w:tc>
          <w:tcPr>
            <w:tcW w:w="1200" w:type="dxa"/>
            <w:vAlign w:val="bottom"/>
            <w:tcBorders>
              <w:bottom w:val="single" w:sz="8" w:color="C0C0C0"/>
              <w:right w:val="single" w:sz="8" w:color="auto"/>
            </w:tcBorders>
            <w:shd w:val="clear" w:color="auto" w:fill="C0C0C0"/>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8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Nominal</w:t>
            </w: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Adv Payment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rPr>
              <w:t>At</w:t>
            </w:r>
          </w:p>
        </w:tc>
        <w:tc>
          <w:tcPr>
            <w:tcW w:w="8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Factor</w:t>
            </w: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Base</w:t>
            </w:r>
          </w:p>
        </w:tc>
        <w:tc>
          <w:tcPr>
            <w:tcW w:w="8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7"/>
              </w:rPr>
              <w:t>Signing</w:t>
            </w:r>
          </w:p>
        </w:tc>
        <w:tc>
          <w:tcPr>
            <w:tcW w:w="800" w:type="dxa"/>
            <w:vAlign w:val="bottom"/>
          </w:tcPr>
          <w:p>
            <w:pPr>
              <w:jc w:val="center"/>
              <w:ind w:left="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64"/>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6"/>
              </w:rPr>
              <w:t>Month</w:t>
            </w: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Per A/P</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center"/>
              <w:ind w:left="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shd w:val="clear" w:color="auto" w:fill="C0C0C0"/>
          </w:tcPr>
          <w:p>
            <w:pPr>
              <w:spacing w:after="0"/>
              <w:rPr>
                <w:sz w:val="7"/>
                <w:szCs w:val="7"/>
                <w:color w:val="auto"/>
              </w:rPr>
            </w:pPr>
          </w:p>
        </w:tc>
        <w:tc>
          <w:tcPr>
            <w:tcW w:w="1200" w:type="dxa"/>
            <w:vAlign w:val="bottom"/>
            <w:tcBorders>
              <w:bottom w:val="single" w:sz="8" w:color="auto"/>
              <w:right w:val="single" w:sz="8" w:color="auto"/>
            </w:tcBorders>
            <w:shd w:val="clear" w:color="auto" w:fill="C0C0C0"/>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42"/>
        </w:trPr>
        <w:tc>
          <w:tcPr>
            <w:tcW w:w="1080" w:type="dxa"/>
            <w:vAlign w:val="bottom"/>
          </w:tcPr>
          <w:p>
            <w:pPr>
              <w:jc w:val="center"/>
              <w:spacing w:after="0"/>
              <w:rPr>
                <w:sz w:val="20"/>
                <w:szCs w:val="20"/>
                <w:color w:val="auto"/>
              </w:rPr>
            </w:pPr>
            <w:r>
              <w:rPr>
                <w:rFonts w:ascii="Arial" w:cs="Arial" w:eastAsia="Arial" w:hAnsi="Arial"/>
                <w:sz w:val="18"/>
                <w:szCs w:val="18"/>
                <w:color w:val="auto"/>
                <w:w w:val="88"/>
              </w:rPr>
              <w:t>Total:</w:t>
            </w: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1</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2020" w:type="dxa"/>
            <w:vAlign w:val="bottom"/>
            <w:gridSpan w:val="2"/>
          </w:tcPr>
          <w:p>
            <w:pPr>
              <w:spacing w:after="0"/>
              <w:rPr>
                <w:sz w:val="20"/>
                <w:szCs w:val="20"/>
                <w:color w:val="auto"/>
              </w:rPr>
            </w:pPr>
            <w:r>
              <w:rPr>
                <w:rFonts w:ascii="Arial" w:cs="Arial" w:eastAsia="Arial" w:hAnsi="Arial"/>
                <w:sz w:val="15"/>
                <w:szCs w:val="15"/>
                <w:color w:val="auto"/>
              </w:rPr>
              <w:t>AAL-PA-03735 121430-1F.txt</w:t>
            </w:r>
          </w:p>
        </w:tc>
        <w:tc>
          <w:tcPr>
            <w:tcW w:w="1180" w:type="dxa"/>
            <w:vAlign w:val="bottom"/>
          </w:tcPr>
          <w:p>
            <w:pPr>
              <w:ind w:left="180"/>
              <w:spacing w:after="0"/>
              <w:rPr>
                <w:sz w:val="20"/>
                <w:szCs w:val="20"/>
                <w:color w:val="auto"/>
              </w:rPr>
            </w:pPr>
            <w:r>
              <w:rPr>
                <w:rFonts w:ascii="Arial" w:cs="Arial" w:eastAsia="Arial" w:hAnsi="Arial"/>
                <w:sz w:val="15"/>
                <w:szCs w:val="15"/>
                <w:color w:val="auto"/>
              </w:rPr>
              <w:t>SA-29</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180"/>
              <w:spacing w:after="0"/>
              <w:rPr>
                <w:sz w:val="20"/>
                <w:szCs w:val="20"/>
                <w:color w:val="auto"/>
              </w:rPr>
            </w:pPr>
            <w:r>
              <w:rPr>
                <w:rFonts w:ascii="Arial" w:cs="Arial" w:eastAsia="Arial" w:hAnsi="Arial"/>
                <w:sz w:val="15"/>
                <w:szCs w:val="15"/>
                <w:color w:val="auto"/>
              </w:rPr>
              <w:t>Page 1</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40"/>
          </w:cols>
          <w:pgMar w:left="320" w:top="734" w:right="339" w:bottom="1440" w:gutter="0" w:footer="0" w:header="0"/>
        </w:sectPr>
      </w:pPr>
    </w:p>
    <w:bookmarkStart w:id="134" w:name="page135"/>
    <w:bookmarkEnd w:id="134"/>
    <w:p>
      <w:pPr>
        <w:jc w:val="center"/>
        <w:ind w:right="-1100"/>
        <w:spacing w:after="0"/>
        <w:rPr>
          <w:sz w:val="20"/>
          <w:szCs w:val="20"/>
          <w:color w:val="auto"/>
        </w:rPr>
      </w:pPr>
      <w:r>
        <w:rPr>
          <w:rFonts w:ascii="Arial" w:cs="Arial" w:eastAsia="Arial" w:hAnsi="Arial"/>
          <w:sz w:val="32"/>
          <w:szCs w:val="32"/>
          <w:b w:val="1"/>
          <w:bCs w:val="1"/>
          <w:color w:val="auto"/>
        </w:rPr>
        <w:t>AIRCRAFT CONFIGURATION</w:t>
      </w:r>
    </w:p>
    <w:p>
      <w:pPr>
        <w:spacing w:after="0" w:line="19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between</w:t>
      </w:r>
    </w:p>
    <w:p>
      <w:pPr>
        <w:spacing w:after="0" w:line="19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THE BOEING COMPANY</w:t>
      </w:r>
    </w:p>
    <w:p>
      <w:pPr>
        <w:spacing w:after="0" w:line="19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and</w:t>
      </w:r>
    </w:p>
    <w:p>
      <w:pPr>
        <w:spacing w:after="0" w:line="19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American Airlines, Inc.</w:t>
      </w:r>
    </w:p>
    <w:p>
      <w:pPr>
        <w:spacing w:after="0" w:line="19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Exhibit A3 to Purchase Agreement Number 03735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AAL-PA-03735 EXA</w:t>
        <w:tab/>
        <w:t>SA-29, Page 1of 2</w:t>
      </w:r>
    </w:p>
    <w:p>
      <w:pPr>
        <w:ind w:left="4760"/>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0139"/>
          </w:cols>
          <w:pgMar w:left="320" w:top="967"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Exhibit A3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AIRCRAFT CONFIGURATION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the SA-29 Effective Date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MODEL 737-8 MAX AIRCRAFT</w:t>
      </w:r>
    </w:p>
    <w:p>
      <w:pPr>
        <w:spacing w:after="0" w:line="216" w:lineRule="exact"/>
        <w:rPr>
          <w:sz w:val="20"/>
          <w:szCs w:val="20"/>
          <w:color w:val="auto"/>
        </w:rPr>
      </w:pPr>
    </w:p>
    <w:p>
      <w:pPr>
        <w:jc w:val="both"/>
        <w:ind w:firstLine="450"/>
        <w:spacing w:after="0" w:line="219" w:lineRule="auto"/>
        <w:rPr>
          <w:sz w:val="20"/>
          <w:szCs w:val="20"/>
          <w:color w:val="auto"/>
        </w:rPr>
      </w:pPr>
      <w:r>
        <w:rPr>
          <w:rFonts w:ascii="Arial" w:cs="Arial" w:eastAsia="Arial" w:hAnsi="Arial"/>
          <w:sz w:val="22"/>
          <w:szCs w:val="22"/>
          <w:color w:val="auto"/>
        </w:rPr>
        <w:t>The Detail Specification is Boeing document number [****], as may subsequently be amended. The Detail Specification provides [****] set forth in this Exhibit A3. Such Detail Specification will be comprised of Boeing configuration specification [****]. [****], Boeing will furnish to Customer copies of the Detail Specification, which will reflect [****]. The [****].</w:t>
      </w:r>
    </w:p>
    <w:p>
      <w:pPr>
        <w:spacing w:after="0" w:line="200" w:lineRule="exact"/>
        <w:rPr>
          <w:sz w:val="20"/>
          <w:szCs w:val="20"/>
          <w:color w:val="auto"/>
        </w:rPr>
      </w:pPr>
    </w:p>
    <w:p>
      <w:pPr>
        <w:spacing w:after="0" w:line="208"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AAL-PA-03735 EXA</w:t>
        <w:tab/>
        <w:t>SA-29, Page 2of 2</w:t>
      </w:r>
    </w:p>
    <w:p>
      <w:pPr>
        <w:jc w:val="center"/>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40"/>
          </w:cols>
          <w:pgMar w:left="320" w:top="984" w:right="339" w:bottom="1440" w:gutter="0" w:footer="0" w:header="0"/>
        </w:sectPr>
      </w:pPr>
    </w:p>
    <w:bookmarkStart w:id="136" w:name="page137"/>
    <w:bookmarkEnd w:id="136"/>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1134745</wp:posOffset>
            </wp:positionV>
            <wp:extent cx="6909435" cy="488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09435" cy="488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Exhibit A3 [****] Aircraft Configuration 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Purchase Agreement</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740" w:type="dxa"/>
            <w:vAlign w:val="bottom"/>
            <w:tcBorders>
              <w:top w:val="single" w:sz="8" w:color="D2D2D2"/>
              <w:bottom w:val="single" w:sz="8" w:color="auto"/>
              <w:right w:val="single" w:sz="8" w:color="D2D2D2"/>
            </w:tcBorders>
          </w:tcPr>
          <w:p>
            <w:pPr>
              <w:spacing w:after="0"/>
              <w:rPr>
                <w:sz w:val="17"/>
                <w:szCs w:val="17"/>
                <w:color w:val="auto"/>
              </w:rPr>
            </w:pPr>
          </w:p>
        </w:tc>
        <w:tc>
          <w:tcPr>
            <w:tcW w:w="7560" w:type="dxa"/>
            <w:vAlign w:val="bottom"/>
            <w:tcBorders>
              <w:top w:val="single" w:sz="8" w:color="D2D2D2"/>
              <w:bottom w:val="single" w:sz="8" w:color="auto"/>
              <w:right w:val="single" w:sz="8" w:color="D2D2D2"/>
            </w:tcBorders>
          </w:tcPr>
          <w:p>
            <w:pPr>
              <w:spacing w:after="0"/>
              <w:rPr>
                <w:sz w:val="17"/>
                <w:szCs w:val="17"/>
                <w:color w:val="auto"/>
              </w:rPr>
            </w:pPr>
          </w:p>
        </w:tc>
        <w:tc>
          <w:tcPr>
            <w:tcW w:w="1600" w:type="dxa"/>
            <w:vAlign w:val="bottom"/>
            <w:tcBorders>
              <w:top w:val="single" w:sz="8" w:color="D2D2D2"/>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Configuration Item</w:t>
            </w:r>
          </w:p>
        </w:tc>
        <w:tc>
          <w:tcPr>
            <w:tcW w:w="7560" w:type="dxa"/>
            <w:vAlign w:val="bottom"/>
            <w:tcBorders>
              <w:right w:val="single" w:sz="8" w:color="auto"/>
            </w:tcBorders>
            <w:vMerge w:val="restart"/>
          </w:tcPr>
          <w:p>
            <w:pPr>
              <w:jc w:val="right"/>
              <w:ind w:right="3510"/>
              <w:spacing w:after="0"/>
              <w:rPr>
                <w:sz w:val="20"/>
                <w:szCs w:val="20"/>
                <w:color w:val="auto"/>
              </w:rPr>
            </w:pPr>
            <w:r>
              <w:rPr>
                <w:rFonts w:ascii="Arial" w:cs="Arial" w:eastAsia="Arial" w:hAnsi="Arial"/>
                <w:sz w:val="18"/>
                <w:szCs w:val="18"/>
                <w:b w:val="1"/>
                <w:bCs w:val="1"/>
                <w:color w:val="auto"/>
              </w:rPr>
              <w:t>Title</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56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756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1"/>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440" w:top="144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Boeing Proprietary Page:</w:t>
      </w:r>
    </w:p>
    <w:p>
      <w:pPr>
        <w:spacing w:after="0" w:line="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 of 8</w:t>
      </w:r>
    </w:p>
    <w:p>
      <w:pPr>
        <w:sectPr>
          <w:pgSz w:w="11900" w:h="16838" w:orient="portrait"/>
          <w:cols w:equalWidth="0" w:num="1">
            <w:col w:w="10900"/>
          </w:cols>
          <w:pgMar w:left="440" w:top="1440" w:right="559" w:bottom="1440" w:gutter="0" w:footer="0" w:header="0"/>
          <w:type w:val="continuous"/>
        </w:sectPr>
      </w:pPr>
    </w:p>
    <w:bookmarkStart w:id="137" w:name="page138"/>
    <w:bookmarkEnd w:id="137"/>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Configuration Item</w:t>
            </w:r>
          </w:p>
        </w:tc>
        <w:tc>
          <w:tcPr>
            <w:tcW w:w="7560" w:type="dxa"/>
            <w:vAlign w:val="bottom"/>
            <w:tcBorders>
              <w:top w:val="single" w:sz="8" w:color="auto"/>
              <w:right w:val="single" w:sz="8" w:color="auto"/>
            </w:tcBorders>
            <w:vMerge w:val="restart"/>
          </w:tcPr>
          <w:p>
            <w:pPr>
              <w:jc w:val="right"/>
              <w:ind w:right="3510"/>
              <w:spacing w:after="0"/>
              <w:rPr>
                <w:sz w:val="20"/>
                <w:szCs w:val="20"/>
                <w:color w:val="auto"/>
              </w:rPr>
            </w:pPr>
            <w:r>
              <w:rPr>
                <w:rFonts w:ascii="Arial" w:cs="Arial" w:eastAsia="Arial" w:hAnsi="Arial"/>
                <w:sz w:val="18"/>
                <w:szCs w:val="18"/>
                <w:b w:val="1"/>
                <w:bCs w:val="1"/>
                <w:color w:val="auto"/>
              </w:rPr>
              <w:t>Title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4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56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Boeing Proprietary Page:</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 of 8</w:t>
      </w:r>
    </w:p>
    <w:p>
      <w:pPr>
        <w:sectPr>
          <w:pgSz w:w="11900" w:h="16838" w:orient="portrait"/>
          <w:cols w:equalWidth="0" w:num="1">
            <w:col w:w="10900"/>
          </w:cols>
          <w:pgMar w:left="440" w:top="1440" w:right="559" w:bottom="1440" w:gutter="0" w:footer="0" w:header="0"/>
        </w:sectPr>
      </w:pPr>
    </w:p>
    <w:bookmarkStart w:id="138" w:name="page139"/>
    <w:bookmarkEnd w:id="138"/>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Configuration Item</w:t>
            </w:r>
          </w:p>
        </w:tc>
        <w:tc>
          <w:tcPr>
            <w:tcW w:w="7560" w:type="dxa"/>
            <w:vAlign w:val="bottom"/>
            <w:tcBorders>
              <w:top w:val="single" w:sz="8" w:color="auto"/>
              <w:right w:val="single" w:sz="8" w:color="auto"/>
            </w:tcBorders>
            <w:vMerge w:val="restart"/>
          </w:tcPr>
          <w:p>
            <w:pPr>
              <w:jc w:val="right"/>
              <w:ind w:right="3510"/>
              <w:spacing w:after="0"/>
              <w:rPr>
                <w:sz w:val="20"/>
                <w:szCs w:val="20"/>
                <w:color w:val="auto"/>
              </w:rPr>
            </w:pPr>
            <w:r>
              <w:rPr>
                <w:rFonts w:ascii="Arial" w:cs="Arial" w:eastAsia="Arial" w:hAnsi="Arial"/>
                <w:sz w:val="18"/>
                <w:szCs w:val="18"/>
                <w:b w:val="1"/>
                <w:bCs w:val="1"/>
                <w:color w:val="auto"/>
              </w:rPr>
              <w:t>Title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4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56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756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75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Boeing Proprietary Page:</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 of 8</w:t>
      </w:r>
    </w:p>
    <w:p>
      <w:pPr>
        <w:sectPr>
          <w:pgSz w:w="11900" w:h="16838" w:orient="portrait"/>
          <w:cols w:equalWidth="0" w:num="1">
            <w:col w:w="10900"/>
          </w:cols>
          <w:pgMar w:left="440" w:top="1440" w:right="559" w:bottom="1440" w:gutter="0" w:footer="0" w:header="0"/>
        </w:sectPr>
      </w:pPr>
    </w:p>
    <w:bookmarkStart w:id="139" w:name="page140"/>
    <w:bookmarkEnd w:id="139"/>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Configuration Item</w:t>
            </w:r>
          </w:p>
        </w:tc>
        <w:tc>
          <w:tcPr>
            <w:tcW w:w="7560" w:type="dxa"/>
            <w:vAlign w:val="bottom"/>
            <w:tcBorders>
              <w:top w:val="single" w:sz="8" w:color="auto"/>
              <w:right w:val="single" w:sz="8" w:color="auto"/>
            </w:tcBorders>
            <w:vMerge w:val="restart"/>
          </w:tcPr>
          <w:p>
            <w:pPr>
              <w:jc w:val="right"/>
              <w:ind w:right="3510"/>
              <w:spacing w:after="0"/>
              <w:rPr>
                <w:sz w:val="20"/>
                <w:szCs w:val="20"/>
                <w:color w:val="auto"/>
              </w:rPr>
            </w:pPr>
            <w:r>
              <w:rPr>
                <w:rFonts w:ascii="Arial" w:cs="Arial" w:eastAsia="Arial" w:hAnsi="Arial"/>
                <w:sz w:val="18"/>
                <w:szCs w:val="18"/>
                <w:b w:val="1"/>
                <w:bCs w:val="1"/>
                <w:color w:val="auto"/>
              </w:rPr>
              <w:t>Title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4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56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1"/>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1"/>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Boeing Proprietary Page:</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 of 8</w:t>
      </w:r>
    </w:p>
    <w:p>
      <w:pPr>
        <w:sectPr>
          <w:pgSz w:w="11900" w:h="16838" w:orient="portrait"/>
          <w:cols w:equalWidth="0" w:num="1">
            <w:col w:w="10900"/>
          </w:cols>
          <w:pgMar w:left="440" w:top="1440" w:right="559" w:bottom="1440" w:gutter="0" w:footer="0" w:header="0"/>
        </w:sectPr>
      </w:pPr>
    </w:p>
    <w:bookmarkStart w:id="140" w:name="page141"/>
    <w:bookmarkEnd w:id="140"/>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Configuration Item</w:t>
            </w:r>
          </w:p>
        </w:tc>
        <w:tc>
          <w:tcPr>
            <w:tcW w:w="7560" w:type="dxa"/>
            <w:vAlign w:val="bottom"/>
            <w:tcBorders>
              <w:top w:val="single" w:sz="8" w:color="auto"/>
              <w:right w:val="single" w:sz="8" w:color="auto"/>
            </w:tcBorders>
            <w:vMerge w:val="restart"/>
          </w:tcPr>
          <w:p>
            <w:pPr>
              <w:jc w:val="right"/>
              <w:ind w:right="3510"/>
              <w:spacing w:after="0"/>
              <w:rPr>
                <w:sz w:val="20"/>
                <w:szCs w:val="20"/>
                <w:color w:val="auto"/>
              </w:rPr>
            </w:pPr>
            <w:r>
              <w:rPr>
                <w:rFonts w:ascii="Arial" w:cs="Arial" w:eastAsia="Arial" w:hAnsi="Arial"/>
                <w:sz w:val="18"/>
                <w:szCs w:val="18"/>
                <w:b w:val="1"/>
                <w:bCs w:val="1"/>
                <w:color w:val="auto"/>
              </w:rPr>
              <w:t>Title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4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56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vMerge w:val="restart"/>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tcPr>
          <w:p>
            <w:pPr>
              <w:spacing w:after="0"/>
              <w:rPr>
                <w:sz w:val="10"/>
                <w:szCs w:val="10"/>
                <w:color w:val="auto"/>
              </w:rPr>
            </w:pPr>
          </w:p>
        </w:tc>
        <w:tc>
          <w:tcPr>
            <w:tcW w:w="756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75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Boeing Proprietary Page:</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 of 8</w:t>
      </w:r>
    </w:p>
    <w:p>
      <w:pPr>
        <w:sectPr>
          <w:pgSz w:w="11900" w:h="16838" w:orient="portrait"/>
          <w:cols w:equalWidth="0" w:num="1">
            <w:col w:w="10900"/>
          </w:cols>
          <w:pgMar w:left="440" w:top="1440" w:right="559" w:bottom="1440" w:gutter="0" w:footer="0" w:header="0"/>
        </w:sectPr>
      </w:pPr>
    </w:p>
    <w:bookmarkStart w:id="141" w:name="page142"/>
    <w:bookmarkEnd w:id="141"/>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Configuration Item</w:t>
            </w:r>
          </w:p>
        </w:tc>
        <w:tc>
          <w:tcPr>
            <w:tcW w:w="7560" w:type="dxa"/>
            <w:vAlign w:val="bottom"/>
            <w:tcBorders>
              <w:top w:val="single" w:sz="8" w:color="auto"/>
              <w:right w:val="single" w:sz="8" w:color="auto"/>
            </w:tcBorders>
            <w:vMerge w:val="restart"/>
          </w:tcPr>
          <w:p>
            <w:pPr>
              <w:jc w:val="right"/>
              <w:ind w:right="3510"/>
              <w:spacing w:after="0"/>
              <w:rPr>
                <w:sz w:val="20"/>
                <w:szCs w:val="20"/>
                <w:color w:val="auto"/>
              </w:rPr>
            </w:pPr>
            <w:r>
              <w:rPr>
                <w:rFonts w:ascii="Arial" w:cs="Arial" w:eastAsia="Arial" w:hAnsi="Arial"/>
                <w:sz w:val="18"/>
                <w:szCs w:val="18"/>
                <w:b w:val="1"/>
                <w:bCs w:val="1"/>
                <w:color w:val="auto"/>
              </w:rPr>
              <w:t>Title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4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56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Boeing Proprietary Page:</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 of 8</w:t>
      </w:r>
    </w:p>
    <w:p>
      <w:pPr>
        <w:sectPr>
          <w:pgSz w:w="11900" w:h="16838" w:orient="portrait"/>
          <w:cols w:equalWidth="0" w:num="1">
            <w:col w:w="10900"/>
          </w:cols>
          <w:pgMar w:left="440" w:top="1440" w:right="559" w:bottom="1440" w:gutter="0" w:footer="0" w:header="0"/>
        </w:sectPr>
      </w:pPr>
    </w:p>
    <w:bookmarkStart w:id="142" w:name="page143"/>
    <w:bookmarkEnd w:id="142"/>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Configuration Item</w:t>
            </w:r>
          </w:p>
        </w:tc>
        <w:tc>
          <w:tcPr>
            <w:tcW w:w="7560" w:type="dxa"/>
            <w:vAlign w:val="bottom"/>
            <w:tcBorders>
              <w:top w:val="single" w:sz="8" w:color="auto"/>
              <w:right w:val="single" w:sz="8" w:color="auto"/>
            </w:tcBorders>
            <w:vMerge w:val="restart"/>
          </w:tcPr>
          <w:p>
            <w:pPr>
              <w:jc w:val="right"/>
              <w:ind w:right="3510"/>
              <w:spacing w:after="0"/>
              <w:rPr>
                <w:sz w:val="20"/>
                <w:szCs w:val="20"/>
                <w:color w:val="auto"/>
              </w:rPr>
            </w:pPr>
            <w:r>
              <w:rPr>
                <w:rFonts w:ascii="Arial" w:cs="Arial" w:eastAsia="Arial" w:hAnsi="Arial"/>
                <w:sz w:val="18"/>
                <w:szCs w:val="18"/>
                <w:b w:val="1"/>
                <w:bCs w:val="1"/>
                <w:color w:val="auto"/>
              </w:rPr>
              <w:t>Title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4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56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756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75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5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1"/>
        </w:trPr>
        <w:tc>
          <w:tcPr>
            <w:tcW w:w="17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5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560" w:type="dxa"/>
            <w:vAlign w:val="bottom"/>
            <w:tcBorders>
              <w:bottom w:val="single" w:sz="8" w:color="auto"/>
              <w:right w:val="single" w:sz="8" w:color="auto"/>
            </w:tcBorders>
          </w:tcPr>
          <w:p>
            <w:pPr>
              <w:jc w:val="right"/>
              <w:ind w:right="70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Boeing Proprietary Page:</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 of 8</w:t>
      </w:r>
    </w:p>
    <w:p>
      <w:pPr>
        <w:sectPr>
          <w:pgSz w:w="11900" w:h="16838" w:orient="portrait"/>
          <w:cols w:equalWidth="0" w:num="1">
            <w:col w:w="10900"/>
          </w:cols>
          <w:pgMar w:left="440" w:top="1440" w:right="559" w:bottom="1440" w:gutter="0" w:footer="0" w:header="0"/>
        </w:sectPr>
      </w:pPr>
    </w:p>
    <w:bookmarkStart w:id="143" w:name="page144"/>
    <w:bookmarkEnd w:id="143"/>
    <w:tbl>
      <w:tblPr>
        <w:tblLayout w:type="fixed"/>
        <w:tblInd w:w="10" w:type="dxa"/>
        <w:tblCellMar>
          <w:top w:w="0" w:type="dxa"/>
          <w:left w:w="0" w:type="dxa"/>
          <w:bottom w:w="0" w:type="dxa"/>
          <w:right w:w="0" w:type="dxa"/>
        </w:tblCellMar>
      </w:tblPr>
      <w:tr>
        <w:trPr>
          <w:trHeight w:val="274"/>
        </w:trPr>
        <w:tc>
          <w:tcPr>
            <w:tcW w:w="1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Configuration Item</w:t>
            </w:r>
          </w:p>
        </w:tc>
        <w:tc>
          <w:tcPr>
            <w:tcW w:w="7720" w:type="dxa"/>
            <w:vAlign w:val="bottom"/>
            <w:tcBorders>
              <w:top w:val="single" w:sz="8" w:color="auto"/>
              <w:right w:val="single" w:sz="8" w:color="auto"/>
            </w:tcBorders>
            <w:vMerge w:val="restart"/>
          </w:tcPr>
          <w:p>
            <w:pPr>
              <w:jc w:val="right"/>
              <w:ind w:right="3610"/>
              <w:spacing w:after="0"/>
              <w:rPr>
                <w:sz w:val="20"/>
                <w:szCs w:val="20"/>
                <w:color w:val="auto"/>
              </w:rPr>
            </w:pPr>
            <w:r>
              <w:rPr>
                <w:rFonts w:ascii="Arial" w:cs="Arial" w:eastAsia="Arial" w:hAnsi="Arial"/>
                <w:sz w:val="18"/>
                <w:szCs w:val="18"/>
                <w:b w:val="1"/>
                <w:bCs w:val="1"/>
                <w:color w:val="auto"/>
              </w:rPr>
              <w:t>Title</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29"/>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72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772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7720" w:type="dxa"/>
            <w:vAlign w:val="bottom"/>
            <w:tcBorders>
              <w:right w:val="single" w:sz="8" w:color="auto"/>
            </w:tcBorders>
          </w:tcPr>
          <w:p>
            <w:pPr>
              <w:jc w:val="right"/>
              <w:ind w:right="7250"/>
              <w:spacing w:after="0"/>
              <w:rPr>
                <w:sz w:val="20"/>
                <w:szCs w:val="20"/>
                <w:color w:val="auto"/>
              </w:rPr>
            </w:pPr>
            <w:r>
              <w:rPr>
                <w:rFonts w:ascii="Arial" w:cs="Arial" w:eastAsia="Arial" w:hAnsi="Arial"/>
                <w:sz w:val="18"/>
                <w:szCs w:val="18"/>
                <w:color w:val="auto"/>
                <w:w w:val="94"/>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7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72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720" w:type="dxa"/>
            <w:vAlign w:val="bottom"/>
            <w:tcBorders>
              <w:bottom w:val="single" w:sz="8" w:color="auto"/>
              <w:right w:val="single" w:sz="8" w:color="auto"/>
            </w:tcBorders>
          </w:tcPr>
          <w:p>
            <w:pPr>
              <w:jc w:val="right"/>
              <w:ind w:right="7250"/>
              <w:spacing w:after="0"/>
              <w:rPr>
                <w:sz w:val="20"/>
                <w:szCs w:val="20"/>
                <w:color w:val="auto"/>
              </w:rPr>
            </w:pPr>
            <w:r>
              <w:rPr>
                <w:rFonts w:ascii="Arial" w:cs="Arial" w:eastAsia="Arial" w:hAnsi="Arial"/>
                <w:sz w:val="18"/>
                <w:szCs w:val="18"/>
                <w:color w:val="auto"/>
                <w:w w:val="94"/>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720" w:type="dxa"/>
            <w:vAlign w:val="bottom"/>
            <w:tcBorders>
              <w:bottom w:val="single" w:sz="8" w:color="auto"/>
              <w:right w:val="single" w:sz="8" w:color="auto"/>
            </w:tcBorders>
          </w:tcPr>
          <w:p>
            <w:pPr>
              <w:jc w:val="right"/>
              <w:ind w:right="7250"/>
              <w:spacing w:after="0"/>
              <w:rPr>
                <w:sz w:val="20"/>
                <w:szCs w:val="20"/>
                <w:color w:val="auto"/>
              </w:rPr>
            </w:pPr>
            <w:r>
              <w:rPr>
                <w:rFonts w:ascii="Arial" w:cs="Arial" w:eastAsia="Arial" w:hAnsi="Arial"/>
                <w:sz w:val="18"/>
                <w:szCs w:val="18"/>
                <w:color w:val="auto"/>
                <w:w w:val="94"/>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7720" w:type="dxa"/>
            <w:vAlign w:val="bottom"/>
            <w:tcBorders>
              <w:bottom w:val="single" w:sz="8" w:color="auto"/>
              <w:right w:val="single" w:sz="8" w:color="auto"/>
            </w:tcBorders>
          </w:tcPr>
          <w:p>
            <w:pPr>
              <w:jc w:val="right"/>
              <w:ind w:right="35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780" w:type="dxa"/>
            <w:vAlign w:val="bottom"/>
            <w:tcBorders>
              <w:left w:val="single" w:sz="8" w:color="D2D2D2"/>
              <w:bottom w:val="single" w:sz="8" w:color="D2D2D2"/>
              <w:right w:val="single" w:sz="8" w:color="D2D2D2"/>
            </w:tcBorders>
          </w:tcPr>
          <w:p>
            <w:pPr>
              <w:spacing w:after="0"/>
              <w:rPr>
                <w:sz w:val="19"/>
                <w:szCs w:val="19"/>
                <w:color w:val="auto"/>
              </w:rPr>
            </w:pPr>
          </w:p>
        </w:tc>
        <w:tc>
          <w:tcPr>
            <w:tcW w:w="7720" w:type="dxa"/>
            <w:vAlign w:val="bottom"/>
            <w:tcBorders>
              <w:bottom w:val="single" w:sz="8" w:color="D2D2D2"/>
              <w:right w:val="single" w:sz="8" w:color="D2D2D2"/>
            </w:tcBorders>
          </w:tcPr>
          <w:p>
            <w:pPr>
              <w:spacing w:after="0"/>
              <w:rPr>
                <w:sz w:val="19"/>
                <w:szCs w:val="19"/>
                <w:color w:val="auto"/>
              </w:rPr>
            </w:pPr>
          </w:p>
        </w:tc>
        <w:tc>
          <w:tcPr>
            <w:tcW w:w="1620" w:type="dxa"/>
            <w:vAlign w:val="bottom"/>
            <w:tcBorders>
              <w:bottom w:val="single" w:sz="8" w:color="D2D2D2"/>
              <w:right w:val="single" w:sz="8" w:color="D2D2D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Boeing Proprietary Page:</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 of 8</w:t>
      </w:r>
    </w:p>
    <w:p>
      <w:pPr>
        <w:sectPr>
          <w:pgSz w:w="11900" w:h="16838" w:orient="portrait"/>
          <w:cols w:equalWidth="0" w:num="1">
            <w:col w:w="11120"/>
          </w:cols>
          <w:pgMar w:left="440" w:top="1037" w:right="339" w:bottom="1440" w:gutter="0" w:footer="0" w:header="0"/>
        </w:sectPr>
      </w:pPr>
    </w:p>
    <w:bookmarkStart w:id="144" w:name="page145"/>
    <w:bookmarkEnd w:id="144"/>
    <w:p>
      <w:pPr>
        <w:ind w:left="298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337185</wp:posOffset>
            </wp:positionV>
            <wp:extent cx="1534795" cy="342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42900"/>
                    </a:xfrm>
                    <a:prstGeom prst="rect">
                      <a:avLst/>
                    </a:prstGeom>
                    <a:noFill/>
                  </pic:spPr>
                </pic:pic>
              </a:graphicData>
            </a:graphic>
          </wp:anchor>
        </w:drawing>
        <w:t>The Boeing Company</w:t>
      </w:r>
    </w:p>
    <w:p>
      <w:pPr>
        <w:ind w:left="2980"/>
        <w:spacing w:after="0" w:line="216" w:lineRule="auto"/>
        <w:rPr>
          <w:sz w:val="20"/>
          <w:szCs w:val="20"/>
          <w:color w:val="auto"/>
        </w:rPr>
      </w:pPr>
      <w:r>
        <w:rPr>
          <w:rFonts w:ascii="Arial" w:cs="Arial" w:eastAsia="Arial" w:hAnsi="Arial"/>
          <w:sz w:val="13"/>
          <w:szCs w:val="13"/>
          <w:color w:val="808080"/>
        </w:rPr>
        <w:t>P.O. Box 3707</w:t>
      </w:r>
    </w:p>
    <w:p>
      <w:pPr>
        <w:ind w:left="298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AL-PA-03735-LA-1106650R7</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37" w:lineRule="exact"/>
        <w:rPr>
          <w:sz w:val="20"/>
          <w:szCs w:val="20"/>
          <w:color w:val="auto"/>
        </w:rPr>
      </w:pPr>
    </w:p>
    <w:p>
      <w:pPr>
        <w:ind w:left="1300" w:hanging="1295"/>
        <w:spacing w:after="0" w:line="250"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xml:space="preserve"> )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364"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226" w:lineRule="exact"/>
        <w:rPr>
          <w:sz w:val="20"/>
          <w:szCs w:val="20"/>
          <w:color w:val="auto"/>
        </w:rPr>
      </w:pPr>
    </w:p>
    <w:p>
      <w:pPr>
        <w:ind w:firstLine="648"/>
        <w:spacing w:after="0" w:line="225" w:lineRule="auto"/>
        <w:rPr>
          <w:sz w:val="20"/>
          <w:szCs w:val="20"/>
          <w:color w:val="auto"/>
        </w:rPr>
      </w:pPr>
      <w:r>
        <w:rPr>
          <w:rFonts w:ascii="Arial" w:cs="Arial" w:eastAsia="Arial" w:hAnsi="Arial"/>
          <w:sz w:val="22"/>
          <w:szCs w:val="22"/>
          <w:color w:val="auto"/>
        </w:rPr>
        <w:t>The Purchase Agreement incorporates the terms and conditions of the AGTA. This Letter Agreement modifies certain terms and conditions of the AGTA and the Purchase Agreement with respect to the Aircraft.</w:t>
      </w:r>
    </w:p>
    <w:p>
      <w:pPr>
        <w:spacing w:after="0" w:line="1" w:lineRule="exact"/>
        <w:rPr>
          <w:sz w:val="20"/>
          <w:szCs w:val="20"/>
          <w:color w:val="auto"/>
        </w:rPr>
      </w:pPr>
    </w:p>
    <w:p>
      <w:pPr>
        <w:ind w:left="1040" w:hanging="384"/>
        <w:spacing w:after="0"/>
        <w:tabs>
          <w:tab w:leader="none" w:pos="10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t>
      </w:r>
    </w:p>
    <w:p>
      <w:pPr>
        <w:spacing w:after="0" w:line="23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49" w:lineRule="exact"/>
        <w:rPr>
          <w:sz w:val="20"/>
          <w:szCs w:val="20"/>
          <w:color w:val="auto"/>
        </w:rPr>
      </w:pPr>
    </w:p>
    <w:tbl>
      <w:tblPr>
        <w:tblLayout w:type="fixed"/>
        <w:tblInd w:w="230" w:type="dxa"/>
        <w:tblCellMar>
          <w:top w:w="0" w:type="dxa"/>
          <w:left w:w="0" w:type="dxa"/>
          <w:bottom w:w="0" w:type="dxa"/>
          <w:right w:w="0" w:type="dxa"/>
        </w:tblCellMar>
      </w:tblPr>
      <w:tr>
        <w:trPr>
          <w:trHeight w:val="361"/>
        </w:trPr>
        <w:tc>
          <w:tcPr>
            <w:tcW w:w="4780" w:type="dxa"/>
            <w:vAlign w:val="bottom"/>
            <w:tcBorders>
              <w:top w:val="single" w:sz="8" w:color="auto"/>
              <w:left w:val="single" w:sz="8" w:color="auto"/>
              <w:right w:val="single" w:sz="8" w:color="auto"/>
            </w:tcBorders>
          </w:tcPr>
          <w:p>
            <w:pPr>
              <w:jc w:val="right"/>
              <w:ind w:right="2072"/>
              <w:spacing w:after="0"/>
              <w:rPr>
                <w:sz w:val="20"/>
                <w:szCs w:val="20"/>
                <w:color w:val="auto"/>
              </w:rPr>
            </w:pPr>
            <w:r>
              <w:rPr>
                <w:rFonts w:ascii="Arial" w:cs="Arial" w:eastAsia="Arial" w:hAnsi="Arial"/>
                <w:sz w:val="22"/>
                <w:szCs w:val="22"/>
                <w:color w:val="auto"/>
              </w:rPr>
              <w:t>[****]</w:t>
            </w:r>
          </w:p>
        </w:tc>
        <w:tc>
          <w:tcPr>
            <w:tcW w:w="2740" w:type="dxa"/>
            <w:vAlign w:val="bottom"/>
            <w:tcBorders>
              <w:top w:val="single" w:sz="8" w:color="auto"/>
              <w:right w:val="single" w:sz="8" w:color="auto"/>
            </w:tcBorders>
          </w:tcPr>
          <w:p>
            <w:pPr>
              <w:jc w:val="right"/>
              <w:ind w:right="1052"/>
              <w:spacing w:after="0"/>
              <w:rPr>
                <w:sz w:val="20"/>
                <w:szCs w:val="20"/>
                <w:color w:val="auto"/>
              </w:rPr>
            </w:pPr>
            <w:r>
              <w:rPr>
                <w:rFonts w:ascii="Arial" w:cs="Arial" w:eastAsia="Arial" w:hAnsi="Arial"/>
                <w:sz w:val="22"/>
                <w:szCs w:val="22"/>
                <w:color w:val="auto"/>
              </w:rPr>
              <w:t>[****]</w:t>
            </w:r>
          </w:p>
        </w:tc>
        <w:tc>
          <w:tcPr>
            <w:tcW w:w="3040" w:type="dxa"/>
            <w:vAlign w:val="bottom"/>
            <w:tcBorders>
              <w:top w:val="single" w:sz="8" w:color="auto"/>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r>
      <w:tr>
        <w:trPr>
          <w:trHeight w:val="84"/>
        </w:trPr>
        <w:tc>
          <w:tcPr>
            <w:tcW w:w="478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3040" w:type="dxa"/>
            <w:vAlign w:val="bottom"/>
            <w:tcBorders>
              <w:bottom w:val="single" w:sz="8" w:color="auto"/>
              <w:right w:val="single" w:sz="8" w:color="auto"/>
            </w:tcBorders>
          </w:tcPr>
          <w:p>
            <w:pPr>
              <w:spacing w:after="0"/>
              <w:rPr>
                <w:sz w:val="7"/>
                <w:szCs w:val="7"/>
                <w:color w:val="auto"/>
              </w:rPr>
            </w:pPr>
          </w:p>
        </w:tc>
      </w:tr>
      <w:tr>
        <w:trPr>
          <w:trHeight w:val="341"/>
        </w:trPr>
        <w:tc>
          <w:tcPr>
            <w:tcW w:w="4780" w:type="dxa"/>
            <w:vAlign w:val="bottom"/>
            <w:tcBorders>
              <w:left w:val="single" w:sz="8" w:color="auto"/>
              <w:right w:val="single" w:sz="8" w:color="auto"/>
            </w:tcBorders>
          </w:tcPr>
          <w:p>
            <w:pPr>
              <w:jc w:val="right"/>
              <w:ind w:right="2072"/>
              <w:spacing w:after="0"/>
              <w:rPr>
                <w:sz w:val="20"/>
                <w:szCs w:val="20"/>
                <w:color w:val="auto"/>
              </w:rPr>
            </w:pPr>
            <w:r>
              <w:rPr>
                <w:rFonts w:ascii="Arial" w:cs="Arial" w:eastAsia="Arial" w:hAnsi="Arial"/>
                <w:sz w:val="22"/>
                <w:szCs w:val="22"/>
                <w:color w:val="auto"/>
              </w:rPr>
              <w:t>[****]</w:t>
            </w:r>
          </w:p>
        </w:tc>
        <w:tc>
          <w:tcPr>
            <w:tcW w:w="2740" w:type="dxa"/>
            <w:vAlign w:val="bottom"/>
            <w:tcBorders>
              <w:right w:val="single" w:sz="8" w:color="auto"/>
            </w:tcBorders>
          </w:tcPr>
          <w:p>
            <w:pPr>
              <w:jc w:val="right"/>
              <w:ind w:right="1052"/>
              <w:spacing w:after="0"/>
              <w:rPr>
                <w:sz w:val="20"/>
                <w:szCs w:val="20"/>
                <w:color w:val="auto"/>
              </w:rPr>
            </w:pPr>
            <w:r>
              <w:rPr>
                <w:rFonts w:ascii="Arial" w:cs="Arial" w:eastAsia="Arial" w:hAnsi="Arial"/>
                <w:sz w:val="22"/>
                <w:szCs w:val="22"/>
                <w:color w:val="auto"/>
              </w:rPr>
              <w:t>[****]</w:t>
            </w:r>
          </w:p>
        </w:tc>
        <w:tc>
          <w:tcPr>
            <w:tcW w:w="304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r>
      <w:tr>
        <w:trPr>
          <w:trHeight w:val="84"/>
        </w:trPr>
        <w:tc>
          <w:tcPr>
            <w:tcW w:w="478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3040" w:type="dxa"/>
            <w:vAlign w:val="bottom"/>
            <w:tcBorders>
              <w:bottom w:val="single" w:sz="8" w:color="auto"/>
              <w:right w:val="single" w:sz="8" w:color="auto"/>
            </w:tcBorders>
          </w:tcPr>
          <w:p>
            <w:pPr>
              <w:spacing w:after="0"/>
              <w:rPr>
                <w:sz w:val="7"/>
                <w:szCs w:val="7"/>
                <w:color w:val="auto"/>
              </w:rPr>
            </w:pPr>
          </w:p>
        </w:tc>
      </w:tr>
      <w:tr>
        <w:trPr>
          <w:trHeight w:val="341"/>
        </w:trPr>
        <w:tc>
          <w:tcPr>
            <w:tcW w:w="4780" w:type="dxa"/>
            <w:vAlign w:val="bottom"/>
            <w:tcBorders>
              <w:left w:val="single" w:sz="8" w:color="auto"/>
              <w:right w:val="single" w:sz="8" w:color="auto"/>
            </w:tcBorders>
          </w:tcPr>
          <w:p>
            <w:pPr>
              <w:jc w:val="right"/>
              <w:ind w:right="2072"/>
              <w:spacing w:after="0"/>
              <w:rPr>
                <w:sz w:val="20"/>
                <w:szCs w:val="20"/>
                <w:color w:val="auto"/>
              </w:rPr>
            </w:pPr>
            <w:r>
              <w:rPr>
                <w:rFonts w:ascii="Arial" w:cs="Arial" w:eastAsia="Arial" w:hAnsi="Arial"/>
                <w:sz w:val="22"/>
                <w:szCs w:val="22"/>
                <w:color w:val="auto"/>
              </w:rPr>
              <w:t>[****]</w:t>
            </w:r>
          </w:p>
        </w:tc>
        <w:tc>
          <w:tcPr>
            <w:tcW w:w="2740" w:type="dxa"/>
            <w:vAlign w:val="bottom"/>
            <w:tcBorders>
              <w:right w:val="single" w:sz="8" w:color="auto"/>
            </w:tcBorders>
          </w:tcPr>
          <w:p>
            <w:pPr>
              <w:jc w:val="right"/>
              <w:ind w:right="1052"/>
              <w:spacing w:after="0"/>
              <w:rPr>
                <w:sz w:val="20"/>
                <w:szCs w:val="20"/>
                <w:color w:val="auto"/>
              </w:rPr>
            </w:pPr>
            <w:r>
              <w:rPr>
                <w:rFonts w:ascii="Arial" w:cs="Arial" w:eastAsia="Arial" w:hAnsi="Arial"/>
                <w:sz w:val="22"/>
                <w:szCs w:val="22"/>
                <w:color w:val="auto"/>
              </w:rPr>
              <w:t>[****]</w:t>
            </w:r>
          </w:p>
        </w:tc>
        <w:tc>
          <w:tcPr>
            <w:tcW w:w="304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r>
      <w:tr>
        <w:trPr>
          <w:trHeight w:val="71"/>
        </w:trPr>
        <w:tc>
          <w:tcPr>
            <w:tcW w:w="4780" w:type="dxa"/>
            <w:vAlign w:val="bottom"/>
            <w:tcBorders>
              <w:left w:val="single" w:sz="8" w:color="auto"/>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c>
          <w:tcPr>
            <w:tcW w:w="3040" w:type="dxa"/>
            <w:vAlign w:val="bottom"/>
            <w:tcBorders>
              <w:bottom w:val="single" w:sz="8" w:color="auto"/>
              <w:right w:val="single" w:sz="8" w:color="auto"/>
            </w:tcBorders>
          </w:tcPr>
          <w:p>
            <w:pPr>
              <w:spacing w:after="0"/>
              <w:rPr>
                <w:sz w:val="6"/>
                <w:szCs w:val="6"/>
                <w:color w:val="auto"/>
              </w:rPr>
            </w:pPr>
          </w:p>
        </w:tc>
      </w:tr>
      <w:tr>
        <w:trPr>
          <w:trHeight w:val="341"/>
        </w:trPr>
        <w:tc>
          <w:tcPr>
            <w:tcW w:w="4780" w:type="dxa"/>
            <w:vAlign w:val="bottom"/>
            <w:tcBorders>
              <w:left w:val="single" w:sz="8" w:color="auto"/>
              <w:right w:val="single" w:sz="8" w:color="auto"/>
            </w:tcBorders>
          </w:tcPr>
          <w:p>
            <w:pPr>
              <w:jc w:val="right"/>
              <w:ind w:right="2072"/>
              <w:spacing w:after="0"/>
              <w:rPr>
                <w:sz w:val="20"/>
                <w:szCs w:val="20"/>
                <w:color w:val="auto"/>
              </w:rPr>
            </w:pPr>
            <w:r>
              <w:rPr>
                <w:rFonts w:ascii="Arial" w:cs="Arial" w:eastAsia="Arial" w:hAnsi="Arial"/>
                <w:sz w:val="22"/>
                <w:szCs w:val="22"/>
                <w:color w:val="auto"/>
              </w:rPr>
              <w:t>[****]</w:t>
            </w:r>
          </w:p>
        </w:tc>
        <w:tc>
          <w:tcPr>
            <w:tcW w:w="2740" w:type="dxa"/>
            <w:vAlign w:val="bottom"/>
            <w:tcBorders>
              <w:right w:val="single" w:sz="8" w:color="auto"/>
            </w:tcBorders>
          </w:tcPr>
          <w:p>
            <w:pPr>
              <w:jc w:val="right"/>
              <w:ind w:right="1052"/>
              <w:spacing w:after="0"/>
              <w:rPr>
                <w:sz w:val="20"/>
                <w:szCs w:val="20"/>
                <w:color w:val="auto"/>
              </w:rPr>
            </w:pPr>
            <w:r>
              <w:rPr>
                <w:rFonts w:ascii="Arial" w:cs="Arial" w:eastAsia="Arial" w:hAnsi="Arial"/>
                <w:sz w:val="22"/>
                <w:szCs w:val="22"/>
                <w:color w:val="auto"/>
              </w:rPr>
              <w:t>[****]</w:t>
            </w:r>
          </w:p>
        </w:tc>
        <w:tc>
          <w:tcPr>
            <w:tcW w:w="304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r>
      <w:tr>
        <w:trPr>
          <w:trHeight w:val="84"/>
        </w:trPr>
        <w:tc>
          <w:tcPr>
            <w:tcW w:w="478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3040" w:type="dxa"/>
            <w:vAlign w:val="bottom"/>
            <w:tcBorders>
              <w:bottom w:val="single" w:sz="8" w:color="auto"/>
              <w:right w:val="single" w:sz="8" w:color="auto"/>
            </w:tcBorders>
          </w:tcPr>
          <w:p>
            <w:pPr>
              <w:spacing w:after="0"/>
              <w:rPr>
                <w:sz w:val="7"/>
                <w:szCs w:val="7"/>
                <w:color w:val="auto"/>
              </w:rPr>
            </w:pPr>
          </w:p>
        </w:tc>
      </w:tr>
      <w:tr>
        <w:trPr>
          <w:trHeight w:val="341"/>
        </w:trPr>
        <w:tc>
          <w:tcPr>
            <w:tcW w:w="4780" w:type="dxa"/>
            <w:vAlign w:val="bottom"/>
            <w:tcBorders>
              <w:left w:val="single" w:sz="8" w:color="auto"/>
              <w:right w:val="single" w:sz="8" w:color="auto"/>
            </w:tcBorders>
          </w:tcPr>
          <w:p>
            <w:pPr>
              <w:jc w:val="right"/>
              <w:ind w:right="2072"/>
              <w:spacing w:after="0"/>
              <w:rPr>
                <w:sz w:val="20"/>
                <w:szCs w:val="20"/>
                <w:color w:val="auto"/>
              </w:rPr>
            </w:pPr>
            <w:r>
              <w:rPr>
                <w:rFonts w:ascii="Arial" w:cs="Arial" w:eastAsia="Arial" w:hAnsi="Arial"/>
                <w:sz w:val="22"/>
                <w:szCs w:val="22"/>
                <w:color w:val="auto"/>
              </w:rPr>
              <w:t>[****]</w:t>
            </w:r>
          </w:p>
        </w:tc>
        <w:tc>
          <w:tcPr>
            <w:tcW w:w="2740" w:type="dxa"/>
            <w:vAlign w:val="bottom"/>
            <w:tcBorders>
              <w:right w:val="single" w:sz="8" w:color="auto"/>
            </w:tcBorders>
          </w:tcPr>
          <w:p>
            <w:pPr>
              <w:jc w:val="right"/>
              <w:ind w:right="1052"/>
              <w:spacing w:after="0"/>
              <w:rPr>
                <w:sz w:val="20"/>
                <w:szCs w:val="20"/>
                <w:color w:val="auto"/>
              </w:rPr>
            </w:pPr>
            <w:r>
              <w:rPr>
                <w:rFonts w:ascii="Arial" w:cs="Arial" w:eastAsia="Arial" w:hAnsi="Arial"/>
                <w:sz w:val="22"/>
                <w:szCs w:val="22"/>
                <w:color w:val="auto"/>
              </w:rPr>
              <w:t>[****]</w:t>
            </w:r>
          </w:p>
        </w:tc>
        <w:tc>
          <w:tcPr>
            <w:tcW w:w="304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r>
      <w:tr>
        <w:trPr>
          <w:trHeight w:val="85"/>
        </w:trPr>
        <w:tc>
          <w:tcPr>
            <w:tcW w:w="478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3040" w:type="dxa"/>
            <w:vAlign w:val="bottom"/>
            <w:tcBorders>
              <w:bottom w:val="single" w:sz="8" w:color="auto"/>
              <w:right w:val="single" w:sz="8" w:color="auto"/>
            </w:tcBorders>
          </w:tcPr>
          <w:p>
            <w:pPr>
              <w:spacing w:after="0"/>
              <w:rPr>
                <w:sz w:val="7"/>
                <w:szCs w:val="7"/>
                <w:color w:val="auto"/>
              </w:rPr>
            </w:pPr>
          </w:p>
        </w:tc>
      </w:tr>
      <w:tr>
        <w:trPr>
          <w:trHeight w:val="341"/>
        </w:trPr>
        <w:tc>
          <w:tcPr>
            <w:tcW w:w="4780" w:type="dxa"/>
            <w:vAlign w:val="bottom"/>
            <w:tcBorders>
              <w:left w:val="single" w:sz="8" w:color="auto"/>
              <w:right w:val="single" w:sz="8" w:color="auto"/>
            </w:tcBorders>
          </w:tcPr>
          <w:p>
            <w:pPr>
              <w:jc w:val="right"/>
              <w:ind w:right="2072"/>
              <w:spacing w:after="0"/>
              <w:rPr>
                <w:sz w:val="20"/>
                <w:szCs w:val="20"/>
                <w:color w:val="auto"/>
              </w:rPr>
            </w:pPr>
            <w:r>
              <w:rPr>
                <w:rFonts w:ascii="Arial" w:cs="Arial" w:eastAsia="Arial" w:hAnsi="Arial"/>
                <w:sz w:val="22"/>
                <w:szCs w:val="22"/>
                <w:color w:val="auto"/>
              </w:rPr>
              <w:t>[****]</w:t>
            </w:r>
          </w:p>
        </w:tc>
        <w:tc>
          <w:tcPr>
            <w:tcW w:w="2740" w:type="dxa"/>
            <w:vAlign w:val="bottom"/>
            <w:tcBorders>
              <w:right w:val="single" w:sz="8" w:color="auto"/>
            </w:tcBorders>
          </w:tcPr>
          <w:p>
            <w:pPr>
              <w:jc w:val="right"/>
              <w:ind w:right="1052"/>
              <w:spacing w:after="0"/>
              <w:rPr>
                <w:sz w:val="20"/>
                <w:szCs w:val="20"/>
                <w:color w:val="auto"/>
              </w:rPr>
            </w:pPr>
            <w:r>
              <w:rPr>
                <w:rFonts w:ascii="Arial" w:cs="Arial" w:eastAsia="Arial" w:hAnsi="Arial"/>
                <w:sz w:val="22"/>
                <w:szCs w:val="22"/>
                <w:color w:val="auto"/>
              </w:rPr>
              <w:t>[****]</w:t>
            </w:r>
          </w:p>
        </w:tc>
        <w:tc>
          <w:tcPr>
            <w:tcW w:w="304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r>
      <w:tr>
        <w:trPr>
          <w:trHeight w:val="85"/>
        </w:trPr>
        <w:tc>
          <w:tcPr>
            <w:tcW w:w="4780" w:type="dxa"/>
            <w:vAlign w:val="bottom"/>
            <w:tcBorders>
              <w:left w:val="single" w:sz="8" w:color="auto"/>
              <w:bottom w:val="single" w:sz="8" w:color="auto"/>
              <w:right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c>
          <w:tcPr>
            <w:tcW w:w="3040" w:type="dxa"/>
            <w:vAlign w:val="bottom"/>
            <w:tcBorders>
              <w:bottom w:val="single" w:sz="8" w:color="auto"/>
              <w:right w:val="single" w:sz="8" w:color="auto"/>
            </w:tcBorders>
          </w:tcPr>
          <w:p>
            <w:pPr>
              <w:spacing w:after="0"/>
              <w:rPr>
                <w:sz w:val="7"/>
                <w:szCs w:val="7"/>
                <w:color w:val="auto"/>
              </w:rPr>
            </w:pPr>
          </w:p>
        </w:tc>
      </w:tr>
      <w:tr>
        <w:trPr>
          <w:trHeight w:val="611"/>
        </w:trPr>
        <w:tc>
          <w:tcPr>
            <w:tcW w:w="4780" w:type="dxa"/>
            <w:vAlign w:val="bottom"/>
          </w:tcPr>
          <w:p>
            <w:pPr>
              <w:jc w:val="right"/>
              <w:ind w:right="3332"/>
              <w:spacing w:after="0"/>
              <w:rPr>
                <w:sz w:val="20"/>
                <w:szCs w:val="20"/>
                <w:color w:val="auto"/>
              </w:rPr>
            </w:pPr>
            <w:r>
              <w:rPr>
                <w:rFonts w:ascii="Arial" w:cs="Arial" w:eastAsia="Arial" w:hAnsi="Arial"/>
                <w:sz w:val="22"/>
                <w:szCs w:val="22"/>
                <w:color w:val="auto"/>
              </w:rPr>
              <w:t>2.  [****].</w:t>
            </w:r>
          </w:p>
        </w:tc>
        <w:tc>
          <w:tcPr>
            <w:tcW w:w="27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499"/>
        </w:trPr>
        <w:tc>
          <w:tcPr>
            <w:tcW w:w="4780" w:type="dxa"/>
            <w:vAlign w:val="bottom"/>
          </w:tcPr>
          <w:p>
            <w:pPr>
              <w:jc w:val="right"/>
              <w:ind w:right="4192"/>
              <w:spacing w:after="0"/>
              <w:rPr>
                <w:sz w:val="20"/>
                <w:szCs w:val="20"/>
                <w:color w:val="auto"/>
              </w:rPr>
            </w:pPr>
            <w:r>
              <w:rPr>
                <w:rFonts w:ascii="Arial" w:cs="Arial" w:eastAsia="Arial" w:hAnsi="Arial"/>
                <w:sz w:val="22"/>
                <w:szCs w:val="22"/>
                <w:color w:val="auto"/>
                <w:w w:val="98"/>
              </w:rPr>
              <w:t>[****]</w:t>
            </w:r>
          </w:p>
        </w:tc>
        <w:tc>
          <w:tcPr>
            <w:tcW w:w="274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AAL-PA-03735-LA-1106650R7</w:t>
      </w:r>
      <w:r>
        <w:rPr>
          <w:sz w:val="20"/>
          <w:szCs w:val="20"/>
          <w:color w:val="auto"/>
        </w:rPr>
        <w:tab/>
      </w:r>
      <w:r>
        <w:rPr>
          <w:rFonts w:ascii="Arial" w:cs="Arial" w:eastAsia="Arial" w:hAnsi="Arial"/>
          <w:sz w:val="21"/>
          <w:szCs w:val="21"/>
          <w:color w:val="auto"/>
        </w:rPr>
        <w:t>SA-29</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Page 1 of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61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left="660" w:right="9600" w:hanging="4"/>
        <w:spacing w:after="0" w:line="473" w:lineRule="auto"/>
        <w:tabs>
          <w:tab w:leader="none" w:pos="1049"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xml:space="preserve"> 3.1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3.1.1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color w:val="auto"/>
        </w:rPr>
        <w:t>For the avoidance of doubt, the [****] shall apply;</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3.2.1  For Aircraft in Table 1R12, the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3.2.2  For Aircraft in Table 1-2, the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3.2.3  For Aircraft in Table 1-3R6, the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3.2.4  For Aircraft in Table 1-4R1 and [****], the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3.2.5  For Aircraft in Table 1-5 and [****], the [****].</w:t>
      </w:r>
    </w:p>
    <w:p>
      <w:pPr>
        <w:spacing w:after="0" w:line="26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jc w:val="both"/>
        <w:ind w:left="1180" w:hanging="517"/>
        <w:spacing w:after="0" w:line="243" w:lineRule="auto"/>
        <w:tabs>
          <w:tab w:leader="none" w:pos="1160" w:val="left"/>
        </w:tabs>
        <w:rPr>
          <w:sz w:val="20"/>
          <w:szCs w:val="20"/>
          <w:color w:val="auto"/>
        </w:rPr>
      </w:pPr>
      <w:r>
        <w:rPr>
          <w:rFonts w:ascii="Arial" w:cs="Arial" w:eastAsia="Arial" w:hAnsi="Arial"/>
          <w:sz w:val="22"/>
          <w:szCs w:val="22"/>
          <w:color w:val="auto"/>
        </w:rPr>
        <w:t>4.1</w:t>
        <w:tab/>
        <w:t>Notwithstanding anything in Sections 1 through 3 above or the [****], Customer will [****] for the [****] of Supplemental Agreement No. 9, and [****]. The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 All [****].</w:t>
      </w:r>
    </w:p>
    <w:p>
      <w:pPr>
        <w:spacing w:after="0" w:line="5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Notwithstanding anything to the contrary in this Letter Agreement, [****]</w:t>
      </w:r>
      <w:r>
        <w:rPr>
          <w:rFonts w:ascii="Arial" w:cs="Arial" w:eastAsia="Arial" w:hAnsi="Arial"/>
          <w:sz w:val="21"/>
          <w:szCs w:val="21"/>
          <w:b w:val="1"/>
          <w:bCs w:val="1"/>
          <w:color w:val="auto"/>
        </w:rPr>
        <w:t>.</w:t>
      </w:r>
    </w:p>
    <w:p>
      <w:pPr>
        <w:spacing w:after="0" w:line="257"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1"/>
          <w:szCs w:val="21"/>
          <w:color w:val="auto"/>
        </w:rPr>
        <w:t>[****].</w:t>
      </w:r>
    </w:p>
    <w:p>
      <w:pPr>
        <w:spacing w:after="0" w:line="169"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5.1</w:t>
        <w:tab/>
        <w:t xml:space="preserve">[****], as defined in Letter Agreement AAL-PA-03735-LA-2002743, [****] ([****] </w:t>
      </w:r>
      <w:r>
        <w:rPr>
          <w:rFonts w:ascii="Arial" w:cs="Arial" w:eastAsia="Arial" w:hAnsi="Arial"/>
          <w:sz w:val="22"/>
          <w:szCs w:val="22"/>
          <w:b w:val="1"/>
          <w:bCs w:val="1"/>
          <w:i w:val="1"/>
          <w:iCs w:val="1"/>
          <w:color w:val="auto"/>
        </w:rPr>
        <w:t>Letter</w:t>
      </w:r>
      <w:r>
        <w:rPr>
          <w:rFonts w:ascii="Arial" w:cs="Arial" w:eastAsia="Arial" w:hAnsi="Arial"/>
          <w:sz w:val="22"/>
          <w:szCs w:val="22"/>
          <w:color w:val="auto"/>
        </w:rPr>
        <w:t>), and notwithstanding anything in Sections 1 through 3 above, or the [****] ([****]), Customer will [****] as follows:</w:t>
      </w:r>
    </w:p>
    <w:p>
      <w:pPr>
        <w:spacing w:after="0" w:line="159" w:lineRule="exact"/>
        <w:rPr>
          <w:sz w:val="20"/>
          <w:szCs w:val="20"/>
          <w:color w:val="auto"/>
        </w:rPr>
      </w:pPr>
    </w:p>
    <w:p>
      <w:pPr>
        <w:jc w:val="both"/>
        <w:ind w:firstLine="926"/>
        <w:spacing w:after="0" w:line="223" w:lineRule="auto"/>
        <w:rPr>
          <w:sz w:val="20"/>
          <w:szCs w:val="20"/>
          <w:color w:val="auto"/>
        </w:rPr>
      </w:pPr>
      <w:r>
        <w:rPr>
          <w:rFonts w:ascii="Arial" w:cs="Arial" w:eastAsia="Arial" w:hAnsi="Arial"/>
          <w:sz w:val="22"/>
          <w:szCs w:val="22"/>
          <w:color w:val="auto"/>
        </w:rPr>
        <w:t>5.1.2 Boeing acknowledges that Customer has previously [****] and Boeing will [****] (the [****]) per [****] as defined in the following table in accordance with and subject to the terms and conditions of the Purchase Agreement:</w:t>
      </w:r>
    </w:p>
    <w:p>
      <w:pPr>
        <w:spacing w:after="0" w:line="229" w:lineRule="exact"/>
        <w:rPr>
          <w:sz w:val="20"/>
          <w:szCs w:val="20"/>
          <w:color w:val="auto"/>
        </w:rPr>
      </w:pPr>
    </w:p>
    <w:tbl>
      <w:tblPr>
        <w:tblLayout w:type="fixed"/>
        <w:tblInd w:w="910" w:type="dxa"/>
        <w:tblCellMar>
          <w:top w:w="0" w:type="dxa"/>
          <w:left w:w="0" w:type="dxa"/>
          <w:bottom w:w="0" w:type="dxa"/>
          <w:right w:w="0" w:type="dxa"/>
        </w:tblCellMar>
      </w:tblPr>
      <w:tr>
        <w:trPr>
          <w:trHeight w:val="361"/>
        </w:trPr>
        <w:tc>
          <w:tcPr>
            <w:tcW w:w="5860" w:type="dxa"/>
            <w:vAlign w:val="bottom"/>
            <w:tcBorders>
              <w:top w:val="single" w:sz="8" w:color="auto"/>
              <w:left w:val="single" w:sz="8" w:color="auto"/>
              <w:right w:val="single" w:sz="8" w:color="auto"/>
            </w:tcBorders>
            <w:shd w:val="clear" w:color="auto" w:fill="DEEAF6"/>
          </w:tcPr>
          <w:p>
            <w:pPr>
              <w:jc w:val="right"/>
              <w:ind w:right="2592"/>
              <w:spacing w:after="0"/>
              <w:rPr>
                <w:sz w:val="20"/>
                <w:szCs w:val="20"/>
                <w:color w:val="auto"/>
              </w:rPr>
            </w:pPr>
            <w:r>
              <w:rPr>
                <w:rFonts w:ascii="Arial" w:cs="Arial" w:eastAsia="Arial" w:hAnsi="Arial"/>
                <w:sz w:val="22"/>
                <w:szCs w:val="22"/>
                <w:color w:val="auto"/>
              </w:rPr>
              <w:t>[****]</w:t>
            </w:r>
          </w:p>
        </w:tc>
        <w:tc>
          <w:tcPr>
            <w:tcW w:w="2600" w:type="dxa"/>
            <w:vAlign w:val="bottom"/>
            <w:tcBorders>
              <w:top w:val="single" w:sz="8" w:color="auto"/>
              <w:right w:val="single" w:sz="8" w:color="auto"/>
            </w:tcBorders>
            <w:shd w:val="clear" w:color="auto" w:fill="DEEAF6"/>
          </w:tcPr>
          <w:p>
            <w:pPr>
              <w:jc w:val="right"/>
              <w:ind w:right="972"/>
              <w:spacing w:after="0"/>
              <w:rPr>
                <w:sz w:val="20"/>
                <w:szCs w:val="20"/>
                <w:color w:val="auto"/>
              </w:rPr>
            </w:pPr>
            <w:r>
              <w:rPr>
                <w:rFonts w:ascii="Arial" w:cs="Arial" w:eastAsia="Arial" w:hAnsi="Arial"/>
                <w:sz w:val="22"/>
                <w:szCs w:val="22"/>
                <w:color w:val="auto"/>
              </w:rPr>
              <w:t>[****]</w:t>
            </w:r>
          </w:p>
        </w:tc>
      </w:tr>
      <w:tr>
        <w:trPr>
          <w:trHeight w:val="84"/>
        </w:trPr>
        <w:tc>
          <w:tcPr>
            <w:tcW w:w="5860" w:type="dxa"/>
            <w:vAlign w:val="bottom"/>
            <w:tcBorders>
              <w:left w:val="single" w:sz="8" w:color="auto"/>
              <w:bottom w:val="single" w:sz="8" w:color="auto"/>
              <w:right w:val="single" w:sz="8" w:color="auto"/>
            </w:tcBorders>
            <w:shd w:val="clear" w:color="auto" w:fill="DEEAF6"/>
          </w:tcPr>
          <w:p>
            <w:pPr>
              <w:spacing w:after="0"/>
              <w:rPr>
                <w:sz w:val="7"/>
                <w:szCs w:val="7"/>
                <w:color w:val="auto"/>
              </w:rPr>
            </w:pPr>
          </w:p>
        </w:tc>
        <w:tc>
          <w:tcPr>
            <w:tcW w:w="2600" w:type="dxa"/>
            <w:vAlign w:val="bottom"/>
            <w:tcBorders>
              <w:bottom w:val="single" w:sz="8" w:color="auto"/>
              <w:right w:val="single" w:sz="8" w:color="auto"/>
            </w:tcBorders>
            <w:shd w:val="clear" w:color="auto" w:fill="DEEAF6"/>
          </w:tcPr>
          <w:p>
            <w:pPr>
              <w:spacing w:after="0"/>
              <w:rPr>
                <w:sz w:val="7"/>
                <w:szCs w:val="7"/>
                <w:color w:val="auto"/>
              </w:rPr>
            </w:pPr>
          </w:p>
        </w:tc>
      </w:tr>
      <w:tr>
        <w:trPr>
          <w:trHeight w:val="341"/>
        </w:trPr>
        <w:tc>
          <w:tcPr>
            <w:tcW w:w="5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 (Per Attachment A)</w:t>
            </w:r>
          </w:p>
        </w:tc>
        <w:tc>
          <w:tcPr>
            <w:tcW w:w="260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84"/>
        </w:trPr>
        <w:tc>
          <w:tcPr>
            <w:tcW w:w="5860" w:type="dxa"/>
            <w:vAlign w:val="bottom"/>
            <w:tcBorders>
              <w:left w:val="single" w:sz="8" w:color="auto"/>
              <w:bottom w:val="single" w:sz="8" w:color="auto"/>
              <w:right w:val="single" w:sz="8" w:color="auto"/>
            </w:tcBorders>
          </w:tcPr>
          <w:p>
            <w:pPr>
              <w:spacing w:after="0"/>
              <w:rPr>
                <w:sz w:val="7"/>
                <w:szCs w:val="7"/>
                <w:color w:val="auto"/>
              </w:rPr>
            </w:pPr>
          </w:p>
        </w:tc>
        <w:tc>
          <w:tcPr>
            <w:tcW w:w="2600" w:type="dxa"/>
            <w:vAlign w:val="bottom"/>
            <w:tcBorders>
              <w:bottom w:val="single" w:sz="8" w:color="auto"/>
              <w:right w:val="single" w:sz="8" w:color="auto"/>
            </w:tcBorders>
          </w:tcPr>
          <w:p>
            <w:pPr>
              <w:spacing w:after="0"/>
              <w:rPr>
                <w:sz w:val="7"/>
                <w:szCs w:val="7"/>
                <w:color w:val="auto"/>
              </w:rPr>
            </w:pPr>
          </w:p>
        </w:tc>
      </w:tr>
      <w:tr>
        <w:trPr>
          <w:trHeight w:val="341"/>
        </w:trPr>
        <w:tc>
          <w:tcPr>
            <w:tcW w:w="5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 (Per Attachment A)</w:t>
            </w:r>
          </w:p>
        </w:tc>
        <w:tc>
          <w:tcPr>
            <w:tcW w:w="260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71"/>
        </w:trPr>
        <w:tc>
          <w:tcPr>
            <w:tcW w:w="5860" w:type="dxa"/>
            <w:vAlign w:val="bottom"/>
            <w:tcBorders>
              <w:left w:val="single" w:sz="8" w:color="auto"/>
              <w:bottom w:val="single" w:sz="8" w:color="auto"/>
              <w:right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r>
    </w:tbl>
    <w:p>
      <w:pPr>
        <w:spacing w:after="0" w:line="27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5.2 For each [****] for which the [****] (as defined in the [****]) was [****], Customer will [****] a [****] to Boeing, at [****] ([****]) [****] to the [****] (as set forth in Attachment A), in the [****] of the [****] between [****] of the [****] ([****]) and the [****] Aircraft.</w:t>
      </w:r>
    </w:p>
    <w:p>
      <w:pPr>
        <w:spacing w:after="0" w:line="159"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5.2.1 The [****] for each of the [****] Aircraft for which the applicable [****] was [****] will be based on the [****] (as defined in the [****]).</w:t>
      </w:r>
    </w:p>
    <w:p>
      <w:pPr>
        <w:spacing w:after="0" w:line="15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5.2.2 [****] will be [****] and not [****] by Boeing or [****] by Customer for the [****] the [****] defined in the Purchase Agreement and the [****] schedule set forth in this paragraph 5 for the [****] Aircraft for which the applicable [****] was [****]</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AAL-PA-03735-LA-1106650R7</w:t>
      </w:r>
      <w:r>
        <w:rPr>
          <w:sz w:val="20"/>
          <w:szCs w:val="20"/>
          <w:color w:val="auto"/>
        </w:rPr>
        <w:tab/>
      </w:r>
      <w:r>
        <w:rPr>
          <w:rFonts w:ascii="Arial" w:cs="Arial" w:eastAsia="Arial" w:hAnsi="Arial"/>
          <w:sz w:val="21"/>
          <w:szCs w:val="21"/>
          <w:color w:val="auto"/>
        </w:rPr>
        <w:t>SA-29</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Page 2 of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0" w:hanging="444"/>
        <w:spacing w:after="0"/>
        <w:tabs>
          <w:tab w:leader="none" w:pos="11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9" w:lineRule="exact"/>
        <w:rPr>
          <w:sz w:val="20"/>
          <w:szCs w:val="20"/>
          <w:color w:val="auto"/>
        </w:rPr>
      </w:pPr>
    </w:p>
    <w:p>
      <w:pPr>
        <w:ind w:left="1180" w:hanging="517"/>
        <w:spacing w:after="0" w:line="243" w:lineRule="auto"/>
        <w:tabs>
          <w:tab w:leader="none" w:pos="1160" w:val="left"/>
        </w:tabs>
        <w:rPr>
          <w:sz w:val="20"/>
          <w:szCs w:val="20"/>
          <w:color w:val="auto"/>
        </w:rPr>
      </w:pPr>
      <w:r>
        <w:rPr>
          <w:rFonts w:ascii="Arial" w:cs="Arial" w:eastAsia="Arial" w:hAnsi="Arial"/>
          <w:sz w:val="22"/>
          <w:szCs w:val="22"/>
          <w:color w:val="auto"/>
        </w:rPr>
        <w:t>6.1</w:t>
        <w:tab/>
        <w:t>Notwithstanding anything in Sections 1 through 3 above or the [****] in Table 1-4R7, Customer will [****] for the [****]. The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w:t>
      </w:r>
    </w:p>
    <w:p>
      <w:pPr>
        <w:spacing w:after="0" w:line="6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Notwithstanding anything to the contrary in this Letter Agreement, [****].</w:t>
      </w:r>
    </w:p>
    <w:p>
      <w:pPr>
        <w:spacing w:after="0" w:line="247"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9" w:lineRule="exact"/>
        <w:rPr>
          <w:sz w:val="20"/>
          <w:szCs w:val="20"/>
          <w:color w:val="auto"/>
        </w:rPr>
      </w:pPr>
    </w:p>
    <w:p>
      <w:pPr>
        <w:ind w:left="1140" w:hanging="485"/>
        <w:spacing w:after="0" w:line="243" w:lineRule="auto"/>
        <w:tabs>
          <w:tab w:leader="none" w:pos="1120" w:val="left"/>
        </w:tabs>
        <w:rPr>
          <w:sz w:val="20"/>
          <w:szCs w:val="20"/>
          <w:color w:val="auto"/>
        </w:rPr>
      </w:pPr>
      <w:r>
        <w:rPr>
          <w:rFonts w:ascii="Arial" w:cs="Arial" w:eastAsia="Arial" w:hAnsi="Arial"/>
          <w:sz w:val="22"/>
          <w:szCs w:val="22"/>
          <w:color w:val="auto"/>
        </w:rPr>
        <w:t>7.1</w:t>
        <w:tab/>
        <w:t>Notwithstanding anything in Sections 1 through 3 above or the [****] in Table 1-5, Customer will [****] for the [****]. The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w:t>
      </w:r>
    </w:p>
    <w:p>
      <w:pPr>
        <w:spacing w:after="0" w:line="6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Notwithstanding anything to the contrary in this Letter Agreement, [****].</w:t>
      </w:r>
    </w:p>
    <w:p>
      <w:pPr>
        <w:spacing w:after="0" w:line="247" w:lineRule="exact"/>
        <w:rPr>
          <w:sz w:val="20"/>
          <w:szCs w:val="20"/>
          <w:color w:val="auto"/>
        </w:rPr>
      </w:pPr>
    </w:p>
    <w:p>
      <w:pPr>
        <w:ind w:left="420" w:hanging="412"/>
        <w:spacing w:after="0"/>
        <w:tabs>
          <w:tab w:leader="none" w:pos="42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8" w:lineRule="exact"/>
        <w:rPr>
          <w:sz w:val="20"/>
          <w:szCs w:val="20"/>
          <w:color w:val="auto"/>
        </w:rPr>
      </w:pPr>
    </w:p>
    <w:p>
      <w:pPr>
        <w:ind w:left="420" w:hanging="412"/>
        <w:spacing w:after="0"/>
        <w:tabs>
          <w:tab w:leader="none" w:pos="4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9.1 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pacing w:after="0" w:line="15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If the foregoing correctly sets forth your understanding of our agreement with respect to the matters treated above, please indicate your acceptance and approval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AAL-PA-03735-LA-1106650R7</w:t>
      </w:r>
      <w:r>
        <w:rPr>
          <w:sz w:val="20"/>
          <w:szCs w:val="20"/>
          <w:color w:val="auto"/>
        </w:rPr>
        <w:tab/>
      </w:r>
      <w:r>
        <w:rPr>
          <w:rFonts w:ascii="Arial" w:cs="Arial" w:eastAsia="Arial" w:hAnsi="Arial"/>
          <w:sz w:val="21"/>
          <w:szCs w:val="21"/>
          <w:color w:val="auto"/>
        </w:rPr>
        <w:t>SA-29</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Page 3 of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46"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67945</wp:posOffset>
            </wp:positionV>
            <wp:extent cx="28721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67945</wp:posOffset>
            </wp:positionV>
            <wp:extent cx="28721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275"/>
        </w:trPr>
        <w:tc>
          <w:tcPr>
            <w:tcW w:w="620" w:type="dxa"/>
            <w:vAlign w:val="bottom"/>
          </w:tcPr>
          <w:p>
            <w:pPr>
              <w:spacing w:after="0"/>
              <w:rPr>
                <w:sz w:val="20"/>
                <w:szCs w:val="20"/>
                <w:color w:val="auto"/>
              </w:rPr>
            </w:pPr>
            <w:r>
              <w:rPr>
                <w:rFonts w:ascii="Arial" w:cs="Arial" w:eastAsia="Arial" w:hAnsi="Arial"/>
                <w:sz w:val="22"/>
                <w:szCs w:val="22"/>
                <w:color w:val="auto"/>
              </w:rPr>
              <w:t>Date:</w:t>
            </w:r>
          </w:p>
        </w:tc>
        <w:tc>
          <w:tcPr>
            <w:tcW w:w="1000" w:type="dxa"/>
            <w:vAlign w:val="bottom"/>
          </w:tcPr>
          <w:p>
            <w:pPr>
              <w:spacing w:after="0"/>
              <w:rPr>
                <w:sz w:val="23"/>
                <w:szCs w:val="23"/>
                <w:color w:val="auto"/>
              </w:rPr>
            </w:pPr>
          </w:p>
        </w:tc>
        <w:tc>
          <w:tcPr>
            <w:tcW w:w="3520" w:type="dxa"/>
            <w:vAlign w:val="bottom"/>
          </w:tcPr>
          <w:p>
            <w:pPr>
              <w:ind w:left="80"/>
              <w:spacing w:after="0"/>
              <w:rPr>
                <w:sz w:val="20"/>
                <w:szCs w:val="20"/>
                <w:color w:val="auto"/>
              </w:rPr>
            </w:pPr>
            <w:r>
              <w:rPr>
                <w:rFonts w:ascii="Arial" w:cs="Arial" w:eastAsia="Arial" w:hAnsi="Arial"/>
                <w:sz w:val="22"/>
                <w:szCs w:val="22"/>
                <w:color w:val="auto"/>
              </w:rPr>
              <w:t>23 May 2023</w:t>
            </w:r>
          </w:p>
        </w:tc>
      </w:tr>
      <w:tr>
        <w:trPr>
          <w:trHeight w:val="84"/>
        </w:trPr>
        <w:tc>
          <w:tcPr>
            <w:tcW w:w="1620" w:type="dxa"/>
            <w:vAlign w:val="bottom"/>
            <w:gridSpan w:val="2"/>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r>
      <w:tr>
        <w:trPr>
          <w:trHeight w:val="613"/>
        </w:trPr>
        <w:tc>
          <w:tcPr>
            <w:tcW w:w="5140" w:type="dxa"/>
            <w:vAlign w:val="bottom"/>
            <w:gridSpan w:val="3"/>
          </w:tcPr>
          <w:p>
            <w:pPr>
              <w:spacing w:after="0"/>
              <w:rPr>
                <w:sz w:val="20"/>
                <w:szCs w:val="20"/>
                <w:color w:val="auto"/>
              </w:rPr>
            </w:pPr>
            <w:r>
              <w:rPr>
                <w:rFonts w:ascii="Arial" w:cs="Arial" w:eastAsia="Arial" w:hAnsi="Arial"/>
                <w:sz w:val="22"/>
                <w:szCs w:val="22"/>
                <w:b w:val="1"/>
                <w:bCs w:val="1"/>
                <w:color w:val="auto"/>
              </w:rPr>
              <w:t>AMERICAN AIRLINES, INC.</w:t>
            </w:r>
          </w:p>
        </w:tc>
      </w:tr>
      <w:tr>
        <w:trPr>
          <w:trHeight w:val="673"/>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4520" w:type="dxa"/>
            <w:vAlign w:val="bottom"/>
            <w:gridSpan w:val="2"/>
          </w:tcPr>
          <w:p>
            <w:pPr>
              <w:ind w:left="60"/>
              <w:spacing w:after="0"/>
              <w:rPr>
                <w:sz w:val="20"/>
                <w:szCs w:val="20"/>
                <w:color w:val="auto"/>
              </w:rPr>
            </w:pPr>
            <w:r>
              <w:rPr>
                <w:rFonts w:ascii="Arial" w:cs="Arial" w:eastAsia="Arial" w:hAnsi="Arial"/>
                <w:sz w:val="22"/>
                <w:szCs w:val="22"/>
                <w:color w:val="auto"/>
              </w:rPr>
              <w:t>/s/ American Airlines, Inc.</w:t>
            </w:r>
          </w:p>
        </w:tc>
      </w:tr>
      <w:tr>
        <w:trPr>
          <w:trHeight w:val="85"/>
        </w:trPr>
        <w:tc>
          <w:tcPr>
            <w:tcW w:w="620" w:type="dxa"/>
            <w:vAlign w:val="bottom"/>
          </w:tcPr>
          <w:p>
            <w:pPr>
              <w:spacing w:after="0"/>
              <w:rPr>
                <w:sz w:val="7"/>
                <w:szCs w:val="7"/>
                <w:color w:val="auto"/>
              </w:rPr>
            </w:pPr>
          </w:p>
        </w:tc>
        <w:tc>
          <w:tcPr>
            <w:tcW w:w="4520" w:type="dxa"/>
            <w:vAlign w:val="bottom"/>
            <w:tcBorders>
              <w:bottom w:val="single" w:sz="8" w:color="auto"/>
            </w:tcBorders>
            <w:gridSpan w:val="2"/>
          </w:tcPr>
          <w:p>
            <w:pPr>
              <w:spacing w:after="0"/>
              <w:rPr>
                <w:sz w:val="7"/>
                <w:szCs w:val="7"/>
                <w:color w:val="auto"/>
              </w:rPr>
            </w:pPr>
          </w:p>
        </w:tc>
      </w:tr>
      <w:tr>
        <w:trPr>
          <w:trHeight w:val="598"/>
        </w:trPr>
        <w:tc>
          <w:tcPr>
            <w:tcW w:w="620" w:type="dxa"/>
            <w:vAlign w:val="bottom"/>
          </w:tcPr>
          <w:p>
            <w:pPr>
              <w:spacing w:after="0"/>
              <w:rPr>
                <w:sz w:val="20"/>
                <w:szCs w:val="20"/>
                <w:color w:val="auto"/>
              </w:rPr>
            </w:pPr>
            <w:r>
              <w:rPr>
                <w:rFonts w:ascii="Arial" w:cs="Arial" w:eastAsia="Arial" w:hAnsi="Arial"/>
                <w:sz w:val="22"/>
                <w:szCs w:val="22"/>
                <w:color w:val="auto"/>
              </w:rPr>
              <w:t>Its:</w:t>
            </w:r>
          </w:p>
        </w:tc>
        <w:tc>
          <w:tcPr>
            <w:tcW w:w="4520" w:type="dxa"/>
            <w:vAlign w:val="bottom"/>
            <w:gridSpan w:val="2"/>
          </w:tcPr>
          <w:p>
            <w:pPr>
              <w:ind w:left="60"/>
              <w:spacing w:after="0"/>
              <w:rPr>
                <w:sz w:val="20"/>
                <w:szCs w:val="20"/>
                <w:color w:val="auto"/>
              </w:rPr>
            </w:pPr>
            <w:r>
              <w:rPr>
                <w:rFonts w:ascii="Arial" w:cs="Arial" w:eastAsia="Arial" w:hAnsi="Arial"/>
                <w:sz w:val="22"/>
                <w:szCs w:val="22"/>
                <w:color w:val="auto"/>
              </w:rPr>
              <w:t>Sr. Vice President and Treasurer</w:t>
            </w:r>
          </w:p>
        </w:tc>
      </w:tr>
      <w:tr>
        <w:trPr>
          <w:trHeight w:val="84"/>
        </w:trPr>
        <w:tc>
          <w:tcPr>
            <w:tcW w:w="6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AAL-PA-03735-LA-1106650R7</w:t>
      </w:r>
      <w:r>
        <w:rPr>
          <w:sz w:val="20"/>
          <w:szCs w:val="20"/>
          <w:color w:val="auto"/>
        </w:rPr>
        <w:tab/>
      </w:r>
      <w:r>
        <w:rPr>
          <w:rFonts w:ascii="Arial" w:cs="Arial" w:eastAsia="Arial" w:hAnsi="Arial"/>
          <w:sz w:val="21"/>
          <w:szCs w:val="21"/>
          <w:color w:val="auto"/>
        </w:rPr>
        <w:t>SA-29</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Page 4 of 4</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48" w:name="page149"/>
    <w:bookmarkEnd w:id="148"/>
    <w:p>
      <w:pPr>
        <w:ind w:left="238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200025</wp:posOffset>
            </wp:positionV>
            <wp:extent cx="1491615" cy="3429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380"/>
        <w:spacing w:after="0" w:line="216" w:lineRule="auto"/>
        <w:rPr>
          <w:sz w:val="20"/>
          <w:szCs w:val="20"/>
          <w:color w:val="auto"/>
        </w:rPr>
      </w:pPr>
      <w:r>
        <w:rPr>
          <w:rFonts w:ascii="Arial" w:cs="Arial" w:eastAsia="Arial" w:hAnsi="Arial"/>
          <w:sz w:val="13"/>
          <w:szCs w:val="13"/>
          <w:color w:val="808080"/>
        </w:rPr>
        <w:t>P.O. Box 3707</w:t>
      </w:r>
    </w:p>
    <w:p>
      <w:pPr>
        <w:ind w:left="238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R11</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31"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37" w:lineRule="exact"/>
        <w:rPr>
          <w:sz w:val="20"/>
          <w:szCs w:val="20"/>
          <w:color w:val="auto"/>
        </w:rPr>
      </w:pPr>
    </w:p>
    <w:p>
      <w:pPr>
        <w:ind w:left="1340" w:hanging="1538"/>
        <w:spacing w:after="0" w:line="250"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202"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226" w:lineRule="exact"/>
        <w:rPr>
          <w:sz w:val="20"/>
          <w:szCs w:val="20"/>
          <w:color w:val="auto"/>
        </w:rPr>
      </w:pPr>
    </w:p>
    <w:p>
      <w:pPr>
        <w:ind w:left="1040" w:hanging="384"/>
        <w:spacing w:after="0"/>
        <w:tabs>
          <w:tab w:leader="none" w:pos="10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Table 1R12, Table 1-2, Table 1-3R6, Table 1-4R7and Table 1-5 to the Purchase Agreement as of the date of execution of this Letter Agreement, [****]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4" w:lineRule="exact"/>
        <w:rPr>
          <w:sz w:val="20"/>
          <w:szCs w:val="20"/>
          <w:color w:val="auto"/>
        </w:rPr>
      </w:pPr>
    </w:p>
    <w:p>
      <w:pPr>
        <w:ind w:left="1040" w:hanging="384"/>
        <w:spacing w:after="0"/>
        <w:tabs>
          <w:tab w:leader="none" w:pos="104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47"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6.2 [****]. The [****] with [****] in calendar year [****] are listed in Attachment A(R11) to this Letter Agreement.</w:t>
      </w:r>
    </w:p>
    <w:p>
      <w:pPr>
        <w:spacing w:after="0" w:line="200" w:lineRule="exact"/>
        <w:rPr>
          <w:sz w:val="20"/>
          <w:szCs w:val="20"/>
          <w:color w:val="auto"/>
        </w:rPr>
      </w:pPr>
    </w:p>
    <w:p>
      <w:pPr>
        <w:spacing w:after="0" w:line="257"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2.1</w:t>
        <w:tab/>
        <w:t>[****]. The [****] with [****] ([****]</w:t>
      </w:r>
      <w:r>
        <w:rPr>
          <w:rFonts w:ascii="Arial" w:cs="Arial" w:eastAsia="Arial" w:hAnsi="Arial"/>
          <w:sz w:val="22"/>
          <w:szCs w:val="22"/>
          <w:i w:val="1"/>
          <w:iCs w:val="1"/>
          <w:color w:val="auto"/>
        </w:rPr>
        <w:t>)</w:t>
      </w:r>
      <w:r>
        <w:rPr>
          <w:rFonts w:ascii="Arial" w:cs="Arial" w:eastAsia="Arial" w:hAnsi="Arial"/>
          <w:sz w:val="22"/>
          <w:szCs w:val="22"/>
          <w:color w:val="auto"/>
        </w:rPr>
        <w:t xml:space="preserve"> in [****] for each [****] are listed in Attachment A(R11) to this Letter Agreement. No later than [****] to the [****] in each of calendar years [****], Boeing will provide written notice setting forth [****] with a [****] in such calendar year. Such notice will constitute an amendment to Attachment A(R11) to this Letter Agreement.</w:t>
      </w:r>
    </w:p>
    <w:p>
      <w:pPr>
        <w:spacing w:after="0" w:line="239" w:lineRule="exact"/>
        <w:rPr>
          <w:sz w:val="20"/>
          <w:szCs w:val="20"/>
          <w:color w:val="auto"/>
        </w:rPr>
      </w:pPr>
    </w:p>
    <w:p>
      <w:pPr>
        <w:ind w:left="1040" w:hanging="384"/>
        <w:spacing w:after="0"/>
        <w:tabs>
          <w:tab w:leader="none" w:pos="104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247" w:lineRule="exact"/>
        <w:rPr>
          <w:sz w:val="20"/>
          <w:szCs w:val="20"/>
          <w:color w:val="auto"/>
        </w:rPr>
      </w:pPr>
    </w:p>
    <w:p>
      <w:pPr>
        <w:jc w:val="both"/>
        <w:ind w:left="1180" w:hanging="517"/>
        <w:spacing w:after="0" w:line="223"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226" w:lineRule="exact"/>
        <w:rPr>
          <w:sz w:val="20"/>
          <w:szCs w:val="20"/>
          <w:color w:val="auto"/>
        </w:rPr>
      </w:pPr>
    </w:p>
    <w:p>
      <w:pPr>
        <w:ind w:left="1960" w:hanging="656"/>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960" w:hanging="656"/>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 and</w:t>
      </w:r>
    </w:p>
    <w:p>
      <w:pPr>
        <w:spacing w:after="0" w:line="246" w:lineRule="exact"/>
        <w:rPr>
          <w:rFonts w:ascii="Arial" w:cs="Arial" w:eastAsia="Arial" w:hAnsi="Arial"/>
          <w:sz w:val="22"/>
          <w:szCs w:val="22"/>
          <w:color w:val="auto"/>
        </w:rPr>
      </w:pPr>
    </w:p>
    <w:p>
      <w:pPr>
        <w:ind w:left="1900" w:hanging="596"/>
        <w:spacing w:after="0"/>
        <w:tabs>
          <w:tab w:leader="none" w:pos="19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R11</w:t>
      </w:r>
      <w:r>
        <w:rPr>
          <w:sz w:val="20"/>
          <w:szCs w:val="20"/>
          <w:color w:val="auto"/>
        </w:rPr>
        <w:tab/>
      </w:r>
      <w:r>
        <w:rPr>
          <w:rFonts w:ascii="Arial" w:cs="Arial" w:eastAsia="Arial" w:hAnsi="Arial"/>
          <w:sz w:val="21"/>
          <w:szCs w:val="21"/>
          <w:color w:val="auto"/>
        </w:rPr>
        <w:t>SA-29</w:t>
      </w:r>
    </w:p>
    <w:p>
      <w:pPr>
        <w:jc w:val="center"/>
        <w:ind w:left="4740"/>
        <w:spacing w:after="0" w:line="204" w:lineRule="auto"/>
        <w:tabs>
          <w:tab w:leader="none" w:pos="220" w:val="left"/>
        </w:tabs>
        <w:rPr>
          <w:sz w:val="20"/>
          <w:szCs w:val="20"/>
          <w:color w:val="auto"/>
        </w:rPr>
      </w:pPr>
      <w:r>
        <w:rPr>
          <w:rFonts w:ascii="Arial" w:cs="Arial" w:eastAsia="Arial" w:hAnsi="Arial"/>
          <w:sz w:val="22"/>
          <w:szCs w:val="22"/>
          <w:color w:val="auto"/>
        </w:rPr>
        <w:t>[****]</w:t>
        <w:tab/>
        <w:t>Page 1of 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394" w:right="33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80" w:hanging="517"/>
        <w:spacing w:after="0" w:line="233"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24" w:lineRule="exact"/>
        <w:rPr>
          <w:sz w:val="20"/>
          <w:szCs w:val="20"/>
          <w:color w:val="auto"/>
        </w:rPr>
      </w:pPr>
    </w:p>
    <w:p>
      <w:pPr>
        <w:ind w:left="1040" w:hanging="384"/>
        <w:spacing w:after="0"/>
        <w:tabs>
          <w:tab w:leader="none" w:pos="104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260" w:lineRule="exact"/>
        <w:rPr>
          <w:sz w:val="20"/>
          <w:szCs w:val="20"/>
          <w:color w:val="auto"/>
        </w:rPr>
      </w:pPr>
    </w:p>
    <w:p>
      <w:pPr>
        <w:ind w:left="1180" w:hanging="517"/>
        <w:spacing w:after="0" w:line="233" w:lineRule="auto"/>
        <w:tabs>
          <w:tab w:leader="none" w:pos="1160" w:val="left"/>
        </w:tabs>
        <w:rPr>
          <w:sz w:val="20"/>
          <w:szCs w:val="20"/>
          <w:color w:val="auto"/>
        </w:rPr>
      </w:pPr>
      <w:r>
        <w:rPr>
          <w:rFonts w:ascii="Arial" w:cs="Arial" w:eastAsia="Arial" w:hAnsi="Arial"/>
          <w:sz w:val="22"/>
          <w:szCs w:val="22"/>
          <w:color w:val="auto"/>
        </w:rPr>
        <w:t>4.1</w:t>
        <w:tab/>
        <w:t>The [****] Aircraft Basic Price for each of the [****] are identified in Attachment A(R11) to this Letter Agreement.</w:t>
      </w:r>
    </w:p>
    <w:p>
      <w:pPr>
        <w:spacing w:after="0" w:line="22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247" w:lineRule="exact"/>
        <w:rPr>
          <w:sz w:val="20"/>
          <w:szCs w:val="20"/>
          <w:color w:val="auto"/>
        </w:rPr>
      </w:pPr>
    </w:p>
    <w:p>
      <w:pPr>
        <w:ind w:left="1180" w:hanging="517"/>
        <w:spacing w:after="0" w:line="233"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238" w:lineRule="exact"/>
        <w:rPr>
          <w:sz w:val="20"/>
          <w:szCs w:val="20"/>
          <w:color w:val="auto"/>
        </w:rPr>
      </w:pPr>
    </w:p>
    <w:p>
      <w:pPr>
        <w:ind w:left="1040" w:hanging="384"/>
        <w:spacing w:after="0"/>
        <w:tabs>
          <w:tab w:leader="none" w:pos="104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2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5.3  [****]</w:t>
      </w:r>
    </w:p>
    <w:p>
      <w:pPr>
        <w:spacing w:after="0" w:line="246" w:lineRule="exact"/>
        <w:rPr>
          <w:rFonts w:ascii="Arial" w:cs="Arial" w:eastAsia="Arial" w:hAnsi="Arial"/>
          <w:sz w:val="22"/>
          <w:szCs w:val="22"/>
          <w:color w:val="auto"/>
        </w:rPr>
      </w:pPr>
    </w:p>
    <w:p>
      <w:pPr>
        <w:ind w:left="1040" w:hanging="384"/>
        <w:spacing w:after="0"/>
        <w:tabs>
          <w:tab w:leader="none" w:pos="104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040" w:hanging="384"/>
        <w:spacing w:after="0"/>
        <w:tabs>
          <w:tab w:leader="none" w:pos="104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6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24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247" w:lineRule="exact"/>
        <w:rPr>
          <w:sz w:val="20"/>
          <w:szCs w:val="20"/>
          <w:color w:val="auto"/>
        </w:rPr>
      </w:pPr>
    </w:p>
    <w:p>
      <w:pPr>
        <w:jc w:val="right"/>
        <w:ind w:left="660" w:right="9600" w:hanging="4"/>
        <w:spacing w:after="0" w:line="480" w:lineRule="auto"/>
        <w:tabs>
          <w:tab w:leader="none" w:pos="1049"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 xml:space="preserve">[****]. </w:t>
      </w:r>
      <w:r>
        <w:rPr>
          <w:rFonts w:ascii="Arial" w:cs="Arial" w:eastAsia="Arial" w:hAnsi="Arial"/>
          <w:sz w:val="22"/>
          <w:szCs w:val="22"/>
          <w:color w:val="auto"/>
        </w:rPr>
        <w:t>8.1  [****]</w:t>
      </w:r>
    </w:p>
    <w:p>
      <w:pPr>
        <w:ind w:left="660"/>
        <w:spacing w:after="0"/>
        <w:rPr>
          <w:rFonts w:ascii="Arial" w:cs="Arial" w:eastAsia="Arial" w:hAnsi="Arial"/>
          <w:sz w:val="22"/>
          <w:szCs w:val="22"/>
          <w:color w:val="auto"/>
        </w:rPr>
      </w:pPr>
      <w:r>
        <w:rPr>
          <w:rFonts w:ascii="Arial" w:cs="Arial" w:eastAsia="Arial" w:hAnsi="Arial"/>
          <w:sz w:val="22"/>
          <w:szCs w:val="22"/>
          <w:color w:val="auto"/>
        </w:rPr>
        <w:t>8.2  Reserved.</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Reserved.</w:t>
      </w:r>
    </w:p>
    <w:p>
      <w:pPr>
        <w:spacing w:after="0" w:line="260"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8.2.2  Reserved.</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8.3   Reserved.</w:t>
      </w:r>
    </w:p>
    <w:p>
      <w:pPr>
        <w:spacing w:after="0" w:line="246"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8.3.1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R11</w:t>
      </w:r>
      <w:r>
        <w:rPr>
          <w:sz w:val="20"/>
          <w:szCs w:val="20"/>
          <w:color w:val="auto"/>
        </w:rPr>
        <w:tab/>
      </w:r>
      <w:r>
        <w:rPr>
          <w:rFonts w:ascii="Arial" w:cs="Arial" w:eastAsia="Arial" w:hAnsi="Arial"/>
          <w:sz w:val="21"/>
          <w:szCs w:val="21"/>
          <w:color w:val="auto"/>
        </w:rPr>
        <w:t>SA-29</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0" w:hanging="384"/>
        <w:spacing w:after="0"/>
        <w:tabs>
          <w:tab w:leader="none" w:pos="10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240" w:lineRule="exact"/>
        <w:rPr>
          <w:sz w:val="20"/>
          <w:szCs w:val="20"/>
          <w:color w:val="auto"/>
        </w:rPr>
      </w:pPr>
    </w:p>
    <w:p>
      <w:pPr>
        <w:ind w:left="1040" w:hanging="384"/>
        <w:spacing w:after="0"/>
        <w:tabs>
          <w:tab w:leader="none" w:pos="104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24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R11</w:t>
      </w:r>
      <w:r>
        <w:rPr>
          <w:sz w:val="20"/>
          <w:szCs w:val="20"/>
          <w:color w:val="auto"/>
        </w:rPr>
        <w:tab/>
      </w:r>
      <w:r>
        <w:rPr>
          <w:rFonts w:ascii="Arial" w:cs="Arial" w:eastAsia="Arial" w:hAnsi="Arial"/>
          <w:sz w:val="21"/>
          <w:szCs w:val="21"/>
          <w:color w:val="auto"/>
        </w:rPr>
        <w:t>SA-29</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51" w:lineRule="exact"/>
        <w:rPr>
          <w:sz w:val="20"/>
          <w:szCs w:val="20"/>
          <w:color w:val="auto"/>
        </w:rPr>
      </w:pPr>
    </w:p>
    <w:p>
      <w:pPr>
        <w:ind w:left="160"/>
        <w:spacing w:after="0"/>
        <w:tabs>
          <w:tab w:leader="none" w:pos="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67945</wp:posOffset>
            </wp:positionV>
            <wp:extent cx="33172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60"/>
        <w:spacing w:after="0"/>
        <w:tabs>
          <w:tab w:leader="none" w:pos="9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67945</wp:posOffset>
            </wp:positionV>
            <wp:extent cx="33172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275"/>
        </w:trPr>
        <w:tc>
          <w:tcPr>
            <w:tcW w:w="1880" w:type="dxa"/>
            <w:vAlign w:val="bottom"/>
          </w:tcPr>
          <w:p>
            <w:pPr>
              <w:spacing w:after="0"/>
              <w:rPr>
                <w:sz w:val="20"/>
                <w:szCs w:val="20"/>
                <w:color w:val="auto"/>
              </w:rPr>
            </w:pPr>
            <w:r>
              <w:rPr>
                <w:rFonts w:ascii="Arial" w:cs="Arial" w:eastAsia="Arial" w:hAnsi="Arial"/>
                <w:sz w:val="22"/>
                <w:szCs w:val="22"/>
                <w:color w:val="auto"/>
              </w:rPr>
              <w:t>Date:</w:t>
            </w:r>
          </w:p>
        </w:tc>
        <w:tc>
          <w:tcPr>
            <w:tcW w:w="4060" w:type="dxa"/>
            <w:vAlign w:val="bottom"/>
          </w:tcPr>
          <w:p>
            <w:pPr>
              <w:ind w:left="60"/>
              <w:spacing w:after="0"/>
              <w:rPr>
                <w:sz w:val="20"/>
                <w:szCs w:val="20"/>
                <w:color w:val="auto"/>
              </w:rPr>
            </w:pPr>
            <w:r>
              <w:rPr>
                <w:rFonts w:ascii="Arial" w:cs="Arial" w:eastAsia="Arial" w:hAnsi="Arial"/>
                <w:sz w:val="22"/>
                <w:szCs w:val="22"/>
                <w:color w:val="auto"/>
              </w:rPr>
              <w:t>23 May 2023</w:t>
            </w:r>
          </w:p>
        </w:tc>
      </w:tr>
      <w:tr>
        <w:trPr>
          <w:trHeight w:val="71"/>
        </w:trPr>
        <w:tc>
          <w:tcPr>
            <w:tcW w:w="1880" w:type="dxa"/>
            <w:vAlign w:val="bottom"/>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r>
    </w:tbl>
    <w:p>
      <w:pPr>
        <w:spacing w:after="0" w:line="33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60" w:type="dxa"/>
        <w:tblCellMar>
          <w:top w:w="0" w:type="dxa"/>
          <w:left w:w="0" w:type="dxa"/>
          <w:bottom w:w="0" w:type="dxa"/>
          <w:right w:w="0" w:type="dxa"/>
        </w:tblCellMar>
      </w:tblP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Pr>
          <w:p>
            <w:pPr>
              <w:ind w:left="60"/>
              <w:spacing w:after="0"/>
              <w:rPr>
                <w:sz w:val="20"/>
                <w:szCs w:val="20"/>
                <w:color w:val="auto"/>
              </w:rPr>
            </w:pPr>
            <w:r>
              <w:rPr>
                <w:rFonts w:ascii="Arial" w:cs="Arial" w:eastAsia="Arial" w:hAnsi="Arial"/>
                <w:sz w:val="22"/>
                <w:szCs w:val="22"/>
                <w:color w:val="auto"/>
              </w:rPr>
              <w:t>/s/ American Airlines, Inc.</w:t>
            </w:r>
          </w:p>
        </w:tc>
      </w:tr>
      <w:tr>
        <w:trPr>
          <w:trHeight w:val="84"/>
        </w:trPr>
        <w:tc>
          <w:tcPr>
            <w:tcW w:w="720" w:type="dxa"/>
            <w:vAlign w:val="bottom"/>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r>
      <w:tr>
        <w:trPr>
          <w:trHeight w:val="598"/>
        </w:trPr>
        <w:tc>
          <w:tcPr>
            <w:tcW w:w="720" w:type="dxa"/>
            <w:vAlign w:val="bottom"/>
          </w:tcPr>
          <w:p>
            <w:pPr>
              <w:spacing w:after="0"/>
              <w:rPr>
                <w:sz w:val="20"/>
                <w:szCs w:val="20"/>
                <w:color w:val="auto"/>
              </w:rPr>
            </w:pPr>
            <w:r>
              <w:rPr>
                <w:rFonts w:ascii="Arial" w:cs="Arial" w:eastAsia="Arial" w:hAnsi="Arial"/>
                <w:sz w:val="22"/>
                <w:szCs w:val="22"/>
                <w:color w:val="auto"/>
              </w:rPr>
              <w:t>Its:</w:t>
            </w:r>
          </w:p>
        </w:tc>
        <w:tc>
          <w:tcPr>
            <w:tcW w:w="5220" w:type="dxa"/>
            <w:vAlign w:val="bottom"/>
          </w:tcPr>
          <w:p>
            <w:pPr>
              <w:ind w:left="60"/>
              <w:spacing w:after="0"/>
              <w:rPr>
                <w:sz w:val="20"/>
                <w:szCs w:val="20"/>
                <w:color w:val="auto"/>
              </w:rPr>
            </w:pPr>
            <w:r>
              <w:rPr>
                <w:rFonts w:ascii="Arial" w:cs="Arial" w:eastAsia="Arial" w:hAnsi="Arial"/>
                <w:sz w:val="22"/>
                <w:szCs w:val="22"/>
                <w:color w:val="auto"/>
              </w:rPr>
              <w:t>Sr. Vice President and Treasurer</w:t>
            </w:r>
          </w:p>
        </w:tc>
      </w:tr>
      <w:tr>
        <w:trPr>
          <w:trHeight w:val="85"/>
        </w:trPr>
        <w:tc>
          <w:tcPr>
            <w:tcW w:w="720" w:type="dxa"/>
            <w:vAlign w:val="bottom"/>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R11</w:t>
      </w:r>
      <w:r>
        <w:rPr>
          <w:sz w:val="20"/>
          <w:szCs w:val="20"/>
          <w:color w:val="auto"/>
        </w:rPr>
        <w:tab/>
      </w:r>
      <w:r>
        <w:rPr>
          <w:rFonts w:ascii="Arial" w:cs="Arial" w:eastAsia="Arial" w:hAnsi="Arial"/>
          <w:sz w:val="21"/>
          <w:szCs w:val="21"/>
          <w:color w:val="auto"/>
        </w:rPr>
        <w:t>SA-29</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t>Attachment A(R11) To</w:t>
      </w:r>
    </w:p>
    <w:p>
      <w:pPr>
        <w:jc w:val="center"/>
        <w:spacing w:after="0" w:line="204" w:lineRule="auto"/>
        <w:rPr>
          <w:sz w:val="20"/>
          <w:szCs w:val="20"/>
          <w:color w:val="auto"/>
        </w:rPr>
      </w:pPr>
      <w:r>
        <w:rPr>
          <w:rFonts w:ascii="Arial" w:cs="Arial" w:eastAsia="Arial" w:hAnsi="Arial"/>
          <w:sz w:val="22"/>
          <w:szCs w:val="22"/>
          <w:color w:val="auto"/>
        </w:rPr>
        <w:t>Letter Agreement No. AAL-PA-03735-LA-1106651R8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737-8 [****] Aircraft Delivery, Description, Price and Advance Payments</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Airframe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7"/>
        </w:trPr>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Model/MTOW:</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288"/>
              <w:spacing w:after="0"/>
              <w:rPr>
                <w:sz w:val="20"/>
                <w:szCs w:val="20"/>
                <w:color w:val="auto"/>
              </w:rPr>
            </w:pPr>
            <w:r>
              <w:rPr>
                <w:rFonts w:ascii="Arial" w:cs="Arial" w:eastAsia="Arial" w:hAnsi="Arial"/>
                <w:sz w:val="14"/>
                <w:szCs w:val="14"/>
                <w:color w:val="auto"/>
                <w:w w:val="89"/>
              </w:rPr>
              <w:t>737-8</w:t>
            </w:r>
          </w:p>
        </w:tc>
        <w:tc>
          <w:tcPr>
            <w:tcW w:w="80" w:type="dxa"/>
            <w:vAlign w:val="bottom"/>
          </w:tcPr>
          <w:p>
            <w:pPr>
              <w:spacing w:after="0"/>
              <w:rPr>
                <w:sz w:val="22"/>
                <w:szCs w:val="22"/>
                <w:color w:val="auto"/>
              </w:rPr>
            </w:pPr>
          </w:p>
        </w:tc>
        <w:tc>
          <w:tcPr>
            <w:tcW w:w="2200" w:type="dxa"/>
            <w:vAlign w:val="bottom"/>
            <w:gridSpan w:val="4"/>
          </w:tcPr>
          <w:p>
            <w:pPr>
              <w:ind w:left="60"/>
              <w:spacing w:after="0"/>
              <w:rPr>
                <w:sz w:val="20"/>
                <w:szCs w:val="20"/>
                <w:color w:val="auto"/>
              </w:rPr>
            </w:pPr>
            <w:r>
              <w:rPr>
                <w:rFonts w:ascii="Arial" w:cs="Arial" w:eastAsia="Arial" w:hAnsi="Arial"/>
                <w:sz w:val="14"/>
                <w:szCs w:val="14"/>
                <w:color w:val="auto"/>
              </w:rPr>
              <w:t>[****] pounds</w:t>
            </w:r>
          </w:p>
        </w:tc>
        <w:tc>
          <w:tcPr>
            <w:tcW w:w="12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Detail Specification:</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2"/>
                <w:szCs w:val="22"/>
                <w:color w:val="auto"/>
              </w:rPr>
            </w:pPr>
          </w:p>
        </w:tc>
      </w:tr>
      <w:tr>
        <w:trPr>
          <w:trHeight w:val="297"/>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ind w:left="800"/>
              <w:spacing w:after="0"/>
              <w:rPr>
                <w:sz w:val="20"/>
                <w:szCs w:val="20"/>
                <w:color w:val="auto"/>
              </w:rPr>
            </w:pPr>
            <w:r>
              <w:rPr>
                <w:rFonts w:ascii="Arial" w:cs="Arial" w:eastAsia="Arial" w:hAnsi="Arial"/>
                <w:sz w:val="14"/>
                <w:szCs w:val="14"/>
                <w:color w:val="auto"/>
              </w:rPr>
              <w:t>CFMLEAP-</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Engine Model/Thrust:</w:t>
            </w:r>
          </w:p>
        </w:tc>
        <w:tc>
          <w:tcPr>
            <w:tcW w:w="7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1B25</w:t>
            </w:r>
          </w:p>
        </w:tc>
        <w:tc>
          <w:tcPr>
            <w:tcW w:w="2200" w:type="dxa"/>
            <w:vAlign w:val="bottom"/>
            <w:gridSpan w:val="4"/>
          </w:tcPr>
          <w:p>
            <w:pPr>
              <w:ind w:left="60"/>
              <w:spacing w:after="0"/>
              <w:rPr>
                <w:sz w:val="20"/>
                <w:szCs w:val="20"/>
                <w:color w:val="auto"/>
              </w:rPr>
            </w:pPr>
            <w:r>
              <w:rPr>
                <w:rFonts w:ascii="Arial" w:cs="Arial" w:eastAsia="Arial" w:hAnsi="Arial"/>
                <w:sz w:val="14"/>
                <w:szCs w:val="14"/>
                <w:color w:val="auto"/>
              </w:rPr>
              <w:t>[****] pounds</w:t>
            </w:r>
          </w:p>
        </w:tc>
        <w:tc>
          <w:tcPr>
            <w:tcW w:w="120" w:type="dxa"/>
            <w:vAlign w:val="bottom"/>
          </w:tcPr>
          <w:p>
            <w:pPr>
              <w:spacing w:after="0"/>
              <w:rPr>
                <w:sz w:val="22"/>
                <w:szCs w:val="22"/>
                <w:color w:val="auto"/>
              </w:rPr>
            </w:pPr>
          </w:p>
        </w:tc>
        <w:tc>
          <w:tcPr>
            <w:tcW w:w="3420" w:type="dxa"/>
            <w:vAlign w:val="bottom"/>
            <w:gridSpan w:val="5"/>
          </w:tcPr>
          <w:p>
            <w:pPr>
              <w:spacing w:after="0"/>
              <w:rPr>
                <w:sz w:val="20"/>
                <w:szCs w:val="20"/>
                <w:color w:val="auto"/>
              </w:rPr>
            </w:pPr>
            <w:r>
              <w:rPr>
                <w:rFonts w:ascii="Arial" w:cs="Arial" w:eastAsia="Arial" w:hAnsi="Arial"/>
                <w:sz w:val="14"/>
                <w:szCs w:val="14"/>
                <w:b w:val="1"/>
                <w:bCs w:val="1"/>
                <w:color w:val="auto"/>
              </w:rPr>
              <w:t>Airframe Price Base Year/Escalation Formula:</w:t>
            </w:r>
          </w:p>
        </w:tc>
        <w:tc>
          <w:tcPr>
            <w:tcW w:w="10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073"/>
              <w:spacing w:after="0"/>
              <w:rPr>
                <w:sz w:val="20"/>
                <w:szCs w:val="20"/>
                <w:color w:val="auto"/>
              </w:rPr>
            </w:pPr>
            <w:r>
              <w:rPr>
                <w:rFonts w:ascii="Arial" w:cs="Arial" w:eastAsia="Arial" w:hAnsi="Arial"/>
                <w:sz w:val="14"/>
                <w:szCs w:val="14"/>
                <w:color w:val="auto"/>
              </w:rPr>
              <w:t>[****]</w:t>
            </w:r>
          </w:p>
        </w:tc>
      </w:tr>
      <w:tr>
        <w:trPr>
          <w:trHeight w:val="297"/>
        </w:trPr>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Airframe Price: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5"/>
          </w:tcPr>
          <w:p>
            <w:pPr>
              <w:spacing w:after="0"/>
              <w:rPr>
                <w:sz w:val="20"/>
                <w:szCs w:val="20"/>
                <w:color w:val="auto"/>
              </w:rPr>
            </w:pPr>
            <w:r>
              <w:rPr>
                <w:rFonts w:ascii="Arial" w:cs="Arial" w:eastAsia="Arial" w:hAnsi="Arial"/>
                <w:sz w:val="14"/>
                <w:szCs w:val="14"/>
                <w:b w:val="1"/>
                <w:bCs w:val="1"/>
                <w:color w:val="auto"/>
              </w:rPr>
              <w:t>Engine Price Base Year/Escalation Formula:</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Optional Features: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6"/>
        </w:trPr>
        <w:tc>
          <w:tcPr>
            <w:tcW w:w="92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860" w:type="dxa"/>
            <w:vAlign w:val="bottom"/>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196"/>
        </w:trPr>
        <w:tc>
          <w:tcPr>
            <w:tcW w:w="2800" w:type="dxa"/>
            <w:vAlign w:val="bottom"/>
            <w:gridSpan w:val="6"/>
          </w:tcPr>
          <w:p>
            <w:pPr>
              <w:ind w:left="80"/>
              <w:spacing w:after="0"/>
              <w:rPr>
                <w:sz w:val="20"/>
                <w:szCs w:val="20"/>
                <w:color w:val="auto"/>
              </w:rPr>
            </w:pPr>
            <w:r>
              <w:rPr>
                <w:rFonts w:ascii="Arial" w:cs="Arial" w:eastAsia="Arial" w:hAnsi="Arial"/>
                <w:sz w:val="14"/>
                <w:szCs w:val="14"/>
                <w:b w:val="1"/>
                <w:bCs w:val="1"/>
                <w:color w:val="auto"/>
              </w:rPr>
              <w:t>Sub-Total of Airframe and Features:</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4"/>
          </w:tcPr>
          <w:p>
            <w:pPr>
              <w:spacing w:after="0"/>
              <w:rPr>
                <w:sz w:val="20"/>
                <w:szCs w:val="20"/>
                <w:color w:val="auto"/>
              </w:rPr>
            </w:pPr>
            <w:r>
              <w:rPr>
                <w:rFonts w:ascii="Arial" w:cs="Arial" w:eastAsia="Arial" w:hAnsi="Arial"/>
                <w:sz w:val="14"/>
                <w:szCs w:val="14"/>
                <w:b w:val="1"/>
                <w:bCs w:val="1"/>
                <w:color w:val="auto"/>
              </w:rPr>
              <w:t>Airframe Escalation Data:</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19"/>
        </w:trPr>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Engine Price (Per</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Aircraft):</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7"/>
              </w:rPr>
              <w:t>Base Year Index (ECI):</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311"/>
        </w:trPr>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w w:val="93"/>
              </w:rPr>
              <w:t>Aircraft Basic Price (Excluding</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BFE/SPE):</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7"/>
              </w:rPr>
              <w:t>Base Year Index (CPI):</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66"/>
        </w:trPr>
        <w:tc>
          <w:tcPr>
            <w:tcW w:w="92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860" w:type="dxa"/>
            <w:vAlign w:val="bottom"/>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
        </w:trPr>
        <w:tc>
          <w:tcPr>
            <w:tcW w:w="9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4"/>
        </w:trPr>
        <w:tc>
          <w:tcPr>
            <w:tcW w:w="2800" w:type="dxa"/>
            <w:vAlign w:val="bottom"/>
            <w:gridSpan w:val="6"/>
          </w:tcPr>
          <w:p>
            <w:pPr>
              <w:ind w:left="80"/>
              <w:spacing w:after="0"/>
              <w:rPr>
                <w:sz w:val="20"/>
                <w:szCs w:val="20"/>
                <w:color w:val="auto"/>
              </w:rPr>
            </w:pPr>
            <w:r>
              <w:rPr>
                <w:rFonts w:ascii="Arial" w:cs="Arial" w:eastAsia="Arial" w:hAnsi="Arial"/>
                <w:sz w:val="14"/>
                <w:szCs w:val="14"/>
                <w:b w:val="1"/>
                <w:bCs w:val="1"/>
                <w:color w:val="auto"/>
              </w:rPr>
              <w:t>Buyer Furnished Equipment (BFE)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7"/>
        </w:trPr>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97"/>
        </w:trPr>
        <w:tc>
          <w:tcPr>
            <w:tcW w:w="2800" w:type="dxa"/>
            <w:vAlign w:val="bottom"/>
            <w:gridSpan w:val="6"/>
          </w:tcPr>
          <w:p>
            <w:pPr>
              <w:ind w:left="80"/>
              <w:spacing w:after="0"/>
              <w:rPr>
                <w:sz w:val="20"/>
                <w:szCs w:val="20"/>
                <w:color w:val="auto"/>
              </w:rPr>
            </w:pPr>
            <w:r>
              <w:rPr>
                <w:rFonts w:ascii="Arial" w:cs="Arial" w:eastAsia="Arial" w:hAnsi="Arial"/>
                <w:sz w:val="14"/>
                <w:szCs w:val="14"/>
                <w:b w:val="1"/>
                <w:bCs w:val="1"/>
                <w:color w:val="auto"/>
              </w:rPr>
              <w:t>Seller Purchased Equipment (SPE)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97"/>
        </w:trPr>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w w:val="93"/>
              </w:rPr>
              <w:t>LIFT Seats Provided by Boeing</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97"/>
        </w:trPr>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Deposit per Aircraft: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4"/>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5"/>
        </w:trPr>
        <w:tc>
          <w:tcPr>
            <w:tcW w:w="920" w:type="dxa"/>
            <w:vAlign w:val="bottom"/>
            <w:tcBorders>
              <w:left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Escalation</w:t>
            </w:r>
          </w:p>
        </w:tc>
        <w:tc>
          <w:tcPr>
            <w:tcW w:w="1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1160" w:type="dxa"/>
            <w:vAlign w:val="bottom"/>
            <w:tcBorders>
              <w:right w:val="single" w:sz="8" w:color="auto"/>
            </w:tcBorders>
            <w:shd w:val="clear" w:color="auto" w:fill="C0C0C0"/>
          </w:tcPr>
          <w:p>
            <w:pPr>
              <w:spacing w:after="0"/>
              <w:rPr>
                <w:sz w:val="19"/>
                <w:szCs w:val="19"/>
                <w:color w:val="auto"/>
              </w:rPr>
            </w:pP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Escalation Estimate</w:t>
            </w:r>
          </w:p>
        </w:tc>
        <w:tc>
          <w:tcPr>
            <w:tcW w:w="220" w:type="dxa"/>
            <w:vAlign w:val="bottom"/>
          </w:tcPr>
          <w:p>
            <w:pPr>
              <w:spacing w:after="0"/>
              <w:rPr>
                <w:sz w:val="19"/>
                <w:szCs w:val="19"/>
                <w:color w:val="auto"/>
              </w:rPr>
            </w:pPr>
          </w:p>
        </w:tc>
        <w:tc>
          <w:tcPr>
            <w:tcW w:w="4640" w:type="dxa"/>
            <w:vAlign w:val="bottom"/>
            <w:gridSpan w:val="6"/>
          </w:tcPr>
          <w:p>
            <w:pPr>
              <w:jc w:val="right"/>
              <w:ind w:right="293"/>
              <w:spacing w:after="0"/>
              <w:rPr>
                <w:sz w:val="20"/>
                <w:szCs w:val="20"/>
                <w:color w:val="auto"/>
              </w:rPr>
            </w:pPr>
            <w:r>
              <w:rPr>
                <w:rFonts w:ascii="Arial" w:cs="Arial" w:eastAsia="Arial" w:hAnsi="Arial"/>
                <w:sz w:val="14"/>
                <w:szCs w:val="14"/>
                <w:b w:val="1"/>
                <w:bCs w:val="1"/>
                <w:color w:val="auto"/>
                <w:w w:val="97"/>
              </w:rPr>
              <w:t>Advance Payment Per Aircraft (Amts. Due/Mos. Prior to Delivery):</w:t>
            </w:r>
          </w:p>
        </w:tc>
      </w:tr>
      <w:tr>
        <w:trPr>
          <w:trHeight w:val="66"/>
        </w:trPr>
        <w:tc>
          <w:tcPr>
            <w:tcW w:w="920" w:type="dxa"/>
            <w:vAlign w:val="bottom"/>
            <w:tcBorders>
              <w:left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60" w:type="dxa"/>
            <w:vAlign w:val="bottom"/>
            <w:tcBorders>
              <w:bottom w:val="single" w:sz="8" w:color="C0C0C0"/>
              <w:right w:val="single" w:sz="8" w:color="auto"/>
            </w:tcBorders>
            <w:shd w:val="clear" w:color="auto" w:fill="C0C0C0"/>
          </w:tcPr>
          <w:p>
            <w:pPr>
              <w:spacing w:after="0"/>
              <w:rPr>
                <w:sz w:val="5"/>
                <w:szCs w:val="5"/>
                <w:color w:val="auto"/>
              </w:rPr>
            </w:pPr>
          </w:p>
        </w:tc>
        <w:tc>
          <w:tcPr>
            <w:tcW w:w="40" w:type="dxa"/>
            <w:vAlign w:val="bottom"/>
            <w:tcBorders>
              <w:bottom w:val="single" w:sz="8" w:color="C0C0C0"/>
            </w:tcBorders>
            <w:shd w:val="clear" w:color="auto" w:fill="C0C0C0"/>
          </w:tcPr>
          <w:p>
            <w:pPr>
              <w:spacing w:after="0"/>
              <w:rPr>
                <w:sz w:val="5"/>
                <w:szCs w:val="5"/>
                <w:color w:val="auto"/>
              </w:rPr>
            </w:pPr>
          </w:p>
        </w:tc>
        <w:tc>
          <w:tcPr>
            <w:tcW w:w="1160" w:type="dxa"/>
            <w:vAlign w:val="bottom"/>
            <w:tcBorders>
              <w:bottom w:val="single" w:sz="8" w:color="C0C0C0"/>
              <w:right w:val="single" w:sz="8" w:color="auto"/>
            </w:tcBorders>
            <w:shd w:val="clear" w:color="auto" w:fill="C0C0C0"/>
          </w:tcPr>
          <w:p>
            <w:pPr>
              <w:spacing w:after="0"/>
              <w:rPr>
                <w:sz w:val="5"/>
                <w:szCs w:val="5"/>
                <w:color w:val="auto"/>
              </w:rPr>
            </w:pPr>
          </w:p>
        </w:tc>
        <w:tc>
          <w:tcPr>
            <w:tcW w:w="1380" w:type="dxa"/>
            <w:vAlign w:val="bottom"/>
            <w:tcBorders>
              <w:right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gridSpan w:val="2"/>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25"/>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120" w:type="dxa"/>
            <w:vAlign w:val="bottom"/>
          </w:tcPr>
          <w:p>
            <w:pPr>
              <w:spacing w:after="0"/>
              <w:rPr>
                <w:sz w:val="19"/>
                <w:szCs w:val="19"/>
                <w:color w:val="auto"/>
              </w:rPr>
            </w:pPr>
          </w:p>
        </w:tc>
        <w:tc>
          <w:tcPr>
            <w:tcW w:w="8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9"/>
                <w:szCs w:val="19"/>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Factor</w:t>
            </w:r>
          </w:p>
        </w:tc>
        <w:tc>
          <w:tcPr>
            <w:tcW w:w="1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Nominal Delivery</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220" w:type="dxa"/>
            <w:vAlign w:val="bottom"/>
          </w:tcPr>
          <w:p>
            <w:pPr>
              <w:spacing w:after="0"/>
              <w:rPr>
                <w:sz w:val="19"/>
                <w:szCs w:val="19"/>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310"/>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24"/>
                <w:szCs w:val="24"/>
                <w:color w:val="auto"/>
              </w:rPr>
            </w:pPr>
          </w:p>
        </w:tc>
        <w:tc>
          <w:tcPr>
            <w:tcW w:w="8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Aircraft</w:t>
            </w:r>
          </w:p>
        </w:tc>
        <w:tc>
          <w:tcPr>
            <w:tcW w:w="16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(Airframe)</w:t>
            </w: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tcPr>
          <w:p>
            <w:pPr>
              <w:spacing w:after="0"/>
              <w:rPr>
                <w:sz w:val="24"/>
                <w:szCs w:val="24"/>
                <w:color w:val="auto"/>
              </w:rPr>
            </w:pPr>
          </w:p>
        </w:tc>
        <w:tc>
          <w:tcPr>
            <w:tcW w:w="126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Price Per A/P</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gridSpan w:val="2"/>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24"/>
                <w:szCs w:val="24"/>
                <w:color w:val="auto"/>
              </w:rPr>
            </w:pPr>
          </w:p>
        </w:tc>
        <w:tc>
          <w:tcPr>
            <w:tcW w:w="82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0000FF"/>
                <w:w w:val="76"/>
              </w:rPr>
              <w:t>1</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gridSpan w:val="2"/>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24"/>
                <w:szCs w:val="24"/>
                <w:color w:val="auto"/>
              </w:rPr>
            </w:pPr>
          </w:p>
        </w:tc>
        <w:tc>
          <w:tcPr>
            <w:tcW w:w="8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0000FF"/>
                <w:w w:val="76"/>
              </w:rPr>
              <w:t>1</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9"/>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shd w:val="clear" w:color="auto" w:fill="C0C0C0"/>
          </w:tcPr>
          <w:p>
            <w:pPr>
              <w:spacing w:after="0"/>
              <w:rPr>
                <w:sz w:val="6"/>
                <w:szCs w:val="6"/>
                <w:color w:val="auto"/>
              </w:rPr>
            </w:pPr>
          </w:p>
        </w:tc>
        <w:tc>
          <w:tcPr>
            <w:tcW w:w="40" w:type="dxa"/>
            <w:vAlign w:val="bottom"/>
            <w:tcBorders>
              <w:bottom w:val="single" w:sz="8" w:color="auto"/>
            </w:tcBorders>
            <w:shd w:val="clear" w:color="auto" w:fill="C0C0C0"/>
          </w:tcPr>
          <w:p>
            <w:pPr>
              <w:spacing w:after="0"/>
              <w:rPr>
                <w:sz w:val="6"/>
                <w:szCs w:val="6"/>
                <w:color w:val="auto"/>
              </w:rPr>
            </w:pPr>
          </w:p>
        </w:tc>
        <w:tc>
          <w:tcPr>
            <w:tcW w:w="1160" w:type="dxa"/>
            <w:vAlign w:val="bottom"/>
            <w:tcBorders>
              <w:bottom w:val="single" w:sz="8" w:color="auto"/>
              <w:right w:val="single" w:sz="8" w:color="auto"/>
            </w:tcBorders>
            <w:shd w:val="clear" w:color="auto" w:fill="C0C0C0"/>
          </w:tcPr>
          <w:p>
            <w:pPr>
              <w:spacing w:after="0"/>
              <w:rPr>
                <w:sz w:val="6"/>
                <w:szCs w:val="6"/>
                <w:color w:val="auto"/>
              </w:rPr>
            </w:pPr>
          </w:p>
        </w:tc>
        <w:tc>
          <w:tcPr>
            <w:tcW w:w="1380" w:type="dxa"/>
            <w:vAlign w:val="bottom"/>
            <w:tcBorders>
              <w:bottom w:val="single" w:sz="8" w:color="auto"/>
              <w:right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gridSpan w:val="2"/>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24"/>
                <w:szCs w:val="24"/>
                <w:color w:val="auto"/>
              </w:rPr>
            </w:pPr>
          </w:p>
        </w:tc>
        <w:tc>
          <w:tcPr>
            <w:tcW w:w="82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0000FF"/>
                <w:w w:val="76"/>
              </w:rPr>
              <w:t>1</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gridSpan w:val="2"/>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0"/>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24"/>
                <w:szCs w:val="24"/>
                <w:color w:val="auto"/>
              </w:rPr>
            </w:pPr>
          </w:p>
        </w:tc>
        <w:tc>
          <w:tcPr>
            <w:tcW w:w="82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0000FF"/>
                <w:w w:val="76"/>
              </w:rPr>
              <w:t>1</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gridSpan w:val="2"/>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24"/>
                <w:szCs w:val="24"/>
                <w:color w:val="auto"/>
              </w:rPr>
            </w:pPr>
          </w:p>
        </w:tc>
        <w:tc>
          <w:tcPr>
            <w:tcW w:w="8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0000FF"/>
                <w:w w:val="76"/>
              </w:rPr>
              <w:t>1</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gridSpan w:val="2"/>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gridSpan w:val="2"/>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24"/>
                <w:szCs w:val="24"/>
                <w:color w:val="auto"/>
              </w:rPr>
            </w:pPr>
          </w:p>
        </w:tc>
        <w:tc>
          <w:tcPr>
            <w:tcW w:w="8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0000FF"/>
                <w:w w:val="76"/>
              </w:rPr>
              <w:t>1</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gridSpan w:val="2"/>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80"/>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shd w:val="clear" w:color="auto" w:fill="C0C0C0"/>
          </w:tcPr>
          <w:p>
            <w:pPr>
              <w:spacing w:after="0"/>
              <w:rPr>
                <w:sz w:val="6"/>
                <w:szCs w:val="6"/>
                <w:color w:val="auto"/>
              </w:rPr>
            </w:pPr>
          </w:p>
        </w:tc>
        <w:tc>
          <w:tcPr>
            <w:tcW w:w="40" w:type="dxa"/>
            <w:vAlign w:val="bottom"/>
            <w:tcBorders>
              <w:bottom w:val="single" w:sz="8" w:color="auto"/>
            </w:tcBorders>
            <w:shd w:val="clear" w:color="auto" w:fill="C0C0C0"/>
          </w:tcPr>
          <w:p>
            <w:pPr>
              <w:spacing w:after="0"/>
              <w:rPr>
                <w:sz w:val="6"/>
                <w:szCs w:val="6"/>
                <w:color w:val="auto"/>
              </w:rPr>
            </w:pPr>
          </w:p>
        </w:tc>
        <w:tc>
          <w:tcPr>
            <w:tcW w:w="1160" w:type="dxa"/>
            <w:vAlign w:val="bottom"/>
            <w:tcBorders>
              <w:bottom w:val="single" w:sz="8" w:color="auto"/>
              <w:right w:val="single" w:sz="8" w:color="auto"/>
            </w:tcBorders>
            <w:shd w:val="clear" w:color="auto" w:fill="C0C0C0"/>
          </w:tcPr>
          <w:p>
            <w:pPr>
              <w:spacing w:after="0"/>
              <w:rPr>
                <w:sz w:val="6"/>
                <w:szCs w:val="6"/>
                <w:color w:val="auto"/>
              </w:rPr>
            </w:pPr>
          </w:p>
        </w:tc>
        <w:tc>
          <w:tcPr>
            <w:tcW w:w="1380" w:type="dxa"/>
            <w:vAlign w:val="bottom"/>
            <w:tcBorders>
              <w:bottom w:val="single" w:sz="8" w:color="auto"/>
              <w:right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gridSpan w:val="2"/>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r>
      <w:tr>
        <w:trPr>
          <w:trHeight w:val="290"/>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88"/>
        </w:trPr>
        <w:tc>
          <w:tcPr>
            <w:tcW w:w="920" w:type="dxa"/>
            <w:vAlign w:val="bottom"/>
            <w:tcBorders>
              <w:left w:val="single" w:sz="8" w:color="auto"/>
              <w:bottom w:val="single" w:sz="8" w:color="auto"/>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shd w:val="clear" w:color="auto" w:fill="C0C0C0"/>
          </w:tcPr>
          <w:p>
            <w:pPr>
              <w:spacing w:after="0"/>
              <w:rPr>
                <w:sz w:val="7"/>
                <w:szCs w:val="7"/>
                <w:color w:val="auto"/>
              </w:rPr>
            </w:pPr>
          </w:p>
        </w:tc>
        <w:tc>
          <w:tcPr>
            <w:tcW w:w="40" w:type="dxa"/>
            <w:vAlign w:val="bottom"/>
            <w:tcBorders>
              <w:bottom w:val="single" w:sz="8" w:color="auto"/>
            </w:tcBorders>
            <w:shd w:val="clear" w:color="auto" w:fill="C0C0C0"/>
          </w:tcPr>
          <w:p>
            <w:pPr>
              <w:spacing w:after="0"/>
              <w:rPr>
                <w:sz w:val="7"/>
                <w:szCs w:val="7"/>
                <w:color w:val="auto"/>
              </w:rPr>
            </w:pPr>
          </w:p>
        </w:tc>
        <w:tc>
          <w:tcPr>
            <w:tcW w:w="1160" w:type="dxa"/>
            <w:vAlign w:val="bottom"/>
            <w:tcBorders>
              <w:bottom w:val="single" w:sz="8" w:color="auto"/>
              <w:right w:val="single" w:sz="8" w:color="auto"/>
            </w:tcBorders>
            <w:shd w:val="clear" w:color="auto" w:fill="C0C0C0"/>
          </w:tcPr>
          <w:p>
            <w:pPr>
              <w:spacing w:after="0"/>
              <w:rPr>
                <w:sz w:val="7"/>
                <w:szCs w:val="7"/>
                <w:color w:val="auto"/>
              </w:rPr>
            </w:pPr>
          </w:p>
        </w:tc>
        <w:tc>
          <w:tcPr>
            <w:tcW w:w="1380" w:type="dxa"/>
            <w:vAlign w:val="bottom"/>
            <w:tcBorders>
              <w:bottom w:val="single" w:sz="8" w:color="auto"/>
              <w:right w:val="single" w:sz="8" w:color="auto"/>
            </w:tcBorders>
            <w:gridSpan w:val="2"/>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gridSpan w:val="2"/>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72"/>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0000FF"/>
                <w:w w:val="76"/>
              </w:rPr>
              <w:t>1</w:t>
            </w:r>
          </w:p>
        </w:tc>
        <w:tc>
          <w:tcPr>
            <w:tcW w:w="1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60" w:type="dxa"/>
            <w:vAlign w:val="bottom"/>
            <w:tcBorders>
              <w:top w:val="single" w:sz="8" w:color="C0C0C0"/>
              <w:right w:val="single" w:sz="8" w:color="auto"/>
            </w:tcBorders>
            <w:shd w:val="clear" w:color="auto" w:fill="C0C0C0"/>
          </w:tcPr>
          <w:p>
            <w:pPr>
              <w:spacing w:after="0"/>
              <w:rPr>
                <w:sz w:val="23"/>
                <w:szCs w:val="23"/>
                <w:color w:val="auto"/>
              </w:rPr>
            </w:pPr>
          </w:p>
        </w:tc>
        <w:tc>
          <w:tcPr>
            <w:tcW w:w="40" w:type="dxa"/>
            <w:vAlign w:val="bottom"/>
            <w:tcBorders>
              <w:top w:val="single" w:sz="8" w:color="C0C0C0"/>
            </w:tcBorders>
            <w:shd w:val="clear" w:color="auto" w:fill="C0C0C0"/>
          </w:tcPr>
          <w:p>
            <w:pPr>
              <w:spacing w:after="0"/>
              <w:rPr>
                <w:sz w:val="23"/>
                <w:szCs w:val="23"/>
                <w:color w:val="auto"/>
              </w:rPr>
            </w:pPr>
          </w:p>
        </w:tc>
        <w:tc>
          <w:tcPr>
            <w:tcW w:w="1160" w:type="dxa"/>
            <w:vAlign w:val="bottom"/>
            <w:tcBorders>
              <w:top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2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23"/>
                <w:szCs w:val="23"/>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tabs>
          <w:tab w:leader="none" w:pos="220" w:val="left"/>
          <w:tab w:leader="none" w:pos="220" w:val="left"/>
        </w:tabs>
        <w:rPr>
          <w:sz w:val="20"/>
          <w:szCs w:val="20"/>
          <w:color w:val="auto"/>
        </w:rPr>
      </w:pPr>
      <w:r>
        <w:rPr>
          <w:rFonts w:ascii="Arial" w:cs="Arial" w:eastAsia="Arial" w:hAnsi="Arial"/>
          <w:sz w:val="22"/>
          <w:szCs w:val="22"/>
          <w:color w:val="auto"/>
        </w:rPr>
        <w:t>AAL-PA-03735 121430-1F .txt</w:t>
      </w:r>
      <w:r>
        <w:rPr>
          <w:sz w:val="20"/>
          <w:szCs w:val="20"/>
          <w:color w:val="auto"/>
        </w:rPr>
        <w:tab/>
      </w:r>
      <w:r>
        <w:rPr>
          <w:rFonts w:ascii="Arial" w:cs="Arial" w:eastAsia="Arial" w:hAnsi="Arial"/>
          <w:sz w:val="22"/>
          <w:szCs w:val="22"/>
          <w:color w:val="auto"/>
        </w:rPr>
        <w:t>Boeing Proprietary</w:t>
      </w:r>
      <w:r>
        <w:rPr>
          <w:sz w:val="20"/>
          <w:szCs w:val="20"/>
          <w:color w:val="auto"/>
        </w:rPr>
        <w:tab/>
      </w:r>
      <w:r>
        <w:rPr>
          <w:rFonts w:ascii="Arial" w:cs="Arial" w:eastAsia="Arial" w:hAnsi="Arial"/>
          <w:sz w:val="21"/>
          <w:szCs w:val="21"/>
          <w:color w:val="auto"/>
        </w:rPr>
        <w:t>SA-29</w:t>
      </w:r>
    </w:p>
    <w:p>
      <w:pPr>
        <w:ind w:left="480"/>
        <w:spacing w:after="0"/>
        <w:rPr>
          <w:sz w:val="20"/>
          <w:szCs w:val="20"/>
          <w:color w:val="auto"/>
        </w:rPr>
      </w:pPr>
      <w:r>
        <w:rPr>
          <w:rFonts w:ascii="Arial" w:cs="Arial" w:eastAsia="Arial" w:hAnsi="Arial"/>
          <w:sz w:val="22"/>
          <w:szCs w:val="22"/>
          <w:color w:val="auto"/>
        </w:rPr>
        <w:t>Page 1</w:t>
      </w:r>
    </w:p>
    <w:p>
      <w:pPr>
        <w:sectPr>
          <w:pgSz w:w="11900" w:h="16838" w:orient="portrait"/>
          <w:cols w:equalWidth="0" w:num="1">
            <w:col w:w="11240"/>
          </w:cols>
          <w:pgMar w:left="320" w:top="1379" w:right="339" w:bottom="1440" w:gutter="0" w:footer="0" w:header="0"/>
        </w:sectPr>
      </w:pPr>
    </w:p>
    <w:bookmarkStart w:id="153" w:name="page154"/>
    <w:bookmarkEnd w:id="153"/>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8"/>
        </w:trPr>
        <w:tc>
          <w:tcPr>
            <w:tcW w:w="920" w:type="dxa"/>
            <w:vAlign w:val="bottom"/>
            <w:tcBorders>
              <w:top w:val="single" w:sz="8" w:color="auto"/>
              <w:left w:val="single" w:sz="8" w:color="auto"/>
              <w:right w:val="single" w:sz="8" w:color="auto"/>
            </w:tcBorders>
          </w:tcPr>
          <w:p>
            <w:pPr>
              <w:spacing w:after="0"/>
              <w:rPr>
                <w:sz w:val="22"/>
                <w:szCs w:val="22"/>
                <w:color w:val="auto"/>
              </w:rPr>
            </w:pPr>
          </w:p>
        </w:tc>
        <w:tc>
          <w:tcPr>
            <w:tcW w:w="940" w:type="dxa"/>
            <w:vAlign w:val="bottom"/>
            <w:tcBorders>
              <w:top w:val="single" w:sz="8" w:color="auto"/>
              <w:right w:val="single" w:sz="8" w:color="auto"/>
            </w:tcBorders>
          </w:tcPr>
          <w:p>
            <w:pPr>
              <w:spacing w:after="0"/>
              <w:rPr>
                <w:sz w:val="22"/>
                <w:szCs w:val="22"/>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660" w:type="dxa"/>
            <w:vAlign w:val="bottom"/>
            <w:tcBorders>
              <w:top w:val="single" w:sz="8" w:color="auto"/>
              <w:right w:val="single" w:sz="8" w:color="auto"/>
            </w:tcBorders>
            <w:shd w:val="clear" w:color="auto" w:fill="C0C0C0"/>
          </w:tcPr>
          <w:p>
            <w:pPr>
              <w:spacing w:after="0"/>
              <w:rPr>
                <w:sz w:val="22"/>
                <w:szCs w:val="22"/>
                <w:color w:val="auto"/>
              </w:rPr>
            </w:pPr>
          </w:p>
        </w:tc>
        <w:tc>
          <w:tcPr>
            <w:tcW w:w="1200" w:type="dxa"/>
            <w:vAlign w:val="bottom"/>
            <w:tcBorders>
              <w:top w:val="single" w:sz="8" w:color="auto"/>
              <w:right w:val="single" w:sz="8" w:color="auto"/>
            </w:tcBorders>
            <w:shd w:val="clear" w:color="auto" w:fill="C0C0C0"/>
          </w:tcPr>
          <w:p>
            <w:pPr>
              <w:spacing w:after="0"/>
              <w:rPr>
                <w:sz w:val="22"/>
                <w:szCs w:val="22"/>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Escalation Estimate</w:t>
            </w:r>
          </w:p>
        </w:tc>
        <w:tc>
          <w:tcPr>
            <w:tcW w:w="486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Advance Payment Per Aircraft (Amts. Due/Mos. Prior to Delivery):</w:t>
            </w:r>
          </w:p>
        </w:tc>
      </w:tr>
      <w:tr>
        <w:trPr>
          <w:trHeight w:val="66"/>
        </w:trPr>
        <w:tc>
          <w:tcPr>
            <w:tcW w:w="92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660" w:type="dxa"/>
            <w:vAlign w:val="bottom"/>
            <w:tcBorders>
              <w:bottom w:val="single" w:sz="8" w:color="C0C0C0"/>
              <w:right w:val="single" w:sz="8" w:color="auto"/>
            </w:tcBorders>
            <w:shd w:val="clear" w:color="auto" w:fill="C0C0C0"/>
          </w:tcPr>
          <w:p>
            <w:pPr>
              <w:spacing w:after="0"/>
              <w:rPr>
                <w:sz w:val="5"/>
                <w:szCs w:val="5"/>
                <w:color w:val="auto"/>
              </w:rPr>
            </w:pPr>
          </w:p>
        </w:tc>
        <w:tc>
          <w:tcPr>
            <w:tcW w:w="1200" w:type="dxa"/>
            <w:vAlign w:val="bottom"/>
            <w:tcBorders>
              <w:bottom w:val="single" w:sz="8" w:color="C0C0C0"/>
              <w:right w:val="single" w:sz="8" w:color="auto"/>
            </w:tcBorders>
            <w:shd w:val="clear" w:color="auto" w:fill="C0C0C0"/>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24"/>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660" w:type="dxa"/>
            <w:vAlign w:val="bottom"/>
            <w:tcBorders>
              <w:right w:val="single" w:sz="8" w:color="auto"/>
            </w:tcBorders>
            <w:shd w:val="clear" w:color="auto" w:fill="C0C0C0"/>
          </w:tcPr>
          <w:p>
            <w:pPr>
              <w:spacing w:after="0"/>
              <w:rPr>
                <w:sz w:val="19"/>
                <w:szCs w:val="19"/>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Nominal Delivery</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tcBorders>
              <w:right w:val="single" w:sz="8" w:color="auto"/>
            </w:tcBorders>
          </w:tcPr>
          <w:p>
            <w:pPr>
              <w:ind w:left="460"/>
              <w:spacing w:after="0"/>
              <w:rPr>
                <w:sz w:val="20"/>
                <w:szCs w:val="20"/>
                <w:color w:val="auto"/>
              </w:rPr>
            </w:pPr>
            <w:r>
              <w:rPr>
                <w:rFonts w:ascii="Arial" w:cs="Arial" w:eastAsia="Arial" w:hAnsi="Arial"/>
                <w:sz w:val="14"/>
                <w:szCs w:val="14"/>
                <w:b w:val="1"/>
                <w:bCs w:val="1"/>
                <w:color w:val="auto"/>
              </w:rPr>
              <w:t>Total</w:t>
            </w:r>
          </w:p>
        </w:tc>
      </w:tr>
      <w:tr>
        <w:trPr>
          <w:trHeight w:val="297"/>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A/P</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79"/>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9"/>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9"/>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80"/>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r>
      <w:tr>
        <w:trPr>
          <w:trHeight w:val="290"/>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30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0"/>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99"/>
        </w:trPr>
        <w:tc>
          <w:tcPr>
            <w:tcW w:w="920" w:type="dxa"/>
            <w:vAlign w:val="bottom"/>
            <w:tcBorders>
              <w:left w:val="single" w:sz="8" w:color="auto"/>
              <w:bottom w:val="single" w:sz="8" w:color="auto"/>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shd w:val="clear" w:color="auto" w:fill="C0C0C0"/>
          </w:tcPr>
          <w:p>
            <w:pPr>
              <w:spacing w:after="0"/>
              <w:rPr>
                <w:sz w:val="8"/>
                <w:szCs w:val="8"/>
                <w:color w:val="auto"/>
              </w:rPr>
            </w:pPr>
          </w:p>
        </w:tc>
        <w:tc>
          <w:tcPr>
            <w:tcW w:w="1200" w:type="dxa"/>
            <w:vAlign w:val="bottom"/>
            <w:tcBorders>
              <w:bottom w:val="single" w:sz="8" w:color="auto"/>
              <w:right w:val="single" w:sz="8" w:color="auto"/>
            </w:tcBorders>
            <w:shd w:val="clear" w:color="auto" w:fill="C0C0C0"/>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r>
      <w:tr>
        <w:trPr>
          <w:trHeight w:val="272"/>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C0C0C0"/>
              <w:right w:val="single" w:sz="8" w:color="auto"/>
            </w:tcBorders>
            <w:shd w:val="clear" w:color="auto" w:fill="C0C0C0"/>
          </w:tcPr>
          <w:p>
            <w:pPr>
              <w:spacing w:after="0"/>
              <w:rPr>
                <w:sz w:val="23"/>
                <w:szCs w:val="23"/>
                <w:color w:val="auto"/>
              </w:rPr>
            </w:pPr>
          </w:p>
        </w:tc>
        <w:tc>
          <w:tcPr>
            <w:tcW w:w="1200" w:type="dxa"/>
            <w:vAlign w:val="bottom"/>
            <w:tcBorders>
              <w:top w:val="single" w:sz="8" w:color="C0C0C0"/>
              <w:right w:val="single" w:sz="8" w:color="auto"/>
            </w:tcBorders>
            <w:shd w:val="clear" w:color="auto" w:fill="C0C0C0"/>
          </w:tcPr>
          <w:p>
            <w:pPr>
              <w:spacing w:after="0"/>
              <w:rPr>
                <w:sz w:val="23"/>
                <w:szCs w:val="23"/>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tabs>
          <w:tab w:leader="none" w:pos="220" w:val="left"/>
          <w:tab w:leader="none" w:pos="220" w:val="left"/>
        </w:tabs>
        <w:rPr>
          <w:sz w:val="20"/>
          <w:szCs w:val="20"/>
          <w:color w:val="auto"/>
        </w:rPr>
      </w:pPr>
      <w:r>
        <w:rPr>
          <w:rFonts w:ascii="Arial" w:cs="Arial" w:eastAsia="Arial" w:hAnsi="Arial"/>
          <w:sz w:val="22"/>
          <w:szCs w:val="22"/>
          <w:color w:val="auto"/>
        </w:rPr>
        <w:t>AAL-PA-03735 121430-1F .txt</w:t>
      </w:r>
      <w:r>
        <w:rPr>
          <w:sz w:val="20"/>
          <w:szCs w:val="20"/>
          <w:color w:val="auto"/>
        </w:rPr>
        <w:tab/>
      </w:r>
      <w:r>
        <w:rPr>
          <w:rFonts w:ascii="Arial" w:cs="Arial" w:eastAsia="Arial" w:hAnsi="Arial"/>
          <w:sz w:val="22"/>
          <w:szCs w:val="22"/>
          <w:color w:val="auto"/>
        </w:rPr>
        <w:t>Boeing Proprietary</w:t>
      </w:r>
      <w:r>
        <w:rPr>
          <w:sz w:val="20"/>
          <w:szCs w:val="20"/>
          <w:color w:val="auto"/>
        </w:rPr>
        <w:tab/>
      </w:r>
      <w:r>
        <w:rPr>
          <w:rFonts w:ascii="Arial" w:cs="Arial" w:eastAsia="Arial" w:hAnsi="Arial"/>
          <w:sz w:val="21"/>
          <w:szCs w:val="21"/>
          <w:color w:val="auto"/>
        </w:rPr>
        <w:t>SA-29</w:t>
      </w:r>
    </w:p>
    <w:p>
      <w:pPr>
        <w:ind w:left="48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79"/>
        </w:trPr>
        <w:tc>
          <w:tcPr>
            <w:tcW w:w="920" w:type="dxa"/>
            <w:vAlign w:val="bottom"/>
            <w:tcBorders>
              <w:top w:val="single" w:sz="8" w:color="auto"/>
              <w:left w:val="single" w:sz="8" w:color="auto"/>
              <w:right w:val="single" w:sz="8" w:color="auto"/>
            </w:tcBorders>
          </w:tcPr>
          <w:p>
            <w:pPr>
              <w:spacing w:after="0"/>
              <w:rPr>
                <w:sz w:val="24"/>
                <w:szCs w:val="24"/>
                <w:color w:val="auto"/>
              </w:rPr>
            </w:pPr>
          </w:p>
        </w:tc>
        <w:tc>
          <w:tcPr>
            <w:tcW w:w="940" w:type="dxa"/>
            <w:vAlign w:val="bottom"/>
            <w:tcBorders>
              <w:top w:val="single" w:sz="8" w:color="auto"/>
              <w:right w:val="single" w:sz="8" w:color="auto"/>
            </w:tcBorders>
          </w:tcPr>
          <w:p>
            <w:pPr>
              <w:spacing w:after="0"/>
              <w:rPr>
                <w:sz w:val="24"/>
                <w:szCs w:val="24"/>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660" w:type="dxa"/>
            <w:vAlign w:val="bottom"/>
            <w:tcBorders>
              <w:top w:val="single" w:sz="8" w:color="auto"/>
              <w:right w:val="single" w:sz="8" w:color="auto"/>
            </w:tcBorders>
            <w:shd w:val="clear" w:color="auto" w:fill="C0C0C0"/>
          </w:tcPr>
          <w:p>
            <w:pPr>
              <w:spacing w:after="0"/>
              <w:rPr>
                <w:sz w:val="24"/>
                <w:szCs w:val="24"/>
                <w:color w:val="auto"/>
              </w:rPr>
            </w:pPr>
          </w:p>
        </w:tc>
        <w:tc>
          <w:tcPr>
            <w:tcW w:w="1200" w:type="dxa"/>
            <w:vAlign w:val="bottom"/>
            <w:tcBorders>
              <w:top w:val="single" w:sz="8" w:color="auto"/>
              <w:right w:val="single" w:sz="8" w:color="auto"/>
            </w:tcBorders>
            <w:shd w:val="clear" w:color="auto" w:fill="C0C0C0"/>
          </w:tcPr>
          <w:p>
            <w:pPr>
              <w:spacing w:after="0"/>
              <w:rPr>
                <w:sz w:val="24"/>
                <w:szCs w:val="24"/>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Escalation Estimate</w:t>
            </w:r>
          </w:p>
        </w:tc>
        <w:tc>
          <w:tcPr>
            <w:tcW w:w="4800" w:type="dxa"/>
            <w:vAlign w:val="bottom"/>
            <w:tcBorders>
              <w:top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Advance Payment Per Aircraft (Amts. Due/Mos. Prior to Delivery):</w:t>
            </w:r>
          </w:p>
        </w:tc>
      </w:tr>
      <w:tr>
        <w:trPr>
          <w:trHeight w:val="66"/>
        </w:trPr>
        <w:tc>
          <w:tcPr>
            <w:tcW w:w="92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660" w:type="dxa"/>
            <w:vAlign w:val="bottom"/>
            <w:tcBorders>
              <w:bottom w:val="single" w:sz="8" w:color="C0C0C0"/>
              <w:right w:val="single" w:sz="8" w:color="auto"/>
            </w:tcBorders>
            <w:shd w:val="clear" w:color="auto" w:fill="C0C0C0"/>
          </w:tcPr>
          <w:p>
            <w:pPr>
              <w:spacing w:after="0"/>
              <w:rPr>
                <w:sz w:val="5"/>
                <w:szCs w:val="5"/>
                <w:color w:val="auto"/>
              </w:rPr>
            </w:pPr>
          </w:p>
        </w:tc>
        <w:tc>
          <w:tcPr>
            <w:tcW w:w="1200" w:type="dxa"/>
            <w:vAlign w:val="bottom"/>
            <w:tcBorders>
              <w:bottom w:val="single" w:sz="8" w:color="C0C0C0"/>
              <w:right w:val="single" w:sz="8" w:color="auto"/>
            </w:tcBorders>
            <w:shd w:val="clear" w:color="auto" w:fill="C0C0C0"/>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24"/>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660" w:type="dxa"/>
            <w:vAlign w:val="bottom"/>
            <w:tcBorders>
              <w:right w:val="single" w:sz="8" w:color="auto"/>
            </w:tcBorders>
            <w:shd w:val="clear" w:color="auto" w:fill="C0C0C0"/>
          </w:tcPr>
          <w:p>
            <w:pPr>
              <w:spacing w:after="0"/>
              <w:rPr>
                <w:sz w:val="19"/>
                <w:szCs w:val="19"/>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Nominal Delivery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tcBorders>
              <w:right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r>
      <w:tr>
        <w:trPr>
          <w:trHeight w:val="3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9"/>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9"/>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80"/>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90"/>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30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9"/>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tabs>
          <w:tab w:leader="none" w:pos="220" w:val="left"/>
          <w:tab w:leader="none" w:pos="220" w:val="left"/>
        </w:tabs>
        <w:rPr>
          <w:sz w:val="20"/>
          <w:szCs w:val="20"/>
          <w:color w:val="auto"/>
        </w:rPr>
      </w:pPr>
      <w:r>
        <w:rPr>
          <w:rFonts w:ascii="Arial" w:cs="Arial" w:eastAsia="Arial" w:hAnsi="Arial"/>
          <w:sz w:val="22"/>
          <w:szCs w:val="22"/>
          <w:color w:val="auto"/>
        </w:rPr>
        <w:t>AAL-PA-03735 121430-1F .txt</w:t>
      </w:r>
      <w:r>
        <w:rPr>
          <w:sz w:val="20"/>
          <w:szCs w:val="20"/>
          <w:color w:val="auto"/>
        </w:rPr>
        <w:tab/>
      </w:r>
      <w:r>
        <w:rPr>
          <w:rFonts w:ascii="Arial" w:cs="Arial" w:eastAsia="Arial" w:hAnsi="Arial"/>
          <w:sz w:val="22"/>
          <w:szCs w:val="22"/>
          <w:color w:val="auto"/>
        </w:rPr>
        <w:t>Boeing Proprietary</w:t>
      </w:r>
      <w:r>
        <w:rPr>
          <w:sz w:val="20"/>
          <w:szCs w:val="20"/>
          <w:color w:val="auto"/>
        </w:rPr>
        <w:tab/>
      </w:r>
      <w:r>
        <w:rPr>
          <w:rFonts w:ascii="Arial" w:cs="Arial" w:eastAsia="Arial" w:hAnsi="Arial"/>
          <w:sz w:val="21"/>
          <w:szCs w:val="21"/>
          <w:color w:val="auto"/>
        </w:rPr>
        <w:t>SA-29</w:t>
      </w:r>
    </w:p>
    <w:p>
      <w:pPr>
        <w:ind w:left="480"/>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8"/>
        </w:trPr>
        <w:tc>
          <w:tcPr>
            <w:tcW w:w="920" w:type="dxa"/>
            <w:vAlign w:val="bottom"/>
            <w:tcBorders>
              <w:top w:val="single" w:sz="8" w:color="auto"/>
              <w:left w:val="single" w:sz="8" w:color="auto"/>
              <w:right w:val="single" w:sz="8" w:color="auto"/>
            </w:tcBorders>
          </w:tcPr>
          <w:p>
            <w:pPr>
              <w:spacing w:after="0"/>
              <w:rPr>
                <w:sz w:val="22"/>
                <w:szCs w:val="22"/>
                <w:color w:val="auto"/>
              </w:rPr>
            </w:pPr>
          </w:p>
        </w:tc>
        <w:tc>
          <w:tcPr>
            <w:tcW w:w="940" w:type="dxa"/>
            <w:vAlign w:val="bottom"/>
            <w:tcBorders>
              <w:top w:val="single" w:sz="8" w:color="auto"/>
              <w:right w:val="single" w:sz="8" w:color="auto"/>
            </w:tcBorders>
          </w:tcPr>
          <w:p>
            <w:pPr>
              <w:spacing w:after="0"/>
              <w:rPr>
                <w:sz w:val="22"/>
                <w:szCs w:val="22"/>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660" w:type="dxa"/>
            <w:vAlign w:val="bottom"/>
            <w:tcBorders>
              <w:top w:val="single" w:sz="8" w:color="auto"/>
              <w:right w:val="single" w:sz="8" w:color="auto"/>
            </w:tcBorders>
            <w:shd w:val="clear" w:color="auto" w:fill="C0C0C0"/>
          </w:tcPr>
          <w:p>
            <w:pPr>
              <w:spacing w:after="0"/>
              <w:rPr>
                <w:sz w:val="22"/>
                <w:szCs w:val="22"/>
                <w:color w:val="auto"/>
              </w:rPr>
            </w:pPr>
          </w:p>
        </w:tc>
        <w:tc>
          <w:tcPr>
            <w:tcW w:w="1200" w:type="dxa"/>
            <w:vAlign w:val="bottom"/>
            <w:tcBorders>
              <w:top w:val="single" w:sz="8" w:color="auto"/>
              <w:right w:val="single" w:sz="8" w:color="auto"/>
            </w:tcBorders>
            <w:shd w:val="clear" w:color="auto" w:fill="C0C0C0"/>
          </w:tcPr>
          <w:p>
            <w:pPr>
              <w:spacing w:after="0"/>
              <w:rPr>
                <w:sz w:val="22"/>
                <w:szCs w:val="22"/>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Escalation Estimate</w:t>
            </w:r>
          </w:p>
        </w:tc>
        <w:tc>
          <w:tcPr>
            <w:tcW w:w="4800" w:type="dxa"/>
            <w:vAlign w:val="bottom"/>
            <w:tcBorders>
              <w:top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Advance Payment Per Aircraft (Amts. Due/Mos. Prior to Delivery):</w:t>
            </w:r>
          </w:p>
        </w:tc>
      </w:tr>
      <w:tr>
        <w:trPr>
          <w:trHeight w:val="66"/>
        </w:trPr>
        <w:tc>
          <w:tcPr>
            <w:tcW w:w="92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660" w:type="dxa"/>
            <w:vAlign w:val="bottom"/>
            <w:tcBorders>
              <w:bottom w:val="single" w:sz="8" w:color="C0C0C0"/>
              <w:right w:val="single" w:sz="8" w:color="auto"/>
            </w:tcBorders>
            <w:shd w:val="clear" w:color="auto" w:fill="C0C0C0"/>
          </w:tcPr>
          <w:p>
            <w:pPr>
              <w:spacing w:after="0"/>
              <w:rPr>
                <w:sz w:val="5"/>
                <w:szCs w:val="5"/>
                <w:color w:val="auto"/>
              </w:rPr>
            </w:pPr>
          </w:p>
        </w:tc>
        <w:tc>
          <w:tcPr>
            <w:tcW w:w="1200" w:type="dxa"/>
            <w:vAlign w:val="bottom"/>
            <w:tcBorders>
              <w:bottom w:val="single" w:sz="8" w:color="C0C0C0"/>
              <w:right w:val="single" w:sz="8" w:color="auto"/>
            </w:tcBorders>
            <w:shd w:val="clear" w:color="auto" w:fill="C0C0C0"/>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24"/>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660" w:type="dxa"/>
            <w:vAlign w:val="bottom"/>
            <w:tcBorders>
              <w:right w:val="single" w:sz="8" w:color="auto"/>
            </w:tcBorders>
            <w:shd w:val="clear" w:color="auto" w:fill="C0C0C0"/>
          </w:tcPr>
          <w:p>
            <w:pPr>
              <w:spacing w:after="0"/>
              <w:rPr>
                <w:sz w:val="19"/>
                <w:szCs w:val="19"/>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Nominal Delivery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tcBorders>
              <w:right w:val="single" w:sz="8" w:color="auto"/>
            </w:tcBorders>
          </w:tcPr>
          <w:p>
            <w:pPr>
              <w:ind w:left="460"/>
              <w:spacing w:after="0"/>
              <w:rPr>
                <w:sz w:val="20"/>
                <w:szCs w:val="20"/>
                <w:color w:val="auto"/>
              </w:rPr>
            </w:pPr>
            <w:r>
              <w:rPr>
                <w:rFonts w:ascii="Arial" w:cs="Arial" w:eastAsia="Arial" w:hAnsi="Arial"/>
                <w:sz w:val="14"/>
                <w:szCs w:val="14"/>
                <w:b w:val="1"/>
                <w:bCs w:val="1"/>
                <w:color w:val="auto"/>
              </w:rPr>
              <w:t>Total</w:t>
            </w:r>
          </w:p>
        </w:tc>
      </w:tr>
      <w:tr>
        <w:trPr>
          <w:trHeight w:val="297"/>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79"/>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00FF"/>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940" w:type="dxa"/>
            <w:vAlign w:val="bottom"/>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9"/>
        </w:trPr>
        <w:tc>
          <w:tcPr>
            <w:tcW w:w="92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shd w:val="clear" w:color="auto" w:fill="C0C0C0"/>
          </w:tcPr>
          <w:p>
            <w:pPr>
              <w:spacing w:after="0"/>
              <w:rPr>
                <w:sz w:val="6"/>
                <w:szCs w:val="6"/>
                <w:color w:val="auto"/>
              </w:rPr>
            </w:pPr>
          </w:p>
        </w:tc>
        <w:tc>
          <w:tcPr>
            <w:tcW w:w="120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r>
      <w:tr>
        <w:trPr>
          <w:trHeight w:val="292"/>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00FF"/>
              </w:rPr>
              <w:t>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9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225"/>
        </w:trPr>
        <w:tc>
          <w:tcPr>
            <w:tcW w:w="920" w:type="dxa"/>
            <w:vAlign w:val="bottom"/>
          </w:tcPr>
          <w:p>
            <w:pPr>
              <w:jc w:val="center"/>
              <w:spacing w:after="0"/>
              <w:rPr>
                <w:sz w:val="20"/>
                <w:szCs w:val="20"/>
                <w:color w:val="auto"/>
              </w:rPr>
            </w:pPr>
            <w:r>
              <w:rPr>
                <w:rFonts w:ascii="Arial" w:cs="Arial" w:eastAsia="Arial" w:hAnsi="Arial"/>
                <w:sz w:val="14"/>
                <w:szCs w:val="14"/>
                <w:color w:val="auto"/>
                <w:w w:val="91"/>
              </w:rPr>
              <w:t>Total:</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tabs>
          <w:tab w:leader="none" w:pos="220" w:val="left"/>
          <w:tab w:leader="none" w:pos="220" w:val="left"/>
        </w:tabs>
        <w:rPr>
          <w:sz w:val="20"/>
          <w:szCs w:val="20"/>
          <w:color w:val="auto"/>
        </w:rPr>
      </w:pPr>
      <w:r>
        <w:rPr>
          <w:rFonts w:ascii="Arial" w:cs="Arial" w:eastAsia="Arial" w:hAnsi="Arial"/>
          <w:sz w:val="22"/>
          <w:szCs w:val="22"/>
          <w:color w:val="auto"/>
        </w:rPr>
        <w:t>AAL-PA-03735 121430-1F .txt</w:t>
      </w:r>
      <w:r>
        <w:rPr>
          <w:sz w:val="20"/>
          <w:szCs w:val="20"/>
          <w:color w:val="auto"/>
        </w:rPr>
        <w:tab/>
      </w:r>
      <w:r>
        <w:rPr>
          <w:rFonts w:ascii="Arial" w:cs="Arial" w:eastAsia="Arial" w:hAnsi="Arial"/>
          <w:sz w:val="22"/>
          <w:szCs w:val="22"/>
          <w:color w:val="auto"/>
        </w:rPr>
        <w:t>Boeing Proprietary</w:t>
      </w:r>
      <w:r>
        <w:rPr>
          <w:sz w:val="20"/>
          <w:szCs w:val="20"/>
          <w:color w:val="auto"/>
        </w:rPr>
        <w:tab/>
      </w:r>
      <w:r>
        <w:rPr>
          <w:rFonts w:ascii="Arial" w:cs="Arial" w:eastAsia="Arial" w:hAnsi="Arial"/>
          <w:sz w:val="21"/>
          <w:szCs w:val="21"/>
          <w:color w:val="auto"/>
        </w:rPr>
        <w:t>SA-29</w:t>
      </w:r>
    </w:p>
    <w:p>
      <w:pPr>
        <w:ind w:left="48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40"/>
          </w:cols>
          <w:pgMar w:left="320" w:top="1440" w:right="339" w:bottom="1440" w:gutter="0" w:footer="0" w:header="0"/>
        </w:sectPr>
      </w:pPr>
    </w:p>
    <w:bookmarkStart w:id="156" w:name="page157"/>
    <w:bookmarkEnd w:id="156"/>
    <w:p>
      <w:pPr>
        <w:ind w:left="10240"/>
        <w:spacing w:after="0"/>
        <w:rPr>
          <w:sz w:val="20"/>
          <w:szCs w:val="20"/>
          <w:color w:val="auto"/>
        </w:rPr>
      </w:pPr>
      <w:r>
        <w:rPr>
          <w:rFonts w:ascii="Arial" w:cs="Arial" w:eastAsia="Arial" w:hAnsi="Arial"/>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282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5" w:lineRule="exact"/>
        <w:rPr>
          <w:sz w:val="20"/>
          <w:szCs w:val="20"/>
          <w:color w:val="auto"/>
        </w:rPr>
      </w:pPr>
    </w:p>
    <w:p>
      <w:pPr>
        <w:ind w:left="40" w:right="80"/>
        <w:spacing w:after="0" w:line="260"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30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30</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8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This SUPPLEMENTAL AGREEMENT No. 30 (</w:t>
      </w:r>
      <w:r>
        <w:rPr>
          <w:rFonts w:ascii="Arial" w:cs="Arial" w:eastAsia="Arial" w:hAnsi="Arial"/>
          <w:sz w:val="22"/>
          <w:szCs w:val="22"/>
          <w:b w:val="1"/>
          <w:bCs w:val="1"/>
          <w:i w:val="1"/>
          <w:iCs w:val="1"/>
          <w:color w:val="auto"/>
        </w:rPr>
        <w:t>SA-30</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June _</w:t>
      </w:r>
      <w:r>
        <w:rPr>
          <w:rFonts w:ascii="Arial" w:cs="Arial" w:eastAsia="Arial" w:hAnsi="Arial"/>
          <w:sz w:val="22"/>
          <w:szCs w:val="22"/>
          <w:u w:val="single" w:color="auto"/>
          <w:color w:val="auto"/>
        </w:rPr>
        <w:t>2</w:t>
      </w:r>
      <w:r>
        <w:rPr>
          <w:rFonts w:ascii="Arial" w:cs="Arial" w:eastAsia="Arial" w:hAnsi="Arial"/>
          <w:sz w:val="22"/>
          <w:szCs w:val="22"/>
          <w:color w:val="auto"/>
        </w:rPr>
        <w:t>_, 2023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4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86" w:lineRule="exact"/>
        <w:rPr>
          <w:sz w:val="20"/>
          <w:szCs w:val="20"/>
          <w:color w:val="auto"/>
        </w:rPr>
      </w:pPr>
    </w:p>
    <w:p>
      <w:pPr>
        <w:jc w:val="both"/>
        <w:ind w:firstLine="267"/>
        <w:spacing w:after="0" w:line="219" w:lineRule="auto"/>
        <w:rPr>
          <w:sz w:val="20"/>
          <w:szCs w:val="20"/>
          <w:color w:val="auto"/>
        </w:rPr>
      </w:pPr>
      <w:r>
        <w:rPr>
          <w:rFonts w:ascii="Arial" w:cs="Arial" w:eastAsia="Arial" w:hAnsi="Arial"/>
          <w:sz w:val="22"/>
          <w:szCs w:val="22"/>
          <w:color w:val="auto"/>
        </w:rPr>
        <w:t>WHEREAS, in [****] to the [****] Aircraft that Customer had previously [****] as set forth in Table 1R12, 1-2, 1-3R6, 1-4R7 and 1-5 to the Purchase Agreement, Customer [****], [****] in Attachment A(R11) to Letter Agreement No. AAL-PA-03735-LA-1106651R11 entitled “</w:t>
      </w:r>
      <w:r>
        <w:rPr>
          <w:rFonts w:ascii="Arial" w:cs="Arial" w:eastAsia="Arial" w:hAnsi="Arial"/>
          <w:sz w:val="22"/>
          <w:szCs w:val="22"/>
          <w:u w:val="single" w:color="auto"/>
          <w:color w:val="auto"/>
        </w:rPr>
        <w:t>[****]” (</w:t>
      </w:r>
      <w:r>
        <w:rPr>
          <w:rFonts w:ascii="Arial" w:cs="Arial" w:eastAsia="Arial" w:hAnsi="Arial"/>
          <w:sz w:val="22"/>
          <w:szCs w:val="22"/>
          <w:b w:val="1"/>
          <w:bCs w:val="1"/>
          <w:color w:val="auto"/>
        </w:rPr>
        <w:t>[****] Letter Agreement</w:t>
      </w:r>
      <w:r>
        <w:rPr>
          <w:rFonts w:ascii="Arial" w:cs="Arial" w:eastAsia="Arial" w:hAnsi="Arial"/>
          <w:sz w:val="22"/>
          <w:szCs w:val="22"/>
          <w:color w:val="auto"/>
        </w:rPr>
        <w:t>) with [****], pursuant to the terms and conditions of the [****] Letter Agreement.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298"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SA-29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SA-30 in the footer to reflect changes made to the Purchase Agreement by this SA-30. Such new Table of Contents is hereby incorporated into the Purchase Agreement in replacement of its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SA-30, 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04" w:right="339" w:bottom="1440" w:gutter="0" w:footer="0" w:header="0"/>
        </w:sectPr>
      </w:pPr>
    </w:p>
    <w:bookmarkStart w:id="157" w:name="page158"/>
    <w:bookmarkEnd w:id="157"/>
    <w:p>
      <w:pPr>
        <w:ind w:left="733" w:hanging="652"/>
        <w:spacing w:after="0"/>
        <w:tabs>
          <w:tab w:leader="none" w:pos="733"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19" w:lineRule="auto"/>
        <w:rPr>
          <w:sz w:val="20"/>
          <w:szCs w:val="20"/>
          <w:color w:val="auto"/>
        </w:rPr>
      </w:pPr>
      <w:r>
        <w:rPr>
          <w:rFonts w:ascii="Arial" w:cs="Arial" w:eastAsia="Arial" w:hAnsi="Arial"/>
          <w:sz w:val="22"/>
          <w:szCs w:val="22"/>
          <w:u w:val="single" w:color="auto"/>
          <w:color w:val="auto"/>
        </w:rPr>
        <w:t>Table 1-5</w:t>
      </w:r>
      <w:r>
        <w:rPr>
          <w:rFonts w:ascii="Arial" w:cs="Arial" w:eastAsia="Arial" w:hAnsi="Arial"/>
          <w:sz w:val="22"/>
          <w:szCs w:val="22"/>
          <w:color w:val="auto"/>
        </w:rPr>
        <w:t>. Table 1-5 entitled “</w:t>
      </w:r>
      <w:r>
        <w:rPr>
          <w:rFonts w:ascii="Arial" w:cs="Arial" w:eastAsia="Arial" w:hAnsi="Arial"/>
          <w:sz w:val="22"/>
          <w:szCs w:val="22"/>
          <w:u w:val="single" w:color="auto"/>
          <w:color w:val="auto"/>
        </w:rPr>
        <w:t>[****] 737-8 [****] Aircraft Delivery, Description, Price and Advance Payments</w:t>
      </w:r>
      <w:r>
        <w:rPr>
          <w:rFonts w:ascii="Arial" w:cs="Arial" w:eastAsia="Arial" w:hAnsi="Arial"/>
          <w:sz w:val="22"/>
          <w:szCs w:val="22"/>
          <w:color w:val="auto"/>
        </w:rPr>
        <w:t>” is hereby deleted in its entirety and replaced with Table 1-5R1 entitled “</w:t>
      </w:r>
      <w:r>
        <w:rPr>
          <w:rFonts w:ascii="Arial" w:cs="Arial" w:eastAsia="Arial" w:hAnsi="Arial"/>
          <w:sz w:val="22"/>
          <w:szCs w:val="22"/>
          <w:u w:val="single" w:color="auto"/>
          <w:color w:val="auto"/>
        </w:rPr>
        <w:t>737-8 [****] Aircraft Delivery, Description, Price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Advance Payments</w:t>
      </w:r>
      <w:r>
        <w:rPr>
          <w:rFonts w:ascii="Arial" w:cs="Arial" w:eastAsia="Arial" w:hAnsi="Arial"/>
          <w:sz w:val="22"/>
          <w:szCs w:val="22"/>
          <w:color w:val="auto"/>
        </w:rPr>
        <w:t>” (attached hereto) referencing SA-30 in the footer is hereby incorporated into the Purchase Agreement in replacement of Table 1-5. For avoidance of doubt, this Table 1-5R1 [****].</w:t>
      </w:r>
    </w:p>
    <w:p>
      <w:pPr>
        <w:spacing w:after="0" w:line="157" w:lineRule="exact"/>
        <w:rPr>
          <w:sz w:val="20"/>
          <w:szCs w:val="20"/>
          <w:color w:val="auto"/>
        </w:rPr>
      </w:pPr>
    </w:p>
    <w:p>
      <w:pPr>
        <w:ind w:left="733" w:hanging="652"/>
        <w:spacing w:after="0"/>
        <w:tabs>
          <w:tab w:leader="none" w:pos="733"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19" w:lineRule="auto"/>
        <w:rPr>
          <w:sz w:val="20"/>
          <w:szCs w:val="20"/>
          <w:color w:val="auto"/>
        </w:rPr>
      </w:pPr>
      <w:r>
        <w:rPr>
          <w:rFonts w:ascii="Arial" w:cs="Arial" w:eastAsia="Arial" w:hAnsi="Arial"/>
          <w:sz w:val="22"/>
          <w:szCs w:val="22"/>
          <w:color w:val="auto"/>
        </w:rPr>
        <w:t xml:space="preserve">3.1 Letter Agreement No. AAL-PA-03735-LA-1106651R11 (including Attachment A(R11)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is hereby deleted in its entirety and replaced with Letter Agreement No. AAL-PA-03735-LA-1106651R12 (including Attachment A(R12) (attached hereto)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referencing SA-30 in the footer. The [****] is hereby incorporated into the Purchase Agreement.</w:t>
      </w:r>
    </w:p>
    <w:p>
      <w:pPr>
        <w:spacing w:after="0" w:line="184" w:lineRule="exact"/>
        <w:rPr>
          <w:sz w:val="20"/>
          <w:szCs w:val="20"/>
          <w:color w:val="auto"/>
        </w:rPr>
      </w:pPr>
    </w:p>
    <w:p>
      <w:pPr>
        <w:jc w:val="both"/>
        <w:ind w:left="73" w:firstLine="648"/>
        <w:spacing w:after="0" w:line="233" w:lineRule="auto"/>
        <w:rPr>
          <w:sz w:val="20"/>
          <w:szCs w:val="20"/>
          <w:color w:val="auto"/>
        </w:rPr>
      </w:pPr>
      <w:r>
        <w:rPr>
          <w:rFonts w:ascii="Arial" w:cs="Arial" w:eastAsia="Arial" w:hAnsi="Arial"/>
          <w:sz w:val="22"/>
          <w:szCs w:val="22"/>
          <w:color w:val="auto"/>
        </w:rPr>
        <w:t xml:space="preserve">3.2 In addition to the [****], the parties agree [****] to Letter Agreement No. AAL-PA-03735-LA-1106652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will be [****], or such [****], to [****].</w:t>
      </w:r>
    </w:p>
    <w:p>
      <w:pPr>
        <w:spacing w:after="0" w:line="292" w:lineRule="exact"/>
        <w:rPr>
          <w:sz w:val="20"/>
          <w:szCs w:val="20"/>
          <w:color w:val="auto"/>
        </w:rPr>
      </w:pPr>
    </w:p>
    <w:p>
      <w:pPr>
        <w:ind w:left="733" w:hanging="733"/>
        <w:spacing w:after="0"/>
        <w:tabs>
          <w:tab w:leader="none" w:pos="733"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9" w:lineRule="exact"/>
        <w:rPr>
          <w:sz w:val="20"/>
          <w:szCs w:val="20"/>
          <w:color w:val="auto"/>
        </w:rPr>
      </w:pPr>
    </w:p>
    <w:p>
      <w:pPr>
        <w:ind w:left="73" w:firstLine="648"/>
        <w:spacing w:after="0" w:line="233" w:lineRule="auto"/>
        <w:rPr>
          <w:sz w:val="20"/>
          <w:szCs w:val="20"/>
          <w:color w:val="auto"/>
        </w:rPr>
      </w:pPr>
      <w:r>
        <w:rPr>
          <w:rFonts w:ascii="Arial" w:cs="Arial" w:eastAsia="Arial" w:hAnsi="Arial"/>
          <w:sz w:val="22"/>
          <w:szCs w:val="22"/>
          <w:color w:val="auto"/>
        </w:rPr>
        <w:t>4.1 [****] for the [****], [****] ([****]) ([****] specified in Table 1-5R1 to the Purchase Agreement for the [****]) are [****] per [****] of the [****] and as specified in the [****] upon execution of this SA-30.</w:t>
      </w:r>
    </w:p>
    <w:p>
      <w:pPr>
        <w:spacing w:after="0" w:line="184" w:lineRule="exact"/>
        <w:rPr>
          <w:sz w:val="20"/>
          <w:szCs w:val="20"/>
          <w:color w:val="auto"/>
        </w:rPr>
      </w:pPr>
    </w:p>
    <w:p>
      <w:pPr>
        <w:ind w:left="733" w:hanging="733"/>
        <w:spacing w:after="0"/>
        <w:tabs>
          <w:tab w:leader="none" w:pos="733"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3" w:lineRule="auto"/>
        <w:rPr>
          <w:sz w:val="20"/>
          <w:szCs w:val="20"/>
          <w:color w:val="auto"/>
        </w:rPr>
      </w:pPr>
      <w:r>
        <w:rPr>
          <w:rFonts w:ascii="Arial" w:cs="Arial" w:eastAsia="Arial" w:hAnsi="Arial"/>
          <w:sz w:val="22"/>
          <w:szCs w:val="22"/>
          <w:color w:val="auto"/>
        </w:rPr>
        <w:t>5.1 The Purchase Agreement is amended and supplemented as set forth above by the revised Table Of Contents, Table 1-5R1, and the [****]. All other terms and conditions of the Purchase Agreement remain unchanged and are in full force and effect.</w:t>
      </w:r>
    </w:p>
    <w:p>
      <w:pPr>
        <w:spacing w:after="0" w:line="159" w:lineRule="exact"/>
        <w:rPr>
          <w:sz w:val="20"/>
          <w:szCs w:val="20"/>
          <w:color w:val="auto"/>
        </w:rPr>
      </w:pPr>
    </w:p>
    <w:p>
      <w:pPr>
        <w:jc w:val="both"/>
        <w:ind w:left="73" w:firstLine="648"/>
        <w:spacing w:after="0" w:line="233" w:lineRule="auto"/>
        <w:rPr>
          <w:sz w:val="20"/>
          <w:szCs w:val="20"/>
          <w:color w:val="auto"/>
        </w:rPr>
      </w:pPr>
      <w:r>
        <w:rPr>
          <w:rFonts w:ascii="Arial" w:cs="Arial" w:eastAsia="Arial" w:hAnsi="Arial"/>
          <w:sz w:val="22"/>
          <w:szCs w:val="22"/>
          <w:color w:val="auto"/>
        </w:rPr>
        <w:t>5.2 The following references in the Purchase Agreement and any supplemental agreements and associated letter agreements are deemed to refer to “Table 1R12, Table 1-2, Table 1-3R6, Table 1-4R7, and Table 1-5R1”:</w:t>
      </w:r>
    </w:p>
    <w:p>
      <w:pPr>
        <w:spacing w:after="0" w:line="136" w:lineRule="exact"/>
        <w:rPr>
          <w:sz w:val="20"/>
          <w:szCs w:val="20"/>
          <w:color w:val="auto"/>
        </w:rPr>
      </w:pPr>
    </w:p>
    <w:p>
      <w:pPr>
        <w:ind w:left="1373" w:hanging="320"/>
        <w:spacing w:after="0"/>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 or “Table 1R2” or “Table 1R3”, or “Table1R4 and Table 1-2”,</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1R5 and Table 1-2”,</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1R6, Table 1-2, and Table 1-3”,</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1R7, Table 1-2, and Table 1-3R1”,</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1R8, Table 1-2, and Table 1-3R2”,</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1R9, Table 1-2, and Table 1-3R3”,</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1R10, Table 1-2, and Table 1-3R4”,</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1R11, Table 1-2, and Table 1-3R5”,</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1R12, Table 1-2 and Table 1-3R6”,</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1R12, Table 1-2, Table 1-3R6, and Table 1-4”,</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1R12, Table 1-2, Table 1-3R6, and Table 1-4R1”</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1R12, Table 1-2, Table 1-3R6, and Table 1-4R2”</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1R12, Table 1-2, Table 1-3R6, and Table 1-4R3”.</w:t>
      </w:r>
    </w:p>
    <w:p>
      <w:pPr>
        <w:ind w:left="1373" w:hanging="320"/>
        <w:spacing w:after="0" w:line="204" w:lineRule="auto"/>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1R12, Table 1-2, Table 1-3R6, and Table 1-4R4”</w:t>
      </w:r>
    </w:p>
    <w:p>
      <w:pPr>
        <w:ind w:left="1373" w:hanging="320"/>
        <w:spacing w:after="0"/>
        <w:tabs>
          <w:tab w:leader="none" w:pos="137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“Table 1R12, Table 1-2, Table 1-3R6, and Table 1-4R5”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3"/>
        <w:spacing w:after="0"/>
        <w:tabs>
          <w:tab w:leader="none" w:pos="121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SA-30, Page 2</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427" w:right="339" w:bottom="1440" w:gutter="0" w:footer="0" w:header="0"/>
        </w:sectPr>
      </w:pPr>
    </w:p>
    <w:bookmarkStart w:id="158" w:name="page159"/>
    <w:bookmarkEnd w:id="158"/>
    <w:p>
      <w:pPr>
        <w:ind w:left="1300" w:hanging="320"/>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“Table 1R12, Table 1-2, Table 1-3R6, and Table 1-4R6”</w:t>
      </w:r>
    </w:p>
    <w:p>
      <w:pPr>
        <w:ind w:left="1300" w:hanging="320"/>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“Table 1R12, Table 1-2, Table 1-3R6, Table 1-4R7, and Table 1-5”</w:t>
      </w:r>
    </w:p>
    <w:p>
      <w:pPr>
        <w:spacing w:after="0" w:line="19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References in the Purchase Agreement and any supplemental agreements and associated letter agreements to “Table 1R4” or “Table 1R5” (where no corresponding reference to Table 1-2 is made) are deemed to refer to “Table 1R12 and Table 1-3R6”, (including without limitation, and for the avoidance of doubt, the references to Table 1R4 in Section 3 of Supplemental Agreement No. 9 dated April 6, 2018). However, references in the Purchase Agreement to Table 1R5 in Letter Agreement AAL-PA-LA-1106650R4 entitled “[****]” is deemed to only refer to Table 1R12 and the references to Table 1R5 in the Slide Letter Agreement remain references to Table 1R5.</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References in the Purchase Agreement and any supplemental agreements and associated letter agreements to “Table 1R6”, “Table 1R7”, “Table 1R8”, “Table 1R9”, “Table 1R10” or “Table 1R11” (where no corresponding reference to either Table 1-2 or Table 1-3 is made) are deemed to refer to only “Table 1R12”.</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Additionally, for the avoidance of doubt, references in the Purchase Agreement and any supplemental agreements and associated letter agreements to “Table 1-2” (where no corresponding reference to Table 1R4 or Table 1R5 is made) remain references to “Table 1-2”.</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References in the Purchase Agreement and any supplemental agreements and associated letter agreements to “Table 1-5” (where no corresponding reference to any other Table is mentioned) are deemed to refer to only “Table 1-5R1.</w:t>
      </w:r>
    </w:p>
    <w:p>
      <w:pPr>
        <w:spacing w:after="0" w:line="15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5.3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20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9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341"/>
        </w:trPr>
        <w:tc>
          <w:tcPr>
            <w:tcW w:w="2200" w:type="dxa"/>
            <w:vAlign w:val="bottom"/>
            <w:tcBorders>
              <w:lef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w:t>
            </w:r>
          </w:p>
        </w:tc>
      </w:tr>
      <w:tr>
        <w:trPr>
          <w:trHeight w:val="378"/>
        </w:trPr>
        <w:tc>
          <w:tcPr>
            <w:tcW w:w="40" w:type="dxa"/>
            <w:vAlign w:val="bottom"/>
            <w:tcBorders>
              <w:left w:val="single" w:sz="8" w:color="auto"/>
            </w:tcBorders>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22"/>
                <w:szCs w:val="22"/>
                <w:color w:val="auto"/>
              </w:rPr>
              <w:t>1106651R11</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1106651R12</w:t>
            </w:r>
          </w:p>
        </w:tc>
      </w:tr>
      <w:tr>
        <w:trPr>
          <w:trHeight w:val="85"/>
        </w:trPr>
        <w:tc>
          <w:tcPr>
            <w:tcW w:w="4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r>
        <w:trPr>
          <w:trHeight w:val="55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40" w:type="dxa"/>
            <w:vAlign w:val="bottom"/>
            <w:gridSpan w:val="4"/>
          </w:tcPr>
          <w:p>
            <w:pPr>
              <w:ind w:left="2340"/>
              <w:spacing w:after="0"/>
              <w:rPr>
                <w:sz w:val="20"/>
                <w:szCs w:val="20"/>
                <w:color w:val="auto"/>
              </w:rPr>
            </w:pPr>
            <w:r>
              <w:rPr>
                <w:rFonts w:ascii="Arial" w:cs="Arial" w:eastAsia="Arial" w:hAnsi="Arial"/>
                <w:sz w:val="22"/>
                <w:szCs w:val="22"/>
                <w:color w:val="auto"/>
              </w:rPr>
              <w:t>Intentionally Left Blank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SA-30, Page 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298" w:right="339" w:bottom="1440" w:gutter="0" w:footer="0" w:header="0"/>
        </w:sectPr>
      </w:pPr>
    </w:p>
    <w:bookmarkStart w:id="159" w:name="page160"/>
    <w:bookmarkEnd w:id="159"/>
    <w:p>
      <w:pPr>
        <w:spacing w:after="0" w:line="200" w:lineRule="exact"/>
        <w:rPr>
          <w:sz w:val="20"/>
          <w:szCs w:val="20"/>
          <w:color w:val="auto"/>
        </w:rPr>
      </w:pPr>
    </w:p>
    <w:p>
      <w:pPr>
        <w:spacing w:after="0" w:line="395"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67945</wp:posOffset>
            </wp:positionV>
            <wp:extent cx="3531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67945</wp:posOffset>
            </wp:positionV>
            <wp:extent cx="3531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Senior 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67945</wp:posOffset>
            </wp:positionV>
            <wp:extent cx="35318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179" w:lineRule="exact"/>
        <w:rPr>
          <w:sz w:val="20"/>
          <w:szCs w:val="20"/>
          <w:color w:val="auto"/>
        </w:rPr>
      </w:pPr>
    </w:p>
    <w:p>
      <w:pPr>
        <w:jc w:val="right"/>
        <w:ind w:right="329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ARTICLES</w:t>
      </w:r>
    </w:p>
    <w:p>
      <w:pPr>
        <w:spacing w:after="0" w:line="378"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1.</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2.</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3.</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4.</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5.</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6.</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w:t>
      </w:r>
    </w:p>
    <w:p>
      <w:pPr>
        <w:spacing w:after="0" w:line="74" w:lineRule="exact"/>
        <w:rPr>
          <w:sz w:val="20"/>
          <w:szCs w:val="20"/>
          <w:color w:val="auto"/>
        </w:rPr>
      </w:pPr>
    </w:p>
    <w:p>
      <w:pPr>
        <w:jc w:val="center"/>
        <w:ind w:left="580"/>
        <w:spacing w:after="0"/>
        <w:rPr>
          <w:sz w:val="20"/>
          <w:szCs w:val="20"/>
          <w:color w:val="auto"/>
        </w:rPr>
      </w:pPr>
      <w:r>
        <w:rPr>
          <w:rFonts w:ascii="Arial" w:cs="Arial" w:eastAsia="Arial" w:hAnsi="Arial"/>
          <w:sz w:val="22"/>
          <w:szCs w:val="22"/>
          <w:color w:val="auto"/>
        </w:rPr>
        <w:t>1R12</w:t>
      </w:r>
    </w:p>
    <w:p>
      <w:pPr>
        <w:jc w:val="center"/>
        <w:ind w:left="580"/>
        <w:spacing w:after="0" w:line="204" w:lineRule="auto"/>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jc w:val="center"/>
        <w:ind w:left="580"/>
        <w:spacing w:after="0"/>
        <w:rPr>
          <w:sz w:val="20"/>
          <w:szCs w:val="20"/>
          <w:color w:val="auto"/>
        </w:rPr>
      </w:pPr>
      <w:r>
        <w:rPr>
          <w:rFonts w:ascii="Arial" w:cs="Arial" w:eastAsia="Arial" w:hAnsi="Arial"/>
          <w:sz w:val="22"/>
          <w:szCs w:val="22"/>
          <w:color w:val="auto"/>
        </w:rPr>
        <w:t>1-3R6</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1-4R7</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1-5R1</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87" w:lineRule="exact"/>
        <w:rPr>
          <w:sz w:val="20"/>
          <w:szCs w:val="20"/>
          <w:color w:val="auto"/>
        </w:rPr>
      </w:pPr>
    </w:p>
    <w:p>
      <w:pPr>
        <w:ind w:left="940"/>
        <w:spacing w:after="0"/>
        <w:rPr>
          <w:sz w:val="20"/>
          <w:szCs w:val="20"/>
          <w:color w:val="auto"/>
        </w:rPr>
      </w:pPr>
      <w:r>
        <w:rPr>
          <w:rFonts w:ascii="Arial" w:cs="Arial" w:eastAsia="Arial" w:hAnsi="Arial"/>
          <w:sz w:val="22"/>
          <w:szCs w:val="22"/>
          <w:color w:val="auto"/>
        </w:rPr>
        <w:t>AR1</w:t>
      </w:r>
    </w:p>
    <w:p>
      <w:pPr>
        <w:ind w:left="1000"/>
        <w:spacing w:after="0"/>
        <w:rPr>
          <w:sz w:val="20"/>
          <w:szCs w:val="20"/>
          <w:color w:val="auto"/>
        </w:rPr>
      </w:pPr>
      <w:r>
        <w:rPr>
          <w:rFonts w:ascii="Arial" w:cs="Arial" w:eastAsia="Arial" w:hAnsi="Arial"/>
          <w:sz w:val="22"/>
          <w:szCs w:val="22"/>
          <w:color w:val="auto"/>
        </w:rPr>
        <w:t>A2</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A3</w:t>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B.</w:t>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r>
      <w:tr>
        <w:trPr>
          <w:trHeight w:val="230"/>
        </w:trPr>
        <w:tc>
          <w:tcPr>
            <w:tcW w:w="7520" w:type="dxa"/>
            <w:vAlign w:val="bottom"/>
          </w:tcPr>
          <w:p>
            <w:pPr>
              <w:spacing w:after="0"/>
              <w:rPr>
                <w:sz w:val="19"/>
                <w:szCs w:val="19"/>
                <w:color w:val="auto"/>
              </w:rPr>
            </w:pPr>
          </w:p>
        </w:tc>
        <w:tc>
          <w:tcPr>
            <w:tcW w:w="94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7"/>
              </w:rPr>
              <w:t>NUMBER</w:t>
            </w:r>
          </w:p>
        </w:tc>
      </w:tr>
      <w:tr>
        <w:trPr>
          <w:trHeight w:val="435"/>
        </w:trPr>
        <w:tc>
          <w:tcPr>
            <w:tcW w:w="7520" w:type="dxa"/>
            <w:vAlign w:val="bottom"/>
          </w:tcPr>
          <w:p>
            <w:pPr>
              <w:spacing w:after="0"/>
              <w:rPr>
                <w:sz w:val="20"/>
                <w:szCs w:val="20"/>
                <w:color w:val="auto"/>
              </w:rPr>
            </w:pPr>
            <w:r>
              <w:rPr>
                <w:rFonts w:ascii="Arial" w:cs="Arial" w:eastAsia="Arial" w:hAnsi="Arial"/>
                <w:sz w:val="22"/>
                <w:szCs w:val="22"/>
                <w:color w:val="auto"/>
              </w:rPr>
              <w:t>Quantity, Model and Description</w:t>
            </w:r>
          </w:p>
        </w:tc>
        <w:tc>
          <w:tcPr>
            <w:tcW w:w="940" w:type="dxa"/>
            <w:vAlign w:val="bottom"/>
          </w:tcPr>
          <w:p>
            <w:pPr>
              <w:spacing w:after="0"/>
              <w:rPr>
                <w:sz w:val="24"/>
                <w:szCs w:val="24"/>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22"/>
                <w:szCs w:val="22"/>
                <w:color w:val="auto"/>
              </w:rPr>
              <w:t>Delivery Schedule</w:t>
            </w:r>
          </w:p>
        </w:tc>
        <w:tc>
          <w:tcPr>
            <w:tcW w:w="940" w:type="dxa"/>
            <w:vAlign w:val="bottom"/>
          </w:tcPr>
          <w:p>
            <w:pPr>
              <w:spacing w:after="0"/>
              <w:rPr>
                <w:sz w:val="24"/>
                <w:szCs w:val="24"/>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22"/>
                <w:szCs w:val="22"/>
                <w:color w:val="auto"/>
              </w:rPr>
              <w:t>Price</w:t>
            </w:r>
          </w:p>
        </w:tc>
        <w:tc>
          <w:tcPr>
            <w:tcW w:w="940" w:type="dxa"/>
            <w:vAlign w:val="bottom"/>
          </w:tcPr>
          <w:p>
            <w:pPr>
              <w:spacing w:after="0"/>
              <w:rPr>
                <w:sz w:val="24"/>
                <w:szCs w:val="24"/>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22"/>
                <w:szCs w:val="22"/>
                <w:color w:val="auto"/>
              </w:rPr>
              <w:t>Payment</w:t>
            </w:r>
          </w:p>
        </w:tc>
        <w:tc>
          <w:tcPr>
            <w:tcW w:w="940" w:type="dxa"/>
            <w:vAlign w:val="bottom"/>
          </w:tcPr>
          <w:p>
            <w:pPr>
              <w:spacing w:after="0"/>
              <w:rPr>
                <w:sz w:val="24"/>
                <w:szCs w:val="24"/>
                <w:color w:val="auto"/>
              </w:rPr>
            </w:pPr>
          </w:p>
        </w:tc>
      </w:tr>
      <w:tr>
        <w:trPr>
          <w:trHeight w:val="346"/>
        </w:trPr>
        <w:tc>
          <w:tcPr>
            <w:tcW w:w="7520" w:type="dxa"/>
            <w:vAlign w:val="bottom"/>
          </w:tcPr>
          <w:p>
            <w:pPr>
              <w:spacing w:after="0"/>
              <w:rPr>
                <w:sz w:val="20"/>
                <w:szCs w:val="20"/>
                <w:color w:val="auto"/>
              </w:rPr>
            </w:pPr>
            <w:r>
              <w:rPr>
                <w:rFonts w:ascii="Arial" w:cs="Arial" w:eastAsia="Arial" w:hAnsi="Arial"/>
                <w:sz w:val="22"/>
                <w:szCs w:val="22"/>
                <w:color w:val="auto"/>
              </w:rPr>
              <w:t>Additional Terms</w:t>
            </w:r>
          </w:p>
        </w:tc>
        <w:tc>
          <w:tcPr>
            <w:tcW w:w="940" w:type="dxa"/>
            <w:vAlign w:val="bottom"/>
          </w:tcPr>
          <w:p>
            <w:pPr>
              <w:spacing w:after="0"/>
              <w:rPr>
                <w:sz w:val="24"/>
                <w:szCs w:val="24"/>
                <w:color w:val="auto"/>
              </w:rPr>
            </w:pPr>
          </w:p>
        </w:tc>
      </w:tr>
      <w:tr>
        <w:trPr>
          <w:trHeight w:val="275"/>
        </w:trPr>
        <w:tc>
          <w:tcPr>
            <w:tcW w:w="7520" w:type="dxa"/>
            <w:vAlign w:val="bottom"/>
          </w:tcPr>
          <w:p>
            <w:pPr>
              <w:spacing w:after="0"/>
              <w:rPr>
                <w:sz w:val="20"/>
                <w:szCs w:val="20"/>
                <w:color w:val="auto"/>
              </w:rPr>
            </w:pPr>
            <w:r>
              <w:rPr>
                <w:rFonts w:ascii="Arial" w:cs="Arial" w:eastAsia="Arial" w:hAnsi="Arial"/>
                <w:sz w:val="22"/>
                <w:szCs w:val="22"/>
                <w:color w:val="auto"/>
              </w:rPr>
              <w:t>Confidentiality</w:t>
            </w:r>
          </w:p>
        </w:tc>
        <w:tc>
          <w:tcPr>
            <w:tcW w:w="940" w:type="dxa"/>
            <w:vAlign w:val="bottom"/>
          </w:tcPr>
          <w:p>
            <w:pPr>
              <w:spacing w:after="0"/>
              <w:rPr>
                <w:sz w:val="23"/>
                <w:szCs w:val="23"/>
                <w:color w:val="auto"/>
              </w:rPr>
            </w:pPr>
          </w:p>
        </w:tc>
      </w:tr>
      <w:tr>
        <w:trPr>
          <w:trHeight w:val="629"/>
        </w:trPr>
        <w:tc>
          <w:tcPr>
            <w:tcW w:w="7520" w:type="dxa"/>
            <w:vAlign w:val="bottom"/>
          </w:tcPr>
          <w:p>
            <w:pPr>
              <w:spacing w:after="0"/>
              <w:rPr>
                <w:sz w:val="20"/>
                <w:szCs w:val="20"/>
                <w:color w:val="auto"/>
              </w:rPr>
            </w:pPr>
            <w:r>
              <w:rPr>
                <w:rFonts w:ascii="Arial" w:cs="Arial" w:eastAsia="Arial" w:hAnsi="Arial"/>
                <w:sz w:val="22"/>
                <w:szCs w:val="22"/>
                <w:color w:val="auto"/>
              </w:rPr>
              <w:t>Aircraft Information Table</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19</w:t>
            </w:r>
          </w:p>
        </w:tc>
      </w:tr>
      <w:tr>
        <w:trPr>
          <w:trHeight w:val="216"/>
        </w:trPr>
        <w:tc>
          <w:tcPr>
            <w:tcW w:w="7520" w:type="dxa"/>
            <w:vAlign w:val="bottom"/>
          </w:tcPr>
          <w:p>
            <w:pPr>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4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r>
      <w:tr>
        <w:trPr>
          <w:trHeight w:val="211"/>
        </w:trPr>
        <w:tc>
          <w:tcPr>
            <w:tcW w:w="7520" w:type="dxa"/>
            <w:vAlign w:val="bottom"/>
          </w:tcPr>
          <w:p>
            <w:pPr>
              <w:spacing w:after="0" w:line="212" w:lineRule="exact"/>
              <w:rPr>
                <w:sz w:val="20"/>
                <w:szCs w:val="20"/>
                <w:color w:val="auto"/>
              </w:rPr>
            </w:pPr>
            <w:r>
              <w:rPr>
                <w:rFonts w:ascii="Arial" w:cs="Arial" w:eastAsia="Arial" w:hAnsi="Arial"/>
                <w:sz w:val="19"/>
                <w:szCs w:val="19"/>
                <w:color w:val="auto"/>
              </w:rPr>
              <w:t xml:space="preserve">[****] </w:t>
            </w:r>
            <w:r>
              <w:rPr>
                <w:rFonts w:ascii="Arial" w:cs="Arial" w:eastAsia="Arial" w:hAnsi="Arial"/>
                <w:sz w:val="21"/>
                <w:szCs w:val="21"/>
                <w:color w:val="auto"/>
              </w:rPr>
              <w:t>Aircraft Delivery, Description, Price, and Advance Payments</w:t>
            </w:r>
          </w:p>
        </w:tc>
        <w:tc>
          <w:tcPr>
            <w:tcW w:w="940" w:type="dxa"/>
            <w:vAlign w:val="bottom"/>
          </w:tcPr>
          <w:p>
            <w:pPr>
              <w:jc w:val="center"/>
              <w:spacing w:after="0" w:line="211" w:lineRule="exact"/>
              <w:rPr>
                <w:sz w:val="20"/>
                <w:szCs w:val="20"/>
                <w:color w:val="auto"/>
              </w:rPr>
            </w:pPr>
            <w:r>
              <w:rPr>
                <w:rFonts w:ascii="Arial" w:cs="Arial" w:eastAsia="Arial" w:hAnsi="Arial"/>
                <w:sz w:val="22"/>
                <w:szCs w:val="22"/>
                <w:color w:val="auto"/>
                <w:w w:val="97"/>
              </w:rPr>
              <w:t>19</w:t>
            </w:r>
          </w:p>
        </w:tc>
      </w:tr>
      <w:tr>
        <w:trPr>
          <w:trHeight w:val="216"/>
        </w:trPr>
        <w:tc>
          <w:tcPr>
            <w:tcW w:w="7520" w:type="dxa"/>
            <w:vAlign w:val="bottom"/>
          </w:tcPr>
          <w:p>
            <w:pPr>
              <w:spacing w:after="0" w:line="216" w:lineRule="exact"/>
              <w:rPr>
                <w:sz w:val="20"/>
                <w:szCs w:val="20"/>
                <w:color w:val="auto"/>
              </w:rPr>
            </w:pPr>
            <w:r>
              <w:rPr>
                <w:rFonts w:ascii="Arial" w:cs="Arial" w:eastAsia="Arial" w:hAnsi="Arial"/>
                <w:sz w:val="22"/>
                <w:szCs w:val="22"/>
                <w:b w:val="1"/>
                <w:bCs w:val="1"/>
                <w:color w:val="auto"/>
              </w:rPr>
              <w:t xml:space="preserve">737-8 </w:t>
            </w:r>
            <w:r>
              <w:rPr>
                <w:rFonts w:ascii="Arial" w:cs="Arial" w:eastAsia="Arial" w:hAnsi="Arial"/>
                <w:sz w:val="18"/>
                <w:szCs w:val="18"/>
                <w:b w:val="1"/>
                <w:bCs w:val="1"/>
                <w:color w:val="auto"/>
              </w:rPr>
              <w:t>[****]</w:t>
            </w:r>
            <w:r>
              <w:rPr>
                <w:rFonts w:ascii="Arial" w:cs="Arial" w:eastAsia="Arial" w:hAnsi="Arial"/>
                <w:sz w:val="22"/>
                <w:szCs w:val="22"/>
                <w:b w:val="1"/>
                <w:bCs w:val="1"/>
                <w:color w:val="auto"/>
              </w:rPr>
              <w:t xml:space="preserve"> Aircraft Delivery, Description, Price, and Advance</w:t>
            </w:r>
          </w:p>
        </w:tc>
        <w:tc>
          <w:tcPr>
            <w:tcW w:w="940" w:type="dxa"/>
            <w:vAlign w:val="bottom"/>
          </w:tcPr>
          <w:p>
            <w:pPr>
              <w:spacing w:after="0"/>
              <w:rPr>
                <w:sz w:val="18"/>
                <w:szCs w:val="18"/>
                <w:color w:val="auto"/>
              </w:rPr>
            </w:pPr>
          </w:p>
        </w:tc>
      </w:tr>
      <w:tr>
        <w:trPr>
          <w:trHeight w:val="292"/>
        </w:trPr>
        <w:tc>
          <w:tcPr>
            <w:tcW w:w="7520" w:type="dxa"/>
            <w:vAlign w:val="bottom"/>
          </w:tcPr>
          <w:p>
            <w:pPr>
              <w:spacing w:after="0"/>
              <w:rPr>
                <w:sz w:val="20"/>
                <w:szCs w:val="20"/>
                <w:color w:val="auto"/>
              </w:rPr>
            </w:pPr>
            <w:r>
              <w:rPr>
                <w:rFonts w:ascii="Arial" w:cs="Arial" w:eastAsia="Arial" w:hAnsi="Arial"/>
                <w:sz w:val="22"/>
                <w:szCs w:val="22"/>
                <w:b w:val="1"/>
                <w:bCs w:val="1"/>
                <w:color w:val="auto"/>
              </w:rPr>
              <w:t>Payments</w:t>
            </w:r>
          </w:p>
        </w:tc>
        <w:tc>
          <w:tcPr>
            <w:tcW w:w="940" w:type="dxa"/>
            <w:vAlign w:val="bottom"/>
          </w:tcPr>
          <w:p>
            <w:pPr>
              <w:jc w:val="center"/>
              <w:spacing w:after="0"/>
              <w:rPr>
                <w:sz w:val="20"/>
                <w:szCs w:val="20"/>
                <w:color w:val="auto"/>
              </w:rPr>
            </w:pPr>
            <w:r>
              <w:rPr>
                <w:rFonts w:ascii="Arial" w:cs="Arial" w:eastAsia="Arial" w:hAnsi="Arial"/>
                <w:sz w:val="22"/>
                <w:szCs w:val="22"/>
                <w:b w:val="1"/>
                <w:bCs w:val="1"/>
                <w:color w:val="auto"/>
                <w:w w:val="97"/>
              </w:rPr>
              <w:t>30</w:t>
            </w:r>
          </w:p>
        </w:tc>
      </w:tr>
      <w:tr>
        <w:trPr>
          <w:trHeight w:val="221"/>
        </w:trPr>
        <w:tc>
          <w:tcPr>
            <w:tcW w:w="7520" w:type="dxa"/>
            <w:vAlign w:val="bottom"/>
          </w:tcPr>
          <w:p>
            <w:pPr>
              <w:spacing w:after="0" w:line="222" w:lineRule="exact"/>
              <w:rPr>
                <w:sz w:val="20"/>
                <w:szCs w:val="20"/>
                <w:color w:val="auto"/>
              </w:rPr>
            </w:pPr>
            <w:r>
              <w:rPr>
                <w:rFonts w:ascii="Arial" w:cs="Arial" w:eastAsia="Arial" w:hAnsi="Arial"/>
                <w:sz w:val="22"/>
                <w:szCs w:val="22"/>
                <w:b w:val="1"/>
                <w:bCs w:val="1"/>
                <w:color w:val="auto"/>
              </w:rPr>
              <w:t xml:space="preserve">[****] 737-8 </w:t>
            </w:r>
            <w:r>
              <w:rPr>
                <w:rFonts w:ascii="Arial" w:cs="Arial" w:eastAsia="Arial" w:hAnsi="Arial"/>
                <w:sz w:val="18"/>
                <w:szCs w:val="18"/>
                <w:b w:val="1"/>
                <w:bCs w:val="1"/>
                <w:color w:val="auto"/>
              </w:rPr>
              <w:t>[****]</w:t>
            </w:r>
            <w:r>
              <w:rPr>
                <w:rFonts w:ascii="Arial" w:cs="Arial" w:eastAsia="Arial" w:hAnsi="Arial"/>
                <w:sz w:val="22"/>
                <w:szCs w:val="22"/>
                <w:b w:val="1"/>
                <w:bCs w:val="1"/>
                <w:color w:val="auto"/>
              </w:rPr>
              <w:t xml:space="preserve"> Aircraft Delivery, Description, Price, and Advance</w:t>
            </w:r>
          </w:p>
        </w:tc>
        <w:tc>
          <w:tcPr>
            <w:tcW w:w="940" w:type="dxa"/>
            <w:vAlign w:val="bottom"/>
          </w:tcPr>
          <w:p>
            <w:pPr>
              <w:jc w:val="center"/>
              <w:spacing w:after="0" w:line="222" w:lineRule="exact"/>
              <w:rPr>
                <w:sz w:val="20"/>
                <w:szCs w:val="20"/>
                <w:color w:val="auto"/>
              </w:rPr>
            </w:pPr>
            <w:r>
              <w:rPr>
                <w:rFonts w:ascii="Arial" w:cs="Arial" w:eastAsia="Arial" w:hAnsi="Arial"/>
                <w:sz w:val="22"/>
                <w:szCs w:val="22"/>
                <w:b w:val="1"/>
                <w:bCs w:val="1"/>
                <w:color w:val="auto"/>
                <w:w w:val="97"/>
              </w:rPr>
              <w:t>30</w:t>
            </w:r>
          </w:p>
        </w:tc>
      </w:tr>
      <w:tr>
        <w:trPr>
          <w:trHeight w:val="301"/>
        </w:trPr>
        <w:tc>
          <w:tcPr>
            <w:tcW w:w="7520" w:type="dxa"/>
            <w:vAlign w:val="bottom"/>
          </w:tcPr>
          <w:p>
            <w:pPr>
              <w:spacing w:after="0"/>
              <w:rPr>
                <w:sz w:val="20"/>
                <w:szCs w:val="20"/>
                <w:color w:val="auto"/>
              </w:rPr>
            </w:pPr>
            <w:r>
              <w:rPr>
                <w:rFonts w:ascii="Arial" w:cs="Arial" w:eastAsia="Arial" w:hAnsi="Arial"/>
                <w:sz w:val="22"/>
                <w:szCs w:val="22"/>
                <w:b w:val="1"/>
                <w:bCs w:val="1"/>
                <w:color w:val="auto"/>
              </w:rPr>
              <w:t>Payments</w:t>
            </w:r>
          </w:p>
        </w:tc>
        <w:tc>
          <w:tcPr>
            <w:tcW w:w="940" w:type="dxa"/>
            <w:vAlign w:val="bottom"/>
          </w:tcPr>
          <w:p>
            <w:pPr>
              <w:spacing w:after="0"/>
              <w:rPr>
                <w:sz w:val="24"/>
                <w:szCs w:val="24"/>
                <w:color w:val="auto"/>
              </w:rPr>
            </w:pPr>
          </w:p>
        </w:tc>
      </w:tr>
      <w:tr>
        <w:trPr>
          <w:trHeight w:val="621"/>
        </w:trPr>
        <w:tc>
          <w:tcPr>
            <w:tcW w:w="7520" w:type="dxa"/>
            <w:vAlign w:val="bottom"/>
          </w:tcPr>
          <w:p>
            <w:pPr>
              <w:spacing w:after="0"/>
              <w:rPr>
                <w:sz w:val="20"/>
                <w:szCs w:val="20"/>
                <w:color w:val="auto"/>
              </w:rPr>
            </w:pPr>
            <w:r>
              <w:rPr>
                <w:rFonts w:ascii="Arial" w:cs="Arial" w:eastAsia="Arial" w:hAnsi="Arial"/>
                <w:sz w:val="22"/>
                <w:szCs w:val="22"/>
                <w:color w:val="auto"/>
              </w:rPr>
              <w:t>Aircraft Configuration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Revised Delivery Aircraft Configuration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9</w:t>
            </w: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 Aircraft Configuration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29</w:t>
            </w: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Aircraft Delivery Requirements and Responsibilities</w:t>
            </w:r>
          </w:p>
        </w:tc>
        <w:tc>
          <w:tcPr>
            <w:tcW w:w="940" w:type="dxa"/>
            <w:vAlign w:val="bottom"/>
          </w:tcPr>
          <w:p>
            <w:pPr>
              <w:spacing w:after="0"/>
              <w:rPr>
                <w:sz w:val="23"/>
                <w:szCs w:val="23"/>
                <w:color w:val="auto"/>
              </w:rPr>
            </w:pPr>
          </w:p>
        </w:tc>
      </w:tr>
      <w:tr>
        <w:trPr>
          <w:trHeight w:val="275"/>
        </w:trPr>
        <w:tc>
          <w:tcPr>
            <w:tcW w:w="7520" w:type="dxa"/>
            <w:vAlign w:val="bottom"/>
          </w:tcPr>
          <w:p>
            <w:pPr>
              <w:spacing w:after="0"/>
              <w:rPr>
                <w:sz w:val="20"/>
                <w:szCs w:val="20"/>
                <w:color w:val="auto"/>
              </w:rPr>
            </w:pPr>
            <w:r>
              <w:rPr>
                <w:rFonts w:ascii="Arial" w:cs="Arial" w:eastAsia="Arial" w:hAnsi="Arial"/>
                <w:sz w:val="22"/>
                <w:szCs w:val="22"/>
                <w:color w:val="auto"/>
              </w:rPr>
              <w:t>Definitions</w:t>
            </w:r>
          </w:p>
        </w:tc>
        <w:tc>
          <w:tcPr>
            <w:tcW w:w="940" w:type="dxa"/>
            <w:vAlign w:val="bottom"/>
          </w:tcPr>
          <w:p>
            <w:pPr>
              <w:spacing w:after="0"/>
              <w:rPr>
                <w:sz w:val="23"/>
                <w:szCs w:val="23"/>
                <w:color w:val="auto"/>
              </w:rPr>
            </w:pPr>
          </w:p>
        </w:tc>
      </w:tr>
    </w:tbl>
    <w:p>
      <w:pPr>
        <w:spacing w:after="0" w:line="66" w:lineRule="exact"/>
        <w:rPr>
          <w:sz w:val="20"/>
          <w:szCs w:val="20"/>
          <w:color w:val="auto"/>
        </w:rPr>
      </w:pPr>
    </w:p>
    <w:p>
      <w:pPr>
        <w:sectPr>
          <w:pgSz w:w="11900" w:h="16838" w:orient="portrait"/>
          <w:cols w:equalWidth="0" w:num="2">
            <w:col w:w="1700" w:space="720"/>
            <w:col w:w="8460"/>
          </w:cols>
          <w:pgMar w:left="400" w:top="1440" w:right="619" w:bottom="1440" w:gutter="0" w:footer="0" w:header="0"/>
        </w:sectPr>
      </w:pPr>
    </w:p>
    <w:p>
      <w:pPr>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00" w:type="dxa"/>
            <w:vAlign w:val="bottom"/>
          </w:tcPr>
          <w:p>
            <w:pPr>
              <w:jc w:val="center"/>
              <w:ind w:right="12"/>
              <w:spacing w:after="0"/>
              <w:rPr>
                <w:sz w:val="20"/>
                <w:szCs w:val="20"/>
                <w:color w:val="auto"/>
              </w:rPr>
            </w:pPr>
            <w:r>
              <w:rPr>
                <w:rFonts w:ascii="Arial" w:cs="Arial" w:eastAsia="Arial" w:hAnsi="Arial"/>
                <w:sz w:val="22"/>
                <w:szCs w:val="22"/>
                <w:color w:val="auto"/>
              </w:rPr>
              <w:t>AE1.</w:t>
            </w:r>
          </w:p>
        </w:tc>
        <w:tc>
          <w:tcPr>
            <w:tcW w:w="5300" w:type="dxa"/>
            <w:vAlign w:val="bottom"/>
          </w:tcPr>
          <w:p>
            <w:pPr>
              <w:ind w:left="20"/>
              <w:spacing w:after="0"/>
              <w:rPr>
                <w:sz w:val="20"/>
                <w:szCs w:val="20"/>
                <w:color w:val="auto"/>
              </w:rPr>
            </w:pPr>
            <w:r>
              <w:rPr>
                <w:rFonts w:ascii="Arial" w:cs="Arial" w:eastAsia="Arial" w:hAnsi="Arial"/>
                <w:sz w:val="19"/>
                <w:szCs w:val="19"/>
                <w:color w:val="auto"/>
              </w:rPr>
              <w:t>[****]</w:t>
            </w:r>
          </w:p>
        </w:tc>
        <w:tc>
          <w:tcPr>
            <w:tcW w:w="2820" w:type="dxa"/>
            <w:vAlign w:val="bottom"/>
          </w:tcPr>
          <w:p>
            <w:pPr>
              <w:spacing w:after="0"/>
              <w:rPr>
                <w:sz w:val="23"/>
                <w:szCs w:val="23"/>
                <w:color w:val="auto"/>
              </w:rPr>
            </w:pPr>
          </w:p>
        </w:tc>
      </w:tr>
      <w:tr>
        <w:trPr>
          <w:trHeight w:val="270"/>
        </w:trPr>
        <w:tc>
          <w:tcPr>
            <w:tcW w:w="2400" w:type="dxa"/>
            <w:vAlign w:val="bottom"/>
          </w:tcPr>
          <w:p>
            <w:pPr>
              <w:jc w:val="center"/>
              <w:ind w:right="12"/>
              <w:spacing w:after="0"/>
              <w:rPr>
                <w:sz w:val="20"/>
                <w:szCs w:val="20"/>
                <w:color w:val="auto"/>
              </w:rPr>
            </w:pPr>
            <w:r>
              <w:rPr>
                <w:rFonts w:ascii="Arial" w:cs="Arial" w:eastAsia="Arial" w:hAnsi="Arial"/>
                <w:sz w:val="22"/>
                <w:szCs w:val="22"/>
                <w:color w:val="auto"/>
                <w:w w:val="98"/>
              </w:rPr>
              <w:t>BFE1.</w:t>
            </w:r>
          </w:p>
        </w:tc>
        <w:tc>
          <w:tcPr>
            <w:tcW w:w="5300" w:type="dxa"/>
            <w:vAlign w:val="bottom"/>
          </w:tcPr>
          <w:p>
            <w:pPr>
              <w:ind w:left="20"/>
              <w:spacing w:after="0"/>
              <w:rPr>
                <w:sz w:val="20"/>
                <w:szCs w:val="20"/>
                <w:color w:val="auto"/>
              </w:rPr>
            </w:pPr>
            <w:r>
              <w:rPr>
                <w:rFonts w:ascii="Arial" w:cs="Arial" w:eastAsia="Arial" w:hAnsi="Arial"/>
                <w:sz w:val="22"/>
                <w:szCs w:val="22"/>
                <w:color w:val="auto"/>
              </w:rPr>
              <w:t>BFE Variables</w:t>
            </w:r>
          </w:p>
        </w:tc>
        <w:tc>
          <w:tcPr>
            <w:tcW w:w="2820" w:type="dxa"/>
            <w:vAlign w:val="bottom"/>
          </w:tcPr>
          <w:p>
            <w:pPr>
              <w:spacing w:after="0"/>
              <w:rPr>
                <w:sz w:val="23"/>
                <w:szCs w:val="23"/>
                <w:color w:val="auto"/>
              </w:rPr>
            </w:pPr>
          </w:p>
        </w:tc>
      </w:tr>
      <w:tr>
        <w:trPr>
          <w:trHeight w:val="270"/>
        </w:trPr>
        <w:tc>
          <w:tcPr>
            <w:tcW w:w="2400" w:type="dxa"/>
            <w:vAlign w:val="bottom"/>
          </w:tcPr>
          <w:p>
            <w:pPr>
              <w:jc w:val="center"/>
              <w:ind w:right="12"/>
              <w:spacing w:after="0"/>
              <w:rPr>
                <w:sz w:val="20"/>
                <w:szCs w:val="20"/>
                <w:color w:val="auto"/>
              </w:rPr>
            </w:pPr>
            <w:r>
              <w:rPr>
                <w:rFonts w:ascii="Arial" w:cs="Arial" w:eastAsia="Arial" w:hAnsi="Arial"/>
                <w:sz w:val="22"/>
                <w:szCs w:val="22"/>
                <w:color w:val="auto"/>
                <w:w w:val="98"/>
              </w:rPr>
              <w:t>CS1R1.</w:t>
            </w:r>
          </w:p>
        </w:tc>
        <w:tc>
          <w:tcPr>
            <w:tcW w:w="5300" w:type="dxa"/>
            <w:vAlign w:val="bottom"/>
          </w:tcPr>
          <w:p>
            <w:pPr>
              <w:ind w:left="20"/>
              <w:spacing w:after="0"/>
              <w:rPr>
                <w:sz w:val="20"/>
                <w:szCs w:val="20"/>
                <w:color w:val="auto"/>
              </w:rPr>
            </w:pPr>
            <w:r>
              <w:rPr>
                <w:rFonts w:ascii="Arial" w:cs="Arial" w:eastAsia="Arial" w:hAnsi="Arial"/>
                <w:sz w:val="22"/>
                <w:szCs w:val="22"/>
                <w:color w:val="auto"/>
              </w:rPr>
              <w:t>Customer Support Variables</w:t>
            </w:r>
          </w:p>
        </w:tc>
        <w:tc>
          <w:tcPr>
            <w:tcW w:w="2820" w:type="dxa"/>
            <w:vAlign w:val="bottom"/>
          </w:tcPr>
          <w:p>
            <w:pPr>
              <w:jc w:val="center"/>
              <w:ind w:left="2472"/>
              <w:spacing w:after="0"/>
              <w:rPr>
                <w:sz w:val="20"/>
                <w:szCs w:val="20"/>
                <w:color w:val="auto"/>
              </w:rPr>
            </w:pPr>
            <w:r>
              <w:rPr>
                <w:rFonts w:ascii="Arial" w:cs="Arial" w:eastAsia="Arial" w:hAnsi="Arial"/>
                <w:sz w:val="22"/>
                <w:szCs w:val="22"/>
                <w:color w:val="auto"/>
                <w:w w:val="97"/>
              </w:rPr>
              <w:t>4</w:t>
            </w:r>
          </w:p>
        </w:tc>
      </w:tr>
      <w:tr>
        <w:trPr>
          <w:trHeight w:val="270"/>
        </w:trPr>
        <w:tc>
          <w:tcPr>
            <w:tcW w:w="2400" w:type="dxa"/>
            <w:vAlign w:val="bottom"/>
          </w:tcPr>
          <w:p>
            <w:pPr>
              <w:jc w:val="center"/>
              <w:ind w:right="12"/>
              <w:spacing w:after="0"/>
              <w:rPr>
                <w:sz w:val="20"/>
                <w:szCs w:val="20"/>
                <w:color w:val="auto"/>
              </w:rPr>
            </w:pPr>
            <w:r>
              <w:rPr>
                <w:rFonts w:ascii="Arial" w:cs="Arial" w:eastAsia="Arial" w:hAnsi="Arial"/>
                <w:sz w:val="22"/>
                <w:szCs w:val="22"/>
                <w:color w:val="auto"/>
              </w:rPr>
              <w:t>EE1.</w:t>
            </w:r>
          </w:p>
        </w:tc>
        <w:tc>
          <w:tcPr>
            <w:tcW w:w="5300" w:type="dxa"/>
            <w:vAlign w:val="bottom"/>
          </w:tcPr>
          <w:p>
            <w:pPr>
              <w:ind w:left="20"/>
              <w:spacing w:after="0"/>
              <w:rPr>
                <w:sz w:val="20"/>
                <w:szCs w:val="20"/>
                <w:color w:val="auto"/>
              </w:rPr>
            </w:pPr>
            <w:r>
              <w:rPr>
                <w:rFonts w:ascii="Arial" w:cs="Arial" w:eastAsia="Arial" w:hAnsi="Arial"/>
                <w:sz w:val="19"/>
                <w:szCs w:val="19"/>
                <w:color w:val="auto"/>
              </w:rPr>
              <w:t>[****]</w:t>
            </w:r>
          </w:p>
        </w:tc>
        <w:tc>
          <w:tcPr>
            <w:tcW w:w="2820" w:type="dxa"/>
            <w:vAlign w:val="bottom"/>
          </w:tcPr>
          <w:p>
            <w:pPr>
              <w:spacing w:after="0"/>
              <w:rPr>
                <w:sz w:val="23"/>
                <w:szCs w:val="23"/>
                <w:color w:val="auto"/>
              </w:rPr>
            </w:pPr>
          </w:p>
        </w:tc>
      </w:tr>
      <w:tr>
        <w:trPr>
          <w:trHeight w:val="275"/>
        </w:trPr>
        <w:tc>
          <w:tcPr>
            <w:tcW w:w="2400" w:type="dxa"/>
            <w:vAlign w:val="bottom"/>
          </w:tcPr>
          <w:p>
            <w:pPr>
              <w:jc w:val="center"/>
              <w:ind w:right="12"/>
              <w:spacing w:after="0"/>
              <w:rPr>
                <w:sz w:val="20"/>
                <w:szCs w:val="20"/>
                <w:color w:val="auto"/>
              </w:rPr>
            </w:pPr>
            <w:r>
              <w:rPr>
                <w:rFonts w:ascii="Arial" w:cs="Arial" w:eastAsia="Arial" w:hAnsi="Arial"/>
                <w:sz w:val="22"/>
                <w:szCs w:val="22"/>
                <w:color w:val="auto"/>
              </w:rPr>
              <w:t>SLP1.</w:t>
            </w:r>
          </w:p>
        </w:tc>
        <w:tc>
          <w:tcPr>
            <w:tcW w:w="5300" w:type="dxa"/>
            <w:vAlign w:val="bottom"/>
          </w:tcPr>
          <w:p>
            <w:pPr>
              <w:ind w:left="20"/>
              <w:spacing w:after="0"/>
              <w:rPr>
                <w:sz w:val="20"/>
                <w:szCs w:val="20"/>
                <w:color w:val="auto"/>
              </w:rPr>
            </w:pPr>
            <w:r>
              <w:rPr>
                <w:rFonts w:ascii="Arial" w:cs="Arial" w:eastAsia="Arial" w:hAnsi="Arial"/>
                <w:sz w:val="19"/>
                <w:szCs w:val="19"/>
                <w:color w:val="auto"/>
              </w:rPr>
              <w:t>[****]</w:t>
            </w:r>
          </w:p>
        </w:tc>
        <w:tc>
          <w:tcPr>
            <w:tcW w:w="2820" w:type="dxa"/>
            <w:vAlign w:val="bottom"/>
          </w:tcPr>
          <w:p>
            <w:pPr>
              <w:spacing w:after="0"/>
              <w:rPr>
                <w:sz w:val="23"/>
                <w:szCs w:val="23"/>
                <w:color w:val="auto"/>
              </w:rPr>
            </w:pPr>
          </w:p>
        </w:tc>
      </w:tr>
      <w:tr>
        <w:trPr>
          <w:trHeight w:val="300"/>
        </w:trPr>
        <w:tc>
          <w:tcPr>
            <w:tcW w:w="24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LETTER AGREEMENTS</w:t>
            </w:r>
          </w:p>
        </w:tc>
        <w:tc>
          <w:tcPr>
            <w:tcW w:w="5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76"/>
        </w:trPr>
        <w:tc>
          <w:tcPr>
            <w:tcW w:w="2400" w:type="dxa"/>
            <w:vAlign w:val="bottom"/>
          </w:tcPr>
          <w:p>
            <w:pPr>
              <w:spacing w:after="0"/>
              <w:rPr>
                <w:sz w:val="20"/>
                <w:szCs w:val="20"/>
                <w:color w:val="auto"/>
              </w:rPr>
            </w:pPr>
            <w:r>
              <w:rPr>
                <w:rFonts w:ascii="Arial" w:cs="Arial" w:eastAsia="Arial" w:hAnsi="Arial"/>
                <w:sz w:val="22"/>
                <w:szCs w:val="22"/>
                <w:color w:val="auto"/>
              </w:rPr>
              <w:t>LA-1106648R1</w:t>
            </w:r>
          </w:p>
        </w:tc>
        <w:tc>
          <w:tcPr>
            <w:tcW w:w="5300" w:type="dxa"/>
            <w:vAlign w:val="bottom"/>
          </w:tcPr>
          <w:p>
            <w:pPr>
              <w:ind w:left="20"/>
              <w:spacing w:after="0"/>
              <w:rPr>
                <w:sz w:val="20"/>
                <w:szCs w:val="20"/>
                <w:color w:val="auto"/>
              </w:rPr>
            </w:pPr>
            <w:r>
              <w:rPr>
                <w:rFonts w:ascii="Arial" w:cs="Arial" w:eastAsia="Arial" w:hAnsi="Arial"/>
                <w:sz w:val="22"/>
                <w:szCs w:val="22"/>
                <w:color w:val="auto"/>
              </w:rPr>
              <w:t>Special Matters</w:t>
            </w:r>
          </w:p>
        </w:tc>
        <w:tc>
          <w:tcPr>
            <w:tcW w:w="2820" w:type="dxa"/>
            <w:vAlign w:val="bottom"/>
          </w:tcPr>
          <w:p>
            <w:pPr>
              <w:jc w:val="center"/>
              <w:ind w:left="2472"/>
              <w:spacing w:after="0"/>
              <w:rPr>
                <w:sz w:val="20"/>
                <w:szCs w:val="20"/>
                <w:color w:val="auto"/>
              </w:rPr>
            </w:pPr>
            <w:r>
              <w:rPr>
                <w:rFonts w:ascii="Arial" w:cs="Arial" w:eastAsia="Arial" w:hAnsi="Arial"/>
                <w:sz w:val="22"/>
                <w:szCs w:val="22"/>
                <w:color w:val="auto"/>
                <w:w w:val="97"/>
              </w:rPr>
              <w:t>6</w:t>
            </w:r>
          </w:p>
        </w:tc>
      </w:tr>
      <w:tr>
        <w:trPr>
          <w:trHeight w:val="270"/>
        </w:trPr>
        <w:tc>
          <w:tcPr>
            <w:tcW w:w="2400" w:type="dxa"/>
            <w:vAlign w:val="bottom"/>
          </w:tcPr>
          <w:p>
            <w:pPr>
              <w:spacing w:after="0"/>
              <w:rPr>
                <w:sz w:val="20"/>
                <w:szCs w:val="20"/>
                <w:color w:val="auto"/>
              </w:rPr>
            </w:pPr>
            <w:r>
              <w:rPr>
                <w:rFonts w:ascii="Arial" w:cs="Arial" w:eastAsia="Arial" w:hAnsi="Arial"/>
                <w:sz w:val="22"/>
                <w:szCs w:val="22"/>
                <w:color w:val="auto"/>
              </w:rPr>
              <w:t>LA-1106649</w:t>
            </w:r>
          </w:p>
        </w:tc>
        <w:tc>
          <w:tcPr>
            <w:tcW w:w="5300" w:type="dxa"/>
            <w:vAlign w:val="bottom"/>
          </w:tcPr>
          <w:p>
            <w:pPr>
              <w:ind w:left="20"/>
              <w:spacing w:after="0"/>
              <w:rPr>
                <w:sz w:val="20"/>
                <w:szCs w:val="20"/>
                <w:color w:val="auto"/>
              </w:rPr>
            </w:pPr>
            <w:r>
              <w:rPr>
                <w:rFonts w:ascii="Arial" w:cs="Arial" w:eastAsia="Arial" w:hAnsi="Arial"/>
                <w:sz w:val="19"/>
                <w:szCs w:val="19"/>
                <w:color w:val="auto"/>
              </w:rPr>
              <w:t>[****]</w:t>
            </w:r>
          </w:p>
        </w:tc>
        <w:tc>
          <w:tcPr>
            <w:tcW w:w="2820" w:type="dxa"/>
            <w:vAlign w:val="bottom"/>
          </w:tcPr>
          <w:p>
            <w:pPr>
              <w:spacing w:after="0"/>
              <w:rPr>
                <w:sz w:val="23"/>
                <w:szCs w:val="23"/>
                <w:color w:val="auto"/>
              </w:rPr>
            </w:pPr>
          </w:p>
        </w:tc>
      </w:tr>
      <w:tr>
        <w:trPr>
          <w:trHeight w:val="275"/>
        </w:trPr>
        <w:tc>
          <w:tcPr>
            <w:tcW w:w="2400" w:type="dxa"/>
            <w:vAlign w:val="bottom"/>
          </w:tcPr>
          <w:p>
            <w:pPr>
              <w:spacing w:after="0"/>
              <w:rPr>
                <w:sz w:val="20"/>
                <w:szCs w:val="20"/>
                <w:color w:val="auto"/>
              </w:rPr>
            </w:pPr>
            <w:r>
              <w:rPr>
                <w:rFonts w:ascii="Arial" w:cs="Arial" w:eastAsia="Arial" w:hAnsi="Arial"/>
                <w:sz w:val="22"/>
                <w:szCs w:val="22"/>
                <w:color w:val="auto"/>
              </w:rPr>
              <w:t>LA-1106650R6</w:t>
            </w:r>
          </w:p>
        </w:tc>
        <w:tc>
          <w:tcPr>
            <w:tcW w:w="5300" w:type="dxa"/>
            <w:vAlign w:val="bottom"/>
          </w:tcPr>
          <w:p>
            <w:pPr>
              <w:ind w:left="20"/>
              <w:spacing w:after="0"/>
              <w:rPr>
                <w:sz w:val="20"/>
                <w:szCs w:val="20"/>
                <w:color w:val="auto"/>
              </w:rPr>
            </w:pPr>
            <w:r>
              <w:rPr>
                <w:rFonts w:ascii="Arial" w:cs="Arial" w:eastAsia="Arial" w:hAnsi="Arial"/>
                <w:sz w:val="19"/>
                <w:szCs w:val="19"/>
                <w:color w:val="auto"/>
              </w:rPr>
              <w:t>[****]</w:t>
            </w:r>
          </w:p>
        </w:tc>
        <w:tc>
          <w:tcPr>
            <w:tcW w:w="2820" w:type="dxa"/>
            <w:vAlign w:val="bottom"/>
          </w:tcPr>
          <w:p>
            <w:pPr>
              <w:jc w:val="center"/>
              <w:ind w:left="2472"/>
              <w:spacing w:after="0"/>
              <w:rPr>
                <w:sz w:val="20"/>
                <w:szCs w:val="20"/>
                <w:color w:val="auto"/>
              </w:rPr>
            </w:pPr>
            <w:r>
              <w:rPr>
                <w:rFonts w:ascii="Arial" w:cs="Arial" w:eastAsia="Arial" w:hAnsi="Arial"/>
                <w:sz w:val="22"/>
                <w:szCs w:val="22"/>
                <w:color w:val="auto"/>
                <w:w w:val="97"/>
              </w:rPr>
              <w:t>29</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SA-30</w:t>
      </w:r>
    </w:p>
    <w:p>
      <w:pPr>
        <w:jc w:val="center"/>
        <w:ind w:right="-1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880"/>
          </w:cols>
          <w:pgMar w:left="400" w:top="1440" w:right="619" w:bottom="144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72" w:type="dxa"/>
        <w:tblCellMar>
          <w:top w:w="0" w:type="dxa"/>
          <w:left w:w="0" w:type="dxa"/>
          <w:bottom w:w="0" w:type="dxa"/>
          <w:right w:w="0" w:type="dxa"/>
        </w:tblCellMar>
      </w:tblPr>
      <w:tr>
        <w:trPr>
          <w:trHeight w:val="301"/>
        </w:trPr>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80" w:type="dxa"/>
            <w:vAlign w:val="bottom"/>
            <w:gridSpan w:val="2"/>
          </w:tcPr>
          <w:p>
            <w:pPr>
              <w:ind w:left="260"/>
              <w:spacing w:after="0"/>
              <w:rPr>
                <w:sz w:val="20"/>
                <w:szCs w:val="20"/>
                <w:color w:val="auto"/>
              </w:rPr>
            </w:pPr>
            <w:r>
              <w:rPr>
                <w:rFonts w:ascii="Arial" w:cs="Arial" w:eastAsia="Arial" w:hAnsi="Arial"/>
                <w:sz w:val="22"/>
                <w:szCs w:val="22"/>
                <w:b w:val="1"/>
                <w:bCs w:val="1"/>
                <w:color w:val="auto"/>
              </w:rPr>
              <w:t>TABLE OF CONTENTS, continued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2000" w:type="dxa"/>
            <w:vAlign w:val="bottom"/>
          </w:tcPr>
          <w:p>
            <w:pPr>
              <w:spacing w:after="0"/>
              <w:rPr>
                <w:sz w:val="20"/>
                <w:szCs w:val="20"/>
                <w:color w:val="auto"/>
              </w:rPr>
            </w:pPr>
            <w:r>
              <w:rPr>
                <w:rFonts w:ascii="Arial" w:cs="Arial" w:eastAsia="Arial" w:hAnsi="Arial"/>
                <w:sz w:val="22"/>
                <w:szCs w:val="22"/>
                <w:b w:val="1"/>
                <w:bCs w:val="1"/>
                <w:color w:val="auto"/>
              </w:rPr>
              <w:t>LA-1106651R12</w:t>
            </w:r>
          </w:p>
        </w:tc>
        <w:tc>
          <w:tcPr>
            <w:tcW w:w="1560" w:type="dxa"/>
            <w:vAlign w:val="bottom"/>
          </w:tcPr>
          <w:p>
            <w:pPr>
              <w:ind w:left="420"/>
              <w:spacing w:after="0"/>
              <w:rPr>
                <w:sz w:val="20"/>
                <w:szCs w:val="20"/>
                <w:color w:val="auto"/>
              </w:rPr>
            </w:pPr>
            <w:r>
              <w:rPr>
                <w:rFonts w:ascii="Arial" w:cs="Arial" w:eastAsia="Arial" w:hAnsi="Arial"/>
                <w:sz w:val="19"/>
                <w:szCs w:val="19"/>
                <w:b w:val="1"/>
                <w:bCs w:val="1"/>
                <w:color w:val="auto"/>
              </w:rPr>
              <w:t>[****]</w:t>
            </w:r>
          </w:p>
        </w:tc>
        <w:tc>
          <w:tcPr>
            <w:tcW w:w="1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2"/>
                <w:szCs w:val="22"/>
                <w:b w:val="1"/>
                <w:bCs w:val="1"/>
                <w:color w:val="auto"/>
                <w:w w:val="97"/>
              </w:rPr>
              <w:t>30</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LA-1106652R1</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Aircraft Model Substitution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28</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LA-1106654</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AGTA Terms Revisions for MAX</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strike w:val="1"/>
              </w:rPr>
              <w:t>LA-1106655</w:t>
            </w:r>
          </w:p>
        </w:tc>
        <w:tc>
          <w:tcPr>
            <w:tcW w:w="2860" w:type="dxa"/>
            <w:vAlign w:val="bottom"/>
            <w:gridSpan w:val="2"/>
          </w:tcPr>
          <w:p>
            <w:pPr>
              <w:ind w:left="420"/>
              <w:spacing w:after="0"/>
              <w:rPr>
                <w:sz w:val="20"/>
                <w:szCs w:val="20"/>
                <w:color w:val="auto"/>
              </w:rPr>
            </w:pPr>
            <w:r>
              <w:rPr>
                <w:rFonts w:ascii="Arial" w:cs="Arial" w:eastAsia="Arial" w:hAnsi="Arial"/>
                <w:sz w:val="22"/>
                <w:szCs w:val="22"/>
                <w:color w:val="auto"/>
                <w:strike w:val="1"/>
                <w:w w:val="97"/>
              </w:rPr>
              <w:t>Open Matters – 737 MAX</w:t>
            </w:r>
          </w:p>
        </w:tc>
        <w:tc>
          <w:tcPr>
            <w:tcW w:w="5080" w:type="dxa"/>
            <w:vAlign w:val="bottom"/>
          </w:tcPr>
          <w:p>
            <w:pPr>
              <w:ind w:left="60"/>
              <w:spacing w:after="0"/>
              <w:rPr>
                <w:sz w:val="20"/>
                <w:szCs w:val="20"/>
                <w:color w:val="auto"/>
              </w:rPr>
            </w:pPr>
            <w:r>
              <w:rPr>
                <w:rFonts w:ascii="Arial" w:cs="Arial" w:eastAsia="Arial" w:hAnsi="Arial"/>
                <w:sz w:val="22"/>
                <w:szCs w:val="22"/>
                <w:color w:val="auto"/>
              </w:rPr>
              <w:t>Withdrawn</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LA-1106656R1</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Most Favored Customer – 737 MAX</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LA-1106657R1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LA-1106663 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LA-1106664 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LA-1106658</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LA-1106659R3</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21</w:t>
            </w:r>
          </w:p>
        </w:tc>
        <w:tc>
          <w:tcPr>
            <w:tcW w:w="0" w:type="dxa"/>
            <w:vAlign w:val="bottom"/>
          </w:tcPr>
          <w:p>
            <w:pPr>
              <w:spacing w:after="0"/>
              <w:rPr>
                <w:sz w:val="1"/>
                <w:szCs w:val="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22"/>
                <w:szCs w:val="22"/>
                <w:color w:val="auto"/>
              </w:rPr>
              <w:t>LA-1106660</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Spare Parts Initial Provisioning</w:t>
            </w:r>
          </w:p>
        </w:tc>
        <w:tc>
          <w:tcPr>
            <w:tcW w:w="9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206"/>
        </w:trPr>
        <w:tc>
          <w:tcPr>
            <w:tcW w:w="994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LETTER AGREEMENTS, continued</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9940" w:type="dxa"/>
            <w:vAlign w:val="bottom"/>
            <w:gridSpan w:val="4"/>
            <w:vMerge w:val="continue"/>
          </w:tcPr>
          <w:p>
            <w:pPr>
              <w:spacing w:after="0"/>
              <w:rPr>
                <w:sz w:val="12"/>
                <w:szCs w:val="12"/>
                <w:color w:val="auto"/>
              </w:rPr>
            </w:pPr>
          </w:p>
        </w:tc>
        <w:tc>
          <w:tcPr>
            <w:tcW w:w="940" w:type="dxa"/>
            <w:vAlign w:val="bottom"/>
            <w:vMerge w:val="restart"/>
          </w:tcPr>
          <w:p>
            <w:pPr>
              <w:jc w:val="center"/>
              <w:spacing w:after="0" w:line="229" w:lineRule="exact"/>
              <w:rPr>
                <w:sz w:val="20"/>
                <w:szCs w:val="20"/>
                <w:color w:val="auto"/>
              </w:rPr>
            </w:pPr>
            <w:r>
              <w:rPr>
                <w:rFonts w:ascii="Arial" w:cs="Arial" w:eastAsia="Arial" w:hAnsi="Arial"/>
                <w:sz w:val="22"/>
                <w:szCs w:val="22"/>
                <w:b w:val="1"/>
                <w:bCs w:val="1"/>
                <w:color w:val="auto"/>
                <w:w w:val="97"/>
              </w:rPr>
              <w:t>NUMBER</w:t>
            </w:r>
          </w:p>
        </w:tc>
        <w:tc>
          <w:tcPr>
            <w:tcW w:w="0" w:type="dxa"/>
            <w:vAlign w:val="bottom"/>
          </w:tcPr>
          <w:p>
            <w:pPr>
              <w:spacing w:after="0"/>
              <w:rPr>
                <w:sz w:val="1"/>
                <w:szCs w:val="1"/>
                <w:color w:val="auto"/>
              </w:rPr>
            </w:pPr>
          </w:p>
        </w:tc>
      </w:tr>
      <w:tr>
        <w:trPr>
          <w:trHeight w:val="66"/>
        </w:trPr>
        <w:tc>
          <w:tcPr>
            <w:tcW w:w="2000" w:type="dxa"/>
            <w:vAlign w:val="bottom"/>
            <w:tcBorders>
              <w:top w:val="single" w:sz="8" w:color="auto"/>
            </w:tcBorders>
          </w:tcPr>
          <w:p>
            <w:pPr>
              <w:spacing w:after="0"/>
              <w:rPr>
                <w:sz w:val="5"/>
                <w:szCs w:val="5"/>
                <w:color w:val="auto"/>
              </w:rPr>
            </w:pPr>
          </w:p>
        </w:tc>
        <w:tc>
          <w:tcPr>
            <w:tcW w:w="156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5080" w:type="dxa"/>
            <w:vAlign w:val="bottom"/>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000" w:type="dxa"/>
            <w:vAlign w:val="bottom"/>
          </w:tcPr>
          <w:p>
            <w:pPr>
              <w:spacing w:after="0"/>
              <w:rPr>
                <w:sz w:val="20"/>
                <w:szCs w:val="20"/>
                <w:color w:val="auto"/>
              </w:rPr>
            </w:pPr>
            <w:r>
              <w:rPr>
                <w:rFonts w:ascii="Arial" w:cs="Arial" w:eastAsia="Arial" w:hAnsi="Arial"/>
                <w:sz w:val="22"/>
                <w:szCs w:val="22"/>
                <w:color w:val="auto"/>
              </w:rPr>
              <w:t>LA-1106661R2</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LA-1106667</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LA-1106668R1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LA-1106669</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LA-1106670</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Confidentiality</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LA-1106671R1</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Miscellaneous Commitments</w:t>
            </w: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LA-1106672</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Extended Warranty Option</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LA-1106673R1*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LA-1106677</w:t>
            </w:r>
          </w:p>
        </w:tc>
        <w:tc>
          <w:tcPr>
            <w:tcW w:w="7940" w:type="dxa"/>
            <w:vAlign w:val="bottom"/>
            <w:gridSpan w:val="3"/>
          </w:tcPr>
          <w:p>
            <w:pPr>
              <w:ind w:left="420"/>
              <w:spacing w:after="0"/>
              <w:rPr>
                <w:sz w:val="20"/>
                <w:szCs w:val="20"/>
                <w:color w:val="auto"/>
              </w:rPr>
            </w:pPr>
            <w:r>
              <w:rPr>
                <w:rFonts w:ascii="Arial" w:cs="Arial" w:eastAsia="Arial" w:hAnsi="Arial"/>
                <w:sz w:val="22"/>
                <w:szCs w:val="22"/>
                <w:color w:val="auto"/>
              </w:rPr>
              <w:t>Optional Features Comfort Letter</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LA-1600073</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LA-1600852</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LA-1603773</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LA-1605402R1</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LA-1700919</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LA-1801206</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LA-2002704</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LA-2002743</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LA-2003342</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22"/>
                <w:szCs w:val="22"/>
                <w:color w:val="auto"/>
              </w:rPr>
              <w:t>LA-2003486</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14</w:t>
            </w:r>
          </w:p>
        </w:tc>
        <w:tc>
          <w:tcPr>
            <w:tcW w:w="0" w:type="dxa"/>
            <w:vAlign w:val="bottom"/>
          </w:tcPr>
          <w:p>
            <w:pPr>
              <w:spacing w:after="0"/>
              <w:rPr>
                <w:sz w:val="1"/>
                <w:szCs w:val="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22"/>
                <w:szCs w:val="22"/>
                <w:color w:val="auto"/>
              </w:rPr>
              <w:t>LA-2204032</w:t>
            </w:r>
          </w:p>
        </w:tc>
        <w:tc>
          <w:tcPr>
            <w:tcW w:w="1560" w:type="dxa"/>
            <w:vAlign w:val="bottom"/>
          </w:tcPr>
          <w:p>
            <w:pPr>
              <w:ind w:left="420"/>
              <w:spacing w:after="0"/>
              <w:rPr>
                <w:sz w:val="20"/>
                <w:szCs w:val="20"/>
                <w:color w:val="auto"/>
              </w:rPr>
            </w:pPr>
            <w:r>
              <w:rPr>
                <w:rFonts w:ascii="Arial" w:cs="Arial" w:eastAsia="Arial" w:hAnsi="Arial"/>
                <w:sz w:val="19"/>
                <w:szCs w:val="19"/>
                <w:color w:val="auto"/>
              </w:rPr>
              <w:t>[****]</w:t>
            </w:r>
          </w:p>
        </w:tc>
        <w:tc>
          <w:tcPr>
            <w:tcW w:w="13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2"/>
                <w:szCs w:val="22"/>
                <w:color w:val="auto"/>
                <w:w w:val="97"/>
              </w:rPr>
              <w:t>28</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8" w:firstLine="8"/>
        <w:spacing w:after="0" w:line="233" w:lineRule="auto"/>
        <w:tabs>
          <w:tab w:leader="none" w:pos="136" w:val="left"/>
        </w:tabs>
        <w:numPr>
          <w:ilvl w:val="0"/>
          <w:numId w:val="97"/>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ectPr>
          <w:pgSz w:w="11900" w:h="16838" w:orient="portrait"/>
          <w:cols w:equalWidth="0" w:num="1">
            <w:col w:w="10992"/>
          </w:cols>
          <w:pgMar w:left="328"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1"/>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SA-30</w:t>
      </w:r>
    </w:p>
    <w:p>
      <w:pPr>
        <w:jc w:val="center"/>
        <w:ind w:right="-231"/>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92"/>
          </w:cols>
          <w:pgMar w:left="328" w:top="1440" w:right="579"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22"/>
          <w:szCs w:val="22"/>
          <w:b w:val="1"/>
          <w:bCs w:val="1"/>
          <w:color w:val="auto"/>
        </w:rPr>
        <w:t>Table 1-5R1 To</w:t>
      </w:r>
    </w:p>
    <w:p>
      <w:pPr>
        <w:jc w:val="center"/>
        <w:spacing w:after="0" w:line="204" w:lineRule="auto"/>
        <w:rPr>
          <w:sz w:val="20"/>
          <w:szCs w:val="20"/>
          <w:color w:val="auto"/>
        </w:rPr>
      </w:pPr>
      <w:r>
        <w:rPr>
          <w:rFonts w:ascii="Arial" w:cs="Arial" w:eastAsia="Arial" w:hAnsi="Arial"/>
          <w:sz w:val="22"/>
          <w:szCs w:val="22"/>
          <w:b w:val="1"/>
          <w:bCs w:val="1"/>
          <w:color w:val="auto"/>
        </w:rPr>
        <w:t>Purchase Agreement No. PA-03735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737-8 [****] Aircraft Delivery, Description, Price and Advance Payments</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Airframe</w:t>
            </w: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Model/MTOW:</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737-8</w:t>
            </w:r>
          </w:p>
        </w:tc>
        <w:tc>
          <w:tcPr>
            <w:tcW w:w="2220" w:type="dxa"/>
            <w:vAlign w:val="bottom"/>
            <w:gridSpan w:val="2"/>
          </w:tcPr>
          <w:p>
            <w:pPr>
              <w:ind w:left="580"/>
              <w:spacing w:after="0"/>
              <w:rPr>
                <w:sz w:val="20"/>
                <w:szCs w:val="20"/>
                <w:color w:val="auto"/>
              </w:rPr>
            </w:pPr>
            <w:r>
              <w:rPr>
                <w:rFonts w:ascii="Arial" w:cs="Arial" w:eastAsia="Arial" w:hAnsi="Arial"/>
                <w:sz w:val="18"/>
                <w:szCs w:val="18"/>
                <w:color w:val="auto"/>
              </w:rPr>
              <w:t>[****] pounds</w:t>
            </w:r>
          </w:p>
        </w:tc>
        <w:tc>
          <w:tcPr>
            <w:tcW w:w="4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Detail Specification:</w:t>
            </w:r>
          </w:p>
        </w:tc>
        <w:tc>
          <w:tcPr>
            <w:tcW w:w="800" w:type="dxa"/>
            <w:vAlign w:val="bottom"/>
          </w:tcPr>
          <w:p>
            <w:pPr>
              <w:spacing w:after="0"/>
              <w:rPr>
                <w:sz w:val="24"/>
                <w:szCs w:val="24"/>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CFMLEAP-</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4"/>
          </w:tcPr>
          <w:p>
            <w:pPr>
              <w:spacing w:after="0"/>
              <w:rPr>
                <w:sz w:val="20"/>
                <w:szCs w:val="20"/>
                <w:color w:val="auto"/>
              </w:rPr>
            </w:pPr>
            <w:r>
              <w:rPr>
                <w:rFonts w:ascii="Arial" w:cs="Arial" w:eastAsia="Arial" w:hAnsi="Arial"/>
                <w:sz w:val="18"/>
                <w:szCs w:val="18"/>
                <w:b w:val="1"/>
                <w:bCs w:val="1"/>
                <w:color w:val="auto"/>
                <w:w w:val="99"/>
              </w:rPr>
              <w:t>Airframe Price Base Year/Escalation</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Engine Model/Thrust:</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1B25</w:t>
            </w:r>
          </w:p>
        </w:tc>
        <w:tc>
          <w:tcPr>
            <w:tcW w:w="2220" w:type="dxa"/>
            <w:vAlign w:val="bottom"/>
            <w:gridSpan w:val="2"/>
          </w:tcPr>
          <w:p>
            <w:pPr>
              <w:ind w:left="580"/>
              <w:spacing w:after="0"/>
              <w:rPr>
                <w:sz w:val="20"/>
                <w:szCs w:val="20"/>
                <w:color w:val="auto"/>
              </w:rPr>
            </w:pPr>
            <w:r>
              <w:rPr>
                <w:rFonts w:ascii="Arial" w:cs="Arial" w:eastAsia="Arial" w:hAnsi="Arial"/>
                <w:sz w:val="18"/>
                <w:szCs w:val="18"/>
                <w:color w:val="auto"/>
              </w:rPr>
              <w:t>[****] pounds</w:t>
            </w:r>
          </w:p>
        </w:tc>
        <w:tc>
          <w:tcPr>
            <w:tcW w:w="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Formula:</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4"/>
          </w:tcPr>
          <w:p>
            <w:pPr>
              <w:spacing w:after="0"/>
              <w:rPr>
                <w:sz w:val="20"/>
                <w:szCs w:val="20"/>
                <w:color w:val="auto"/>
              </w:rPr>
            </w:pPr>
            <w:r>
              <w:rPr>
                <w:rFonts w:ascii="Arial" w:cs="Arial" w:eastAsia="Arial" w:hAnsi="Arial"/>
                <w:sz w:val="18"/>
                <w:szCs w:val="18"/>
                <w:b w:val="1"/>
                <w:bCs w:val="1"/>
                <w:color w:val="auto"/>
              </w:rPr>
              <w:t>Engine Price Base Year/Escalation</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Airframe Price:</w:t>
            </w: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Formula:</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Optional Features:</w:t>
            </w: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Sub-Total of Airframe and Features:</w:t>
            </w:r>
          </w:p>
        </w:tc>
        <w:tc>
          <w:tcPr>
            <w:tcW w:w="102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Airframe Escalation Data:</w:t>
            </w: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00" w:type="dxa"/>
            <w:vAlign w:val="bottom"/>
            <w:gridSpan w:val="3"/>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0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3200" w:type="dxa"/>
            <w:vAlign w:val="bottom"/>
            <w:gridSpan w:val="3"/>
          </w:tcPr>
          <w:p>
            <w:pPr>
              <w:ind w:left="80"/>
              <w:spacing w:after="0"/>
              <w:rPr>
                <w:sz w:val="20"/>
                <w:szCs w:val="20"/>
                <w:color w:val="auto"/>
              </w:rPr>
            </w:pPr>
            <w:r>
              <w:rPr>
                <w:rFonts w:ascii="Arial" w:cs="Arial" w:eastAsia="Arial" w:hAnsi="Arial"/>
                <w:sz w:val="18"/>
                <w:szCs w:val="18"/>
                <w:b w:val="1"/>
                <w:bCs w:val="1"/>
                <w:color w:val="auto"/>
              </w:rPr>
              <w:t>Engine Price (Per Aircraft):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Base Year Index (ECI):</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0" w:type="dxa"/>
            <w:vAlign w:val="bottom"/>
            <w:gridSpan w:val="3"/>
          </w:tcPr>
          <w:p>
            <w:pPr>
              <w:ind w:left="80"/>
              <w:spacing w:after="0"/>
              <w:rPr>
                <w:sz w:val="20"/>
                <w:szCs w:val="20"/>
                <w:color w:val="auto"/>
              </w:rPr>
            </w:pPr>
            <w:r>
              <w:rPr>
                <w:rFonts w:ascii="Arial" w:cs="Arial" w:eastAsia="Arial" w:hAnsi="Arial"/>
                <w:sz w:val="18"/>
                <w:szCs w:val="18"/>
                <w:b w:val="1"/>
                <w:bCs w:val="1"/>
                <w:color w:val="auto"/>
              </w:rPr>
              <w:t>Aircraft Basic Price (Excluding</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BFE/SPE):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Base Year Index (CPI):</w:t>
            </w:r>
          </w:p>
        </w:tc>
        <w:tc>
          <w:tcPr>
            <w:tcW w:w="8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Buyer Furnished Equipment (BFE)</w:t>
            </w:r>
          </w:p>
        </w:tc>
        <w:tc>
          <w:tcPr>
            <w:tcW w:w="102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00" w:type="dxa"/>
            <w:vAlign w:val="bottom"/>
            <w:gridSpan w:val="3"/>
            <w:vMerge w:val="continue"/>
          </w:tcPr>
          <w:p>
            <w:pPr>
              <w:spacing w:after="0"/>
              <w:rPr>
                <w:sz w:val="21"/>
                <w:szCs w:val="21"/>
                <w:color w:val="auto"/>
              </w:rPr>
            </w:pP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Estimate: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0" w:type="dxa"/>
            <w:vAlign w:val="bottom"/>
            <w:gridSpan w:val="3"/>
          </w:tcPr>
          <w:p>
            <w:pPr>
              <w:ind w:left="80"/>
              <w:spacing w:after="0"/>
              <w:rPr>
                <w:sz w:val="20"/>
                <w:szCs w:val="20"/>
                <w:color w:val="auto"/>
              </w:rPr>
            </w:pPr>
            <w:r>
              <w:rPr>
                <w:rFonts w:ascii="Arial" w:cs="Arial" w:eastAsia="Arial" w:hAnsi="Arial"/>
                <w:sz w:val="18"/>
                <w:szCs w:val="18"/>
                <w:b w:val="1"/>
                <w:bCs w:val="1"/>
                <w:color w:val="auto"/>
              </w:rPr>
              <w:t>Seller Purchased Equipment (SPE)</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Estimate: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0" w:type="dxa"/>
            <w:vAlign w:val="bottom"/>
            <w:gridSpan w:val="3"/>
          </w:tcPr>
          <w:p>
            <w:pPr>
              <w:ind w:left="80"/>
              <w:spacing w:after="0"/>
              <w:rPr>
                <w:sz w:val="20"/>
                <w:szCs w:val="20"/>
                <w:color w:val="auto"/>
              </w:rPr>
            </w:pPr>
            <w:r>
              <w:rPr>
                <w:rFonts w:ascii="Arial" w:cs="Arial" w:eastAsia="Arial" w:hAnsi="Arial"/>
                <w:sz w:val="18"/>
                <w:szCs w:val="18"/>
                <w:b w:val="1"/>
                <w:bCs w:val="1"/>
                <w:color w:val="auto"/>
              </w:rPr>
              <w:t>LIFT Seats Provided by Boeing</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(Estimate):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Deposit per Aircraft:</w:t>
            </w:r>
          </w:p>
        </w:tc>
        <w:tc>
          <w:tcPr>
            <w:tcW w:w="1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8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Escalation</w:t>
            </w:r>
          </w:p>
        </w:tc>
        <w:tc>
          <w:tcPr>
            <w:tcW w:w="4320" w:type="dxa"/>
            <w:vAlign w:val="bottom"/>
            <w:tcBorders>
              <w:right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3"/>
              </w:rPr>
              <w:t>Advance Payment Per Aircraft (Amts. Due/Mos. Prior</w:t>
            </w:r>
          </w:p>
        </w:tc>
        <w:tc>
          <w:tcPr>
            <w:tcW w:w="0" w:type="dxa"/>
            <w:vAlign w:val="bottom"/>
          </w:tcPr>
          <w:p>
            <w:pPr>
              <w:spacing w:after="0"/>
              <w:rPr>
                <w:sz w:val="1"/>
                <w:szCs w:val="1"/>
                <w:color w:val="auto"/>
              </w:rPr>
            </w:pPr>
          </w:p>
        </w:tc>
      </w:tr>
      <w:tr>
        <w:trPr>
          <w:trHeight w:val="310"/>
        </w:trPr>
        <w:tc>
          <w:tcPr>
            <w:tcW w:w="108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w w:val="92"/>
              </w:rPr>
              <w:t>to Delivery):</w:t>
            </w: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8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020" w:type="dxa"/>
            <w:vAlign w:val="bottom"/>
            <w:tcBorders>
              <w:bottom w:val="single" w:sz="8" w:color="C0C0C0"/>
              <w:right w:val="single" w:sz="8" w:color="auto"/>
            </w:tcBorders>
            <w:shd w:val="clear" w:color="auto" w:fill="C0C0C0"/>
          </w:tcPr>
          <w:p>
            <w:pPr>
              <w:spacing w:after="0"/>
              <w:rPr>
                <w:sz w:val="5"/>
                <w:szCs w:val="5"/>
                <w:color w:val="auto"/>
              </w:rPr>
            </w:pPr>
          </w:p>
        </w:tc>
        <w:tc>
          <w:tcPr>
            <w:tcW w:w="1200" w:type="dxa"/>
            <w:vAlign w:val="bottom"/>
            <w:tcBorders>
              <w:bottom w:val="single" w:sz="8" w:color="C0C0C0"/>
              <w:right w:val="single" w:sz="8" w:color="auto"/>
            </w:tcBorders>
            <w:shd w:val="clear" w:color="auto" w:fill="C0C0C0"/>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8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Nominal</w:t>
            </w: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Adv Payment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rPr>
              <w:t>At</w:t>
            </w:r>
          </w:p>
        </w:tc>
        <w:tc>
          <w:tcPr>
            <w:tcW w:w="8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Factor</w:t>
            </w: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Base</w:t>
            </w:r>
          </w:p>
        </w:tc>
        <w:tc>
          <w:tcPr>
            <w:tcW w:w="8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7"/>
              </w:rPr>
              <w:t>Signing</w:t>
            </w:r>
          </w:p>
        </w:tc>
        <w:tc>
          <w:tcPr>
            <w:tcW w:w="800" w:type="dxa"/>
            <w:vAlign w:val="bottom"/>
          </w:tcPr>
          <w:p>
            <w:pPr>
              <w:jc w:val="center"/>
              <w:ind w:left="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64"/>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6"/>
              </w:rPr>
              <w:t>Month</w:t>
            </w:r>
          </w:p>
        </w:tc>
        <w:tc>
          <w:tcPr>
            <w:tcW w:w="40" w:type="dxa"/>
            <w:vAlign w:val="bottom"/>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Per A/P</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center"/>
              <w:ind w:left="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0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shd w:val="clear" w:color="auto" w:fill="C0C0C0"/>
          </w:tcPr>
          <w:p>
            <w:pPr>
              <w:spacing w:after="0"/>
              <w:rPr>
                <w:sz w:val="7"/>
                <w:szCs w:val="7"/>
                <w:color w:val="auto"/>
              </w:rPr>
            </w:pPr>
          </w:p>
        </w:tc>
        <w:tc>
          <w:tcPr>
            <w:tcW w:w="1200" w:type="dxa"/>
            <w:vAlign w:val="bottom"/>
            <w:tcBorders>
              <w:bottom w:val="single" w:sz="8" w:color="auto"/>
              <w:right w:val="single" w:sz="8" w:color="auto"/>
            </w:tcBorders>
            <w:shd w:val="clear" w:color="auto" w:fill="C0C0C0"/>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2"/>
        </w:trPr>
        <w:tc>
          <w:tcPr>
            <w:tcW w:w="1080" w:type="dxa"/>
            <w:vAlign w:val="bottom"/>
          </w:tcPr>
          <w:p>
            <w:pPr>
              <w:jc w:val="center"/>
              <w:spacing w:after="0"/>
              <w:rPr>
                <w:sz w:val="20"/>
                <w:szCs w:val="20"/>
                <w:color w:val="auto"/>
              </w:rPr>
            </w:pPr>
            <w:r>
              <w:rPr>
                <w:rFonts w:ascii="Arial" w:cs="Arial" w:eastAsia="Arial" w:hAnsi="Arial"/>
                <w:sz w:val="18"/>
                <w:szCs w:val="18"/>
                <w:color w:val="auto"/>
                <w:w w:val="88"/>
              </w:rPr>
              <w:t>Total:</w:t>
            </w: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2020" w:type="dxa"/>
            <w:vAlign w:val="bottom"/>
            <w:gridSpan w:val="2"/>
          </w:tcPr>
          <w:p>
            <w:pPr>
              <w:spacing w:after="0"/>
              <w:rPr>
                <w:sz w:val="20"/>
                <w:szCs w:val="20"/>
                <w:color w:val="auto"/>
              </w:rPr>
            </w:pPr>
            <w:r>
              <w:rPr>
                <w:rFonts w:ascii="Arial" w:cs="Arial" w:eastAsia="Arial" w:hAnsi="Arial"/>
                <w:sz w:val="15"/>
                <w:szCs w:val="15"/>
                <w:color w:val="auto"/>
              </w:rPr>
              <w:t>AAL-PA-03735 118070-1F.txt</w:t>
            </w:r>
          </w:p>
        </w:tc>
        <w:tc>
          <w:tcPr>
            <w:tcW w:w="1180" w:type="dxa"/>
            <w:vAlign w:val="bottom"/>
          </w:tcPr>
          <w:p>
            <w:pPr>
              <w:ind w:left="160"/>
              <w:spacing w:after="0"/>
              <w:rPr>
                <w:sz w:val="20"/>
                <w:szCs w:val="20"/>
                <w:color w:val="auto"/>
              </w:rPr>
            </w:pPr>
            <w:r>
              <w:rPr>
                <w:rFonts w:ascii="Arial" w:cs="Arial" w:eastAsia="Arial" w:hAnsi="Arial"/>
                <w:sz w:val="15"/>
                <w:szCs w:val="15"/>
                <w:color w:val="auto"/>
              </w:rPr>
              <w:t>SA-30</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80" w:type="dxa"/>
            <w:vAlign w:val="bottom"/>
          </w:tcPr>
          <w:p>
            <w:pPr>
              <w:ind w:left="180"/>
              <w:spacing w:after="0"/>
              <w:rPr>
                <w:sz w:val="20"/>
                <w:szCs w:val="20"/>
                <w:color w:val="auto"/>
              </w:rPr>
            </w:pPr>
            <w:r>
              <w:rPr>
                <w:rFonts w:ascii="Arial" w:cs="Arial" w:eastAsia="Arial" w:hAnsi="Arial"/>
                <w:sz w:val="15"/>
                <w:szCs w:val="15"/>
                <w:color w:val="auto"/>
              </w:rPr>
              <w:t>Page 1</w:t>
            </w: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00" w:type="dxa"/>
            <w:vAlign w:val="bottom"/>
            <w:gridSpan w:val="3"/>
            <w:vMerge w:val="restart"/>
          </w:tcPr>
          <w:p>
            <w:pPr>
              <w:ind w:left="540"/>
              <w:spacing w:after="0"/>
              <w:rPr>
                <w:sz w:val="20"/>
                <w:szCs w:val="20"/>
                <w:color w:val="auto"/>
              </w:rPr>
            </w:pPr>
            <w:r>
              <w:rPr>
                <w:rFonts w:ascii="Arial" w:cs="Arial" w:eastAsia="Arial" w:hAnsi="Arial"/>
                <w:sz w:val="15"/>
                <w:szCs w:val="15"/>
                <w:b w:val="1"/>
                <w:bCs w:val="1"/>
                <w:color w:val="auto"/>
              </w:rPr>
              <w:t>BOEING PROPRIETARY</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0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4" w:right="339" w:bottom="1440" w:gutter="0" w:footer="0" w:header="0"/>
        </w:sectPr>
      </w:pPr>
    </w:p>
    <w:bookmarkStart w:id="163" w:name="page164"/>
    <w:bookmarkEnd w:id="163"/>
    <w:p>
      <w:pPr>
        <w:ind w:left="238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200660</wp:posOffset>
            </wp:positionV>
            <wp:extent cx="1491615" cy="3429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380"/>
        <w:spacing w:after="0" w:line="216" w:lineRule="auto"/>
        <w:rPr>
          <w:sz w:val="20"/>
          <w:szCs w:val="20"/>
          <w:color w:val="auto"/>
        </w:rPr>
      </w:pPr>
      <w:r>
        <w:rPr>
          <w:rFonts w:ascii="Arial" w:cs="Arial" w:eastAsia="Arial" w:hAnsi="Arial"/>
          <w:sz w:val="13"/>
          <w:szCs w:val="13"/>
          <w:color w:val="808080"/>
        </w:rPr>
        <w:t>P.O. Box 3707</w:t>
      </w:r>
    </w:p>
    <w:p>
      <w:pPr>
        <w:ind w:left="238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R12</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71"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77" w:lineRule="exact"/>
        <w:rPr>
          <w:sz w:val="20"/>
          <w:szCs w:val="20"/>
          <w:color w:val="auto"/>
        </w:rPr>
      </w:pPr>
    </w:p>
    <w:p>
      <w:pPr>
        <w:ind w:left="1340" w:hanging="1542"/>
        <w:spacing w:after="0" w:line="250"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88"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226" w:lineRule="exact"/>
        <w:rPr>
          <w:sz w:val="20"/>
          <w:szCs w:val="20"/>
          <w:color w:val="auto"/>
        </w:rPr>
      </w:pPr>
    </w:p>
    <w:p>
      <w:pPr>
        <w:ind w:left="1040" w:hanging="384"/>
        <w:spacing w:after="0"/>
        <w:tabs>
          <w:tab w:leader="none" w:pos="104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Table 1R12, Table 1-2, Table 1-3R6, Table 1-4R7 and Table 1-5R1 to the Purchase Agreement as of the date of execution of this Letter Agreement, [****]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11" w:lineRule="exact"/>
        <w:rPr>
          <w:sz w:val="20"/>
          <w:szCs w:val="20"/>
          <w:color w:val="auto"/>
        </w:rPr>
      </w:pPr>
    </w:p>
    <w:p>
      <w:pPr>
        <w:ind w:left="1040" w:hanging="384"/>
        <w:spacing w:after="0"/>
        <w:tabs>
          <w:tab w:leader="none" w:pos="104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4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 The [****] with [****] in calendar year [****] are listed in Attachment A(R12) to this Letter Agreement.</w:t>
      </w:r>
    </w:p>
    <w:p>
      <w:pPr>
        <w:spacing w:after="0" w:line="254"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tab/>
        <w:t>[****]. The [****] with [****] ([****]</w:t>
      </w:r>
      <w:r>
        <w:rPr>
          <w:rFonts w:ascii="Arial" w:cs="Arial" w:eastAsia="Arial" w:hAnsi="Arial"/>
          <w:sz w:val="22"/>
          <w:szCs w:val="22"/>
          <w:i w:val="1"/>
          <w:iCs w:val="1"/>
          <w:color w:val="auto"/>
        </w:rPr>
        <w:t>)</w:t>
      </w:r>
      <w:r>
        <w:rPr>
          <w:rFonts w:ascii="Arial" w:cs="Arial" w:eastAsia="Arial" w:hAnsi="Arial"/>
          <w:sz w:val="22"/>
          <w:szCs w:val="22"/>
          <w:color w:val="auto"/>
        </w:rPr>
        <w:t xml:space="preserve"> in [****] for each [****] are listed in Attachment A(R12) to this Letter Agreement. No later than [****] to the [****] in each of calendar years [****], Boeing will provide written notice setting forth [****] with a [****] in such calendar year. Such notice will constitute an amendment to Attachment A(R12) to this Letter Agreement.</w:t>
      </w:r>
    </w:p>
    <w:p>
      <w:pPr>
        <w:spacing w:after="0" w:line="226" w:lineRule="exact"/>
        <w:rPr>
          <w:sz w:val="20"/>
          <w:szCs w:val="20"/>
          <w:color w:val="auto"/>
        </w:rPr>
      </w:pPr>
    </w:p>
    <w:p>
      <w:pPr>
        <w:ind w:left="1040" w:hanging="384"/>
        <w:spacing w:after="0"/>
        <w:tabs>
          <w:tab w:leader="none" w:pos="104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247" w:lineRule="exact"/>
        <w:rPr>
          <w:sz w:val="20"/>
          <w:szCs w:val="20"/>
          <w:color w:val="auto"/>
        </w:rPr>
      </w:pPr>
    </w:p>
    <w:p>
      <w:pPr>
        <w:jc w:val="both"/>
        <w:ind w:left="1180" w:hanging="517"/>
        <w:spacing w:after="0" w:line="223"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240" w:lineRule="exact"/>
        <w:rPr>
          <w:sz w:val="20"/>
          <w:szCs w:val="20"/>
          <w:color w:val="auto"/>
        </w:rPr>
      </w:pPr>
    </w:p>
    <w:p>
      <w:pPr>
        <w:ind w:left="1960" w:hanging="656"/>
        <w:spacing w:after="0"/>
        <w:tabs>
          <w:tab w:leader="none" w:pos="19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hanging="656"/>
        <w:spacing w:after="0"/>
        <w:tabs>
          <w:tab w:leader="none" w:pos="19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R12</w:t>
      </w:r>
      <w:r>
        <w:rPr>
          <w:sz w:val="20"/>
          <w:szCs w:val="20"/>
          <w:color w:val="auto"/>
        </w:rPr>
        <w:tab/>
      </w:r>
      <w:r>
        <w:rPr>
          <w:rFonts w:ascii="Arial" w:cs="Arial" w:eastAsia="Arial" w:hAnsi="Arial"/>
          <w:sz w:val="21"/>
          <w:szCs w:val="21"/>
          <w:color w:val="auto"/>
        </w:rPr>
        <w:t>SA-30</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1of 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394" w:right="33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900" w:hanging="596"/>
        <w:spacing w:after="0"/>
        <w:tabs>
          <w:tab w:leader="none" w:pos="19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p>
    <w:p>
      <w:pPr>
        <w:spacing w:after="0" w:line="247" w:lineRule="exact"/>
        <w:rPr>
          <w:sz w:val="20"/>
          <w:szCs w:val="20"/>
          <w:color w:val="auto"/>
        </w:rPr>
      </w:pPr>
    </w:p>
    <w:p>
      <w:pPr>
        <w:ind w:left="1180" w:hanging="517"/>
        <w:spacing w:after="0" w:line="233"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38" w:lineRule="exact"/>
        <w:rPr>
          <w:sz w:val="20"/>
          <w:szCs w:val="20"/>
          <w:color w:val="auto"/>
        </w:rPr>
      </w:pPr>
    </w:p>
    <w:p>
      <w:pPr>
        <w:ind w:left="1040" w:hanging="384"/>
        <w:spacing w:after="0"/>
        <w:tabs>
          <w:tab w:leader="none" w:pos="104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247" w:lineRule="exact"/>
        <w:rPr>
          <w:sz w:val="20"/>
          <w:szCs w:val="20"/>
          <w:color w:val="auto"/>
        </w:rPr>
      </w:pPr>
    </w:p>
    <w:p>
      <w:pPr>
        <w:ind w:left="1180" w:hanging="517"/>
        <w:spacing w:after="0" w:line="233" w:lineRule="auto"/>
        <w:tabs>
          <w:tab w:leader="none" w:pos="1160" w:val="left"/>
        </w:tabs>
        <w:rPr>
          <w:sz w:val="20"/>
          <w:szCs w:val="20"/>
          <w:color w:val="auto"/>
        </w:rPr>
      </w:pPr>
      <w:r>
        <w:rPr>
          <w:rFonts w:ascii="Arial" w:cs="Arial" w:eastAsia="Arial" w:hAnsi="Arial"/>
          <w:sz w:val="22"/>
          <w:szCs w:val="22"/>
          <w:color w:val="auto"/>
        </w:rPr>
        <w:t>4.1</w:t>
        <w:tab/>
        <w:t>The [****] Aircraft Basic Price for each of the [****] are identified in Attachment A(R12) to this Letter Agreement.</w:t>
      </w:r>
    </w:p>
    <w:p>
      <w:pPr>
        <w:spacing w:after="0" w:line="22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260" w:lineRule="exact"/>
        <w:rPr>
          <w:sz w:val="20"/>
          <w:szCs w:val="20"/>
          <w:color w:val="auto"/>
        </w:rPr>
      </w:pPr>
    </w:p>
    <w:p>
      <w:pPr>
        <w:ind w:left="1180" w:hanging="517"/>
        <w:spacing w:after="0" w:line="233"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224" w:lineRule="exact"/>
        <w:rPr>
          <w:sz w:val="20"/>
          <w:szCs w:val="20"/>
          <w:color w:val="auto"/>
        </w:rPr>
      </w:pPr>
    </w:p>
    <w:p>
      <w:pPr>
        <w:ind w:left="1040" w:hanging="384"/>
        <w:spacing w:after="0"/>
        <w:tabs>
          <w:tab w:leader="none" w:pos="104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2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5.3  [****]</w:t>
      </w:r>
    </w:p>
    <w:p>
      <w:pPr>
        <w:spacing w:after="0" w:line="246" w:lineRule="exact"/>
        <w:rPr>
          <w:rFonts w:ascii="Arial" w:cs="Arial" w:eastAsia="Arial" w:hAnsi="Arial"/>
          <w:sz w:val="22"/>
          <w:szCs w:val="22"/>
          <w:color w:val="auto"/>
        </w:rPr>
      </w:pPr>
    </w:p>
    <w:p>
      <w:pPr>
        <w:ind w:left="1040" w:hanging="384"/>
        <w:spacing w:after="0"/>
        <w:tabs>
          <w:tab w:leader="none" w:pos="104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40" w:hanging="384"/>
        <w:spacing w:after="0"/>
        <w:tabs>
          <w:tab w:leader="none" w:pos="104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4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24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260" w:lineRule="exact"/>
        <w:rPr>
          <w:sz w:val="20"/>
          <w:szCs w:val="20"/>
          <w:color w:val="auto"/>
        </w:rPr>
      </w:pPr>
    </w:p>
    <w:p>
      <w:pPr>
        <w:jc w:val="right"/>
        <w:ind w:left="660" w:right="9600" w:hanging="4"/>
        <w:spacing w:after="0" w:line="473" w:lineRule="auto"/>
        <w:tabs>
          <w:tab w:leader="none" w:pos="1049"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 xml:space="preserve">[****]. </w:t>
      </w:r>
      <w:r>
        <w:rPr>
          <w:rFonts w:ascii="Arial" w:cs="Arial" w:eastAsia="Arial" w:hAnsi="Arial"/>
          <w:sz w:val="22"/>
          <w:szCs w:val="22"/>
          <w:color w:val="auto"/>
        </w:rPr>
        <w:t>8.1  [****]</w:t>
      </w:r>
    </w:p>
    <w:p>
      <w:pPr>
        <w:spacing w:after="0" w:line="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8.2.1  Reserved.</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26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R12</w:t>
      </w:r>
      <w:r>
        <w:rPr>
          <w:sz w:val="20"/>
          <w:szCs w:val="20"/>
          <w:color w:val="auto"/>
        </w:rPr>
        <w:tab/>
      </w:r>
      <w:r>
        <w:rPr>
          <w:rFonts w:ascii="Arial" w:cs="Arial" w:eastAsia="Arial" w:hAnsi="Arial"/>
          <w:sz w:val="21"/>
          <w:szCs w:val="21"/>
          <w:color w:val="auto"/>
        </w:rPr>
        <w:t>SA-30</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40" w:hanging="384"/>
        <w:spacing w:after="0"/>
        <w:tabs>
          <w:tab w:leader="none" w:pos="104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240" w:lineRule="exact"/>
        <w:rPr>
          <w:sz w:val="20"/>
          <w:szCs w:val="20"/>
          <w:color w:val="auto"/>
        </w:rPr>
      </w:pPr>
    </w:p>
    <w:p>
      <w:pPr>
        <w:ind w:left="1040" w:hanging="384"/>
        <w:spacing w:after="0"/>
        <w:tabs>
          <w:tab w:leader="none" w:pos="104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24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R12</w:t>
      </w:r>
      <w:r>
        <w:rPr>
          <w:sz w:val="20"/>
          <w:szCs w:val="20"/>
          <w:color w:val="auto"/>
        </w:rPr>
        <w:tab/>
      </w:r>
      <w:r>
        <w:rPr>
          <w:rFonts w:ascii="Arial" w:cs="Arial" w:eastAsia="Arial" w:hAnsi="Arial"/>
          <w:sz w:val="21"/>
          <w:szCs w:val="21"/>
          <w:color w:val="auto"/>
        </w:rPr>
        <w:t>SA-30</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51" w:lineRule="exact"/>
        <w:rPr>
          <w:sz w:val="20"/>
          <w:szCs w:val="20"/>
          <w:color w:val="auto"/>
        </w:rPr>
      </w:pPr>
    </w:p>
    <w:p>
      <w:pPr>
        <w:ind w:left="160"/>
        <w:spacing w:after="0"/>
        <w:tabs>
          <w:tab w:leader="none" w:pos="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67945</wp:posOffset>
            </wp:positionV>
            <wp:extent cx="33172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60"/>
        <w:spacing w:after="0"/>
        <w:tabs>
          <w:tab w:leader="none" w:pos="9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67945</wp:posOffset>
            </wp:positionV>
            <wp:extent cx="33172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36"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59690</wp:posOffset>
            </wp:positionV>
            <wp:extent cx="25717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60" w:type="dxa"/>
        <w:tblCellMar>
          <w:top w:w="0" w:type="dxa"/>
          <w:left w:w="0" w:type="dxa"/>
          <w:bottom w:w="0" w:type="dxa"/>
          <w:right w:w="0" w:type="dxa"/>
        </w:tblCellMar>
      </w:tblP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Pr>
          <w:p>
            <w:pPr>
              <w:ind w:left="60"/>
              <w:spacing w:after="0"/>
              <w:rPr>
                <w:sz w:val="20"/>
                <w:szCs w:val="20"/>
                <w:color w:val="auto"/>
              </w:rPr>
            </w:pPr>
            <w:r>
              <w:rPr>
                <w:rFonts w:ascii="Arial" w:cs="Arial" w:eastAsia="Arial" w:hAnsi="Arial"/>
                <w:sz w:val="22"/>
                <w:szCs w:val="22"/>
                <w:color w:val="auto"/>
              </w:rPr>
              <w:t>/s/ American Airlines, Inc.</w:t>
            </w:r>
          </w:p>
        </w:tc>
      </w:tr>
      <w:tr>
        <w:trPr>
          <w:trHeight w:val="84"/>
        </w:trPr>
        <w:tc>
          <w:tcPr>
            <w:tcW w:w="720" w:type="dxa"/>
            <w:vAlign w:val="bottom"/>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r>
      <w:tr>
        <w:trPr>
          <w:trHeight w:val="598"/>
        </w:trPr>
        <w:tc>
          <w:tcPr>
            <w:tcW w:w="720" w:type="dxa"/>
            <w:vAlign w:val="bottom"/>
          </w:tcPr>
          <w:p>
            <w:pPr>
              <w:spacing w:after="0"/>
              <w:rPr>
                <w:sz w:val="20"/>
                <w:szCs w:val="20"/>
                <w:color w:val="auto"/>
              </w:rPr>
            </w:pPr>
            <w:r>
              <w:rPr>
                <w:rFonts w:ascii="Arial" w:cs="Arial" w:eastAsia="Arial" w:hAnsi="Arial"/>
                <w:sz w:val="22"/>
                <w:szCs w:val="22"/>
                <w:color w:val="auto"/>
              </w:rPr>
              <w:t>Its:</w:t>
            </w:r>
          </w:p>
        </w:tc>
        <w:tc>
          <w:tcPr>
            <w:tcW w:w="5220" w:type="dxa"/>
            <w:vAlign w:val="bottom"/>
          </w:tcPr>
          <w:p>
            <w:pPr>
              <w:ind w:left="60"/>
              <w:spacing w:after="0"/>
              <w:rPr>
                <w:sz w:val="20"/>
                <w:szCs w:val="20"/>
                <w:color w:val="auto"/>
              </w:rPr>
            </w:pPr>
            <w:r>
              <w:rPr>
                <w:rFonts w:ascii="Arial" w:cs="Arial" w:eastAsia="Arial" w:hAnsi="Arial"/>
                <w:sz w:val="22"/>
                <w:szCs w:val="22"/>
                <w:color w:val="auto"/>
              </w:rPr>
              <w:t>Senior VP Treasurer</w:t>
            </w:r>
          </w:p>
        </w:tc>
      </w:tr>
      <w:tr>
        <w:trPr>
          <w:trHeight w:val="85"/>
        </w:trPr>
        <w:tc>
          <w:tcPr>
            <w:tcW w:w="720" w:type="dxa"/>
            <w:vAlign w:val="bottom"/>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R12</w:t>
      </w:r>
      <w:r>
        <w:rPr>
          <w:sz w:val="20"/>
          <w:szCs w:val="20"/>
          <w:color w:val="auto"/>
        </w:rPr>
        <w:tab/>
      </w:r>
      <w:r>
        <w:rPr>
          <w:rFonts w:ascii="Arial" w:cs="Arial" w:eastAsia="Arial" w:hAnsi="Arial"/>
          <w:sz w:val="21"/>
          <w:szCs w:val="21"/>
          <w:color w:val="auto"/>
        </w:rPr>
        <w:t>SA-30</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22"/>
          <w:szCs w:val="22"/>
          <w:color w:val="auto"/>
        </w:rPr>
        <w:t>Attachment A(R12) To</w:t>
      </w:r>
    </w:p>
    <w:p>
      <w:pPr>
        <w:jc w:val="center"/>
        <w:spacing w:after="0" w:line="204" w:lineRule="auto"/>
        <w:rPr>
          <w:sz w:val="20"/>
          <w:szCs w:val="20"/>
          <w:color w:val="auto"/>
        </w:rPr>
      </w:pPr>
      <w:r>
        <w:rPr>
          <w:rFonts w:ascii="Arial" w:cs="Arial" w:eastAsia="Arial" w:hAnsi="Arial"/>
          <w:sz w:val="22"/>
          <w:szCs w:val="22"/>
          <w:color w:val="auto"/>
        </w:rPr>
        <w:t>Letter Agreement No. AAL-PA-03735-LA-1106651R8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737-8 [****] Aircraft Delivery, Description, Price and Advance Payments</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1940" w:type="dxa"/>
            <w:vAlign w:val="bottom"/>
          </w:tcPr>
          <w:p>
            <w:pPr>
              <w:spacing w:after="0"/>
              <w:rPr>
                <w:sz w:val="20"/>
                <w:szCs w:val="20"/>
                <w:color w:val="auto"/>
              </w:rPr>
            </w:pPr>
            <w:r>
              <w:rPr>
                <w:rFonts w:ascii="Arial" w:cs="Arial" w:eastAsia="Arial" w:hAnsi="Arial"/>
                <w:sz w:val="14"/>
                <w:szCs w:val="14"/>
                <w:b w:val="1"/>
                <w:bCs w:val="1"/>
                <w:color w:val="auto"/>
              </w:rPr>
              <w:t>Airframe</w:t>
            </w: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4"/>
                <w:szCs w:val="14"/>
                <w:b w:val="1"/>
                <w:bCs w:val="1"/>
                <w:color w:val="auto"/>
              </w:rPr>
              <w:t>Model/MTOW:</w:t>
            </w:r>
          </w:p>
        </w:tc>
        <w:tc>
          <w:tcPr>
            <w:tcW w:w="700" w:type="dxa"/>
            <w:vAlign w:val="bottom"/>
          </w:tcPr>
          <w:p>
            <w:pPr>
              <w:jc w:val="right"/>
              <w:ind w:right="288"/>
              <w:spacing w:after="0"/>
              <w:rPr>
                <w:sz w:val="20"/>
                <w:szCs w:val="20"/>
                <w:color w:val="auto"/>
              </w:rPr>
            </w:pPr>
            <w:r>
              <w:rPr>
                <w:rFonts w:ascii="Arial" w:cs="Arial" w:eastAsia="Arial" w:hAnsi="Arial"/>
                <w:sz w:val="14"/>
                <w:szCs w:val="14"/>
                <w:color w:val="auto"/>
                <w:w w:val="89"/>
              </w:rPr>
              <w:t>737-8</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 pounds</w:t>
            </w:r>
          </w:p>
        </w:tc>
        <w:tc>
          <w:tcPr>
            <w:tcW w:w="1280" w:type="dxa"/>
            <w:vAlign w:val="bottom"/>
          </w:tcPr>
          <w:p>
            <w:pPr>
              <w:spacing w:after="0"/>
              <w:rPr>
                <w:sz w:val="22"/>
                <w:szCs w:val="22"/>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Detail Specification:</w:t>
            </w:r>
          </w:p>
        </w:tc>
        <w:tc>
          <w:tcPr>
            <w:tcW w:w="800" w:type="dxa"/>
            <w:vAlign w:val="bottom"/>
          </w:tcPr>
          <w:p>
            <w:pPr>
              <w:spacing w:after="0"/>
              <w:rPr>
                <w:sz w:val="22"/>
                <w:szCs w:val="22"/>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640" w:type="dxa"/>
            <w:vAlign w:val="bottom"/>
            <w:gridSpan w:val="2"/>
          </w:tcPr>
          <w:p>
            <w:pPr>
              <w:ind w:left="1760"/>
              <w:spacing w:after="0"/>
              <w:rPr>
                <w:sz w:val="20"/>
                <w:szCs w:val="20"/>
                <w:color w:val="auto"/>
              </w:rPr>
            </w:pPr>
            <w:r>
              <w:rPr>
                <w:rFonts w:ascii="Arial" w:cs="Arial" w:eastAsia="Arial" w:hAnsi="Arial"/>
                <w:sz w:val="14"/>
                <w:szCs w:val="14"/>
                <w:color w:val="auto"/>
              </w:rPr>
              <w:t>CFMLEAP-</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4"/>
                <w:szCs w:val="14"/>
                <w:b w:val="1"/>
                <w:bCs w:val="1"/>
                <w:color w:val="auto"/>
              </w:rPr>
              <w:t>Engine Model/Thrust:</w:t>
            </w:r>
          </w:p>
        </w:tc>
        <w:tc>
          <w:tcPr>
            <w:tcW w:w="700" w:type="dxa"/>
            <w:vAlign w:val="bottom"/>
          </w:tcPr>
          <w:p>
            <w:pPr>
              <w:jc w:val="center"/>
              <w:ind w:right="288"/>
              <w:spacing w:after="0"/>
              <w:rPr>
                <w:sz w:val="20"/>
                <w:szCs w:val="20"/>
                <w:color w:val="auto"/>
              </w:rPr>
            </w:pPr>
            <w:r>
              <w:rPr>
                <w:rFonts w:ascii="Arial" w:cs="Arial" w:eastAsia="Arial" w:hAnsi="Arial"/>
                <w:sz w:val="14"/>
                <w:szCs w:val="14"/>
                <w:color w:val="auto"/>
                <w:w w:val="91"/>
              </w:rPr>
              <w:t>1B25</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 pounds</w:t>
            </w:r>
          </w:p>
        </w:tc>
        <w:tc>
          <w:tcPr>
            <w:tcW w:w="1280" w:type="dxa"/>
            <w:vAlign w:val="bottom"/>
          </w:tcPr>
          <w:p>
            <w:pPr>
              <w:spacing w:after="0"/>
              <w:rPr>
                <w:sz w:val="22"/>
                <w:szCs w:val="22"/>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Airframe Price Base Year/Escalation Formula:</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0"/>
                <w:szCs w:val="20"/>
                <w:color w:val="auto"/>
              </w:rPr>
            </w:pPr>
            <w:r>
              <w:rPr>
                <w:rFonts w:ascii="Arial" w:cs="Arial" w:eastAsia="Arial" w:hAnsi="Arial"/>
                <w:sz w:val="14"/>
                <w:szCs w:val="14"/>
                <w:b w:val="1"/>
                <w:bCs w:val="1"/>
                <w:color w:val="auto"/>
              </w:rPr>
              <w:t>Airframe Price:</w:t>
            </w:r>
          </w:p>
        </w:tc>
        <w:tc>
          <w:tcPr>
            <w:tcW w:w="7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Engine Price Base Year/Escalation Formula:</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0"/>
                <w:szCs w:val="20"/>
                <w:color w:val="auto"/>
              </w:rPr>
            </w:pPr>
            <w:r>
              <w:rPr>
                <w:rFonts w:ascii="Arial" w:cs="Arial" w:eastAsia="Arial" w:hAnsi="Arial"/>
                <w:sz w:val="14"/>
                <w:szCs w:val="14"/>
                <w:b w:val="1"/>
                <w:bCs w:val="1"/>
                <w:color w:val="auto"/>
              </w:rPr>
              <w:t>Optional Features:</w:t>
            </w:r>
          </w:p>
        </w:tc>
        <w:tc>
          <w:tcPr>
            <w:tcW w:w="7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Sub-Total of Airframe and Features:</w:t>
            </w:r>
          </w:p>
        </w:tc>
        <w:tc>
          <w:tcPr>
            <w:tcW w:w="1120" w:type="dxa"/>
            <w:vAlign w:val="bottom"/>
            <w:tcBorders>
              <w:bottom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Airframe Escalation Data:</w:t>
            </w: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40" w:type="dxa"/>
            <w:vAlign w:val="bottom"/>
            <w:gridSpan w:val="2"/>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940" w:type="dxa"/>
            <w:vAlign w:val="bottom"/>
          </w:tcPr>
          <w:p>
            <w:pPr>
              <w:spacing w:after="0"/>
              <w:rPr>
                <w:sz w:val="20"/>
                <w:szCs w:val="20"/>
                <w:color w:val="auto"/>
              </w:rPr>
            </w:pPr>
            <w:r>
              <w:rPr>
                <w:rFonts w:ascii="Arial" w:cs="Arial" w:eastAsia="Arial" w:hAnsi="Arial"/>
                <w:sz w:val="14"/>
                <w:szCs w:val="14"/>
                <w:b w:val="1"/>
                <w:bCs w:val="1"/>
                <w:color w:val="auto"/>
              </w:rPr>
              <w:t>Engine Price (Per</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4"/>
                <w:szCs w:val="14"/>
                <w:b w:val="1"/>
                <w:bCs w:val="1"/>
                <w:color w:val="auto"/>
              </w:rPr>
              <w:t>Aircraft):</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Base Year Index (ECI):</w:t>
            </w:r>
          </w:p>
        </w:tc>
        <w:tc>
          <w:tcPr>
            <w:tcW w:w="800" w:type="dxa"/>
            <w:vAlign w:val="bottom"/>
          </w:tcPr>
          <w:p>
            <w:pPr>
              <w:spacing w:after="0"/>
              <w:rPr>
                <w:sz w:val="21"/>
                <w:szCs w:val="21"/>
                <w:color w:val="auto"/>
              </w:rPr>
            </w:pPr>
          </w:p>
        </w:tc>
        <w:tc>
          <w:tcPr>
            <w:tcW w:w="9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940" w:type="dxa"/>
            <w:vAlign w:val="bottom"/>
          </w:tcPr>
          <w:p>
            <w:pPr>
              <w:spacing w:after="0"/>
              <w:rPr>
                <w:sz w:val="20"/>
                <w:szCs w:val="20"/>
                <w:color w:val="auto"/>
              </w:rPr>
            </w:pPr>
            <w:r>
              <w:rPr>
                <w:rFonts w:ascii="Arial" w:cs="Arial" w:eastAsia="Arial" w:hAnsi="Arial"/>
                <w:sz w:val="14"/>
                <w:szCs w:val="14"/>
                <w:b w:val="1"/>
                <w:bCs w:val="1"/>
                <w:color w:val="auto"/>
                <w:w w:val="93"/>
              </w:rPr>
              <w:t>Aircraft Basic Price (Excluding</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4"/>
                <w:szCs w:val="14"/>
                <w:b w:val="1"/>
                <w:bCs w:val="1"/>
                <w:color w:val="auto"/>
              </w:rPr>
              <w:t>BFE/SPE):</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Base Year Index (CPI):</w:t>
            </w:r>
          </w:p>
        </w:tc>
        <w:tc>
          <w:tcPr>
            <w:tcW w:w="800" w:type="dxa"/>
            <w:vAlign w:val="bottom"/>
          </w:tcPr>
          <w:p>
            <w:pPr>
              <w:spacing w:after="0"/>
              <w:rPr>
                <w:sz w:val="21"/>
                <w:szCs w:val="21"/>
                <w:color w:val="auto"/>
              </w:rPr>
            </w:pPr>
          </w:p>
        </w:tc>
        <w:tc>
          <w:tcPr>
            <w:tcW w:w="9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Buyer Furnished Equipment (BFE)</w:t>
            </w:r>
          </w:p>
        </w:tc>
        <w:tc>
          <w:tcPr>
            <w:tcW w:w="1120" w:type="dxa"/>
            <w:vAlign w:val="bottom"/>
            <w:tcBorders>
              <w:bottom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gridSpan w:val="2"/>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4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7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Seller Purchased Equipment (SPE)</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7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0"/>
                <w:szCs w:val="20"/>
                <w:color w:val="auto"/>
              </w:rPr>
            </w:pPr>
            <w:r>
              <w:rPr>
                <w:rFonts w:ascii="Arial" w:cs="Arial" w:eastAsia="Arial" w:hAnsi="Arial"/>
                <w:sz w:val="14"/>
                <w:szCs w:val="14"/>
                <w:b w:val="1"/>
                <w:bCs w:val="1"/>
                <w:color w:val="auto"/>
                <w:w w:val="93"/>
              </w:rPr>
              <w:t>LIFT Seats Provided by Boeing</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7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0"/>
                <w:szCs w:val="20"/>
                <w:color w:val="auto"/>
              </w:rPr>
            </w:pPr>
            <w:r>
              <w:rPr>
                <w:rFonts w:ascii="Arial" w:cs="Arial" w:eastAsia="Arial" w:hAnsi="Arial"/>
                <w:sz w:val="14"/>
                <w:szCs w:val="14"/>
                <w:b w:val="1"/>
                <w:bCs w:val="1"/>
                <w:color w:val="auto"/>
              </w:rPr>
              <w:t>Deposit per Aircraft:</w:t>
            </w:r>
          </w:p>
        </w:tc>
        <w:tc>
          <w:tcPr>
            <w:tcW w:w="7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940" w:type="dxa"/>
            <w:vAlign w:val="bottom"/>
            <w:tcBorders>
              <w:top w:val="single" w:sz="8" w:color="auto"/>
              <w:left w:val="single" w:sz="8" w:color="auto"/>
              <w:right w:val="single" w:sz="8" w:color="auto"/>
            </w:tcBorders>
          </w:tcPr>
          <w:p>
            <w:pPr>
              <w:spacing w:after="0"/>
              <w:rPr>
                <w:sz w:val="21"/>
                <w:szCs w:val="21"/>
                <w:color w:val="auto"/>
              </w:rPr>
            </w:pPr>
          </w:p>
        </w:tc>
        <w:tc>
          <w:tcPr>
            <w:tcW w:w="960" w:type="dxa"/>
            <w:vAlign w:val="bottom"/>
            <w:tcBorders>
              <w:top w:val="single" w:sz="8" w:color="auto"/>
              <w:right w:val="single" w:sz="8" w:color="auto"/>
            </w:tcBorders>
          </w:tcPr>
          <w:p>
            <w:pPr>
              <w:spacing w:after="0"/>
              <w:rPr>
                <w:sz w:val="21"/>
                <w:szCs w:val="21"/>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580" w:type="dxa"/>
            <w:vAlign w:val="bottom"/>
            <w:tcBorders>
              <w:top w:val="single" w:sz="8" w:color="auto"/>
              <w:right w:val="single" w:sz="8" w:color="auto"/>
            </w:tcBorders>
            <w:shd w:val="clear" w:color="auto" w:fill="C0C0C0"/>
          </w:tcPr>
          <w:p>
            <w:pPr>
              <w:spacing w:after="0"/>
              <w:rPr>
                <w:sz w:val="21"/>
                <w:szCs w:val="21"/>
                <w:color w:val="auto"/>
              </w:rPr>
            </w:pPr>
          </w:p>
        </w:tc>
        <w:tc>
          <w:tcPr>
            <w:tcW w:w="1180" w:type="dxa"/>
            <w:vAlign w:val="bottom"/>
            <w:tcBorders>
              <w:top w:val="single" w:sz="8" w:color="auto"/>
              <w:right w:val="single" w:sz="8" w:color="C0C0C0"/>
            </w:tcBorders>
            <w:shd w:val="clear" w:color="auto" w:fill="C0C0C0"/>
          </w:tcPr>
          <w:p>
            <w:pPr>
              <w:spacing w:after="0"/>
              <w:rPr>
                <w:sz w:val="21"/>
                <w:szCs w:val="21"/>
                <w:color w:val="auto"/>
              </w:rPr>
            </w:pPr>
          </w:p>
        </w:tc>
        <w:tc>
          <w:tcPr>
            <w:tcW w:w="240" w:type="dxa"/>
            <w:vAlign w:val="bottom"/>
            <w:tcBorders>
              <w:top w:val="single" w:sz="8" w:color="auto"/>
              <w:right w:val="single" w:sz="8" w:color="auto"/>
            </w:tcBorders>
            <w:shd w:val="clear" w:color="auto" w:fill="C0C0C0"/>
          </w:tcPr>
          <w:p>
            <w:pPr>
              <w:spacing w:after="0"/>
              <w:rPr>
                <w:sz w:val="21"/>
                <w:szCs w:val="21"/>
                <w:color w:val="auto"/>
              </w:rPr>
            </w:pPr>
          </w:p>
        </w:tc>
        <w:tc>
          <w:tcPr>
            <w:tcW w:w="12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Escalation Estimate</w:t>
            </w:r>
          </w:p>
        </w:tc>
        <w:tc>
          <w:tcPr>
            <w:tcW w:w="80" w:type="dxa"/>
            <w:vAlign w:val="bottom"/>
            <w:tcBorders>
              <w:top w:val="single" w:sz="8" w:color="auto"/>
              <w:right w:val="single" w:sz="8" w:color="auto"/>
            </w:tcBorders>
          </w:tcPr>
          <w:p>
            <w:pPr>
              <w:spacing w:after="0"/>
              <w:rPr>
                <w:sz w:val="21"/>
                <w:szCs w:val="21"/>
                <w:color w:val="auto"/>
              </w:rPr>
            </w:pPr>
          </w:p>
        </w:tc>
        <w:tc>
          <w:tcPr>
            <w:tcW w:w="4680" w:type="dxa"/>
            <w:vAlign w:val="bottom"/>
            <w:tcBorders>
              <w:top w:val="single" w:sz="8" w:color="auto"/>
              <w:right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Advance Payment Per Aircraft (Amts. Due/Mos. Prior to Delivery):</w:t>
            </w:r>
          </w:p>
        </w:tc>
      </w:tr>
      <w:tr>
        <w:trPr>
          <w:trHeight w:val="66"/>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C0C0C0"/>
            </w:tcBorders>
            <w:shd w:val="clear" w:color="auto" w:fill="C0C0C0"/>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25"/>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580" w:type="dxa"/>
            <w:vAlign w:val="bottom"/>
            <w:tcBorders>
              <w:right w:val="single" w:sz="8" w:color="auto"/>
            </w:tcBorders>
            <w:shd w:val="clear" w:color="auto" w:fill="C0C0C0"/>
          </w:tcPr>
          <w:p>
            <w:pPr>
              <w:spacing w:after="0"/>
              <w:rPr>
                <w:sz w:val="19"/>
                <w:szCs w:val="19"/>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Nominal Delivery</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 Signing</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60" w:type="dxa"/>
            <w:vAlign w:val="bottom"/>
            <w:tcBorders>
              <w:right w:val="single" w:sz="8" w:color="auto"/>
            </w:tcBorders>
          </w:tcPr>
          <w:p>
            <w:pPr>
              <w:ind w:left="6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9"/>
                <w:szCs w:val="19"/>
                <w:color w:val="auto"/>
              </w:rPr>
            </w:pPr>
          </w:p>
        </w:tc>
      </w:tr>
      <w:tr>
        <w:trPr>
          <w:trHeight w:val="80"/>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180" w:type="dxa"/>
            <w:vAlign w:val="bottom"/>
            <w:tcBorders>
              <w:bottom w:val="single" w:sz="8" w:color="auto"/>
              <w:right w:val="single" w:sz="8" w:color="auto"/>
            </w:tcBorders>
            <w:shd w:val="clear" w:color="auto" w:fill="C0C0C0"/>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gridSpan w:val="2"/>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225"/>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580" w:type="dxa"/>
            <w:vAlign w:val="bottom"/>
            <w:tcBorders>
              <w:right w:val="single" w:sz="8" w:color="auto"/>
            </w:tcBorders>
            <w:shd w:val="clear" w:color="auto" w:fill="C0C0C0"/>
          </w:tcPr>
          <w:p>
            <w:pPr>
              <w:spacing w:after="0"/>
              <w:rPr>
                <w:sz w:val="19"/>
                <w:szCs w:val="19"/>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240" w:type="dxa"/>
            <w:vAlign w:val="bottom"/>
          </w:tcPr>
          <w:p>
            <w:pPr>
              <w:spacing w:after="0"/>
              <w:rPr>
                <w:sz w:val="19"/>
                <w:szCs w:val="19"/>
                <w:color w:val="auto"/>
              </w:rPr>
            </w:pPr>
          </w:p>
        </w:tc>
        <w:tc>
          <w:tcPr>
            <w:tcW w:w="1100" w:type="dxa"/>
            <w:vAlign w:val="bottom"/>
            <w:tcBorders>
              <w:right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3"/>
              </w:rPr>
              <w:t>Price Per A/P</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r>
      <w:tr>
        <w:trPr>
          <w:trHeight w:val="66"/>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6"/>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80"/>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18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gridSpan w:val="2"/>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6"/>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6"/>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6"/>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79"/>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18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gridSpan w:val="2"/>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29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6"/>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40"/>
          </w:cols>
          <w:pgMar w:left="320" w:top="13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 w:right="5500" w:hanging="479"/>
        <w:spacing w:after="0"/>
        <w:rPr>
          <w:sz w:val="20"/>
          <w:szCs w:val="20"/>
          <w:color w:val="auto"/>
        </w:rPr>
      </w:pPr>
      <w:r>
        <w:rPr>
          <w:rFonts w:ascii="Arial" w:cs="Arial" w:eastAsia="Arial" w:hAnsi="Arial"/>
          <w:sz w:val="22"/>
          <w:szCs w:val="22"/>
          <w:color w:val="auto"/>
        </w:rPr>
        <w:t>AAL-PA-03735 118070-1F .txt</w:t>
      </w:r>
      <w:r>
        <w:rPr>
          <w:sz w:val="20"/>
          <w:szCs w:val="20"/>
          <w:color w:val="auto"/>
        </w:rPr>
        <w:t xml:space="preserve"> </w:t>
      </w:r>
      <w:r>
        <w:rPr>
          <w:rFonts w:ascii="Arial" w:cs="Arial" w:eastAsia="Arial" w:hAnsi="Arial"/>
          <w:sz w:val="22"/>
          <w:szCs w:val="22"/>
          <w:color w:val="auto"/>
        </w:rPr>
        <w:t>Boeing Proprietary SA-30 Page 1</w:t>
      </w:r>
    </w:p>
    <w:p>
      <w:pPr>
        <w:sectPr>
          <w:pgSz w:w="11900" w:h="16838" w:orient="portrait"/>
          <w:cols w:equalWidth="0" w:num="1">
            <w:col w:w="11240"/>
          </w:cols>
          <w:pgMar w:left="320" w:top="1379" w:right="339" w:bottom="1440" w:gutter="0" w:footer="0" w:header="0"/>
          <w:type w:val="continuous"/>
        </w:sectPr>
      </w:pPr>
    </w:p>
    <w:bookmarkStart w:id="168" w:name="page169"/>
    <w:bookmarkEnd w:id="16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960" w:type="dxa"/>
            <w:vAlign w:val="bottom"/>
            <w:tcBorders>
              <w:top w:val="single" w:sz="8" w:color="auto"/>
              <w:left w:val="single" w:sz="8" w:color="auto"/>
              <w:right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580" w:type="dxa"/>
            <w:vAlign w:val="bottom"/>
            <w:tcBorders>
              <w:top w:val="single" w:sz="8" w:color="auto"/>
              <w:right w:val="single" w:sz="8" w:color="auto"/>
            </w:tcBorders>
            <w:shd w:val="clear" w:color="auto" w:fill="C0C0C0"/>
          </w:tcPr>
          <w:p>
            <w:pPr>
              <w:spacing w:after="0"/>
              <w:rPr>
                <w:sz w:val="21"/>
                <w:szCs w:val="21"/>
                <w:color w:val="auto"/>
              </w:rPr>
            </w:pPr>
          </w:p>
        </w:tc>
        <w:tc>
          <w:tcPr>
            <w:tcW w:w="1240" w:type="dxa"/>
            <w:vAlign w:val="bottom"/>
            <w:tcBorders>
              <w:top w:val="single" w:sz="8" w:color="auto"/>
              <w:right w:val="single" w:sz="8" w:color="auto"/>
            </w:tcBorders>
            <w:shd w:val="clear" w:color="auto" w:fill="C0C0C0"/>
          </w:tcPr>
          <w:p>
            <w:pPr>
              <w:spacing w:after="0"/>
              <w:rPr>
                <w:sz w:val="21"/>
                <w:szCs w:val="21"/>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Escalation Estimate</w:t>
            </w:r>
          </w:p>
        </w:tc>
        <w:tc>
          <w:tcPr>
            <w:tcW w:w="4620" w:type="dxa"/>
            <w:vAlign w:val="bottom"/>
            <w:tcBorders>
              <w:top w:val="single" w:sz="8" w:color="auto"/>
              <w:right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9"/>
              </w:rPr>
              <w:t>Advance Payment Per Aircraft (Amts. Due/Mos. Prior to Delivery):</w:t>
            </w:r>
          </w:p>
        </w:tc>
        <w:tc>
          <w:tcPr>
            <w:tcW w:w="240" w:type="dxa"/>
            <w:vAlign w:val="bottom"/>
          </w:tcPr>
          <w:p>
            <w:pPr>
              <w:spacing w:after="0"/>
              <w:rPr>
                <w:sz w:val="21"/>
                <w:szCs w:val="21"/>
                <w:color w:val="auto"/>
              </w:rPr>
            </w:pPr>
          </w:p>
        </w:tc>
      </w:tr>
      <w:tr>
        <w:trPr>
          <w:trHeight w:val="79"/>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240" w:type="dxa"/>
            <w:vAlign w:val="bottom"/>
            <w:tcBorders>
              <w:bottom w:val="single" w:sz="8" w:color="auto"/>
              <w:right w:val="single" w:sz="8" w:color="auto"/>
            </w:tcBorders>
            <w:shd w:val="clear" w:color="auto" w:fill="C0C0C0"/>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225"/>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580" w:type="dxa"/>
            <w:vAlign w:val="bottom"/>
            <w:tcBorders>
              <w:right w:val="single" w:sz="8" w:color="auto"/>
            </w:tcBorders>
            <w:shd w:val="clear" w:color="auto" w:fill="C0C0C0"/>
          </w:tcPr>
          <w:p>
            <w:pPr>
              <w:spacing w:after="0"/>
              <w:rPr>
                <w:sz w:val="19"/>
                <w:szCs w:val="19"/>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Nominal Delivery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22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At Signing</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80" w:type="dxa"/>
            <w:vAlign w:val="bottom"/>
          </w:tcPr>
          <w:p>
            <w:pPr>
              <w:jc w:val="center"/>
              <w:ind w:left="111"/>
              <w:spacing w:after="0"/>
              <w:rPr>
                <w:sz w:val="20"/>
                <w:szCs w:val="20"/>
                <w:color w:val="auto"/>
              </w:rPr>
            </w:pPr>
            <w:r>
              <w:rPr>
                <w:rFonts w:ascii="Arial" w:cs="Arial" w:eastAsia="Arial" w:hAnsi="Arial"/>
                <w:sz w:val="14"/>
                <w:szCs w:val="14"/>
                <w:b w:val="1"/>
                <w:bCs w:val="1"/>
                <w:color w:val="auto"/>
                <w:w w:val="93"/>
              </w:rPr>
              <w:t>Factor</w:t>
            </w:r>
          </w:p>
        </w:tc>
        <w:tc>
          <w:tcPr>
            <w:tcW w:w="240" w:type="dxa"/>
            <w:vAlign w:val="bottom"/>
            <w:tcBorders>
              <w:right w:val="single" w:sz="8" w:color="auto"/>
            </w:tcBorders>
          </w:tcPr>
          <w:p>
            <w:pPr>
              <w:spacing w:after="0"/>
              <w:rPr>
                <w:sz w:val="19"/>
                <w:szCs w:val="19"/>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25"/>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580" w:type="dxa"/>
            <w:vAlign w:val="bottom"/>
            <w:tcBorders>
              <w:right w:val="single" w:sz="8" w:color="auto"/>
            </w:tcBorders>
            <w:shd w:val="clear" w:color="auto" w:fill="C0C0C0"/>
          </w:tcPr>
          <w:p>
            <w:pPr>
              <w:spacing w:after="0"/>
              <w:rPr>
                <w:sz w:val="19"/>
                <w:szCs w:val="19"/>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680" w:type="dxa"/>
            <w:vAlign w:val="bottom"/>
          </w:tcPr>
          <w:p>
            <w:pPr>
              <w:jc w:val="center"/>
              <w:ind w:left="111"/>
              <w:spacing w:after="0"/>
              <w:rPr>
                <w:sz w:val="20"/>
                <w:szCs w:val="20"/>
                <w:color w:val="auto"/>
              </w:rPr>
            </w:pPr>
            <w:r>
              <w:rPr>
                <w:rFonts w:ascii="Arial" w:cs="Arial" w:eastAsia="Arial" w:hAnsi="Arial"/>
                <w:sz w:val="14"/>
                <w:szCs w:val="14"/>
                <w:b w:val="1"/>
                <w:bCs w:val="1"/>
                <w:color w:val="auto"/>
              </w:rPr>
              <w:t>(Airframe)</w:t>
            </w:r>
          </w:p>
        </w:tc>
        <w:tc>
          <w:tcPr>
            <w:tcW w:w="240" w:type="dxa"/>
            <w:vAlign w:val="bottom"/>
            <w:tcBorders>
              <w:right w:val="single" w:sz="8" w:color="auto"/>
            </w:tcBorders>
          </w:tcPr>
          <w:p>
            <w:pPr>
              <w:spacing w:after="0"/>
              <w:rPr>
                <w:sz w:val="19"/>
                <w:szCs w:val="19"/>
                <w:color w:val="auto"/>
              </w:rPr>
            </w:pPr>
          </w:p>
        </w:tc>
      </w:tr>
      <w:tr>
        <w:trPr>
          <w:trHeight w:val="80"/>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240" w:type="dxa"/>
            <w:vAlign w:val="bottom"/>
            <w:tcBorders>
              <w:bottom w:val="single" w:sz="8" w:color="auto"/>
              <w:right w:val="single" w:sz="8" w:color="auto"/>
            </w:tcBorders>
            <w:shd w:val="clear" w:color="auto" w:fill="C0C0C0"/>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r>
      <w:tr>
        <w:trPr>
          <w:trHeight w:val="29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7"/>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1"/>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7"/>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79"/>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240" w:type="dxa"/>
            <w:vAlign w:val="bottom"/>
            <w:tcBorders>
              <w:bottom w:val="single" w:sz="8" w:color="auto"/>
              <w:right w:val="single" w:sz="8" w:color="auto"/>
            </w:tcBorders>
            <w:shd w:val="clear" w:color="auto" w:fill="C0C0C0"/>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r>
      <w:tr>
        <w:trPr>
          <w:trHeight w:val="291"/>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8"/>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1"/>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8"/>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80"/>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240" w:type="dxa"/>
            <w:vAlign w:val="bottom"/>
            <w:tcBorders>
              <w:bottom w:val="single" w:sz="8" w:color="auto"/>
              <w:right w:val="single" w:sz="8" w:color="auto"/>
            </w:tcBorders>
            <w:shd w:val="clear" w:color="auto" w:fill="C0C0C0"/>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r>
      <w:tr>
        <w:trPr>
          <w:trHeight w:val="291"/>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0000FF"/>
                <w:w w:val="76"/>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7"/>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8"/>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80"/>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240" w:type="dxa"/>
            <w:vAlign w:val="bottom"/>
            <w:tcBorders>
              <w:bottom w:val="single" w:sz="8" w:color="auto"/>
              <w:right w:val="single" w:sz="8" w:color="auto"/>
            </w:tcBorders>
            <w:shd w:val="clear" w:color="auto" w:fill="C0C0C0"/>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r>
      <w:tr>
        <w:trPr>
          <w:trHeight w:val="291"/>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7"/>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1"/>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7"/>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79"/>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240" w:type="dxa"/>
            <w:vAlign w:val="bottom"/>
            <w:tcBorders>
              <w:bottom w:val="single" w:sz="8" w:color="auto"/>
              <w:right w:val="single" w:sz="8" w:color="auto"/>
            </w:tcBorders>
            <w:shd w:val="clear" w:color="auto" w:fill="C0C0C0"/>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r>
      <w:tr>
        <w:trPr>
          <w:trHeight w:val="291"/>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7"/>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1"/>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8"/>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6"/>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292"/>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86"/>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shd w:val="clear" w:color="auto" w:fill="C0C0C0"/>
          </w:tcPr>
          <w:p>
            <w:pPr>
              <w:spacing w:after="0"/>
              <w:rPr>
                <w:sz w:val="7"/>
                <w:szCs w:val="7"/>
                <w:color w:val="auto"/>
              </w:rPr>
            </w:pPr>
          </w:p>
        </w:tc>
        <w:tc>
          <w:tcPr>
            <w:tcW w:w="1240" w:type="dxa"/>
            <w:vAlign w:val="bottom"/>
            <w:tcBorders>
              <w:bottom w:val="single" w:sz="8" w:color="auto"/>
              <w:right w:val="single" w:sz="8" w:color="auto"/>
            </w:tcBorders>
            <w:shd w:val="clear" w:color="auto" w:fill="C0C0C0"/>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r>
      <w:tr>
        <w:trPr>
          <w:trHeight w:val="272"/>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w w:val="76"/>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0C0C0"/>
              <w:right w:val="single" w:sz="8" w:color="auto"/>
            </w:tcBorders>
            <w:shd w:val="clear" w:color="auto" w:fill="C0C0C0"/>
          </w:tcPr>
          <w:p>
            <w:pPr>
              <w:spacing w:after="0"/>
              <w:rPr>
                <w:sz w:val="23"/>
                <w:szCs w:val="23"/>
                <w:color w:val="auto"/>
              </w:rPr>
            </w:pPr>
          </w:p>
        </w:tc>
        <w:tc>
          <w:tcPr>
            <w:tcW w:w="1240" w:type="dxa"/>
            <w:vAlign w:val="bottom"/>
            <w:tcBorders>
              <w:top w:val="single" w:sz="8" w:color="C0C0C0"/>
              <w:right w:val="single" w:sz="8" w:color="auto"/>
            </w:tcBorders>
            <w:shd w:val="clear" w:color="auto" w:fill="C0C0C0"/>
          </w:tcPr>
          <w:p>
            <w:pPr>
              <w:spacing w:after="0"/>
              <w:rPr>
                <w:sz w:val="23"/>
                <w:szCs w:val="23"/>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3"/>
                <w:szCs w:val="23"/>
                <w:color w:val="auto"/>
              </w:rPr>
            </w:pPr>
          </w:p>
        </w:tc>
      </w:tr>
      <w:tr>
        <w:trPr>
          <w:trHeight w:val="79"/>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240" w:type="dxa"/>
            <w:vAlign w:val="bottom"/>
            <w:tcBorders>
              <w:bottom w:val="single" w:sz="8" w:color="auto"/>
              <w:right w:val="single" w:sz="8" w:color="auto"/>
            </w:tcBorders>
            <w:shd w:val="clear" w:color="auto" w:fill="C0C0C0"/>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r>
      <w:tr>
        <w:trPr>
          <w:trHeight w:val="29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4"/>
                <w:szCs w:val="24"/>
                <w:color w:val="auto"/>
              </w:rPr>
            </w:pPr>
          </w:p>
        </w:tc>
      </w:tr>
      <w:tr>
        <w:trPr>
          <w:trHeight w:val="68"/>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3080" w:val="left"/>
          <w:tab w:leader="none" w:pos="5120" w:val="left"/>
        </w:tabs>
        <w:rPr>
          <w:sz w:val="20"/>
          <w:szCs w:val="20"/>
          <w:color w:val="auto"/>
        </w:rPr>
      </w:pPr>
      <w:r>
        <w:rPr>
          <w:rFonts w:ascii="Arial" w:cs="Arial" w:eastAsia="Arial" w:hAnsi="Arial"/>
          <w:sz w:val="22"/>
          <w:szCs w:val="22"/>
          <w:color w:val="auto"/>
        </w:rPr>
        <w:t>AAL-PA-03735 118070-1F .txt</w:t>
        <w:tab/>
        <w:t>Boeing Proprietary</w:t>
      </w:r>
      <w:r>
        <w:rPr>
          <w:sz w:val="20"/>
          <w:szCs w:val="20"/>
          <w:color w:val="auto"/>
        </w:rPr>
        <w:tab/>
      </w:r>
      <w:r>
        <w:rPr>
          <w:rFonts w:ascii="Arial" w:cs="Arial" w:eastAsia="Arial" w:hAnsi="Arial"/>
          <w:sz w:val="21"/>
          <w:szCs w:val="21"/>
          <w:color w:val="auto"/>
        </w:rPr>
        <w:t>SA-30</w:t>
      </w:r>
    </w:p>
    <w:p>
      <w:pPr>
        <w:ind w:left="48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980" w:type="dxa"/>
            <w:vAlign w:val="bottom"/>
            <w:tcBorders>
              <w:top w:val="single" w:sz="8" w:color="auto"/>
              <w:left w:val="single" w:sz="8" w:color="auto"/>
              <w:right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10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right w:val="single" w:sz="8" w:color="auto"/>
            </w:tcBorders>
            <w:shd w:val="clear" w:color="auto" w:fill="C0C0C0"/>
          </w:tcPr>
          <w:p>
            <w:pPr>
              <w:spacing w:after="0"/>
              <w:rPr>
                <w:sz w:val="21"/>
                <w:szCs w:val="21"/>
                <w:color w:val="auto"/>
              </w:rPr>
            </w:pPr>
          </w:p>
        </w:tc>
        <w:tc>
          <w:tcPr>
            <w:tcW w:w="1220" w:type="dxa"/>
            <w:vAlign w:val="bottom"/>
            <w:tcBorders>
              <w:top w:val="single" w:sz="8" w:color="auto"/>
              <w:right w:val="single" w:sz="8" w:color="auto"/>
            </w:tcBorders>
            <w:shd w:val="clear" w:color="auto" w:fill="C0C0C0"/>
          </w:tcPr>
          <w:p>
            <w:pPr>
              <w:spacing w:after="0"/>
              <w:rPr>
                <w:sz w:val="21"/>
                <w:szCs w:val="21"/>
                <w:color w:val="auto"/>
              </w:rPr>
            </w:pPr>
          </w:p>
        </w:tc>
        <w:tc>
          <w:tcPr>
            <w:tcW w:w="1520" w:type="dxa"/>
            <w:vAlign w:val="bottom"/>
            <w:tcBorders>
              <w:top w:val="single" w:sz="8" w:color="auto"/>
              <w:right w:val="single" w:sz="8" w:color="auto"/>
            </w:tcBorders>
          </w:tcPr>
          <w:p>
            <w:pPr>
              <w:spacing w:after="0"/>
              <w:rPr>
                <w:sz w:val="21"/>
                <w:szCs w:val="21"/>
                <w:color w:val="auto"/>
              </w:rPr>
            </w:pPr>
          </w:p>
        </w:tc>
        <w:tc>
          <w:tcPr>
            <w:tcW w:w="4160" w:type="dxa"/>
            <w:vAlign w:val="bottom"/>
            <w:tcBorders>
              <w:top w:val="single" w:sz="8" w:color="auto"/>
              <w:right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Advance Payment Per Aircraft (Amts. Due/Mos. Prior to</w:t>
            </w:r>
          </w:p>
        </w:tc>
      </w:tr>
      <w:tr>
        <w:trPr>
          <w:trHeight w:val="257"/>
        </w:trPr>
        <w:tc>
          <w:tcPr>
            <w:tcW w:w="980" w:type="dxa"/>
            <w:vAlign w:val="bottom"/>
            <w:tcBorders>
              <w:left w:val="single" w:sz="8" w:color="auto"/>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600" w:type="dxa"/>
            <w:vAlign w:val="bottom"/>
            <w:tcBorders>
              <w:right w:val="single" w:sz="8" w:color="auto"/>
            </w:tcBorders>
            <w:shd w:val="clear" w:color="auto" w:fill="C0C0C0"/>
          </w:tcPr>
          <w:p>
            <w:pPr>
              <w:spacing w:after="0"/>
              <w:rPr>
                <w:sz w:val="22"/>
                <w:szCs w:val="22"/>
                <w:color w:val="auto"/>
              </w:rPr>
            </w:pPr>
          </w:p>
        </w:tc>
        <w:tc>
          <w:tcPr>
            <w:tcW w:w="1220" w:type="dxa"/>
            <w:vAlign w:val="bottom"/>
            <w:tcBorders>
              <w:right w:val="single" w:sz="8" w:color="auto"/>
            </w:tcBorders>
            <w:shd w:val="clear" w:color="auto" w:fill="C0C0C0"/>
          </w:tcPr>
          <w:p>
            <w:pPr>
              <w:spacing w:after="0"/>
              <w:rPr>
                <w:sz w:val="22"/>
                <w:szCs w:val="22"/>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Escalation Estimate</w:t>
            </w:r>
          </w:p>
        </w:tc>
        <w:tc>
          <w:tcPr>
            <w:tcW w:w="1240" w:type="dxa"/>
            <w:vAlign w:val="bottom"/>
          </w:tcPr>
          <w:p>
            <w:pPr>
              <w:spacing w:after="0"/>
              <w:rPr>
                <w:sz w:val="22"/>
                <w:szCs w:val="22"/>
                <w:color w:val="auto"/>
              </w:rPr>
            </w:pPr>
          </w:p>
        </w:tc>
        <w:tc>
          <w:tcPr>
            <w:tcW w:w="1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Delivery):</w:t>
            </w:r>
          </w:p>
        </w:tc>
        <w:tc>
          <w:tcPr>
            <w:tcW w:w="1040" w:type="dxa"/>
            <w:vAlign w:val="bottom"/>
            <w:tcBorders>
              <w:right w:val="single" w:sz="8" w:color="auto"/>
            </w:tcBorders>
          </w:tcPr>
          <w:p>
            <w:pPr>
              <w:spacing w:after="0"/>
              <w:rPr>
                <w:sz w:val="22"/>
                <w:szCs w:val="22"/>
                <w:color w:val="auto"/>
              </w:rPr>
            </w:pP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25"/>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60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Nominal Delivery</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24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At Signing</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5"/>
              </w:rPr>
              <w:t>Delivery</w:t>
            </w:r>
          </w:p>
        </w:tc>
        <w:tc>
          <w:tcPr>
            <w:tcW w:w="10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r>
      <w:tr>
        <w:trPr>
          <w:trHeight w:val="80"/>
        </w:trPr>
        <w:tc>
          <w:tcPr>
            <w:tcW w:w="98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r>
      <w:tr>
        <w:trPr>
          <w:trHeight w:val="224"/>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60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Month</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Aircraft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(Airframe)</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30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1"/>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1"/>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9"/>
        </w:trPr>
        <w:tc>
          <w:tcPr>
            <w:tcW w:w="98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1"/>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80"/>
        </w:trPr>
        <w:tc>
          <w:tcPr>
            <w:tcW w:w="98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0"/>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80"/>
        </w:trPr>
        <w:tc>
          <w:tcPr>
            <w:tcW w:w="98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r>
      <w:tr>
        <w:trPr>
          <w:trHeight w:val="291"/>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79"/>
        </w:trPr>
        <w:tc>
          <w:tcPr>
            <w:tcW w:w="98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r>
      <w:tr>
        <w:trPr>
          <w:trHeight w:val="291"/>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0"/>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40" w:type="dxa"/>
            <w:vAlign w:val="bottom"/>
            <w:tcBorders>
              <w:right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0560"/>
          </w:cols>
          <w:pgMar w:left="32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 w:right="4820" w:hanging="479"/>
        <w:spacing w:after="0"/>
        <w:rPr>
          <w:sz w:val="20"/>
          <w:szCs w:val="20"/>
          <w:color w:val="auto"/>
        </w:rPr>
      </w:pPr>
      <w:r>
        <w:rPr>
          <w:rFonts w:ascii="Arial" w:cs="Arial" w:eastAsia="Arial" w:hAnsi="Arial"/>
          <w:sz w:val="22"/>
          <w:szCs w:val="22"/>
          <w:color w:val="auto"/>
        </w:rPr>
        <w:t>AAL-PA-03735 118070-1F .txt</w:t>
      </w:r>
      <w:r>
        <w:rPr>
          <w:sz w:val="20"/>
          <w:szCs w:val="20"/>
          <w:color w:val="auto"/>
        </w:rPr>
        <w:t xml:space="preserve"> </w:t>
      </w:r>
      <w:r>
        <w:rPr>
          <w:rFonts w:ascii="Arial" w:cs="Arial" w:eastAsia="Arial" w:hAnsi="Arial"/>
          <w:sz w:val="22"/>
          <w:szCs w:val="22"/>
          <w:color w:val="auto"/>
        </w:rPr>
        <w:t>Boeing Proprietary SA-30 Page 3</w:t>
      </w:r>
    </w:p>
    <w:p>
      <w:pPr>
        <w:sectPr>
          <w:pgSz w:w="11900" w:h="16838" w:orient="portrait"/>
          <w:cols w:equalWidth="0" w:num="1">
            <w:col w:w="10560"/>
          </w:cols>
          <w:pgMar w:left="320" w:top="1440" w:right="1019" w:bottom="1440" w:gutter="0" w:footer="0" w:header="0"/>
          <w:type w:val="continuous"/>
        </w:sectPr>
      </w:pPr>
    </w:p>
    <w:bookmarkStart w:id="170" w:name="page171"/>
    <w:bookmarkEnd w:id="17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980" w:type="dxa"/>
            <w:vAlign w:val="bottom"/>
            <w:tcBorders>
              <w:top w:val="single" w:sz="8" w:color="auto"/>
              <w:left w:val="single" w:sz="8" w:color="auto"/>
              <w:right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680" w:type="dxa"/>
            <w:vAlign w:val="bottom"/>
            <w:tcBorders>
              <w:top w:val="single" w:sz="8" w:color="auto"/>
              <w:right w:val="single" w:sz="8" w:color="auto"/>
            </w:tcBorders>
            <w:shd w:val="clear" w:color="auto" w:fill="C0C0C0"/>
          </w:tcPr>
          <w:p>
            <w:pPr>
              <w:spacing w:after="0"/>
              <w:rPr>
                <w:sz w:val="21"/>
                <w:szCs w:val="21"/>
                <w:color w:val="auto"/>
              </w:rPr>
            </w:pPr>
          </w:p>
        </w:tc>
        <w:tc>
          <w:tcPr>
            <w:tcW w:w="1080" w:type="dxa"/>
            <w:vAlign w:val="bottom"/>
            <w:tcBorders>
              <w:top w:val="single" w:sz="8" w:color="auto"/>
              <w:right w:val="single" w:sz="8" w:color="auto"/>
            </w:tcBorders>
            <w:shd w:val="clear" w:color="auto" w:fill="C0C0C0"/>
          </w:tcPr>
          <w:p>
            <w:pPr>
              <w:spacing w:after="0"/>
              <w:rPr>
                <w:sz w:val="21"/>
                <w:szCs w:val="21"/>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Escalation Estimate</w:t>
            </w:r>
          </w:p>
        </w:tc>
        <w:tc>
          <w:tcPr>
            <w:tcW w:w="4900" w:type="dxa"/>
            <w:vAlign w:val="bottom"/>
            <w:tcBorders>
              <w:top w:val="single" w:sz="8" w:color="auto"/>
              <w:right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Advance Payment Per Aircraft (Amts. Due/Mos. Prior to Delivery):</w:t>
            </w:r>
          </w:p>
        </w:tc>
      </w:tr>
      <w:tr>
        <w:trPr>
          <w:trHeight w:val="79"/>
        </w:trPr>
        <w:tc>
          <w:tcPr>
            <w:tcW w:w="98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shd w:val="clear" w:color="auto" w:fill="C0C0C0"/>
          </w:tcPr>
          <w:p>
            <w:pPr>
              <w:spacing w:after="0"/>
              <w:rPr>
                <w:sz w:val="6"/>
                <w:szCs w:val="6"/>
                <w:color w:val="auto"/>
              </w:rPr>
            </w:pPr>
          </w:p>
        </w:tc>
        <w:tc>
          <w:tcPr>
            <w:tcW w:w="1080" w:type="dxa"/>
            <w:vAlign w:val="bottom"/>
            <w:tcBorders>
              <w:bottom w:val="single" w:sz="8" w:color="auto"/>
              <w:right w:val="single" w:sz="8" w:color="auto"/>
            </w:tcBorders>
            <w:shd w:val="clear" w:color="auto" w:fill="C0C0C0"/>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225"/>
        </w:trPr>
        <w:tc>
          <w:tcPr>
            <w:tcW w:w="980" w:type="dxa"/>
            <w:vAlign w:val="bottom"/>
            <w:tcBorders>
              <w:left w:val="single" w:sz="8" w:color="auto"/>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shd w:val="clear" w:color="auto" w:fill="C0C0C0"/>
          </w:tcPr>
          <w:p>
            <w:pPr>
              <w:spacing w:after="0"/>
              <w:rPr>
                <w:sz w:val="19"/>
                <w:szCs w:val="19"/>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Nominal</w:t>
            </w:r>
          </w:p>
        </w:tc>
        <w:tc>
          <w:tcPr>
            <w:tcW w:w="15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r>
      <w:tr>
        <w:trPr>
          <w:trHeight w:val="243"/>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680" w:type="dxa"/>
            <w:vAlign w:val="bottom"/>
            <w:tcBorders>
              <w:right w:val="single" w:sz="8" w:color="auto"/>
            </w:tcBorders>
            <w:shd w:val="clear" w:color="auto" w:fill="C0C0C0"/>
          </w:tcPr>
          <w:p>
            <w:pPr>
              <w:spacing w:after="0"/>
              <w:rPr>
                <w:sz w:val="21"/>
                <w:szCs w:val="21"/>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30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At Signing</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r>
      <w:tr>
        <w:trPr>
          <w:trHeight w:val="80"/>
        </w:trPr>
        <w:tc>
          <w:tcPr>
            <w:tcW w:w="98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shd w:val="clear" w:color="auto" w:fill="C0C0C0"/>
          </w:tcPr>
          <w:p>
            <w:pPr>
              <w:spacing w:after="0"/>
              <w:rPr>
                <w:sz w:val="6"/>
                <w:szCs w:val="6"/>
                <w:color w:val="auto"/>
              </w:rPr>
            </w:pPr>
          </w:p>
        </w:tc>
        <w:tc>
          <w:tcPr>
            <w:tcW w:w="1080" w:type="dxa"/>
            <w:vAlign w:val="bottom"/>
            <w:tcBorders>
              <w:bottom w:val="single" w:sz="8" w:color="auto"/>
              <w:right w:val="single" w:sz="8" w:color="auto"/>
            </w:tcBorders>
            <w:shd w:val="clear" w:color="auto" w:fill="C0C0C0"/>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r>
      <w:tr>
        <w:trPr>
          <w:trHeight w:val="224"/>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(Airframe)</w:t>
            </w:r>
          </w:p>
        </w:tc>
        <w:tc>
          <w:tcPr>
            <w:tcW w:w="680" w:type="dxa"/>
            <w:vAlign w:val="bottom"/>
            <w:tcBorders>
              <w:right w:val="single" w:sz="8" w:color="auto"/>
            </w:tcBorders>
            <w:shd w:val="clear" w:color="auto" w:fill="C0C0C0"/>
          </w:tcPr>
          <w:p>
            <w:pPr>
              <w:spacing w:after="0"/>
              <w:rPr>
                <w:sz w:val="19"/>
                <w:szCs w:val="19"/>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(Airframe)</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50"/>
        </w:trPr>
        <w:tc>
          <w:tcPr>
            <w:tcW w:w="980" w:type="dxa"/>
            <w:vAlign w:val="bottom"/>
            <w:tcBorders>
              <w:left w:val="single" w:sz="8" w:color="auto"/>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shd w:val="clear" w:color="auto" w:fill="C0C0C0"/>
          </w:tcPr>
          <w:p>
            <w:pPr>
              <w:spacing w:after="0"/>
              <w:rPr>
                <w:sz w:val="21"/>
                <w:szCs w:val="21"/>
                <w:color w:val="auto"/>
              </w:rPr>
            </w:pPr>
          </w:p>
        </w:tc>
        <w:tc>
          <w:tcPr>
            <w:tcW w:w="1080" w:type="dxa"/>
            <w:vAlign w:val="bottom"/>
            <w:tcBorders>
              <w:bottom w:val="single" w:sz="8" w:color="auto"/>
              <w:right w:val="single" w:sz="8" w:color="auto"/>
            </w:tcBorders>
            <w:shd w:val="clear" w:color="auto" w:fill="C0C0C0"/>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30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91"/>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91"/>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0000FF"/>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9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6"/>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24"/>
        </w:trPr>
        <w:tc>
          <w:tcPr>
            <w:tcW w:w="980" w:type="dxa"/>
            <w:vAlign w:val="bottom"/>
          </w:tcPr>
          <w:p>
            <w:pPr>
              <w:jc w:val="center"/>
              <w:spacing w:after="0"/>
              <w:rPr>
                <w:sz w:val="20"/>
                <w:szCs w:val="20"/>
                <w:color w:val="auto"/>
              </w:rPr>
            </w:pPr>
            <w:r>
              <w:rPr>
                <w:rFonts w:ascii="Arial" w:cs="Arial" w:eastAsia="Arial" w:hAnsi="Arial"/>
                <w:sz w:val="14"/>
                <w:szCs w:val="14"/>
                <w:color w:val="auto"/>
                <w:w w:val="91"/>
              </w:rPr>
              <w:t>Total:</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080" w:val="left"/>
          <w:tab w:leader="none" w:pos="5120" w:val="left"/>
        </w:tabs>
        <w:rPr>
          <w:sz w:val="20"/>
          <w:szCs w:val="20"/>
          <w:color w:val="auto"/>
        </w:rPr>
      </w:pPr>
      <w:r>
        <w:rPr>
          <w:rFonts w:ascii="Arial" w:cs="Arial" w:eastAsia="Arial" w:hAnsi="Arial"/>
          <w:sz w:val="22"/>
          <w:szCs w:val="22"/>
          <w:color w:val="auto"/>
        </w:rPr>
        <w:t>AAL-PA-03735 118070-1F .txt</w:t>
        <w:tab/>
        <w:t>Boeing Proprietary</w:t>
      </w:r>
      <w:r>
        <w:rPr>
          <w:sz w:val="20"/>
          <w:szCs w:val="20"/>
          <w:color w:val="auto"/>
        </w:rPr>
        <w:tab/>
      </w:r>
      <w:r>
        <w:rPr>
          <w:rFonts w:ascii="Arial" w:cs="Arial" w:eastAsia="Arial" w:hAnsi="Arial"/>
          <w:sz w:val="21"/>
          <w:szCs w:val="21"/>
          <w:color w:val="auto"/>
        </w:rPr>
        <w:t>SA-30</w:t>
      </w:r>
    </w:p>
    <w:p>
      <w:pPr>
        <w:ind w:left="48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40"/>
          </w:cols>
          <w:pgMar w:left="320" w:top="1440"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hanging="320"/>
        <w:spacing w:after="0" w:line="275"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2023</w:t>
      </w:r>
    </w:p>
    <w:p>
      <w:pPr>
        <w:spacing w:after="0" w:line="14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22225</wp:posOffset>
            </wp:positionV>
            <wp:extent cx="23749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4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36"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86"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hanging="320"/>
        <w:spacing w:after="0" w:line="275"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2023</w:t>
      </w:r>
    </w:p>
    <w:p>
      <w:pPr>
        <w:spacing w:after="0" w:line="1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22225</wp:posOffset>
            </wp:positionV>
            <wp:extent cx="24517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6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23" w:lineRule="exact"/>
        <w:rPr>
          <w:sz w:val="20"/>
          <w:szCs w:val="20"/>
          <w:color w:val="auto"/>
        </w:rPr>
      </w:pPr>
    </w:p>
    <w:p>
      <w:pPr>
        <w:sectPr>
          <w:pgSz w:w="11900" w:h="16838" w:orient="portrait"/>
          <w:cols w:equalWidth="0" w:num="2">
            <w:col w:w="6920" w:space="180"/>
            <w:col w:w="4140"/>
          </w:cols>
          <w:pgMar w:left="320" w:top="886" w:right="339" w:bottom="1440" w:gutter="0" w:footer="0" w:header="0"/>
          <w:type w:val="continuous"/>
        </w:sectPr>
      </w:pP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00"/>
        <w:spacing w:after="0" w:line="275"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80" w:space="320"/>
            <w:col w:w="4140"/>
          </w:cols>
          <w:pgMar w:left="320" w:top="886" w:right="33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410"/>
        <w:spacing w:after="0" w:line="263" w:lineRule="auto"/>
        <w:tabs>
          <w:tab w:leader="none" w:pos="1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450"/>
        <w:spacing w:after="0" w:line="263" w:lineRule="auto"/>
        <w:tabs>
          <w:tab w:leader="none" w:pos="1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hanging="490"/>
        <w:spacing w:after="0" w:line="263" w:lineRule="auto"/>
        <w:tabs>
          <w:tab w:leader="none" w:pos="1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300" w:hanging="500"/>
        <w:spacing w:after="0" w:line="263" w:lineRule="auto"/>
        <w:tabs>
          <w:tab w:leader="none" w:pos="128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hanging="410"/>
        <w:spacing w:after="0" w:line="263" w:lineRule="auto"/>
        <w:tabs>
          <w:tab w:leader="none" w:pos="1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hanging="450"/>
        <w:spacing w:after="0" w:line="275" w:lineRule="auto"/>
        <w:tabs>
          <w:tab w:leader="none" w:pos="1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2023</w:t>
      </w:r>
    </w:p>
    <w:p>
      <w:pPr>
        <w:spacing w:after="0" w:line="14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22225</wp:posOffset>
            </wp:positionV>
            <wp:extent cx="23749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4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86"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hanging="320"/>
        <w:spacing w:after="0" w:line="275"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2023</w:t>
      </w:r>
    </w:p>
    <w:p>
      <w:pPr>
        <w:spacing w:after="0" w:line="200" w:lineRule="exact"/>
        <w:rPr>
          <w:sz w:val="20"/>
          <w:szCs w:val="20"/>
          <w:color w:val="auto"/>
        </w:rPr>
      </w:pPr>
    </w:p>
    <w:p>
      <w:pPr>
        <w:spacing w:after="0" w:line="28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13970</wp:posOffset>
            </wp:positionV>
            <wp:extent cx="24517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5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sectPr>
          <w:pgSz w:w="11900" w:h="16838" w:orient="portrait"/>
          <w:cols w:equalWidth="0" w:num="2">
            <w:col w:w="6920" w:space="180"/>
            <w:col w:w="4140"/>
          </w:cols>
          <w:pgMar w:left="320" w:top="886" w:right="339" w:bottom="1440" w:gutter="0" w:footer="0" w:header="0"/>
          <w:type w:val="continuous"/>
        </w:sectPr>
      </w:pP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00"/>
        <w:spacing w:after="0" w:line="275"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80" w:space="320"/>
            <w:col w:w="4140"/>
          </w:cols>
          <w:pgMar w:left="320" w:top="886" w:right="339" w:bottom="1440" w:gutter="0" w:footer="0" w:header="0"/>
          <w:type w:val="continuous"/>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June 30, 2023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17"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060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20, 2023</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060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20, 2023</w:t>
      </w:r>
    </w:p>
    <w:p>
      <w:pPr>
        <w:spacing w:after="0" w:line="3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86"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June 30, 2023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17"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060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20, 2023</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060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20, 2023</w:t>
      </w:r>
    </w:p>
    <w:p>
      <w:pPr>
        <w:spacing w:after="0" w:line="3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1)"/>
      <w:numFmt w:val="decimal"/>
      <w:start w:val="2"/>
    </w:lvl>
  </w:abstractNum>
  <w:abstractNum w:abstractNumId="8">
    <w:nsid w:val="10233C99"/>
    <w:multiLevelType w:val="hybridMultilevel"/>
    <w:lvl w:ilvl="0">
      <w:lvlJc w:val="left"/>
      <w:lvlText w:val="%1."/>
      <w:numFmt w:val="decimal"/>
      <w:start w:val="4"/>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1)"/>
      <w:numFmt w:val="decimal"/>
      <w:start w:val="1"/>
    </w:lvl>
  </w:abstractNum>
  <w:abstractNum w:abstractNumId="11">
    <w:nsid w:val="7E0C57B1"/>
    <w:multiLevelType w:val="hybridMultilevel"/>
    <w:lvl w:ilvl="0">
      <w:lvlJc w:val="left"/>
      <w:lvlText w:val="(%1)"/>
      <w:numFmt w:val="decimal"/>
      <w:start w:val="1"/>
    </w:lvl>
  </w:abstractNum>
  <w:abstractNum w:abstractNumId="12">
    <w:nsid w:val="77AE35EB"/>
    <w:multiLevelType w:val="hybridMultilevel"/>
    <w:lvl w:ilvl="0">
      <w:lvlJc w:val="left"/>
      <w:lvlText w:val="(%1)"/>
      <w:numFmt w:val="decimal"/>
      <w:start w:val="1"/>
    </w:lvl>
  </w:abstractNum>
  <w:abstractNum w:abstractNumId="13">
    <w:nsid w:val="579BE4F1"/>
    <w:multiLevelType w:val="hybridMultilevel"/>
    <w:lvl w:ilvl="0">
      <w:lvlJc w:val="left"/>
      <w:lvlText w:val="(%1)"/>
      <w:numFmt w:val="decimal"/>
      <w:start w:val="1"/>
    </w:lvl>
  </w:abstractNum>
  <w:abstractNum w:abstractNumId="14">
    <w:nsid w:val="310C50B3"/>
    <w:multiLevelType w:val="hybridMultilevel"/>
    <w:lvl w:ilvl="0">
      <w:lvlJc w:val="left"/>
      <w:lvlText w:val="(%1)"/>
      <w:numFmt w:val="decimal"/>
      <w:start w:val="1"/>
    </w:lvl>
  </w:abstractNum>
  <w:abstractNum w:abstractNumId="15">
    <w:nsid w:val="5FF87E05"/>
    <w:multiLevelType w:val="hybridMultilevel"/>
    <w:lvl w:ilvl="0">
      <w:lvlJc w:val="left"/>
      <w:lvlText w:val="(%1)"/>
      <w:numFmt w:val="decimal"/>
      <w:start w:val="1"/>
    </w:lvl>
  </w:abstractNum>
  <w:abstractNum w:abstractNumId="16">
    <w:nsid w:val="2F305DEF"/>
    <w:multiLevelType w:val="hybridMultilevel"/>
    <w:lvl w:ilvl="0">
      <w:lvlJc w:val="left"/>
      <w:lvlText w:val="%1."/>
      <w:numFmt w:val="decimal"/>
      <w:start w:val="1"/>
    </w:lvl>
    <w:lvl w:ilvl="1">
      <w:lvlJc w:val="left"/>
      <w:lvlText w:val="(%2)"/>
      <w:numFmt w:val="lowerLetter"/>
      <w:start w:val="1"/>
    </w:lvl>
  </w:abstractNum>
  <w:abstractNum w:abstractNumId="17">
    <w:nsid w:val="25A70BF7"/>
    <w:multiLevelType w:val="hybridMultilevel"/>
    <w:lvl w:ilvl="0">
      <w:lvlJc w:val="left"/>
      <w:lvlText w:val="(%1)"/>
      <w:numFmt w:val="decimal"/>
      <w:start w:val="1"/>
    </w:lvl>
  </w:abstractNum>
  <w:abstractNum w:abstractNumId="18">
    <w:nsid w:val="1DBABF00"/>
    <w:multiLevelType w:val="hybridMultilevel"/>
    <w:lvl w:ilvl="0">
      <w:lvlJc w:val="left"/>
      <w:lvlText w:val="%1."/>
      <w:numFmt w:val="decimal"/>
      <w:start w:val="3"/>
    </w:lvl>
  </w:abstractNum>
  <w:abstractNum w:abstractNumId="19">
    <w:nsid w:val="4AD084E9"/>
    <w:multiLevelType w:val="hybridMultilevel"/>
    <w:lvl w:ilvl="0">
      <w:lvlJc w:val="left"/>
      <w:lvlText w:val="(%1)"/>
      <w:numFmt w:val="decimal"/>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1)"/>
      <w:numFmt w:val="decimal"/>
      <w:start w:val="1"/>
    </w:lvl>
  </w:abstractNum>
  <w:abstractNum w:abstractNumId="22">
    <w:nsid w:val="5DB70AE5"/>
    <w:multiLevelType w:val="hybridMultilevel"/>
    <w:lvl w:ilvl="0">
      <w:lvlJc w:val="left"/>
      <w:lvlText w:val="(%1)"/>
      <w:numFmt w:val="decimal"/>
      <w:start w:val="1"/>
    </w:lvl>
  </w:abstractNum>
  <w:abstractNum w:abstractNumId="23">
    <w:nsid w:val="100F8FCA"/>
    <w:multiLevelType w:val="hybridMultilevel"/>
    <w:lvl w:ilvl="0">
      <w:lvlJc w:val="left"/>
      <w:lvlText w:val="(%1)"/>
      <w:numFmt w:val="decimal"/>
      <w:start w:val="1"/>
    </w:lvl>
  </w:abstractNum>
  <w:abstractNum w:abstractNumId="24">
    <w:nsid w:val="6590700B"/>
    <w:multiLevelType w:val="hybridMultilevel"/>
    <w:lvl w:ilvl="0">
      <w:lvlJc w:val="left"/>
      <w:lvlText w:val="(%1)"/>
      <w:numFmt w:val="decimal"/>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1)"/>
      <w:numFmt w:val="decimal"/>
      <w:start w:val="1"/>
    </w:lvl>
  </w:abstractNum>
  <w:abstractNum w:abstractNumId="29">
    <w:nsid w:val="6B94764"/>
    <w:multiLevelType w:val="hybridMultilevel"/>
    <w:lvl w:ilvl="0">
      <w:lvlJc w:val="left"/>
      <w:lvlText w:val="(%1)"/>
      <w:numFmt w:val="lowerLetter"/>
      <w:start w:val="1"/>
    </w:lvl>
  </w:abstractNum>
  <w:abstractNum w:abstractNumId="30">
    <w:nsid w:val="42C296BD"/>
    <w:multiLevelType w:val="hybridMultilevel"/>
    <w:lvl w:ilvl="0">
      <w:lvlJc w:val="left"/>
      <w:lvlText w:val="(%1)"/>
      <w:numFmt w:val="decimal"/>
      <w:start w:val="1"/>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1"/>
    </w:lvl>
  </w:abstractNum>
  <w:abstractNum w:abstractNumId="33">
    <w:nsid w:val="661E3F1E"/>
    <w:multiLevelType w:val="hybridMultilevel"/>
    <w:lvl w:ilvl="0">
      <w:lvlJc w:val="left"/>
      <w:lvlText w:val="(%1)"/>
      <w:numFmt w:val="decimal"/>
      <w:start w:val="1"/>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1)"/>
      <w:numFmt w:val="lowerLetter"/>
      <w:start w:val="1"/>
    </w:lvl>
  </w:abstractNum>
  <w:abstractNum w:abstractNumId="36">
    <w:nsid w:val="7BD3EE7B"/>
    <w:multiLevelType w:val="hybridMultilevel"/>
    <w:lvl w:ilvl="0">
      <w:lvlJc w:val="left"/>
      <w:lvlText w:val="(%1)"/>
      <w:numFmt w:val="lowerLetter"/>
      <w:start w:val="2"/>
    </w:lvl>
  </w:abstractNum>
  <w:abstractNum w:abstractNumId="37">
    <w:nsid w:val="51D9C564"/>
    <w:multiLevelType w:val="hybridMultilevel"/>
    <w:lvl w:ilvl="0">
      <w:lvlJc w:val="left"/>
      <w:lvlText w:val="•"/>
      <w:numFmt w:val="bullet"/>
      <w:start w:val="1"/>
    </w:lvl>
    <w:lvl w:ilvl="1">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1."/>
      <w:numFmt w:val="decimal"/>
      <w:start w:val="1"/>
    </w:lvl>
  </w:abstractNum>
  <w:abstractNum w:abstractNumId="45">
    <w:nsid w:val="3B0FD379"/>
    <w:multiLevelType w:val="hybridMultilevel"/>
    <w:lvl w:ilvl="0">
      <w:lvlJc w:val="left"/>
      <w:lvlText w:val="%1."/>
      <w:numFmt w:val="decimal"/>
      <w:start w:val="2"/>
    </w:lvl>
  </w:abstractNum>
  <w:abstractNum w:abstractNumId="46">
    <w:nsid w:val="68EB2F63"/>
    <w:multiLevelType w:val="hybridMultilevel"/>
    <w:lvl w:ilvl="0">
      <w:lvlJc w:val="left"/>
      <w:lvlText w:val="%1."/>
      <w:numFmt w:val="decimal"/>
      <w:start w:val="3"/>
    </w:lvl>
  </w:abstractNum>
  <w:abstractNum w:abstractNumId="47">
    <w:nsid w:val="4962813B"/>
    <w:multiLevelType w:val="hybridMultilevel"/>
    <w:lvl w:ilvl="0">
      <w:lvlJc w:val="left"/>
      <w:lvlText w:val="%1."/>
      <w:numFmt w:val="decimal"/>
      <w:start w:val="4"/>
    </w:lvl>
  </w:abstractNum>
  <w:abstractNum w:abstractNumId="48">
    <w:nsid w:val="60B6DF70"/>
    <w:multiLevelType w:val="hybridMultilevel"/>
    <w:lvl w:ilvl="0">
      <w:lvlJc w:val="left"/>
      <w:lvlText w:val="%1."/>
      <w:numFmt w:val="decimal"/>
      <w:start w:val="5"/>
    </w:lvl>
  </w:abstractNum>
  <w:abstractNum w:abstractNumId="49">
    <w:nsid w:val="6A5EE64"/>
    <w:multiLevelType w:val="hybridMultilevel"/>
    <w:lvl w:ilvl="0">
      <w:lvlJc w:val="left"/>
      <w:lvlText w:val="%1."/>
      <w:numFmt w:val="decimal"/>
      <w:start w:val="6"/>
    </w:lvl>
  </w:abstractNum>
  <w:abstractNum w:abstractNumId="50">
    <w:nsid w:val="14330624"/>
    <w:multiLevelType w:val="hybridMultilevel"/>
    <w:lvl w:ilvl="0">
      <w:lvlJc w:val="left"/>
      <w:lvlText w:val="%1."/>
      <w:numFmt w:val="decimal"/>
      <w:start w:val="1"/>
    </w:lvl>
  </w:abstractNum>
  <w:abstractNum w:abstractNumId="51">
    <w:nsid w:val="7FFFCA11"/>
    <w:multiLevelType w:val="hybridMultilevel"/>
    <w:lvl w:ilvl="0">
      <w:lvlJc w:val="left"/>
      <w:lvlText w:val="%1."/>
      <w:numFmt w:val="decimal"/>
      <w:start w:val="2"/>
    </w:lvl>
  </w:abstractNum>
  <w:abstractNum w:abstractNumId="52">
    <w:nsid w:val="1A27709E"/>
    <w:multiLevelType w:val="hybridMultilevel"/>
    <w:lvl w:ilvl="0">
      <w:lvlJc w:val="left"/>
      <w:lvlText w:val="%1."/>
      <w:numFmt w:val="decimal"/>
      <w:start w:val="3"/>
    </w:lvl>
  </w:abstractNum>
  <w:abstractNum w:abstractNumId="53">
    <w:nsid w:val="71EA1109"/>
    <w:multiLevelType w:val="hybridMultilevel"/>
    <w:lvl w:ilvl="0">
      <w:lvlJc w:val="left"/>
      <w:lvlText w:val="%1."/>
      <w:numFmt w:val="decimal"/>
      <w:start w:val="4"/>
    </w:lvl>
  </w:abstractNum>
  <w:abstractNum w:abstractNumId="54">
    <w:nsid w:val="100F59DC"/>
    <w:multiLevelType w:val="hybridMultilevel"/>
    <w:lvl w:ilvl="0">
      <w:lvlJc w:val="left"/>
      <w:lvlText w:val="%1."/>
      <w:numFmt w:val="decimal"/>
      <w:start w:val="5"/>
    </w:lvl>
  </w:abstractNum>
  <w:abstractNum w:abstractNumId="55">
    <w:nsid w:val="7FB7E0AA"/>
    <w:multiLevelType w:val="hybridMultilevel"/>
    <w:lvl w:ilvl="0">
      <w:lvlJc w:val="left"/>
      <w:lvlText w:val="%1."/>
      <w:numFmt w:val="decimal"/>
      <w:start w:val="6"/>
    </w:lvl>
  </w:abstractNum>
  <w:abstractNum w:abstractNumId="56">
    <w:nsid w:val="6EB5BD4"/>
    <w:multiLevelType w:val="hybridMultilevel"/>
    <w:lvl w:ilvl="0">
      <w:lvlJc w:val="left"/>
      <w:lvlText w:val="(%1)"/>
      <w:numFmt w:val="lowerRoman"/>
      <w:start w:val="1"/>
    </w:lvl>
  </w:abstractNum>
  <w:abstractNum w:abstractNumId="57">
    <w:nsid w:val="6F6DD9AC"/>
    <w:multiLevelType w:val="hybridMultilevel"/>
    <w:lvl w:ilvl="0">
      <w:lvlJc w:val="left"/>
      <w:lvlText w:val="%1."/>
      <w:numFmt w:val="decimal"/>
      <w:start w:val="7"/>
    </w:lvl>
  </w:abstractNum>
  <w:abstractNum w:abstractNumId="58">
    <w:nsid w:val="94211F2"/>
    <w:multiLevelType w:val="hybridMultilevel"/>
    <w:lvl w:ilvl="0">
      <w:lvlJc w:val="left"/>
      <w:lvlText w:val="%1."/>
      <w:numFmt w:val="decimal"/>
      <w:start w:val="8"/>
    </w:lvl>
  </w:abstractNum>
  <w:abstractNum w:abstractNumId="59">
    <w:nsid w:val="885E1B"/>
    <w:multiLevelType w:val="hybridMultilevel"/>
    <w:lvl w:ilvl="0">
      <w:lvlJc w:val="left"/>
      <w:lvlText w:val="%1."/>
      <w:numFmt w:val="decimal"/>
      <w:start w:val="9"/>
    </w:lvl>
  </w:abstractNum>
  <w:abstractNum w:abstractNumId="60">
    <w:nsid w:val="76272110"/>
    <w:multiLevelType w:val="hybridMultilevel"/>
    <w:lvl w:ilvl="0">
      <w:lvlJc w:val="left"/>
      <w:lvlText w:val="%1."/>
      <w:numFmt w:val="decimal"/>
      <w:start w:val="10"/>
    </w:lvl>
  </w:abstractNum>
  <w:abstractNum w:abstractNumId="61">
    <w:nsid w:val="4C04A8AF"/>
    <w:multiLevelType w:val="hybridMultilevel"/>
    <w:lvl w:ilvl="0">
      <w:lvlJc w:val="left"/>
      <w:lvlText w:val="%1."/>
      <w:numFmt w:val="decimal"/>
      <w:start w:val="1"/>
    </w:lvl>
  </w:abstractNum>
  <w:abstractNum w:abstractNumId="62">
    <w:nsid w:val="1716703B"/>
    <w:multiLevelType w:val="hybridMultilevel"/>
    <w:lvl w:ilvl="0">
      <w:lvlJc w:val="left"/>
      <w:lvlText w:val="%1."/>
      <w:numFmt w:val="decimal"/>
      <w:start w:val="2"/>
    </w:lvl>
  </w:abstractNum>
  <w:abstractNum w:abstractNumId="63">
    <w:nsid w:val="14E17E33"/>
    <w:multiLevelType w:val="hybridMultilevel"/>
    <w:lvl w:ilvl="0">
      <w:lvlJc w:val="left"/>
      <w:lvlText w:val="%1."/>
      <w:numFmt w:val="decimal"/>
      <w:start w:val="3"/>
    </w:lvl>
  </w:abstractNum>
  <w:abstractNum w:abstractNumId="64">
    <w:nsid w:val="3222E7CD"/>
    <w:multiLevelType w:val="hybridMultilevel"/>
    <w:lvl w:ilvl="0">
      <w:lvlJc w:val="left"/>
      <w:lvlText w:val="%1."/>
      <w:numFmt w:val="decimal"/>
      <w:start w:val="4"/>
    </w:lvl>
  </w:abstractNum>
  <w:abstractNum w:abstractNumId="65">
    <w:nsid w:val="74DE0EE3"/>
    <w:multiLevelType w:val="hybridMultilevel"/>
    <w:lvl w:ilvl="0">
      <w:lvlJc w:val="left"/>
      <w:lvlText w:val="%1."/>
      <w:numFmt w:val="decimal"/>
      <w:start w:val="1"/>
    </w:lvl>
  </w:abstractNum>
  <w:abstractNum w:abstractNumId="66">
    <w:nsid w:val="68EBC550"/>
    <w:multiLevelType w:val="hybridMultilevel"/>
    <w:lvl w:ilvl="0">
      <w:lvlJc w:val="left"/>
      <w:lvlText w:val="%1."/>
      <w:numFmt w:val="decimal"/>
      <w:start w:val="2"/>
    </w:lvl>
  </w:abstractNum>
  <w:abstractNum w:abstractNumId="67">
    <w:nsid w:val="2DF6D648"/>
    <w:multiLevelType w:val="hybridMultilevel"/>
    <w:lvl w:ilvl="0">
      <w:lvlJc w:val="left"/>
      <w:lvlText w:val="%1."/>
      <w:numFmt w:val="decimal"/>
      <w:start w:val="3"/>
    </w:lvl>
  </w:abstractNum>
  <w:abstractNum w:abstractNumId="68">
    <w:nsid w:val="46B7D447"/>
    <w:multiLevelType w:val="hybridMultilevel"/>
    <w:lvl w:ilvl="0">
      <w:lvlJc w:val="left"/>
      <w:lvlText w:val="%1."/>
      <w:numFmt w:val="decimal"/>
      <w:start w:val="4"/>
    </w:lvl>
  </w:abstractNum>
  <w:abstractNum w:abstractNumId="69">
    <w:nsid w:val="4A2AC315"/>
    <w:multiLevelType w:val="hybridMultilevel"/>
    <w:lvl w:ilvl="0">
      <w:lvlJc w:val="left"/>
      <w:lvlText w:val="%1."/>
      <w:numFmt w:val="decimal"/>
      <w:start w:val="5"/>
    </w:lvl>
  </w:abstractNum>
  <w:abstractNum w:abstractNumId="70">
    <w:nsid w:val="39EE015C"/>
    <w:multiLevelType w:val="hybridMultilevel"/>
    <w:lvl w:ilvl="0">
      <w:lvlJc w:val="left"/>
      <w:lvlText w:val="%1."/>
      <w:numFmt w:val="decimal"/>
      <w:start w:val="6"/>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1."/>
      <w:numFmt w:val="decimal"/>
      <w:start w:val="1"/>
    </w:lvl>
  </w:abstractNum>
  <w:abstractNum w:abstractNumId="75">
    <w:nsid w:val="26F324BA"/>
    <w:multiLevelType w:val="hybridMultilevel"/>
    <w:lvl w:ilvl="0">
      <w:lvlJc w:val="left"/>
      <w:lvlText w:val="%1."/>
      <w:numFmt w:val="decimal"/>
      <w:start w:val="3"/>
    </w:lvl>
  </w:abstractNum>
  <w:abstractNum w:abstractNumId="76">
    <w:nsid w:val="7F01579B"/>
    <w:multiLevelType w:val="hybridMultilevel"/>
    <w:lvl w:ilvl="0">
      <w:lvlJc w:val="left"/>
      <w:lvlText w:val="%1."/>
      <w:numFmt w:val="decimal"/>
      <w:start w:val="6"/>
    </w:lvl>
  </w:abstractNum>
  <w:abstractNum w:abstractNumId="77">
    <w:nsid w:val="49DA307D"/>
    <w:multiLevelType w:val="hybridMultilevel"/>
    <w:lvl w:ilvl="0">
      <w:lvlJc w:val="left"/>
      <w:lvlText w:val="%1."/>
      <w:numFmt w:val="decimal"/>
      <w:start w:val="7"/>
    </w:lvl>
  </w:abstractNum>
  <w:abstractNum w:abstractNumId="78">
    <w:nsid w:val="7055A5F5"/>
    <w:multiLevelType w:val="hybridMultilevel"/>
    <w:lvl w:ilvl="0">
      <w:lvlJc w:val="left"/>
      <w:lvlText w:val="%1."/>
      <w:numFmt w:val="decimal"/>
      <w:start w:val="8"/>
    </w:lvl>
  </w:abstractNum>
  <w:abstractNum w:abstractNumId="79">
    <w:nsid w:val="5FB8370B"/>
    <w:multiLevelType w:val="hybridMultilevel"/>
    <w:lvl w:ilvl="0">
      <w:lvlJc w:val="left"/>
      <w:lvlText w:val="%1."/>
      <w:numFmt w:val="decimal"/>
      <w:start w:val="9"/>
    </w:lvl>
  </w:abstractNum>
  <w:abstractNum w:abstractNumId="80">
    <w:nsid w:val="50801EE1"/>
    <w:multiLevelType w:val="hybridMultilevel"/>
    <w:lvl w:ilvl="0">
      <w:lvlJc w:val="left"/>
      <w:lvlText w:val="%1."/>
      <w:numFmt w:val="decimal"/>
      <w:start w:val="1"/>
    </w:lvl>
  </w:abstractNum>
  <w:abstractNum w:abstractNumId="81">
    <w:nsid w:val="488AC1A"/>
    <w:multiLevelType w:val="hybridMultilevel"/>
    <w:lvl w:ilvl="0">
      <w:lvlJc w:val="left"/>
      <w:lvlText w:val="%1."/>
      <w:numFmt w:val="decimal"/>
      <w:start w:val="2"/>
    </w:lvl>
  </w:abstractNum>
  <w:abstractNum w:abstractNumId="82">
    <w:nsid w:val="5FB8011C"/>
    <w:multiLevelType w:val="hybridMultilevel"/>
    <w:lvl w:ilvl="0">
      <w:lvlJc w:val="left"/>
      <w:lvlText w:val="%1."/>
      <w:numFmt w:val="decimal"/>
      <w:start w:val="3"/>
    </w:lvl>
  </w:abstractNum>
  <w:abstractNum w:abstractNumId="83">
    <w:nsid w:val="6AA78F7F"/>
    <w:multiLevelType w:val="hybridMultilevel"/>
    <w:lvl w:ilvl="0">
      <w:lvlJc w:val="left"/>
      <w:lvlText w:val="(%1)"/>
      <w:numFmt w:val="lowerRoman"/>
      <w:start w:val="1"/>
    </w:lvl>
  </w:abstractNum>
  <w:abstractNum w:abstractNumId="84">
    <w:nsid w:val="7672BD23"/>
    <w:multiLevelType w:val="hybridMultilevel"/>
    <w:lvl w:ilvl="0">
      <w:lvlJc w:val="left"/>
      <w:lvlText w:val="%1."/>
      <w:numFmt w:val="decimal"/>
      <w:start w:val="4"/>
    </w:lvl>
  </w:abstractNum>
  <w:abstractNum w:abstractNumId="85">
    <w:nsid w:val="6FC75AF8"/>
    <w:multiLevelType w:val="hybridMultilevel"/>
    <w:lvl w:ilvl="0">
      <w:lvlJc w:val="left"/>
      <w:lvlText w:val="%1."/>
      <w:numFmt w:val="decimal"/>
      <w:start w:val="5"/>
    </w:lvl>
  </w:abstractNum>
  <w:abstractNum w:abstractNumId="86">
    <w:nsid w:val="6A5F7029"/>
    <w:multiLevelType w:val="hybridMultilevel"/>
    <w:lvl w:ilvl="0">
      <w:lvlJc w:val="left"/>
      <w:lvlText w:val="%1."/>
      <w:numFmt w:val="decimal"/>
      <w:start w:val="8"/>
    </w:lvl>
  </w:abstractNum>
  <w:abstractNum w:abstractNumId="87">
    <w:nsid w:val="7D5E18F8"/>
    <w:multiLevelType w:val="hybridMultilevel"/>
    <w:lvl w:ilvl="0">
      <w:lvlJc w:val="left"/>
      <w:lvlText w:val="%1."/>
      <w:numFmt w:val="decimal"/>
      <w:start w:val="9"/>
    </w:lvl>
  </w:abstractNum>
  <w:abstractNum w:abstractNumId="88">
    <w:nsid w:val="5F3534A4"/>
    <w:multiLevelType w:val="hybridMultilevel"/>
    <w:lvl w:ilvl="0">
      <w:lvlJc w:val="left"/>
      <w:lvlText w:val="%1."/>
      <w:numFmt w:val="decimal"/>
      <w:start w:val="10"/>
    </w:lvl>
  </w:abstractNum>
  <w:abstractNum w:abstractNumId="89">
    <w:nsid w:val="73A1821B"/>
    <w:multiLevelType w:val="hybridMultilevel"/>
    <w:lvl w:ilvl="0">
      <w:lvlJc w:val="left"/>
      <w:lvlText w:val="%1."/>
      <w:numFmt w:val="decimal"/>
      <w:start w:val="1"/>
    </w:lvl>
  </w:abstractNum>
  <w:abstractNum w:abstractNumId="90">
    <w:nsid w:val="7DE67713"/>
    <w:multiLevelType w:val="hybridMultilevel"/>
    <w:lvl w:ilvl="0">
      <w:lvlJc w:val="left"/>
      <w:lvlText w:val="%1."/>
      <w:numFmt w:val="decimal"/>
      <w:start w:val="2"/>
    </w:lvl>
  </w:abstractNum>
  <w:abstractNum w:abstractNumId="91">
    <w:nsid w:val="555C55B5"/>
    <w:multiLevelType w:val="hybridMultilevel"/>
    <w:lvl w:ilvl="0">
      <w:lvlJc w:val="left"/>
      <w:lvlText w:val="%1."/>
      <w:numFmt w:val="decimal"/>
      <w:start w:val="3"/>
    </w:lvl>
  </w:abstractNum>
  <w:abstractNum w:abstractNumId="92">
    <w:nsid w:val="3FA62ACA"/>
    <w:multiLevelType w:val="hybridMultilevel"/>
    <w:lvl w:ilvl="0">
      <w:lvlJc w:val="left"/>
      <w:lvlText w:val="%1."/>
      <w:numFmt w:val="decimal"/>
      <w:start w:val="4"/>
    </w:lvl>
  </w:abstractNum>
  <w:abstractNum w:abstractNumId="93">
    <w:nsid w:val="14FCE74E"/>
    <w:multiLevelType w:val="hybridMultilevel"/>
    <w:lvl w:ilvl="0">
      <w:lvlJc w:val="left"/>
      <w:lvlText w:val="%1."/>
      <w:numFmt w:val="decimal"/>
      <w:start w:val="5"/>
    </w:lvl>
  </w:abstractNum>
  <w:abstractNum w:abstractNumId="94">
    <w:nsid w:val="6A3DD3E8"/>
    <w:multiLevelType w:val="hybridMultilevel"/>
    <w:lvl w:ilvl="0">
      <w:lvlJc w:val="left"/>
      <w:lvlText w:val="•"/>
      <w:numFmt w:val="bullet"/>
      <w:start w:val="1"/>
    </w:lvl>
  </w:abstractNum>
  <w:abstractNum w:abstractNumId="95">
    <w:nsid w:val="71C91298"/>
    <w:multiLevelType w:val="hybridMultilevel"/>
    <w:lvl w:ilvl="0">
      <w:lvlJc w:val="left"/>
      <w:lvlText w:val="•"/>
      <w:numFmt w:val="bullet"/>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1."/>
      <w:numFmt w:val="decimal"/>
      <w:start w:val="2"/>
    </w:lvl>
  </w:abstractNum>
  <w:abstractNum w:abstractNumId="99">
    <w:nsid w:val="5092CA79"/>
    <w:multiLevelType w:val="hybridMultilevel"/>
    <w:lvl w:ilvl="0">
      <w:lvlJc w:val="left"/>
      <w:lvlText w:val="%1."/>
      <w:numFmt w:val="decimal"/>
      <w:start w:val="3"/>
    </w:lvl>
  </w:abstractNum>
  <w:abstractNum w:abstractNumId="100">
    <w:nsid w:val="1D545C4D"/>
    <w:multiLevelType w:val="hybridMultilevel"/>
    <w:lvl w:ilvl="0">
      <w:lvlJc w:val="left"/>
      <w:lvlText w:val="(%1)"/>
      <w:numFmt w:val="lowerRoman"/>
      <w:start w:val="1"/>
    </w:lvl>
  </w:abstractNum>
  <w:abstractNum w:abstractNumId="101">
    <w:nsid w:val="59ADEA3D"/>
    <w:multiLevelType w:val="hybridMultilevel"/>
    <w:lvl w:ilvl="0">
      <w:lvlJc w:val="left"/>
      <w:lvlText w:val="(%1)"/>
      <w:numFmt w:val="lowerRoman"/>
      <w:start w:val="3"/>
    </w:lvl>
  </w:abstractNum>
  <w:abstractNum w:abstractNumId="102">
    <w:nsid w:val="288F1A34"/>
    <w:multiLevelType w:val="hybridMultilevel"/>
    <w:lvl w:ilvl="0">
      <w:lvlJc w:val="left"/>
      <w:lvlText w:val="%1."/>
      <w:numFmt w:val="decimal"/>
      <w:start w:val="4"/>
    </w:lvl>
  </w:abstractNum>
  <w:abstractNum w:abstractNumId="103">
    <w:nsid w:val="2A155DBC"/>
    <w:multiLevelType w:val="hybridMultilevel"/>
    <w:lvl w:ilvl="0">
      <w:lvlJc w:val="left"/>
      <w:lvlText w:val="%1."/>
      <w:numFmt w:val="decimal"/>
      <w:start w:val="5"/>
    </w:lvl>
  </w:abstractNum>
  <w:abstractNum w:abstractNumId="104">
    <w:nsid w:val="1D9F6E5F"/>
    <w:multiLevelType w:val="hybridMultilevel"/>
    <w:lvl w:ilvl="0">
      <w:lvlJc w:val="left"/>
      <w:lvlText w:val="%1."/>
      <w:numFmt w:val="decimal"/>
      <w:start w:val="8"/>
    </w:lvl>
  </w:abstractNum>
  <w:abstractNum w:abstractNumId="105">
    <w:nsid w:val="97E1B4E"/>
    <w:multiLevelType w:val="hybridMultilevel"/>
    <w:lvl w:ilvl="0">
      <w:lvlJc w:val="left"/>
      <w:lvlText w:val="%1."/>
      <w:numFmt w:val="decimal"/>
      <w:start w:val="9"/>
    </w:lvl>
  </w:abstractNum>
  <w:abstractNum w:abstractNumId="106">
    <w:nsid w:val="51088277"/>
    <w:multiLevelType w:val="hybridMultilevel"/>
    <w:lvl w:ilvl="0">
      <w:lvlJc w:val="left"/>
      <w:lvlText w:val="%1."/>
      <w:numFmt w:val="decimal"/>
      <w:start w:val="10"/>
    </w:lvl>
  </w:abstractNum>
  <w:abstractNum w:abstractNumId="107">
    <w:nsid w:val="1CA0C5FA"/>
    <w:multiLevelType w:val="hybridMultilevel"/>
    <w:lvl w:ilvl="0">
      <w:lvlJc w:val="left"/>
      <w:lvlText w:val="%1."/>
      <w:numFmt w:val="decimal"/>
      <w:start w:val="1"/>
    </w:lvl>
    <w:lvl w:ilvl="1">
      <w:lvlJc w:val="left"/>
      <w:lvlText w:val="(%2)"/>
      <w:numFmt w:val="lowerLetter"/>
      <w:start w:val="1"/>
    </w:lvl>
  </w:abstractNum>
  <w:abstractNum w:abstractNumId="108">
    <w:nsid w:val="53584BCB"/>
    <w:multiLevelType w:val="hybridMultilevel"/>
    <w:lvl w:ilvl="0">
      <w:lvlJc w:val="left"/>
      <w:lvlText w:val="%1."/>
      <w:numFmt w:val="decimal"/>
      <w:start w:val="1"/>
    </w:lvl>
    <w:lvl w:ilvl="1">
      <w:lvlJc w:val="left"/>
      <w:lvlText w:val="(%2)"/>
      <w:numFmt w:val="lowerLetter"/>
      <w:start w:val="1"/>
    </w:lvl>
  </w:abstractNum>
  <w:abstractNum w:abstractNumId="109">
    <w:nsid w:val="415E286C"/>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2023-07-20T06:16:43Z</dcterms:created>
  <dcterms:modified xsi:type="dcterms:W3CDTF">2023-07-20T06:16:43Z</dcterms:modified>
</cp:coreProperties>
</file>