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4_a1eus000009mv9emag-live.xml.htm"/>
      <w:bookmarkStart w:id="1" w:name="ksf4_a1eus000009mv9emaglive"/>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DIETRICH JOHN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SKYVIEW DRIVE</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Airlines Group Inc.</w:t>
              </w:r>
            </w:hyperlink>
            <w:r>
              <w:rPr/>
              <w:t xml:space="preserve"> [ </w:t>
            </w:r>
            <w:r>
              <w:rPr>
                <w:rFonts w:ascii="Times;serif" w:hAnsi="Times;serif"/>
                <w:color w:val="0000FF"/>
                <w:sz w:val="24"/>
                <w:shd w:fill="FFFFFF" w:val="clear"/>
              </w:rPr>
              <w:t>AAL</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3"/>
        <w:gridCol w:w="905"/>
        <w:gridCol w:w="774"/>
        <w:gridCol w:w="601"/>
        <w:gridCol w:w="348"/>
        <w:gridCol w:w="888"/>
        <w:gridCol w:w="453"/>
        <w:gridCol w:w="841"/>
        <w:gridCol w:w="1161"/>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8,676</w:t>
            </w:r>
            <w:r>
              <w:rPr>
                <w:rFonts w:ascii="Times;serif" w:hAnsi="Times;serif"/>
                <w:color w:val="008000"/>
                <w:position w:val="7"/>
                <w:sz w:val="16"/>
                <w:sz w:val="20"/>
                <w:shd w:fill="FFFFFF" w:val="clear"/>
              </w:rPr>
              <w:t>(1)</w:t>
            </w:r>
            <w:r>
              <w:rPr/>
              <w:t xml:space="preserve"> </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8,676</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will vest fully upon the earlier of June 10, 2027, or the next annual meeting of stockholders following the grant date, subject to the continued service of the reporting person through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Michelle A. Earley, with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6022" TargetMode="External"/><Relationship Id="rId5" Type="http://schemas.openxmlformats.org/officeDocument/2006/relationships/hyperlink" Target="http://www.sec.gov/cgi-bin/browse-edgar?action=getcompany&amp;CIK=00000062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599</Words>
  <Characters>3228</Characters>
  <CharactersWithSpaces>3769</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