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 xml:space="preserve">FORM 8-K </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240" w:after="283"/>
        <w:jc w:val="center"/>
        <w:rPr/>
      </w:pPr>
      <w:r>
        <w:rPr>
          <w:rFonts w:ascii="Arial;sans-serif" w:hAnsi="Arial;sans-serif"/>
          <w:b w:val="false"/>
          <w:color w:val="000000"/>
          <w:sz w:val="24"/>
        </w:rPr>
        <w:t>Date of Report (Date of earliest event reported):</w:t>
      </w:r>
      <w:r>
        <w:rPr>
          <w:color w:val="000000"/>
        </w:rPr>
        <w:t xml:space="preserve"> </w:t>
      </w:r>
      <w:r>
        <w:rPr>
          <w:rFonts w:ascii="Arial;sans-serif" w:hAnsi="Arial;sans-serif"/>
          <w:b/>
          <w:color w:val="000000"/>
          <w:sz w:val="24"/>
        </w:rPr>
        <w:t>July 23, 2026</w:t>
      </w:r>
    </w:p>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 xml:space="preserve">AMERICAN AIRLINES GROUP INC.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AMERICAN AIRLINES,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76" w:type="dxa"/>
        <w:jc w:val="center"/>
        <w:tblInd w:w="0" w:type="dxa"/>
        <w:tblLayout w:type="fixed"/>
        <w:tblCellMar>
          <w:top w:w="28" w:type="dxa"/>
          <w:left w:w="28" w:type="dxa"/>
          <w:bottom w:w="28" w:type="dxa"/>
          <w:right w:w="28" w:type="dxa"/>
        </w:tblCellMar>
      </w:tblPr>
      <w:tblGrid>
        <w:gridCol w:w="1317"/>
        <w:gridCol w:w="1159"/>
        <w:gridCol w:w="1168"/>
        <w:gridCol w:w="109"/>
        <w:gridCol w:w="109"/>
        <w:gridCol w:w="109"/>
        <w:gridCol w:w="742"/>
        <w:gridCol w:w="742"/>
        <w:gridCol w:w="750"/>
        <w:gridCol w:w="109"/>
        <w:gridCol w:w="109"/>
        <w:gridCol w:w="109"/>
        <w:gridCol w:w="802"/>
        <w:gridCol w:w="802"/>
        <w:gridCol w:w="1140"/>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1-8400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75-1825172</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1-2691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13-1502798</w:t>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0" w:after="0"/>
        <w:jc w:val="center"/>
        <w:rPr>
          <w:color w:val="000000"/>
        </w:rPr>
      </w:pPr>
      <w:r>
        <w:rPr>
          <w:color w:val="000000"/>
        </w:rPr>
        <w:t> </w:t>
      </w:r>
    </w:p>
    <w:tbl>
      <w:tblPr>
        <w:tblW w:w="5094" w:type="dxa"/>
        <w:jc w:val="center"/>
        <w:tblInd w:w="0" w:type="dxa"/>
        <w:tblLayout w:type="fixed"/>
        <w:tblCellMar>
          <w:top w:w="28" w:type="dxa"/>
          <w:left w:w="28" w:type="dxa"/>
          <w:bottom w:w="28" w:type="dxa"/>
          <w:right w:w="28" w:type="dxa"/>
        </w:tblCellMar>
      </w:tblPr>
      <w:tblGrid>
        <w:gridCol w:w="598"/>
        <w:gridCol w:w="525"/>
        <w:gridCol w:w="527"/>
        <w:gridCol w:w="384"/>
        <w:gridCol w:w="384"/>
        <w:gridCol w:w="386"/>
        <w:gridCol w:w="215"/>
        <w:gridCol w:w="215"/>
        <w:gridCol w:w="216"/>
        <w:gridCol w:w="109"/>
        <w:gridCol w:w="109"/>
        <w:gridCol w:w="109"/>
        <w:gridCol w:w="109"/>
        <w:gridCol w:w="109"/>
        <w:gridCol w:w="109"/>
        <w:gridCol w:w="290"/>
        <w:gridCol w:w="290"/>
        <w:gridCol w:w="41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 Skyview Drive,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Fort Worth,</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76155</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 Skyview Drive,</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Fort Worth,</w:t>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76155</w:t>
            </w:r>
          </w:p>
        </w:tc>
      </w:tr>
      <w:tr>
        <w:trPr/>
        <w:tc>
          <w:tcPr>
            <w:tcW w:w="3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(682) 278-9000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(682) 278-9000</w:t>
      </w:r>
    </w:p>
    <w:p>
      <w:pPr>
        <w:pStyle w:val="TextBody"/>
        <w:bidi w:val="0"/>
        <w:spacing w:lineRule="auto" w:line="288" w:before="140" w:after="283"/>
        <w:jc w:val="left"/>
        <w:rPr>
          <w:rFonts w:ascii="Arial;sans-serif" w:hAnsi="Arial;sans-serif"/>
          <w:b w:val="false"/>
          <w:color w:val="000000"/>
          <w:sz w:val="19"/>
        </w:rPr>
      </w:pPr>
      <w:r>
        <w:rPr>
          <w:rFonts w:ascii="Arial;sans-serif" w:hAnsi="Arial;sans-serif"/>
          <w:b w:val="false"/>
          <w:color w:val="000000"/>
          <w:sz w:val="19"/>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718" w:type="dxa"/>
        <w:jc w:val="center"/>
        <w:tblInd w:w="0" w:type="dxa"/>
        <w:tblLayout w:type="fixed"/>
        <w:tblCellMar>
          <w:top w:w="28" w:type="dxa"/>
          <w:left w:w="28" w:type="dxa"/>
          <w:bottom w:w="28" w:type="dxa"/>
          <w:right w:w="28" w:type="dxa"/>
        </w:tblCellMar>
      </w:tblPr>
      <w:tblGrid>
        <w:gridCol w:w="1225"/>
        <w:gridCol w:w="1076"/>
        <w:gridCol w:w="1089"/>
        <w:gridCol w:w="109"/>
        <w:gridCol w:w="109"/>
        <w:gridCol w:w="109"/>
        <w:gridCol w:w="304"/>
        <w:gridCol w:w="304"/>
        <w:gridCol w:w="306"/>
        <w:gridCol w:w="109"/>
        <w:gridCol w:w="109"/>
        <w:gridCol w:w="109"/>
        <w:gridCol w:w="808"/>
        <w:gridCol w:w="808"/>
        <w:gridCol w:w="1144"/>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Select Market</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13"/>
              </w:rPr>
            </w:pPr>
            <w:r>
              <w:rPr>
                <w:rFonts w:ascii="Arial;sans-serif" w:hAnsi="Arial;sans-serif"/>
                <w:b/>
                <w:color w:val="000000"/>
                <w:sz w:val="13"/>
              </w:rPr>
              <w:t>(1)</w:t>
            </w:r>
          </w:p>
        </w:tc>
      </w:tr>
    </w:tbl>
    <w:p>
      <w:pPr>
        <w:pStyle w:val="TextBody"/>
        <w:bidi w:val="0"/>
        <w:spacing w:lineRule="auto" w:line="288" w:before="9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bidi w:val="0"/>
        <w:spacing w:lineRule="auto" w:line="288" w:before="100" w:after="283"/>
        <w:jc w:val="both"/>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w:t>
      </w:r>
      <w:r>
        <w:rPr>
          <w:color w:val="000000"/>
        </w:rPr>
        <w:t xml:space="preserve"> </w:t>
      </w:r>
      <w:r>
        <w:rPr>
          <w:rFonts w:ascii="Arial;sans-serif" w:hAnsi="Arial;sans-serif"/>
          <w:b w:val="false"/>
          <w:color w:val="000000"/>
          <w:sz w:val="20"/>
        </w:rPr>
        <w:t>(§240.12b-2 of this chapter).</w:t>
      </w:r>
    </w:p>
    <w:tbl>
      <w:tblPr>
        <w:tblW w:w="2801" w:type="dxa"/>
        <w:jc w:val="left"/>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600" w:type="dxa"/>
        <w:jc w:val="left"/>
        <w:tblInd w:w="0" w:type="dxa"/>
        <w:tblLayout w:type="fixed"/>
        <w:tblCellMar>
          <w:top w:w="28" w:type="dxa"/>
          <w:left w:w="28" w:type="dxa"/>
          <w:bottom w:w="28" w:type="dxa"/>
          <w:right w:w="28" w:type="dxa"/>
        </w:tblCellMar>
      </w:tblPr>
      <w:tblGrid>
        <w:gridCol w:w="396"/>
        <w:gridCol w:w="349"/>
        <w:gridCol w:w="350"/>
        <w:gridCol w:w="1612"/>
        <w:gridCol w:w="1612"/>
        <w:gridCol w:w="228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2.02.</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 AND FINANCIAL CONDITION.</w:t>
            </w:r>
          </w:p>
        </w:tc>
      </w:tr>
    </w:tbl>
    <w:p>
      <w:pPr>
        <w:pStyle w:val="TextBody"/>
        <w:bidi w:val="0"/>
        <w:spacing w:lineRule="auto" w:line="288" w:before="90" w:after="283"/>
        <w:jc w:val="both"/>
        <w:rPr>
          <w:rFonts w:ascii="Arial;sans-serif" w:hAnsi="Arial;sans-serif"/>
          <w:b w:val="false"/>
          <w:color w:val="000000"/>
          <w:sz w:val="20"/>
        </w:rPr>
      </w:pPr>
      <w:r>
        <w:rPr>
          <w:rFonts w:ascii="Arial;sans-serif" w:hAnsi="Arial;sans-serif"/>
          <w:b w:val="false"/>
          <w:color w:val="000000"/>
          <w:sz w:val="20"/>
        </w:rPr>
        <w:t>On July 23, 2026, American Airlines Group Inc. (the Company) issued a press release reporting financial results for the three and six months ended June 30, 2026. The press release is furnished as Exhibit 99.1 to this report.</w:t>
      </w:r>
    </w:p>
    <w:tbl>
      <w:tblPr>
        <w:tblW w:w="4230" w:type="dxa"/>
        <w:jc w:val="left"/>
        <w:tblInd w:w="0" w:type="dxa"/>
        <w:tblLayout w:type="fixed"/>
        <w:tblCellMar>
          <w:top w:w="28" w:type="dxa"/>
          <w:left w:w="28" w:type="dxa"/>
          <w:bottom w:w="28" w:type="dxa"/>
          <w:right w:w="28" w:type="dxa"/>
        </w:tblCellMar>
      </w:tblPr>
      <w:tblGrid>
        <w:gridCol w:w="396"/>
        <w:gridCol w:w="349"/>
        <w:gridCol w:w="350"/>
        <w:gridCol w:w="918"/>
        <w:gridCol w:w="918"/>
        <w:gridCol w:w="1299"/>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7.01.</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REGULATION FD DISCLOSURE.</w:t>
            </w:r>
          </w:p>
        </w:tc>
      </w:tr>
    </w:tbl>
    <w:p>
      <w:pPr>
        <w:pStyle w:val="TextBody"/>
        <w:bidi w:val="0"/>
        <w:spacing w:lineRule="auto" w:line="288" w:before="90" w:after="283"/>
        <w:jc w:val="both"/>
        <w:rPr/>
      </w:pPr>
      <w:r>
        <w:rPr>
          <w:rFonts w:ascii="Arial;sans-serif" w:hAnsi="Arial;sans-serif"/>
          <w:b w:val="false"/>
          <w:color w:val="000000"/>
          <w:sz w:val="20"/>
        </w:rPr>
        <w:t xml:space="preserve">On July 23, 2026, the Company provided a presentation to investors. This investor presentation is located on the Company’s website at </w:t>
      </w:r>
      <w:r>
        <w:rPr>
          <w:rFonts w:ascii="Arial;sans-serif" w:hAnsi="Arial;sans-serif"/>
          <w:b w:val="false"/>
          <w:color w:val="0E32E1"/>
          <w:sz w:val="20"/>
          <w:u w:val="single"/>
        </w:rPr>
        <w:t>www.aa.com</w:t>
      </w:r>
      <w:r>
        <w:rPr>
          <w:color w:val="000000"/>
        </w:rPr>
        <w:t xml:space="preserve"> </w:t>
      </w:r>
      <w:r>
        <w:rPr>
          <w:rFonts w:ascii="Arial;sans-serif" w:hAnsi="Arial;sans-serif"/>
          <w:b w:val="false"/>
          <w:color w:val="000000"/>
          <w:sz w:val="20"/>
        </w:rPr>
        <w:t>under “Investor Relations” and is furnished as Exhibit 99.2 to this report.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information in Items 2.02 and 7.01 of this Current Report on Form 8-K, including Exhibits 99.1 and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tbl>
      <w:tblPr>
        <w:tblW w:w="5174" w:type="dxa"/>
        <w:jc w:val="left"/>
        <w:tblInd w:w="0" w:type="dxa"/>
        <w:tblLayout w:type="fixed"/>
        <w:tblCellMar>
          <w:top w:w="28" w:type="dxa"/>
          <w:left w:w="28" w:type="dxa"/>
          <w:bottom w:w="28" w:type="dxa"/>
          <w:right w:w="28" w:type="dxa"/>
        </w:tblCellMar>
      </w:tblPr>
      <w:tblGrid>
        <w:gridCol w:w="396"/>
        <w:gridCol w:w="349"/>
        <w:gridCol w:w="350"/>
        <w:gridCol w:w="1194"/>
        <w:gridCol w:w="1194"/>
        <w:gridCol w:w="169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STATEMENTS AND EXHIBITS.</w:t>
            </w:r>
          </w:p>
        </w:tc>
      </w:tr>
    </w:tbl>
    <w:tbl>
      <w:tblPr>
        <w:tblW w:w="8456" w:type="dxa"/>
        <w:jc w:val="left"/>
        <w:tblInd w:w="0" w:type="dxa"/>
        <w:tblLayout w:type="fixed"/>
        <w:tblCellMar>
          <w:top w:w="28" w:type="dxa"/>
          <w:left w:w="28" w:type="dxa"/>
          <w:bottom w:w="28" w:type="dxa"/>
          <w:right w:w="28" w:type="dxa"/>
        </w:tblCellMar>
      </w:tblPr>
      <w:tblGrid>
        <w:gridCol w:w="448"/>
        <w:gridCol w:w="396"/>
        <w:gridCol w:w="400"/>
        <w:gridCol w:w="109"/>
        <w:gridCol w:w="109"/>
        <w:gridCol w:w="109"/>
        <w:gridCol w:w="2015"/>
        <w:gridCol w:w="2015"/>
        <w:gridCol w:w="2855"/>
      </w:tblGrid>
      <w:tr>
        <w:trPr/>
        <w:tc>
          <w:tcPr>
            <w:tcW w:w="4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erexhibit991q2-26.htm">
              <w:r>
                <w:rPr>
                  <w:rStyle w:val="InternetLink"/>
                  <w:rFonts w:ascii="Arial;sans-serif" w:hAnsi="Arial;sans-serif"/>
                  <w:b w:val="false"/>
                  <w:color w:val="000080"/>
                  <w:sz w:val="20"/>
                  <w:u w:val="single"/>
                </w:rPr>
                <w:t xml:space="preserve">Press Release, dated </w:t>
              </w:r>
            </w:hyperlink>
            <w:hyperlink w:anchor="a8kerexhibit991q2-26.htm">
              <w:r>
                <w:rPr>
                  <w:rStyle w:val="InternetLink"/>
                  <w:rFonts w:ascii="Arial;sans-serif" w:hAnsi="Arial;sans-serif"/>
                  <w:b w:val="false"/>
                  <w:color w:val="000080"/>
                  <w:sz w:val="20"/>
                  <w:u w:val="single"/>
                </w:rPr>
                <w:t>July</w:t>
              </w:r>
            </w:hyperlink>
            <w:hyperlink w:anchor="a8kerexhibit991q2-26.htm">
              <w:r>
                <w:rPr>
                  <w:rStyle w:val="InternetLink"/>
                  <w:rFonts w:ascii="Arial;sans-serif" w:hAnsi="Arial;sans-serif"/>
                  <w:b w:val="false"/>
                  <w:color w:val="000080"/>
                  <w:sz w:val="20"/>
                  <w:u w:val="single"/>
                </w:rPr>
                <w:t xml:space="preserve"> 23, 2026.</w:t>
              </w:r>
            </w:hyperlink>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presentation.htm">
              <w:r>
                <w:rPr>
                  <w:rStyle w:val="InternetLink"/>
                  <w:rFonts w:ascii="Arial;sans-serif" w:hAnsi="Arial;sans-serif"/>
                  <w:b w:val="false"/>
                  <w:color w:val="000080"/>
                  <w:sz w:val="20"/>
                  <w:u w:val="single"/>
                </w:rPr>
                <w:t xml:space="preserve">Investor Presentation, dated </w:t>
              </w:r>
            </w:hyperlink>
            <w:hyperlink w:anchor="earningspresentation.htm">
              <w:r>
                <w:rPr>
                  <w:rStyle w:val="InternetLink"/>
                  <w:rFonts w:ascii="Arial;sans-serif" w:hAnsi="Arial;sans-serif"/>
                  <w:b w:val="false"/>
                  <w:color w:val="000080"/>
                  <w:sz w:val="20"/>
                  <w:u w:val="single"/>
                </w:rPr>
                <w:t>July</w:t>
              </w:r>
            </w:hyperlink>
            <w:hyperlink w:anchor="earningspresentation.htm">
              <w:r>
                <w:rPr>
                  <w:rStyle w:val="InternetLink"/>
                  <w:rFonts w:ascii="Arial;sans-serif" w:hAnsi="Arial;sans-serif"/>
                  <w:b w:val="false"/>
                  <w:color w:val="000080"/>
                  <w:sz w:val="20"/>
                  <w:u w:val="single"/>
                </w:rPr>
                <w:t xml:space="preserve"> 23, 2026.</w:t>
              </w:r>
            </w:hyperlink>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American Airlines Group Inc. has duly caused this report to be signed on its behalf by the undersigned hereunto duly authorized.</w:t>
      </w:r>
    </w:p>
    <w:tbl>
      <w:tblPr>
        <w:tblW w:w="6500" w:type="dxa"/>
        <w:jc w:val="left"/>
        <w:tblInd w:w="0" w:type="dxa"/>
        <w:tblLayout w:type="fixed"/>
        <w:tblCellMar>
          <w:top w:w="28" w:type="dxa"/>
          <w:left w:w="28" w:type="dxa"/>
          <w:bottom w:w="28" w:type="dxa"/>
          <w:right w:w="28" w:type="dxa"/>
        </w:tblCellMar>
      </w:tblPr>
      <w:tblGrid>
        <w:gridCol w:w="656"/>
        <w:gridCol w:w="576"/>
        <w:gridCol w:w="582"/>
        <w:gridCol w:w="316"/>
        <w:gridCol w:w="316"/>
        <w:gridCol w:w="316"/>
        <w:gridCol w:w="316"/>
        <w:gridCol w:w="316"/>
        <w:gridCol w:w="316"/>
        <w:gridCol w:w="804"/>
        <w:gridCol w:w="804"/>
        <w:gridCol w:w="1182"/>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w:t>
            </w:r>
            <w:r>
              <w:rPr>
                <w:rFonts w:ascii="Arial;sans-serif" w:hAnsi="Arial;sans-serif"/>
                <w:b/>
                <w:color w:val="000000"/>
                <w:sz w:val="16"/>
              </w:rPr>
              <w:t>MERICAN</w:t>
            </w:r>
            <w:r>
              <w:rPr>
                <w:color w:val="000000"/>
              </w:rPr>
              <w:t xml:space="preserve"> </w:t>
            </w:r>
            <w:r>
              <w:rPr>
                <w:rFonts w:ascii="Arial;sans-serif" w:hAnsi="Arial;sans-serif"/>
                <w:b/>
                <w:color w:val="000000"/>
                <w:sz w:val="20"/>
              </w:rPr>
              <w:t>A</w:t>
            </w:r>
            <w:r>
              <w:rPr>
                <w:rFonts w:ascii="Arial;sans-serif" w:hAnsi="Arial;sans-serif"/>
                <w:b/>
                <w:color w:val="000000"/>
                <w:sz w:val="16"/>
              </w:rPr>
              <w:t>IRLINES</w:t>
            </w:r>
            <w:r>
              <w:rPr>
                <w:color w:val="000000"/>
              </w:rPr>
              <w:t xml:space="preserve"> </w:t>
            </w:r>
            <w:r>
              <w:rPr>
                <w:rFonts w:ascii="Arial;sans-serif" w:hAnsi="Arial;sans-serif"/>
                <w:b/>
                <w:color w:val="000000"/>
                <w:sz w:val="20"/>
              </w:rPr>
              <w:t>G</w:t>
            </w:r>
            <w:r>
              <w:rPr>
                <w:rFonts w:ascii="Arial;sans-serif" w:hAnsi="Arial;sans-serif"/>
                <w:b/>
                <w:color w:val="000000"/>
                <w:sz w:val="16"/>
              </w:rPr>
              <w:t>ROUP</w:t>
            </w:r>
            <w:r>
              <w:rPr>
                <w:color w:val="000000"/>
              </w:rPr>
              <w:t xml:space="preserve"> </w:t>
            </w:r>
            <w:r>
              <w:rPr>
                <w:rFonts w:ascii="Arial;sans-serif" w:hAnsi="Arial;sans-serif"/>
                <w:b/>
                <w:color w:val="000000"/>
                <w:sz w:val="20"/>
              </w:rPr>
              <w:t>I</w:t>
            </w:r>
            <w:r>
              <w:rPr>
                <w:rFonts w:ascii="Arial;sans-serif" w:hAnsi="Arial;sans-serif"/>
                <w:b/>
                <w:color w:val="000000"/>
                <w:sz w:val="16"/>
              </w:rPr>
              <w:t>NC</w:t>
            </w:r>
            <w:r>
              <w:rPr>
                <w:rFonts w:ascii="Arial;sans-serif" w:hAnsi="Arial;sans-serif"/>
                <w:b/>
                <w:color w:val="000000"/>
                <w:sz w:val="20"/>
              </w:rPr>
              <w: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lineRule="auto" w:line="288" w:before="27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American Airlines, Inc. has duly caused this report to be signed on its behalf by the undersigned hereunto duly authorized.</w:t>
      </w:r>
    </w:p>
    <w:tbl>
      <w:tblPr>
        <w:tblW w:w="6103" w:type="dxa"/>
        <w:jc w:val="left"/>
        <w:tblInd w:w="0" w:type="dxa"/>
        <w:tblLayout w:type="fixed"/>
        <w:tblCellMar>
          <w:top w:w="28" w:type="dxa"/>
          <w:left w:w="28" w:type="dxa"/>
          <w:bottom w:w="28" w:type="dxa"/>
          <w:right w:w="28" w:type="dxa"/>
        </w:tblCellMar>
      </w:tblPr>
      <w:tblGrid>
        <w:gridCol w:w="656"/>
        <w:gridCol w:w="576"/>
        <w:gridCol w:w="582"/>
        <w:gridCol w:w="250"/>
        <w:gridCol w:w="250"/>
        <w:gridCol w:w="250"/>
        <w:gridCol w:w="250"/>
        <w:gridCol w:w="250"/>
        <w:gridCol w:w="250"/>
        <w:gridCol w:w="804"/>
        <w:gridCol w:w="804"/>
        <w:gridCol w:w="118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w:t>
            </w:r>
            <w:r>
              <w:rPr>
                <w:rFonts w:ascii="Arial;sans-serif" w:hAnsi="Arial;sans-serif"/>
                <w:b/>
                <w:color w:val="000000"/>
                <w:sz w:val="16"/>
              </w:rPr>
              <w:t>MERICAN</w:t>
            </w:r>
            <w:r>
              <w:rPr>
                <w:color w:val="000000"/>
              </w:rPr>
              <w:t xml:space="preserve"> </w:t>
            </w:r>
            <w:r>
              <w:rPr>
                <w:rFonts w:ascii="Arial;sans-serif" w:hAnsi="Arial;sans-serif"/>
                <w:b/>
                <w:color w:val="000000"/>
                <w:sz w:val="20"/>
              </w:rPr>
              <w:t>A</w:t>
            </w:r>
            <w:r>
              <w:rPr>
                <w:rFonts w:ascii="Arial;sans-serif" w:hAnsi="Arial;sans-serif"/>
                <w:b/>
                <w:color w:val="000000"/>
                <w:sz w:val="16"/>
              </w:rPr>
              <w:t>IRLINES</w:t>
            </w:r>
            <w:r>
              <w:rPr>
                <w:rFonts w:ascii="Arial;sans-serif" w:hAnsi="Arial;sans-serif"/>
                <w:b/>
                <w:color w:val="000000"/>
                <w:sz w:val="20"/>
              </w:rPr>
              <w:t>, I</w:t>
            </w:r>
            <w:r>
              <w:rPr>
                <w:rFonts w:ascii="Arial;sans-serif" w:hAnsi="Arial;sans-serif"/>
                <w:b/>
                <w:color w:val="000000"/>
                <w:sz w:val="16"/>
              </w:rPr>
              <w:t>NC</w:t>
            </w:r>
            <w:r>
              <w:rPr>
                <w:rFonts w:ascii="Arial;sans-serif" w:hAnsi="Arial;sans-serif"/>
                <w:b/>
                <w:color w:val="000000"/>
                <w:sz w:val="20"/>
              </w:rPr>
              <w: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right"/>
        <w:rPr/>
      </w:pPr>
      <w:r>
        <w:rPr>
          <w:color w:val="000000"/>
        </w:rPr>
        <w:t xml:space="preserve">  </w:t>
      </w:r>
      <w:r>
        <w:rPr/>
        <w:drawing>
          <wp:inline distT="0" distB="0" distL="0" distR="0">
            <wp:extent cx="217170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71700" cy="466725"/>
                    </a:xfrm>
                    <a:prstGeom prst="rect">
                      <a:avLst/>
                    </a:prstGeom>
                  </pic:spPr>
                </pic:pic>
              </a:graphicData>
            </a:graphic>
          </wp:inline>
        </w:drawing>
      </w:r>
      <w:r>
        <w:rPr>
          <w:color w:val="000000"/>
        </w:rPr>
        <w:t> </w:t>
      </w:r>
    </w:p>
    <w:tbl>
      <w:tblPr>
        <w:tblW w:w="5437"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795"/>
        <w:gridCol w:w="795"/>
        <w:gridCol w:w="112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39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152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57325" cy="152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Corporate Communications</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FF"/>
                <w:sz w:val="19"/>
                <w:u w:val="single"/>
              </w:rPr>
            </w:pPr>
            <w:r>
              <w:rPr>
                <w:rFonts w:ascii="Arial;sans-serif" w:hAnsi="Arial;sans-serif"/>
                <w:b/>
                <w:color w:val="0000FF"/>
                <w:sz w:val="19"/>
                <w:u w:val="single"/>
              </w:rPr>
              <w:t>mediarelations@aa.com</w:t>
            </w:r>
          </w:p>
        </w:tc>
      </w:tr>
      <w:tr>
        <w:trPr/>
        <w:tc>
          <w:tcPr>
            <w:tcW w:w="2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Investor Relations</w:t>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FF"/>
                <w:sz w:val="19"/>
                <w:u w:val="single"/>
              </w:rPr>
            </w:pPr>
            <w:r>
              <w:rPr>
                <w:rFonts w:ascii="Arial;sans-serif" w:hAnsi="Arial;sans-serif"/>
                <w:b/>
                <w:color w:val="0000FF"/>
                <w:sz w:val="19"/>
                <w:u w:val="single"/>
              </w:rPr>
              <w:t>investor.relations@aa.com</w:t>
            </w:r>
          </w:p>
        </w:tc>
      </w:tr>
    </w:tbl>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FOR RELEASE: Thursday, July 23,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American Airlines continues to execute on commercial priorities, delivering highest quarterly revenue in company history</w:t>
      </w:r>
    </w:p>
    <w:p>
      <w:pPr>
        <w:pStyle w:val="TextBody"/>
        <w:bidi w:val="0"/>
        <w:spacing w:lineRule="auto" w:line="288" w:before="240" w:after="120"/>
        <w:jc w:val="left"/>
        <w:rPr/>
      </w:pPr>
      <w:r>
        <w:rPr>
          <w:rFonts w:ascii="Arial;sans-serif" w:hAnsi="Arial;sans-serif"/>
          <w:b w:val="false"/>
          <w:color w:val="000000"/>
          <w:sz w:val="22"/>
        </w:rPr>
        <w:t>FORT WORTH, Texas — American Airlines Group Inc. (NASDAQ: AAL) today reported its second-quarter 2026</w:t>
      </w:r>
      <w:r>
        <w:rPr>
          <w:color w:val="000000"/>
        </w:rPr>
        <w:t xml:space="preserve"> </w:t>
      </w:r>
      <w:r>
        <w:rPr>
          <w:rFonts w:ascii="Arial;sans-serif" w:hAnsi="Arial;sans-serif"/>
          <w:b w:val="false"/>
          <w:color w:val="000000"/>
          <w:sz w:val="22"/>
        </w:rPr>
        <w:t>financial results, including record quarterly revenue, driven by strong demand for American’s product and solid commercial execution.</w:t>
      </w: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Second-quarter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Record revenue of $16.7 billion, up 16.3% year over year, the highest quarterly revenue in company history, driven by strong performance across American’s four commercial pillars.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Strong demand and execution that offset nearly 50% of the over $2.2 billion year-over-year fuel expense increase.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GAAP net income of $71 million, or $0.11 per diluted share.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Adjusted net income of $99 million</w:t>
      </w:r>
      <w:r>
        <w:rPr>
          <w:rFonts w:ascii="Arial;sans-serif" w:hAnsi="Arial;sans-serif"/>
          <w:b w:val="false"/>
          <w:color w:val="000000"/>
          <w:sz w:val="14"/>
        </w:rPr>
        <w:t>1</w:t>
      </w:r>
      <w:r>
        <w:rPr>
          <w:rFonts w:ascii="Arial;sans-serif" w:hAnsi="Arial;sans-serif"/>
          <w:b w:val="false"/>
          <w:color w:val="000000"/>
          <w:sz w:val="22"/>
        </w:rPr>
        <w:t>, or $0.15 per diluted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American delivered year-over-year revenue growth of more than 16% in the second quarter, exceeding our initial expectations and continuing the momentum we’ve built across the business,” said American’s CEO Robert Isom. “This performance reflects the strength of our commercial strategy, driven by our four pillars: elevate the customer experience, grow the global network, drive premium revenue and lead in loyalty. Revenue growth was strong across all entities and cabins, with premium, Main Cabin, domestic and international all up meaningfully year over year. These results demonstrate that our revenue performance and efficiency efforts will continue to drive improved results, and I’m excited about the remainder of 2026 and what’s ahead in 2027 and beyond. Thank you to the American Airlines team for their outstanding execution on our commercial and operational objectives during the quarter.”</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2"/>
        </w:rPr>
        <w:t>The strength of American’s revenue performance and continued efficiency efforts helped to offset a challenging fuel environment. Fuel expense increased by over $2.2 billion, or 83%</w:t>
      </w:r>
      <w:r>
        <w:rPr>
          <w:color w:val="000000"/>
        </w:rPr>
        <w:t xml:space="preserve"> </w:t>
      </w:r>
      <w:r>
        <w:rPr>
          <w:rFonts w:ascii="Arial;sans-serif" w:hAnsi="Arial;sans-serif"/>
          <w:b w:val="false"/>
          <w:color w:val="000000"/>
          <w:sz w:val="24"/>
        </w:rPr>
        <w:t>year over year</w:t>
      </w:r>
      <w:r>
        <w:rPr>
          <w:rFonts w:ascii="Arial;sans-serif" w:hAnsi="Arial;sans-serif"/>
          <w:b w:val="false"/>
          <w:color w:val="000000"/>
          <w:sz w:val="22"/>
        </w:rPr>
        <w:t>. American was able to offset nearly 50% of this fuel headwind in the second quarter through higher fares. Fuel prices have remained volatile in recent weeks. Based on the forward fuel curve as of July 21, American expects third-quarter fuel expense to be up $1.7 billion year over year. The company is focused on mitigating the impact of higher fuel expense through robust demand for American’s product and the continued execution of its four-pillar strategy.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Revenue performance</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The company’s second-quarter results were driven by strong revenue performance across all entities and cabins: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Premium continued to outperform with passenger unit revenue up 13.4%, while Main Cabin also performed well with passenger unit revenue up 8.8% compared to the second quarter of 2025.</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 xml:space="preserve">Domestic demand rebounded nicely year over year with passenger unit revenue growth of 10.6%.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International demand was strong across all entities, with passenger unit revenue for the Atlantic entity up 8.9%, the Pacific entity up 15.1% and the Latin America entity up 6.6% compared to the second quarter of 2025.</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Demand for business travel also remained strong in the second quarter, with managed corporate revenue increasing 26% year over year.</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Elevate the customer experience</w:t>
      </w:r>
    </w:p>
    <w:p>
      <w:pPr>
        <w:pStyle w:val="TextBody"/>
        <w:bidi w:val="0"/>
        <w:spacing w:lineRule="auto" w:line="288" w:before="0" w:after="0"/>
        <w:jc w:val="left"/>
        <w:rPr/>
      </w:pPr>
      <w:r>
        <w:rPr>
          <w:rFonts w:ascii="Arial;sans-serif" w:hAnsi="Arial;sans-serif"/>
          <w:b w:val="false"/>
          <w:color w:val="000000"/>
          <w:sz w:val="22"/>
        </w:rPr>
        <w:t>American continues to invest in the customer experience, resulting in a 5-point year-over-year improvement in its Net Promoter Score (NPS) in the second quarter. For on-time flights, American saw its NPS increase for the 15th time in the past 17 months. In May, the company announced plans to install Starlink high-speed Wi</w:t>
      </w:r>
      <w:r>
        <w:rPr>
          <w:color w:val="000000"/>
        </w:rPr>
        <w:noBreakHyphen/>
      </w:r>
      <w:r>
        <w:rPr>
          <w:rFonts w:ascii="Arial;sans-serif" w:hAnsi="Arial;sans-serif"/>
          <w:b w:val="false"/>
          <w:color w:val="000000"/>
          <w:sz w:val="22"/>
        </w:rPr>
        <w:t xml:space="preserve">Fi on its fleet beginning in 2027, further advancing onboard connectivity and the overall customer experience.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The company continues to expand and enhance its Admirals Club</w:t>
      </w:r>
      <w:r>
        <w:rPr>
          <w:rFonts w:ascii="Arial;sans-serif" w:hAnsi="Arial;sans-serif"/>
          <w:b w:val="false"/>
          <w:color w:val="000000"/>
          <w:sz w:val="13"/>
        </w:rPr>
        <w:t>®</w:t>
      </w:r>
      <w:r>
        <w:rPr>
          <w:color w:val="000000"/>
        </w:rPr>
        <w:t xml:space="preserve"> </w:t>
      </w:r>
      <w:r>
        <w:rPr>
          <w:rFonts w:ascii="Arial;sans-serif" w:hAnsi="Arial;sans-serif"/>
          <w:b w:val="false"/>
          <w:color w:val="000000"/>
          <w:sz w:val="22"/>
        </w:rPr>
        <w:t xml:space="preserve">and premium lounge network to deliver a more premium experience across the customer journey, including new and upgraded amenities in key locations such as New York (JFK) and Dallas-Fort Worth (DFW), in addition to previously announced plans for Charlotte, North Carolina (CLT), and Miami (MIA). </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Grow the global network</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American remains focused on optimizing its network to drive profitable growth, supported by continued expansion in high-demand international markets. In the second quarter, the company launched new nonstop routes to Europe, including service to Budapest, Hungary, and Prague from Philadelphia (PHL) and to Athens, Greece, from DFW, further strengthening its position in the premium trans-Atlantic market. American was also the first U.S. carrier to return to Venezuela, with service from MIA to Caracas, reinforcing its leading position in Latin America.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Across its domestic network, the airline continues to enhance connectivity and efficiency through investments in its hubs. These initiatives include the successful rebanking of DFW, which improved customer connectivity and operational performance at its largest hub. This effort reduced system misconnections in the quarter by nearly 25% year over year, improving customer satisfaction scores. This initiative also supported better financial performance at DFW, where unit revenue increased 4 points above the system average in the second quarter. The company also continues to bolster its key hubs at Chicago (ORD), MIA, PHL and Phoenix (PHX).</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The company’s capacity grew 5.4% year over year in the second quarter, and the operation remained resilient throughout the quarter, with on-time arrival performance improving 2.8 points year over year.</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Drive premium revenue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continues to see momentum in its premium revenue performance, supported by strength in both corporate and premium leisure demand. The airline is adding premium seats with deliveries of new Boeing 787-9 and Airbus A321XLR aircraft and retrofits of its 777-300ER, 777-200ER, A319 and A320 aircraft. This summer, American will offer more premium seats than any other airline.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Managed corporate revenue increased 26% year over year in the second quarter, with sequential improvements each month. This marks the fifth consecutive quarter of double-digit growth in managed corporate revenue for American.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The company is also taking disciplined actions to maximize revenue, including updates to its checked bag fee structure and Basic Economy offerings. These initiatives contributed to a 5-point increase in the upsell rate from Basic Economy to Main Cabin for tickets sold during the second quarter. </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Lead in loyalty</w:t>
      </w:r>
    </w:p>
    <w:p>
      <w:pPr>
        <w:pStyle w:val="TextBody"/>
        <w:bidi w:val="0"/>
        <w:spacing w:lineRule="auto" w:line="288" w:before="0" w:after="0"/>
        <w:jc w:val="left"/>
        <w:rPr/>
      </w:pPr>
      <w:r>
        <w:rPr>
          <w:rFonts w:ascii="Arial;sans-serif" w:hAnsi="Arial;sans-serif"/>
          <w:b w:val="false"/>
          <w:color w:val="000000"/>
          <w:sz w:val="22"/>
        </w:rPr>
        <w:t>The industry-leading AAdvantage</w:t>
      </w:r>
      <w:r>
        <w:rPr>
          <w:rFonts w:ascii="Arial;sans-serif" w:hAnsi="Arial;sans-serif"/>
          <w:b w:val="false"/>
          <w:color w:val="000000"/>
          <w:sz w:val="13"/>
        </w:rPr>
        <w:t>®</w:t>
      </w:r>
      <w:r>
        <w:rPr>
          <w:color w:val="000000"/>
        </w:rPr>
        <w:t xml:space="preserve"> </w:t>
      </w:r>
      <w:r>
        <w:rPr>
          <w:rFonts w:ascii="Arial;sans-serif" w:hAnsi="Arial;sans-serif"/>
          <w:b w:val="false"/>
          <w:color w:val="000000"/>
          <w:sz w:val="22"/>
        </w:rPr>
        <w:t>program remains a key driver of customer engagement and revenue. The program continues to benefit from strong member activity and ongoing enhancements to the co-branded credit card program, reinforcing its role as a powerful contributor to both loyalty and premium demand. Enrollments in the AAdvantage</w:t>
      </w:r>
      <w:r>
        <w:rPr>
          <w:rFonts w:ascii="Arial;sans-serif" w:hAnsi="Arial;sans-serif"/>
          <w:b w:val="false"/>
          <w:color w:val="000000"/>
          <w:sz w:val="13"/>
        </w:rPr>
        <w:t>®</w:t>
      </w:r>
      <w:r>
        <w:rPr>
          <w:color w:val="000000"/>
        </w:rPr>
        <w:t xml:space="preserve"> </w:t>
      </w:r>
      <w:r>
        <w:rPr>
          <w:rFonts w:ascii="Arial;sans-serif" w:hAnsi="Arial;sans-serif"/>
          <w:b w:val="false"/>
          <w:color w:val="000000"/>
          <w:sz w:val="22"/>
        </w:rPr>
        <w:t>program grew more than 30% year over year in the second quarter. American’s co-branded credit card partnership with Citi is a clear example of the strength of its loyalty ecosystem with year-over-year second-quarter card spend growing 8%.</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Efficiency and cost performance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continues to benefit from long-term investments to build a more efficient and resilient airline.</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Arial;sans-serif" w:hAnsi="Arial;sans-serif"/>
          <w:b w:val="false"/>
          <w:color w:val="000000"/>
          <w:sz w:val="22"/>
        </w:rPr>
        <w:t>Over the past several years, we’ve made focused investments in procurement, technology and continued efforts to reengineer the business to run the airline as efficiently as possible while enhancing the customer experience,” said American’s Chief Financial Officer Devon May. “Those efforts are enabling more efficient capacity production and are reflected in our CASM-ex</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performance, which was up approximately 3%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Balance sheet and liquidity</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company continues to strengthen its financial foundation and ended the second quarter with $11.3 billion of total available liquidity. During the quarter, the company completed several financings that bolstered liquidity and addressed its only meaningful maturity in 2027. The company remains committed to reducing debt, lowering interest expense and achieving its leverage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Outlook and financial guidance</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Revenue momentum is expected to continue into the second half of the year, supported by strong demand for American’s products. The company remains focused on expanding margins over time through continued revenue execution and the benefits of its multiyear efficiency initiatives.</w:t>
      </w:r>
    </w:p>
    <w:p>
      <w:pPr>
        <w:pStyle w:val="TextBody"/>
        <w:bidi w:val="0"/>
        <w:spacing w:before="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2"/>
        </w:rPr>
        <w:t>In the third quarter, the company expects year-over-year revenue growth to be between 16.0% and 19.0%. Based on the forward fuel curve as of July 21, American anticipates an average fuel price of approximately $3.75 per gallon for the third quarter and expects CASM-ex</w:t>
      </w:r>
      <w:r>
        <w:rPr>
          <w:rFonts w:ascii="Arial;sans-serif" w:hAnsi="Arial;sans-serif"/>
          <w:b w:val="false"/>
          <w:color w:val="000000"/>
          <w:sz w:val="13"/>
        </w:rPr>
        <w:t>2</w:t>
      </w:r>
      <w:r>
        <w:rPr>
          <w:color w:val="000000"/>
        </w:rPr>
        <w:t xml:space="preserve"> </w:t>
      </w:r>
      <w:r>
        <w:rPr>
          <w:rFonts w:ascii="Arial;sans-serif" w:hAnsi="Arial;sans-serif"/>
          <w:b w:val="false"/>
          <w:color w:val="000000"/>
          <w:sz w:val="22"/>
        </w:rPr>
        <w:t>to increase 2.5% to 4.5% year over year. Given the recent increase in the cost of fuel, the company is now expecting full-year adjusted earnings (loss) per diluted share</w:t>
      </w:r>
      <w:r>
        <w:rPr>
          <w:rFonts w:ascii="Arial;sans-serif" w:hAnsi="Arial;sans-serif"/>
          <w:b w:val="false"/>
          <w:color w:val="000000"/>
          <w:sz w:val="13"/>
        </w:rPr>
        <w:t>3</w:t>
      </w:r>
      <w:r>
        <w:rPr>
          <w:color w:val="000000"/>
        </w:rPr>
        <w:t xml:space="preserve"> </w:t>
      </w:r>
      <w:r>
        <w:rPr>
          <w:rFonts w:ascii="Arial;sans-serif" w:hAnsi="Arial;sans-serif"/>
          <w:b w:val="false"/>
          <w:color w:val="000000"/>
          <w:sz w:val="22"/>
        </w:rPr>
        <w:t xml:space="preserve">to be between ($0.65) and $0.65. </w:t>
      </w:r>
    </w:p>
    <w:p>
      <w:pPr>
        <w:pStyle w:val="TextBody"/>
        <w:bidi w:val="0"/>
        <w:spacing w:before="0" w:after="0"/>
        <w:jc w:val="left"/>
        <w:rPr/>
      </w:pPr>
      <w:r>
        <w:rPr/>
      </w:r>
    </w:p>
    <w:tbl>
      <w:tblPr>
        <w:tblW w:w="7635" w:type="dxa"/>
        <w:jc w:val="left"/>
        <w:tblInd w:w="0" w:type="dxa"/>
        <w:tblLayout w:type="fixed"/>
        <w:tblCellMar>
          <w:top w:w="28" w:type="dxa"/>
          <w:left w:w="28" w:type="dxa"/>
          <w:bottom w:w="28" w:type="dxa"/>
          <w:right w:w="28" w:type="dxa"/>
        </w:tblCellMar>
      </w:tblPr>
      <w:tblGrid>
        <w:gridCol w:w="2083"/>
        <w:gridCol w:w="1831"/>
        <w:gridCol w:w="1831"/>
        <w:gridCol w:w="550"/>
        <w:gridCol w:w="550"/>
        <w:gridCol w:w="790"/>
      </w:tblGrid>
      <w:tr>
        <w:trPr/>
        <w:tc>
          <w:tcPr>
            <w:tcW w:w="208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7635" w:type="dxa"/>
            <w:gridSpan w:val="6"/>
            <w:tcBorders>
              <w:top w:val="single" w:sz="4" w:space="0" w:color="000000"/>
              <w:left w:val="single" w:sz="4" w:space="0" w:color="000000"/>
              <w:right w:val="single" w:sz="4" w:space="0" w:color="000000"/>
            </w:tcBorders>
            <w:shd w:fill="B8CCE4" w:val="clear"/>
            <w:tcMar>
              <w:top w:w="30" w:type="dxa"/>
              <w:bottom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Q3 2026E (vs. Q3 2025)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Available seat miles</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+3.0% – +5.0%</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Total revenue</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+16.0% – +19.0%</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CASM excluding net special items, fuel and profit sharing</w:t>
            </w:r>
            <w:r>
              <w:rPr>
                <w:rFonts w:ascii="Arial;sans-serif" w:hAnsi="Arial;sans-serif"/>
                <w:b w:val="false"/>
                <w:color w:val="000000"/>
                <w:sz w:val="14"/>
              </w:rPr>
              <w:t>2</w:t>
            </w:r>
          </w:p>
        </w:tc>
        <w:tc>
          <w:tcPr>
            <w:tcW w:w="189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+2.5% – +4.5%</w:t>
            </w:r>
          </w:p>
        </w:tc>
      </w:tr>
      <w:tr>
        <w:trPr/>
        <w:tc>
          <w:tcPr>
            <w:tcW w:w="5745"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Adjusted earnings (loss) per diluted share</w:t>
            </w:r>
            <w:r>
              <w:rPr>
                <w:rFonts w:ascii="Arial;sans-serif" w:hAnsi="Arial;sans-serif"/>
                <w:b w:val="false"/>
                <w:color w:val="000000"/>
                <w:sz w:val="14"/>
              </w:rPr>
              <w:t>3</w:t>
            </w:r>
          </w:p>
        </w:tc>
        <w:tc>
          <w:tcPr>
            <w:tcW w:w="1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($0.70) – ($0.10)</w:t>
            </w:r>
          </w:p>
        </w:tc>
      </w:tr>
      <w:tr>
        <w:trPr/>
        <w:tc>
          <w:tcPr>
            <w:tcW w:w="57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6"/>
            <w:tcBorders>
              <w:top w:val="single" w:sz="4" w:space="0" w:color="000000"/>
              <w:left w:val="single" w:sz="4" w:space="0" w:color="000000"/>
              <w:right w:val="single" w:sz="4" w:space="0" w:color="000000"/>
            </w:tcBorders>
            <w:shd w:fill="B8CCE4" w:val="clear"/>
            <w:tcMar>
              <w:top w:w="30" w:type="dxa"/>
              <w:bottom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FY 2026E</w:t>
            </w:r>
          </w:p>
        </w:tc>
      </w:tr>
      <w:tr>
        <w:trPr/>
        <w:tc>
          <w:tcPr>
            <w:tcW w:w="5745"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Adjusted earnings (loss) per diluted share</w:t>
            </w:r>
            <w:r>
              <w:rPr>
                <w:rFonts w:ascii="Arial;sans-serif" w:hAnsi="Arial;sans-serif"/>
                <w:b w:val="false"/>
                <w:color w:val="000000"/>
                <w:sz w:val="14"/>
              </w:rPr>
              <w:t>3</w:t>
            </w:r>
          </w:p>
        </w:tc>
        <w:tc>
          <w:tcPr>
            <w:tcW w:w="189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2"/>
              </w:rPr>
            </w:pPr>
            <w:r>
              <w:rPr>
                <w:rFonts w:ascii="Arial;sans-serif" w:hAnsi="Arial;sans-serif"/>
                <w:b w:val="false"/>
                <w:color w:val="000000"/>
                <w:sz w:val="22"/>
              </w:rPr>
              <w:t>($0.65) – $0.65</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Conference call and webcast</w:t>
      </w:r>
    </w:p>
    <w:p>
      <w:pPr>
        <w:pStyle w:val="TextBody"/>
        <w:bidi w:val="0"/>
        <w:spacing w:lineRule="auto" w:line="276" w:before="0" w:after="0"/>
        <w:jc w:val="left"/>
        <w:rPr/>
      </w:pPr>
      <w:r>
        <w:rPr>
          <w:rFonts w:ascii="Arial;sans-serif" w:hAnsi="Arial;sans-serif"/>
          <w:b w:val="false"/>
          <w:color w:val="000000"/>
          <w:sz w:val="22"/>
        </w:rPr>
        <w:t xml:space="preserve">American will host a conference call at 7:30 a.m. CT today. A live webcast and replay will be available at </w:t>
      </w:r>
      <w:r>
        <w:rPr>
          <w:rFonts w:ascii="Arial;sans-serif" w:hAnsi="Arial;sans-serif"/>
          <w:b w:val="false"/>
          <w:color w:val="0000FF"/>
          <w:sz w:val="22"/>
          <w:u w:val="single"/>
        </w:rPr>
        <w:t>aa.com/investorrelations</w:t>
      </w:r>
      <w:r>
        <w:rPr>
          <w:rFonts w:ascii="Arial;sans-serif" w:hAnsi="Arial;sans-serif"/>
          <w:b w:val="false"/>
          <w:color w:val="000000"/>
          <w:sz w:val="22"/>
        </w:rPr>
        <w:t>.</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 xml:space="preserve">Notes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See the accompanying notes in the financial tables section of this press release for further explanation, including reconciliations of certain GAAP to non-GAAP financial information.</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1.Adjusted net income is a non-GAAP financial measure and includes $28 million of net special items after the effect of taxes that the company recognized in the second quarter.</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 xml:space="preserve">2.Cost per available seat mile (CASM) excluding net special items, fuel and profit sharing (CASM-ex) is a non-GAAP measure. The company is unable to reconcile certain forward-looking information to GAAP as the nature or amount of net special items cannot be determined at this time. </w:t>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3.Adjusted earnings (loss) per diluted share guidance excludes the impact of net special items and represents an absolute number, not a year-over-year comparison. The company is unable to reconcile certain forward-looking information to GAAP as the nature or amount of net special items cannot be determined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About American Airlines Group (NASDAQ: AAL)</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American Airlines is a premium global airline connecting more of the U.S. to the world. With roots tracing back to an air mail carrier in the Midwestern United States in 1926, American now operates more than 6,000 daily flights to more than 350 destinations in more than 60 countries and serves more than 200 million customers annually. Powered by a proud and talented team of 130,000 aviation professionals, American’s team lives out the airline’s purpose of caring for people on life’s journey every day.</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2"/>
        </w:rPr>
        <w:t>The world’s largest airline proudly celebrates its centennial year in 2026, reaching a milestone that reflects a century of innovation and the Forever Forward</w:t>
      </w:r>
      <w:r>
        <w:rPr>
          <w:rFonts w:ascii="Arial;sans-serif" w:hAnsi="Arial;sans-serif"/>
          <w:b w:val="false"/>
          <w:color w:val="000000"/>
          <w:sz w:val="14"/>
        </w:rPr>
        <w:t>SM</w:t>
      </w:r>
      <w:r>
        <w:rPr>
          <w:color w:val="000000"/>
        </w:rPr>
        <w:t xml:space="preserve"> </w:t>
      </w:r>
      <w:r>
        <w:rPr>
          <w:rFonts w:ascii="Arial;sans-serif" w:hAnsi="Arial;sans-serif"/>
          <w:b w:val="false"/>
          <w:color w:val="000000"/>
          <w:sz w:val="22"/>
        </w:rPr>
        <w:t xml:space="preserve">spirit that changed the industry and the world. American introduced the first scheduled air cargo service, the first airport lounge and the first airline loyalty program and continues to reinvent the customer experience today. The airline is also a founding member of the </w:t>
      </w:r>
      <w:r>
        <w:rPr>
          <w:rFonts w:ascii="Arial;sans-serif" w:hAnsi="Arial;sans-serif"/>
          <w:b/>
          <w:color w:val="000000"/>
          <w:sz w:val="22"/>
        </w:rPr>
        <w:t>one</w:t>
      </w:r>
      <w:r>
        <w:rPr>
          <w:rFonts w:ascii="Arial;sans-serif" w:hAnsi="Arial;sans-serif"/>
          <w:b w:val="false"/>
          <w:color w:val="000000"/>
          <w:sz w:val="22"/>
        </w:rPr>
        <w:t>world alliance, whose members serve more than 900 destinations around the globe.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Get the latest about American at </w:t>
      </w:r>
      <w:r>
        <w:rPr>
          <w:rFonts w:ascii="Arial;sans-serif" w:hAnsi="Arial;sans-serif"/>
          <w:b w:val="false"/>
          <w:color w:val="0000FF"/>
          <w:sz w:val="22"/>
          <w:u w:val="single"/>
          <w:shd w:fill="FFFFFF" w:val="clear"/>
        </w:rPr>
        <w:t>news.aa.com</w:t>
      </w:r>
      <w:r>
        <w:rPr>
          <w:color w:val="000000"/>
        </w:rPr>
        <w:t xml:space="preserve"> </w:t>
      </w:r>
      <w:r>
        <w:rPr>
          <w:rFonts w:ascii="Arial;sans-serif" w:hAnsi="Arial;sans-serif"/>
          <w:b w:val="false"/>
          <w:color w:val="000000"/>
          <w:sz w:val="22"/>
        </w:rPr>
        <w:t xml:space="preserve">and </w:t>
      </w:r>
      <w:r>
        <w:rPr>
          <w:rFonts w:ascii="Arial;sans-serif" w:hAnsi="Arial;sans-serif"/>
          <w:b w:val="false"/>
          <w:color w:val="0000FF"/>
          <w:sz w:val="22"/>
          <w:u w:val="single"/>
          <w:shd w:fill="FFFFFF" w:val="clear"/>
        </w:rPr>
        <w:t>@AmericanAir</w:t>
      </w:r>
      <w:r>
        <w:rPr>
          <w:rFonts w:ascii="Times New Roman;serif" w:hAnsi="Times New Roman;serif"/>
          <w:b w:val="false"/>
          <w:color w:val="000000"/>
          <w:sz w:val="20"/>
        </w:rPr>
        <w:t xml:space="preserve">. </w:t>
      </w: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Use of websites and social media to disclose information</w:t>
      </w:r>
    </w:p>
    <w:p>
      <w:pPr>
        <w:pStyle w:val="TextBody"/>
        <w:bidi w:val="0"/>
        <w:spacing w:lineRule="auto" w:line="288" w:before="0" w:after="0"/>
        <w:jc w:val="left"/>
        <w:rPr/>
      </w:pPr>
      <w:r>
        <w:rPr>
          <w:rFonts w:ascii="Arial;sans-serif" w:hAnsi="Arial;sans-serif"/>
          <w:b w:val="false"/>
          <w:color w:val="000000"/>
          <w:sz w:val="22"/>
        </w:rPr>
        <w:t xml:space="preserve">American routinely uses the investor relations section of its website as well as its social media pages, including on Facebook and X, and its newsroom at </w:t>
      </w:r>
      <w:r>
        <w:rPr>
          <w:rFonts w:ascii="Arial;sans-serif" w:hAnsi="Arial;sans-serif"/>
          <w:b w:val="false"/>
          <w:color w:val="0000FF"/>
          <w:sz w:val="22"/>
          <w:u w:val="single"/>
          <w:shd w:fill="FFFFFF" w:val="clear"/>
        </w:rPr>
        <w:t>news.aa.com</w:t>
      </w:r>
      <w:r>
        <w:rPr>
          <w:rFonts w:ascii="Arial;sans-serif" w:hAnsi="Arial;sans-serif"/>
          <w:b w:val="false"/>
          <w:color w:val="000000"/>
          <w:sz w:val="22"/>
        </w:rPr>
        <w:t>, to disclose important information about American Airlines Group Inc. and its subsidiaries and to comply with its disclosure obligations under Regulation Fair Disclosure. The information contained on, or that may be accessed through, the company’s website, social media channels or newsroom is not incorporated by reference into, and is not a part of, this document, and all website addresses in this document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left"/>
        <w:rPr>
          <w:rFonts w:ascii="Arial;sans-serif" w:hAnsi="Arial;sans-serif"/>
          <w:b/>
          <w:color w:val="000000"/>
          <w:sz w:val="22"/>
        </w:rPr>
      </w:pPr>
      <w:r>
        <w:rPr>
          <w:rFonts w:ascii="Arial;sans-serif" w:hAnsi="Arial;sans-serif"/>
          <w:b/>
          <w:color w:val="000000"/>
          <w:sz w:val="22"/>
        </w:rPr>
        <w:t>Cautionary statement regarding forward-looking statements and information</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condition; evolving data privacy requirements could increase our costs, and any significant cybersecurity incident 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 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share and per share amounts)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w:t>
      </w:r>
    </w:p>
    <w:tbl>
      <w:tblPr>
        <w:tblW w:w="10205" w:type="dxa"/>
        <w:jc w:val="center"/>
        <w:tblInd w:w="0" w:type="dxa"/>
        <w:tblLayout w:type="fixed"/>
        <w:tblCellMar>
          <w:top w:w="28" w:type="dxa"/>
          <w:left w:w="28" w:type="dxa"/>
          <w:bottom w:w="28" w:type="dxa"/>
          <w:right w:w="28" w:type="dxa"/>
        </w:tblCellMar>
      </w:tblPr>
      <w:tblGrid>
        <w:gridCol w:w="1046"/>
        <w:gridCol w:w="746"/>
        <w:gridCol w:w="749"/>
        <w:gridCol w:w="211"/>
        <w:gridCol w:w="721"/>
        <w:gridCol w:w="109"/>
        <w:gridCol w:w="109"/>
        <w:gridCol w:w="109"/>
        <w:gridCol w:w="109"/>
        <w:gridCol w:w="211"/>
        <w:gridCol w:w="721"/>
        <w:gridCol w:w="109"/>
        <w:gridCol w:w="109"/>
        <w:gridCol w:w="109"/>
        <w:gridCol w:w="109"/>
        <w:gridCol w:w="302"/>
        <w:gridCol w:w="302"/>
        <w:gridCol w:w="303"/>
        <w:gridCol w:w="109"/>
        <w:gridCol w:w="109"/>
        <w:gridCol w:w="109"/>
        <w:gridCol w:w="211"/>
        <w:gridCol w:w="721"/>
        <w:gridCol w:w="109"/>
        <w:gridCol w:w="109"/>
        <w:gridCol w:w="109"/>
        <w:gridCol w:w="109"/>
        <w:gridCol w:w="211"/>
        <w:gridCol w:w="721"/>
        <w:gridCol w:w="109"/>
        <w:gridCol w:w="109"/>
        <w:gridCol w:w="109"/>
        <w:gridCol w:w="109"/>
        <w:gridCol w:w="279"/>
        <w:gridCol w:w="279"/>
        <w:gridCol w:w="400"/>
      </w:tblGrid>
      <w:tr>
        <w:trPr/>
        <w:tc>
          <w:tcPr>
            <w:tcW w:w="10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Increase</w:t>
              <w:br/>
              <w:t>(Decrease)</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Cargo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fuel and related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wages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Maintenance, materials and repairs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rent and landing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 xml:space="preserve">nm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shares outstanding (in thousands):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660,367 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661,685 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660,523 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color w:val="000000"/>
          <w:sz w:val="18"/>
        </w:rPr>
      </w:pPr>
      <w:r>
        <w:rPr>
          <w:rFonts w:ascii="Arial;sans-serif" w:hAnsi="Arial;sans-serif"/>
          <w:b/>
          <w:color w:val="000000"/>
          <w:sz w:val="18"/>
        </w:rPr>
        <w:t>Note: Percent change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Not meaningful or greater than 100% change.</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pPr>
      <w:r>
        <w:rPr>
          <w:rFonts w:ascii="Arial;sans-serif" w:hAnsi="Arial;sans-serif"/>
          <w:b/>
          <w:color w:val="000000"/>
          <w:sz w:val="18"/>
        </w:rPr>
        <w:t xml:space="preserve">Consolidated Operating Statistics </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452"/>
        <w:gridCol w:w="1180"/>
        <w:gridCol w:w="1183"/>
        <w:gridCol w:w="228"/>
        <w:gridCol w:w="228"/>
        <w:gridCol w:w="235"/>
        <w:gridCol w:w="127"/>
        <w:gridCol w:w="127"/>
        <w:gridCol w:w="127"/>
        <w:gridCol w:w="228"/>
        <w:gridCol w:w="228"/>
        <w:gridCol w:w="235"/>
        <w:gridCol w:w="109"/>
        <w:gridCol w:w="109"/>
        <w:gridCol w:w="109"/>
        <w:gridCol w:w="305"/>
        <w:gridCol w:w="305"/>
        <w:gridCol w:w="306"/>
        <w:gridCol w:w="109"/>
        <w:gridCol w:w="109"/>
        <w:gridCol w:w="109"/>
        <w:gridCol w:w="229"/>
        <w:gridCol w:w="229"/>
        <w:gridCol w:w="233"/>
        <w:gridCol w:w="127"/>
        <w:gridCol w:w="127"/>
        <w:gridCol w:w="127"/>
        <w:gridCol w:w="229"/>
        <w:gridCol w:w="229"/>
        <w:gridCol w:w="233"/>
        <w:gridCol w:w="109"/>
        <w:gridCol w:w="109"/>
        <w:gridCol w:w="109"/>
        <w:gridCol w:w="281"/>
        <w:gridCol w:w="281"/>
        <w:gridCol w:w="405"/>
      </w:tblGrid>
      <w:tr>
        <w:trPr/>
        <w:tc>
          <w:tcPr>
            <w:tcW w:w="145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Increase</w:t>
              <w:br/>
              <w:t>(Decrease)</w:t>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passenger miles (millions)</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126,669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 seat miles (ASM) (millions)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81,843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153,852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load factor (percent)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pts</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Yield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revenue per ASM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 per ASM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Cargo ton miles (millions)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Cargo yield per ton mile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consumption (gallons in millions)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aircraft fuel price including related taxes (dollars per gallon)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and fuel (cents)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 per ASM excluding net special items, fuel and profit sharing (cents)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Passenger enplanements (thousands)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110,871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Departures (thousands):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Regional</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stage length (miles):</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Regional</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Regional</w:t>
            </w:r>
            <w:r>
              <w:rPr>
                <w:color w:val="000000"/>
              </w:rPr>
              <w:t xml:space="preserve"> </w:t>
            </w:r>
            <w:r>
              <w:rPr>
                <w:rFonts w:ascii="Arial;sans-serif" w:hAnsi="Arial;sans-serif"/>
                <w:b w:val="false"/>
                <w:color w:val="000000"/>
                <w:sz w:val="10"/>
              </w:rPr>
              <w:t>(2)</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Full-time equivalent employees at end of period:</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Mainline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r>
      <w:tr>
        <w:trPr/>
        <w:tc>
          <w:tcPr>
            <w:tcW w:w="3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Regional </w:t>
            </w:r>
            <w:r>
              <w:rPr>
                <w:rFonts w:ascii="Arial;sans-serif" w:hAnsi="Arial;sans-serif"/>
                <w:b w:val="false"/>
                <w:color w:val="000000"/>
                <w:sz w:val="10"/>
              </w:rPr>
              <w:t>(3)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r>
      <w:tr>
        <w:trPr/>
        <w:tc>
          <w:tcPr>
            <w:tcW w:w="3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r>
    </w:tbl>
    <w:p>
      <w:pPr>
        <w:pStyle w:val="TextBody"/>
        <w:bidi w:val="0"/>
        <w:spacing w:lineRule="auto" w:line="288" w:before="80" w:after="283"/>
        <w:jc w:val="left"/>
        <w:rPr>
          <w:rFonts w:ascii="Arial;sans-serif" w:hAnsi="Arial;sans-serif"/>
          <w:b/>
          <w:color w:val="000000"/>
          <w:sz w:val="18"/>
        </w:rPr>
      </w:pPr>
      <w:r>
        <w:rPr>
          <w:rFonts w:ascii="Arial;sans-serif" w:hAnsi="Arial;sans-serif"/>
          <w:b/>
          <w:color w:val="000000"/>
          <w:sz w:val="18"/>
        </w:rPr>
        <w:t>Note: Amounts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Unless otherwise noted, operating statistics include mainline and regional operations. Regional includes wholly-owned regional airline subsidiaries and operating results from capacity purchase carriers.</w:t>
      </w:r>
    </w:p>
    <w:p>
      <w:pPr>
        <w:pStyle w:val="TextBody"/>
        <w:bidi w:val="0"/>
        <w:spacing w:lineRule="auto" w:line="288" w:before="120" w:after="283"/>
        <w:ind w:left="0" w:right="0" w:hanging="360"/>
        <w:jc w:val="both"/>
        <w:rPr/>
      </w:pPr>
      <w:r>
        <w:rPr>
          <w:rFonts w:ascii="Arial;sans-serif" w:hAnsi="Arial;sans-serif"/>
          <w:b w:val="false"/>
          <w:color w:val="000000"/>
          <w:sz w:val="12"/>
        </w:rPr>
        <w:t>(2)</w:t>
      </w:r>
      <w:r>
        <w:rPr>
          <w:rFonts w:ascii="Arial;sans-serif" w:hAnsi="Arial;sans-serif"/>
          <w:b w:val="false"/>
          <w:color w:val="000000"/>
          <w:sz w:val="18"/>
        </w:rPr>
        <w:t>Includes aircraft owned and leased by American as well as aircraft operated by third-party regional carriers under capacity purchase agreements. Excluded from the aircraft count above are four Bombardier CRJ900 regional aircraft that are held in temporary storage as of June 30, 2026.</w:t>
      </w:r>
    </w:p>
    <w:p>
      <w:pPr>
        <w:pStyle w:val="TextBody"/>
        <w:bidi w:val="0"/>
        <w:spacing w:lineRule="auto" w:line="288" w:before="120" w:after="283"/>
        <w:ind w:left="0" w:right="0" w:hanging="360"/>
        <w:jc w:val="both"/>
        <w:rPr/>
      </w:pPr>
      <w:r>
        <w:rPr>
          <w:rFonts w:ascii="Arial;sans-serif" w:hAnsi="Arial;sans-serif"/>
          <w:b w:val="false"/>
          <w:color w:val="000000"/>
          <w:sz w:val="12"/>
        </w:rPr>
        <w:t>(3)</w:t>
      </w:r>
      <w:r>
        <w:rPr>
          <w:rFonts w:ascii="Arial;sans-serif" w:hAnsi="Arial;sans-serif"/>
          <w:b w:val="false"/>
          <w:color w:val="000000"/>
          <w:sz w:val="18"/>
        </w:rPr>
        <w:t>Regional full-time equivalent employees only include our wholly-owned regional airline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Revenue Statistics by Region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98"/>
        <w:gridCol w:w="810"/>
        <w:gridCol w:w="816"/>
        <w:gridCol w:w="360"/>
        <w:gridCol w:w="361"/>
        <w:gridCol w:w="176"/>
        <w:gridCol w:w="143"/>
        <w:gridCol w:w="143"/>
        <w:gridCol w:w="143"/>
        <w:gridCol w:w="360"/>
        <w:gridCol w:w="361"/>
        <w:gridCol w:w="176"/>
        <w:gridCol w:w="109"/>
        <w:gridCol w:w="109"/>
        <w:gridCol w:w="109"/>
        <w:gridCol w:w="332"/>
        <w:gridCol w:w="332"/>
        <w:gridCol w:w="334"/>
        <w:gridCol w:w="109"/>
        <w:gridCol w:w="109"/>
        <w:gridCol w:w="109"/>
        <w:gridCol w:w="412"/>
        <w:gridCol w:w="414"/>
        <w:gridCol w:w="176"/>
        <w:gridCol w:w="143"/>
        <w:gridCol w:w="143"/>
        <w:gridCol w:w="143"/>
        <w:gridCol w:w="360"/>
        <w:gridCol w:w="361"/>
        <w:gridCol w:w="176"/>
        <w:gridCol w:w="109"/>
        <w:gridCol w:w="109"/>
        <w:gridCol w:w="109"/>
        <w:gridCol w:w="305"/>
        <w:gridCol w:w="305"/>
        <w:gridCol w:w="441"/>
      </w:tblGrid>
      <w:tr>
        <w:trPr/>
        <w:tc>
          <w:tcPr>
            <w:tcW w:w="99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Increase</w:t>
              <w:br/>
              <w:t>(Decrease)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Domestic</w:t>
            </w:r>
            <w:r>
              <w:rPr>
                <w:color w:val="000000"/>
              </w:rPr>
              <w:t xml:space="preserve"> </w:t>
            </w:r>
            <w:r>
              <w:rPr>
                <w:rFonts w:ascii="Arial;sans-serif" w:hAnsi="Arial;sans-serif"/>
                <w:b/>
                <w:color w:val="000000"/>
                <w:sz w:val="12"/>
              </w:rPr>
              <w:t>(1)</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(ASM)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pts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Latin America</w:t>
            </w:r>
            <w:r>
              <w:rPr>
                <w:color w:val="000000"/>
              </w:rPr>
              <w:t xml:space="preserve"> </w:t>
            </w:r>
            <w:r>
              <w:rPr>
                <w:rFonts w:ascii="Arial;sans-serif" w:hAnsi="Arial;sans-serif"/>
                <w:b/>
                <w:color w:val="000000"/>
                <w:sz w:val="12"/>
              </w:rPr>
              <w:t>(2)</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pts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Atlantic</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pts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Pacific</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pts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Total International</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passenger miles (millions)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 seat miles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load factor (percent)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pts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(dollars in millions)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Yield (cents)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Passenger revenue per ASM (cents)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r>
    </w:tbl>
    <w:p>
      <w:pPr>
        <w:pStyle w:val="TextBody"/>
        <w:bidi w:val="0"/>
        <w:spacing w:lineRule="auto" w:line="288" w:before="80" w:after="283"/>
        <w:jc w:val="both"/>
        <w:rPr>
          <w:rFonts w:ascii="Arial;sans-serif" w:hAnsi="Arial;sans-serif"/>
          <w:b/>
          <w:color w:val="000000"/>
          <w:sz w:val="18"/>
        </w:rPr>
      </w:pPr>
      <w:r>
        <w:rPr>
          <w:rFonts w:ascii="Arial;sans-serif" w:hAnsi="Arial;sans-serif"/>
          <w:b/>
          <w:color w:val="000000"/>
          <w:sz w:val="18"/>
        </w:rPr>
        <w:t>Note: Amounts may not recalculate due to rounding.</w:t>
      </w:r>
    </w:p>
    <w:p>
      <w:pPr>
        <w:pStyle w:val="TextBody"/>
        <w:bidi w:val="0"/>
        <w:spacing w:lineRule="auto" w:line="288" w:before="120" w:after="283"/>
        <w:ind w:left="0" w:right="0" w:hanging="360"/>
        <w:jc w:val="both"/>
        <w:rPr/>
      </w:pPr>
      <w:r>
        <w:rPr>
          <w:rFonts w:ascii="Arial;sans-serif" w:hAnsi="Arial;sans-serif"/>
          <w:b w:val="false"/>
          <w:color w:val="000000"/>
          <w:sz w:val="12"/>
        </w:rPr>
        <w:t>(1)</w:t>
      </w:r>
      <w:r>
        <w:rPr>
          <w:rFonts w:ascii="Arial;sans-serif" w:hAnsi="Arial;sans-serif"/>
          <w:b w:val="false"/>
          <w:color w:val="000000"/>
          <w:sz w:val="18"/>
        </w:rPr>
        <w:t>Domestic results include Canada, Puerto Rico and U.S. Virgin Islands.</w:t>
      </w:r>
    </w:p>
    <w:p>
      <w:pPr>
        <w:pStyle w:val="TextBody"/>
        <w:bidi w:val="0"/>
        <w:spacing w:lineRule="auto" w:line="288" w:before="60" w:after="283"/>
        <w:ind w:left="0" w:right="0" w:hanging="360"/>
        <w:jc w:val="both"/>
        <w:rPr/>
      </w:pPr>
      <w:r>
        <w:rPr>
          <w:rFonts w:ascii="Arial;sans-serif" w:hAnsi="Arial;sans-serif"/>
          <w:b w:val="false"/>
          <w:color w:val="000000"/>
          <w:sz w:val="12"/>
        </w:rPr>
        <w:t>(2)</w:t>
      </w:r>
      <w:r>
        <w:rPr>
          <w:rFonts w:ascii="Arial;sans-serif" w:hAnsi="Arial;sans-serif"/>
          <w:b w:val="false"/>
          <w:color w:val="000000"/>
          <w:sz w:val="18"/>
        </w:rPr>
        <w:t>Latin America results include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10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Reconciliation of GAAP Financial Information to Non-GAAP Financial Information</w:t>
      </w:r>
    </w:p>
    <w:p>
      <w:pPr>
        <w:pStyle w:val="TextBody"/>
        <w:bidi w:val="0"/>
        <w:spacing w:lineRule="auto" w:line="288" w:before="90" w:after="283"/>
        <w:jc w:val="both"/>
        <w:rPr>
          <w:rFonts w:ascii="Arial;sans-serif" w:hAnsi="Arial;sans-serif"/>
          <w:b w:val="false"/>
          <w:color w:val="000000"/>
          <w:sz w:val="16"/>
        </w:rPr>
      </w:pPr>
      <w:r>
        <w:rPr>
          <w:rFonts w:ascii="Arial;sans-serif" w:hAnsi="Arial;sans-serif"/>
          <w:b w:val="false"/>
          <w:color w:val="000000"/>
          <w:sz w:val="16"/>
        </w:rPr>
        <w:t>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pStyle w:val="TextBody"/>
        <w:bidi w:val="0"/>
        <w:spacing w:lineRule="auto" w:line="288" w:before="90" w:after="283"/>
        <w:jc w:val="both"/>
        <w:rPr>
          <w:rFonts w:ascii="Arial;sans-serif" w:hAnsi="Arial;sans-serif"/>
          <w:b w:val="false"/>
          <w:color w:val="000000"/>
          <w:sz w:val="16"/>
        </w:rPr>
      </w:pPr>
      <w:r>
        <w:rPr>
          <w:rFonts w:ascii="Arial;sans-serif" w:hAnsi="Arial;sans-serif"/>
          <w:b w:val="false"/>
          <w:color w:val="000000"/>
          <w:sz w:val="16"/>
        </w:rPr>
        <w:t>The tables below present the reconciliations of the following GAAP measures to their non-GAAP measures:</w:t>
      </w:r>
    </w:p>
    <w:p>
      <w:pPr>
        <w:pStyle w:val="TextBody"/>
        <w:bidi w:val="0"/>
        <w:spacing w:lineRule="auto" w:line="288" w:before="90" w:after="283"/>
        <w:jc w:val="both"/>
        <w:rPr>
          <w:rFonts w:ascii="Arial;sans-serif" w:hAnsi="Arial;sans-serif"/>
          <w:b w:val="false"/>
          <w:color w:val="000000"/>
          <w:sz w:val="16"/>
        </w:rPr>
      </w:pPr>
      <w:r>
        <w:rPr>
          <w:rFonts w:ascii="Arial;sans-serif" w:hAnsi="Arial;sans-serif"/>
          <w:b w:val="false"/>
          <w:color w:val="000000"/>
          <w:sz w:val="16"/>
        </w:rPr>
        <w:t>- Operating Income (GAAP measure) to Operating Income Excluding Net Special Items (non-GAAP measure)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Operating Margin (GAAP measure) to Operating Margin Excluding Net Special Items (non-GAAP measure)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Pre-Tax Income (Loss) (GAAP measure) to Pre-Tax Income (Loss) Excluding Net Special Items (non-GAAP measure)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Pre-Tax Margin (GAAP measure) to Pre-Tax Margin Excluding Net Special Items (non-GAAP measure)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Net Income (Loss) (GAAP measure) to Net Income (Loss) Excluding Net Special Items (non-GAAP measure)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Basic and Diluted Earnings (Loss) Per Share (GAAP measure) to Basic and Diluted Earnings (Loss) Per Share Excluding Net Special Items (non-GAAP measure)</w:t>
      </w:r>
    </w:p>
    <w:p>
      <w:pPr>
        <w:pStyle w:val="TextBody"/>
        <w:bidi w:val="0"/>
        <w:spacing w:lineRule="auto" w:line="288" w:before="90" w:after="283"/>
        <w:jc w:val="both"/>
        <w:rPr>
          <w:rFonts w:ascii="Arial;sans-serif" w:hAnsi="Arial;sans-serif"/>
          <w:b w:val="false"/>
          <w:color w:val="000000"/>
          <w:sz w:val="16"/>
        </w:rPr>
      </w:pPr>
      <w:r>
        <w:rPr>
          <w:rFonts w:ascii="Arial;sans-serif" w:hAnsi="Arial;sans-serif"/>
          <w:b w:val="false"/>
          <w:color w:val="000000"/>
          <w:sz w:val="16"/>
        </w:rPr>
        <w:t xml:space="preserve">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 </w:t>
      </w:r>
    </w:p>
    <w:p>
      <w:pPr>
        <w:pStyle w:val="TextBody"/>
        <w:bidi w:val="0"/>
        <w:spacing w:lineRule="auto" w:line="288" w:before="90" w:after="283"/>
        <w:jc w:val="both"/>
        <w:rPr>
          <w:rFonts w:ascii="Arial;sans-serif" w:hAnsi="Arial;sans-serif"/>
          <w:b w:val="false"/>
          <w:color w:val="000000"/>
          <w:sz w:val="16"/>
        </w:rPr>
      </w:pPr>
      <w:r>
        <w:rPr>
          <w:rFonts w:ascii="Arial;sans-serif" w:hAnsi="Arial;sans-serif"/>
          <w:b w:val="false"/>
          <w:color w:val="000000"/>
          <w:sz w:val="16"/>
        </w:rPr>
        <w:t>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w:t>
      </w:r>
    </w:p>
    <w:tbl>
      <w:tblPr>
        <w:tblW w:w="10205" w:type="dxa"/>
        <w:jc w:val="center"/>
        <w:tblInd w:w="0" w:type="dxa"/>
        <w:tblLayout w:type="fixed"/>
        <w:tblCellMar>
          <w:top w:w="28" w:type="dxa"/>
          <w:left w:w="28" w:type="dxa"/>
          <w:bottom w:w="28" w:type="dxa"/>
          <w:right w:w="28" w:type="dxa"/>
        </w:tblCellMar>
      </w:tblPr>
      <w:tblGrid>
        <w:gridCol w:w="783"/>
        <w:gridCol w:w="677"/>
        <w:gridCol w:w="680"/>
        <w:gridCol w:w="109"/>
        <w:gridCol w:w="109"/>
        <w:gridCol w:w="109"/>
        <w:gridCol w:w="196"/>
        <w:gridCol w:w="646"/>
        <w:gridCol w:w="256"/>
        <w:gridCol w:w="109"/>
        <w:gridCol w:w="109"/>
        <w:gridCol w:w="109"/>
        <w:gridCol w:w="196"/>
        <w:gridCol w:w="646"/>
        <w:gridCol w:w="256"/>
        <w:gridCol w:w="109"/>
        <w:gridCol w:w="109"/>
        <w:gridCol w:w="109"/>
        <w:gridCol w:w="275"/>
        <w:gridCol w:w="275"/>
        <w:gridCol w:w="276"/>
        <w:gridCol w:w="109"/>
        <w:gridCol w:w="109"/>
        <w:gridCol w:w="109"/>
        <w:gridCol w:w="196"/>
        <w:gridCol w:w="646"/>
        <w:gridCol w:w="268"/>
        <w:gridCol w:w="109"/>
        <w:gridCol w:w="109"/>
        <w:gridCol w:w="109"/>
        <w:gridCol w:w="196"/>
        <w:gridCol w:w="646"/>
        <w:gridCol w:w="256"/>
        <w:gridCol w:w="109"/>
        <w:gridCol w:w="109"/>
        <w:gridCol w:w="109"/>
        <w:gridCol w:w="255"/>
        <w:gridCol w:w="255"/>
        <w:gridCol w:w="363"/>
      </w:tblGrid>
      <w:tr>
        <w:trPr/>
        <w:tc>
          <w:tcPr>
            <w:tcW w:w="7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Operating Income Excluding Net Special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Decrease</w:t>
            </w:r>
          </w:p>
        </w:tc>
      </w:tr>
      <w:tr>
        <w:trPr/>
        <w:tc>
          <w:tcPr>
            <w:tcW w:w="2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(56.6%)</w:t>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6"/>
              </w:rPr>
            </w:pPr>
            <w:r>
              <w:rPr>
                <w:rFonts w:ascii="Arial;sans-serif" w:hAnsi="Arial;sans-serif"/>
                <w:b/>
                <w:color w:val="000000"/>
                <w:sz w:val="16"/>
              </w:rPr>
              <w:t>Calculation of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Operating Margin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Pre-Tax Income (Loss)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Nonoperating special items, net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pre-tax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Pre-Tax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Calculation of Pre-Tax Margin Excluding Net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income (loss)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30,647 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Pre-tax margin excluding net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11</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54"/>
        <w:gridCol w:w="837"/>
        <w:gridCol w:w="841"/>
        <w:gridCol w:w="110"/>
        <w:gridCol w:w="110"/>
        <w:gridCol w:w="110"/>
        <w:gridCol w:w="199"/>
        <w:gridCol w:w="658"/>
        <w:gridCol w:w="110"/>
        <w:gridCol w:w="110"/>
        <w:gridCol w:w="110"/>
        <w:gridCol w:w="110"/>
        <w:gridCol w:w="199"/>
        <w:gridCol w:w="658"/>
        <w:gridCol w:w="110"/>
        <w:gridCol w:w="110"/>
        <w:gridCol w:w="110"/>
        <w:gridCol w:w="110"/>
        <w:gridCol w:w="275"/>
        <w:gridCol w:w="275"/>
        <w:gridCol w:w="276"/>
        <w:gridCol w:w="110"/>
        <w:gridCol w:w="110"/>
        <w:gridCol w:w="110"/>
        <w:gridCol w:w="199"/>
        <w:gridCol w:w="658"/>
        <w:gridCol w:w="110"/>
        <w:gridCol w:w="110"/>
        <w:gridCol w:w="110"/>
        <w:gridCol w:w="110"/>
        <w:gridCol w:w="199"/>
        <w:gridCol w:w="658"/>
        <w:gridCol w:w="110"/>
        <w:gridCol w:w="110"/>
        <w:gridCol w:w="110"/>
        <w:gridCol w:w="110"/>
        <w:gridCol w:w="255"/>
        <w:gridCol w:w="255"/>
        <w:gridCol w:w="389"/>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6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Net Income (Loss) Excluding Net Special Items</w:t>
            </w:r>
          </w:p>
        </w:tc>
        <w:tc>
          <w:tcPr>
            <w:tcW w:w="3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Months Ended</w:t>
              <w:b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Decrease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 Months Ended</w:t>
              <w:b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Percent</w:t>
              <w:br/>
              <w:t>Decrease</w:t>
            </w:r>
          </w:p>
        </w:tc>
      </w:tr>
      <w:tr>
        <w:trPr/>
        <w:tc>
          <w:tcPr>
            <w:tcW w:w="2632"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vMerge w:val="continue"/>
            <w:tcBorders/>
            <w:tcMar>
              <w:top w:w="0" w:type="dxa"/>
              <w:left w:w="0" w:type="dxa"/>
              <w:bottom w:w="0" w:type="dxa"/>
              <w:right w:w="0" w:type="dxa"/>
            </w:tcMar>
            <w:vAlign w:val="center"/>
          </w:tcPr>
          <w:p>
            <w:pPr>
              <w:pStyle w:val="Normal"/>
              <w:bidi w:val="0"/>
              <w:jc w:val="left"/>
              <w:rPr/>
            </w:pPr>
            <w:r>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share and per share amounts)</w:t>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share and per share amounts)</w:t>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as reported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Total pre-tax net special items </w:t>
            </w:r>
            <w:r>
              <w:rPr>
                <w:rFonts w:ascii="Arial;sans-serif" w:hAnsi="Arial;sans-serif"/>
                <w:b w:val="false"/>
                <w:color w:val="000000"/>
                <w:sz w:val="10"/>
              </w:rPr>
              <w:t>(1),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tax effect of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(84.2%)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Basic and Diluted Earnings (Loss) Per Share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excluding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used for computation (in thousands):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660,127 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661,685 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659,504 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662,613 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660,367 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661,685 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660,523 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per share excluding net special items: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0.95 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Total Operating Costs per ASM Excluding Net Special Items, Fuel and Profit Sharing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as reported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fuel and related taxes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operating expenses excluding net special items and fuel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Profit sharing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operating expenses excluding net special items, fuel and profit sharing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cents)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cents)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as reported</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net special items per ASM: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6"/>
              </w:rPr>
              <w:t xml:space="preserve">Mainline operating special items, net </w:t>
            </w:r>
            <w:r>
              <w:rPr>
                <w:rFonts w:ascii="Arial;sans-serif" w:hAnsi="Arial;sans-serif"/>
                <w:b w:val="false"/>
                <w:color w:val="000000"/>
                <w:sz w:val="10"/>
              </w:rPr>
              <w:t>(1)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fuel and related taxes per ASM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 and fuel</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Profit sharing per ASM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 per ASM excluding net special items, fuel and profit sharing</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16"/>
        </w:rPr>
      </w:pPr>
      <w:r>
        <w:rPr>
          <w:rFonts w:ascii="Arial;sans-serif" w:hAnsi="Arial;sans-serif"/>
          <w:b/>
          <w:color w:val="000000"/>
          <w:sz w:val="16"/>
        </w:rPr>
        <w:t>Note: Amounts may not recalculate due to rounding.</w:t>
      </w:r>
    </w:p>
    <w:p>
      <w:pPr>
        <w:pStyle w:val="TextBody"/>
        <w:bidi w:val="0"/>
        <w:spacing w:lineRule="auto" w:line="288" w:before="90" w:after="283"/>
        <w:jc w:val="left"/>
        <w:rPr/>
      </w:pPr>
      <w:r>
        <w:rPr>
          <w:rFonts w:ascii="Arial;sans-serif" w:hAnsi="Arial;sans-serif"/>
          <w:b/>
          <w:color w:val="000000"/>
          <w:sz w:val="16"/>
          <w:u w:val="single"/>
        </w:rPr>
        <w:t>FOOTNOTES:</w:t>
      </w:r>
      <w:r>
        <w:rPr>
          <w:color w:val="000000"/>
        </w:rPr>
        <w:t> </w:t>
      </w:r>
    </w:p>
    <w:p>
      <w:pPr>
        <w:pStyle w:val="TextBody"/>
        <w:bidi w:val="0"/>
        <w:spacing w:lineRule="auto" w:line="288" w:before="90" w:after="283"/>
        <w:ind w:left="0" w:right="0" w:hanging="360"/>
        <w:jc w:val="both"/>
        <w:rPr/>
      </w:pPr>
      <w:r>
        <w:rPr>
          <w:rFonts w:ascii="Arial;sans-serif" w:hAnsi="Arial;sans-serif"/>
          <w:b w:val="false"/>
          <w:color w:val="000000"/>
          <w:sz w:val="10"/>
        </w:rPr>
        <w:t>(1)</w:t>
      </w:r>
      <w:r>
        <w:rPr>
          <w:rFonts w:ascii="Arial;sans-serif" w:hAnsi="Arial;sans-serif"/>
          <w:b w:val="false"/>
          <w:color w:val="000000"/>
          <w:sz w:val="16"/>
        </w:rPr>
        <w:t>The 2025 second quarter mainline operating special items, net principally included adjustments to litigation reserves. The 2025 six month period mainline operating special items, net principally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an adjustment to litigation reserves.</w:t>
      </w:r>
    </w:p>
    <w:p>
      <w:pPr>
        <w:pStyle w:val="TextBody"/>
        <w:bidi w:val="0"/>
        <w:spacing w:lineRule="auto" w:line="288" w:before="120" w:after="283"/>
        <w:ind w:left="0" w:right="0" w:hanging="360"/>
        <w:jc w:val="both"/>
        <w:rPr/>
      </w:pPr>
      <w:r>
        <w:rPr>
          <w:rFonts w:ascii="Arial;sans-serif" w:hAnsi="Arial;sans-serif"/>
          <w:b w:val="false"/>
          <w:color w:val="000000"/>
          <w:sz w:val="10"/>
        </w:rPr>
        <w:t>(2)</w:t>
      </w:r>
      <w:r>
        <w:rPr>
          <w:rFonts w:ascii="Arial;sans-serif" w:hAnsi="Arial;sans-serif"/>
          <w:b w:val="false"/>
          <w:color w:val="000000"/>
          <w:sz w:val="16"/>
        </w:rPr>
        <w:t>Principally included mark-to-market net unrealized gains and losses associated with certain equity investments as well as charges associated with debt refinancings and extinguishments.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12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(In millions)(Unaudited)</w:t>
      </w:r>
    </w:p>
    <w:tbl>
      <w:tblPr>
        <w:tblW w:w="8813" w:type="dxa"/>
        <w:jc w:val="left"/>
        <w:tblInd w:w="0" w:type="dxa"/>
        <w:tblLayout w:type="fixed"/>
        <w:tblCellMar>
          <w:top w:w="28" w:type="dxa"/>
          <w:left w:w="28" w:type="dxa"/>
          <w:bottom w:w="28" w:type="dxa"/>
          <w:right w:w="28" w:type="dxa"/>
        </w:tblCellMar>
      </w:tblPr>
      <w:tblGrid>
        <w:gridCol w:w="2377"/>
        <w:gridCol w:w="2088"/>
        <w:gridCol w:w="2104"/>
        <w:gridCol w:w="211"/>
        <w:gridCol w:w="616"/>
        <w:gridCol w:w="109"/>
        <w:gridCol w:w="109"/>
        <w:gridCol w:w="109"/>
        <w:gridCol w:w="109"/>
        <w:gridCol w:w="211"/>
        <w:gridCol w:w="616"/>
        <w:gridCol w:w="154"/>
      </w:tblGrid>
      <w:tr>
        <w:trPr/>
        <w:tc>
          <w:tcPr>
            <w:tcW w:w="237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 Months Ended</w:t>
              <w:br/>
              <w:t>June 30,</w:t>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and aircraft purchase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sale-leaseback transactions and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restricted 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long-term debt and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payments on fuel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Cash and restricted cash at end of period </w:t>
            </w:r>
            <w:r>
              <w:rPr>
                <w:rFonts w:ascii="Arial;sans-serif" w:hAnsi="Arial;sans-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2"/>
        </w:rPr>
        <w:t>(1)</w:t>
      </w:r>
      <w:r>
        <w:rPr>
          <w:rFonts w:ascii="Arial;sans-serif" w:hAnsi="Arial;sans-serif"/>
          <w:b w:val="false"/>
          <w:color w:val="000000"/>
          <w:sz w:val="18"/>
        </w:rPr>
        <w:t>The following table provides a reconciliation of cash and restricted cash to amounts reported within the condensed consolidated balance sheets:</w:t>
      </w:r>
    </w:p>
    <w:tbl>
      <w:tblPr>
        <w:tblW w:w="7898" w:type="dxa"/>
        <w:jc w:val="center"/>
        <w:tblInd w:w="0" w:type="dxa"/>
        <w:tblLayout w:type="fixed"/>
        <w:tblCellMar>
          <w:top w:w="28" w:type="dxa"/>
          <w:left w:w="28" w:type="dxa"/>
          <w:bottom w:w="28" w:type="dxa"/>
          <w:right w:w="28" w:type="dxa"/>
        </w:tblCellMar>
      </w:tblPr>
      <w:tblGrid>
        <w:gridCol w:w="2097"/>
        <w:gridCol w:w="1843"/>
        <w:gridCol w:w="1864"/>
        <w:gridCol w:w="211"/>
        <w:gridCol w:w="616"/>
        <w:gridCol w:w="109"/>
        <w:gridCol w:w="109"/>
        <w:gridCol w:w="109"/>
        <w:gridCol w:w="109"/>
        <w:gridCol w:w="211"/>
        <w:gridCol w:w="46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in restricted cash and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American Airlines Reports Second-Quarter 2026 Financial Results</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23,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13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American Airlines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shares)</w:t>
      </w:r>
    </w:p>
    <w:tbl>
      <w:tblPr>
        <w:tblW w:w="7976" w:type="dxa"/>
        <w:jc w:val="center"/>
        <w:tblInd w:w="0" w:type="dxa"/>
        <w:tblLayout w:type="fixed"/>
        <w:tblCellMar>
          <w:top w:w="28" w:type="dxa"/>
          <w:left w:w="28" w:type="dxa"/>
          <w:bottom w:w="28" w:type="dxa"/>
          <w:right w:w="28" w:type="dxa"/>
        </w:tblCellMar>
      </w:tblPr>
      <w:tblGrid>
        <w:gridCol w:w="1776"/>
        <w:gridCol w:w="1564"/>
        <w:gridCol w:w="1580"/>
        <w:gridCol w:w="235"/>
        <w:gridCol w:w="775"/>
        <w:gridCol w:w="130"/>
        <w:gridCol w:w="109"/>
        <w:gridCol w:w="109"/>
        <w:gridCol w:w="109"/>
        <w:gridCol w:w="313"/>
        <w:gridCol w:w="1031"/>
        <w:gridCol w:w="245"/>
      </w:tblGrid>
      <w:tr>
        <w:trPr/>
        <w:tc>
          <w:tcPr>
            <w:tcW w:w="177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59,180 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57,732 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33,082 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32,540 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Operating lease right-of-use assets </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Intangibles, net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64,233 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 (Deficit)</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lease liabilities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24,492 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Noncurrent liabilities </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lease liabilities </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41,009 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 (deficit)</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Common stock, 661,936,666 shares outstanding at June 30, 2026</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deficit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(3,727)</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 (deficit)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64,233 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arningspresentation.htm"/>
      <w:bookmarkStart w:id="1" w:name="ksearningspresentation"/>
      <w:bookmarkEnd w:id="0"/>
      <w:bookmarkEnd w:id="1"/>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99.2American Airlines Group Inc. SECOND-QUARTER 2026 FINANCIAL RESULTS July 23,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 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condition; evolving data privacy requirements could increase our costs, and any significant cybersecurity incident 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 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Forward-looking statements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Second-quarter 2026 results • Record quarterly revenue of $16.7 billion, up 16.3% year over year. • On a GAAP basis, second-quarter net earnings per diluted share of $0.11. • Excluding net special items1, second-quarter net earnings per diluted share of $0.15. 1. See GAAP to non-GAAP reconciliation at the end of this presentation. Adjusted earnings (loss) per diluted share guidance excludes the impact of net special items and represents an absolute number, not a year over year comparison. The company is unable to reconcile certain forward-looking information to GAAP as the nature or amount of net special items cannot be determined at this time.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pillars driving American’s revenue upside Elevate the Customer Experience Lead in Loyalty Grow the Global Network Drive Premium Revenue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Elevate the customer experience 5 Expand premium offerings Strengthen reliability − Continued rollout of new premium Flagship Suite® seats on the Boeing 787-9s and Airbus A321XLRs, with plans to extend across the 777 fleet. − Expanding and upgrading Admirals Club® and premium lounges in JFK and DFW, further developing the industry's largest premium lounge network. − Announced plans to install Starlink, the most advanced high-speed Wi-Fi, to the fleet beginning in 2027. − Improvement of 7% in American Customer Satisfaction Index survey, one of the strongest industry improvements. − Second quarter Net Promoter Score (NPS) improved by 5 points year over year. − NPS for on-time flights increased for the 15th time in the past 17 months. Source: Internal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Caracas, Venezuela Grow the global network 6 Expanded international destinations Enhanced connectivity Source: Internal data. − Reinforced DFW and PHL as leading trans-Atlantic gateways with new nonstop routes to Budapest and Prague and increased flying to Athens. − Further strengthened our Latin America network by becoming the first U.S. carrier to resume service to Venezuela, with flights to Caracas and Maracaibo. Prague, Czech Republic Budapest, Hungary Maracaibo, Venezuela − Rebanking DFW reduced system customer misconnections in the second quarter by nearly 25% year over year and increased customer satisfaction scores. − DFW unit revenue outperformed the system average by ~4 points during the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 premium revenue 7 Source: Internal data. − Managed corporate revenue increased 26% year over year. − Premium unit revenue outperformed Main Cabin by more than 4 points in the second quarter. − Continued to increase upsell through changes to product attributes.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 in loyalty 8 Source: Internal data − Second-quarter AAdvantage® enrollments increased over 30% year over year, exceeding the record growth achieved in the first quarter. − Exclusive redemption experiences like FIFA World Cup 26 TM . Expanding loyalty ecosystem − Second-quarter card spend increased 8% year over year, demonstrating sustained engagement across the portfolio. − Best airline loyalty program redemption value. Loyalty driving value creation Industry-leading loyalty program continues to evolve and offers exclusive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Outlook 1. All adjusted earnings (loss) per diluted share guidance excludes the impact of net special items and is a non-GAAP measure. The guidance for EPS reflects an absolute number and is not a year over year comparison. The company is unable to reconcile certain forward-looking information to GAAP, as the nature or amount of net special items cannot be determined at this time. 2. Includes guidance on certain non-GAAP measures, which exclude, among other things, net special items. Cost per available seat mile (CASM) excluding net special items, fuel and profit sharing is a non-GAAP measure. Q3 2026E (vs. Q3 2025) Total capacity (ASMs) +3.0% to +5.0% Total revenue +16.0% to +19.0% CASM excluding net special items, fuel and profit sharing2 +2.5% to +4.5% Adjusted earnings (loss) per diluted share1 ($0.70) to ($0.10) FY 2026E (vs. 2025) Adjusted earnings (loss) per diluted share1 ($0.65) to $0.65 • The third-quarter 2026 outlook is based on the forward fuel curve as of July 21 and assumes an average fuel price of ~$3.75 per gallon. • Based on the current revenue outlook and forward fuel curve, the company now expects full-year adjusted earnings (loss) per diluted share1 to be between a loss of ($0.65) to a profit of $0.65, despite a ~$6 billion year-over-year headwind related to higher jet fuel prices.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Reconciliation of GAAP Financial Information to Non-GAAP Financial Information 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tables below present the reconciliations of the following GAAP measures to their non-GAAP measures: - Operating Income (GAAP measure) to Operating Income Excluding Net Special Items (non-GAAP measure) - Operating Margin (GAAP measure) to Operating Margin Excluding Net Special Items (non-GAAP measure) - Pre-Tax Income (Loss) (GAAP measure) to Pre-Tax Income (Loss) Excluding Net Special Items (non-GAAP measure) - Pre-Tax Margin (GAAP measure) to Pre-Tax Margin Excluding Net Special Items (non-GAAP measure) - Net Income (Loss) (GAAP measure) to Net Income (Loss) Excluding Net Special Items (non-GAAP measure) - Basic and Diluted Earnings (Loss) Per Share (GAAP measure) to Basic and Diluted Earnings (Loss) Per Share Excluding Net Special Items (non-GAAP measure) 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 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 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12 Reconciliation of Operating Income Excluding Net Special Items 3 Months Ended June 30, Percent 6 Months Ended June 30, Percent 2026 2025 Decrease 2026 2025 Decrease (in millions) (in millions) Operating income as reported $ 446 $ 1,135 $ 405 $ 864 Operating net special items: Mainline operating special items, net (1) 7 47 21 118 Operating income excluding net special items $ 453 $ 1,182 (61.7%) $ 426 $ 982 (56.6%) Calculation of Operating Margin Operating income as reported $ 446 $ 1,135 $ 405 $ 864 Total operating revenues as reported $ 16,735 $ 14,392 $ 30,647 $ 26,943 Operating margin 2.7% 7.9% 1.3% 3.2% Calculation of Operating Margin Excluding Net Special Items Operating income excluding net special items $ 453 $ 1,182 $ 426 $ 982 Total operating revenues as reported $ 16,735 $ 14,392 $ 30,647 $ 26,943 Operating margin excluding net special items 2.7% 8.2% 1.4% 3.6% Reconciliation of Pre-Tax Income (Loss) Excluding Net Special Items Pre-tax income (loss) as reported $ 107 $ 838 $ (369) $ 189 Pre-tax net special items: Mainline operating special items, net (1) 7 47 21 118 Nonoperating special items, net (2) 30 (16) 164 32 Total pre-tax net special items 37 31 185 150 Pre-tax income (loss) excluding net special items $ 144 $ 869 (83.5%) $ (184) $ 339 nm Calculation of Pre-Tax Margin Pre-tax income (loss) as reported $ 107 $ 838 $ (369) $ 189 Total operating revenues as reported $ 16,735 $ 14,392 $ 30,647 $ 26,943 Pre-tax margin 0.6% 5.8% (1.2%) 0.7% Calculation of Pre-Tax Margin Excluding Net Special Items Pre-tax income (loss) excluding net special items $ 144 $ 869 $ (184) $ 339 Total operating revenues as reported $ 16,735 $ 14,392 $ 30,647 $ 26,943 Pre-tax margin excluding net special items 0.9% 6.0% (0.6%)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13 3 Months Ended June 30, Percent 6 Months Ended June 30, Percent Reconciliation of Net Income (Loss) Excluding Net Special Items 2026 2025 Decrease 2026 2025 Decrease (in millions, except share and per share amounts) (in millions, except share and per share amounts) Net income (loss) as reported $ 71 $ 599 $ (311) $ 126 Net special items: Total pre-tax net special items (1), (2) 37 31 185 150 Net tax effect of net special items (9) (2) (42) (34) Net income (loss) excluding net special items $ 99 $ 628 (84.2%) $ (168) $ 242 nm Reconciliation of Basic and Diluted Earnings (Loss) Per Share Excluding Net Special Items Net income (loss) excluding net special items $ 99 $ 628 $ (168) $ 242 Shares used for computation (in thousands): Basic 662,190 660,127 661,685 659,504 Diluted 662,613 660,367 661,685 660,523 Earnings (loss) per share excluding net special items: Basic $ 0.15 $ 0.95 $ (0.25) $ 0.37 Diluted $ 0.15 $ 0.95 $ (0.25) $ 0.37 Reconciliation of Total Operating Costs per ASM Excluding Net Special Items, Fuel and Profit Sharing Total operating expenses as reported $ 16,289 $ 13,257 $ 30,242 $ 26,079 Operating net special items: Mainline operating special items, net (1) (7) (47) (21) (118) Total operating expenses excluding net special items 16,282 13,210 30,221 25,961 Aircraft fuel and related taxes (4,881) (2,663) (7,809) (5,250) Total operating expenses excluding net special items and fuel 11,401 10,547 22,412 20,711 Profit sharing - (41) - (41) Total operating expenses excluding net special items, fuel and profit sharing $ 11,401 $ 10,506 $ 22,412 $ 20,670 (in cents) (in cents) Total operating expenses per ASM as reported 19.90 17.08 19.66 17.68 Operating net special items per ASM: Mainline operating special items, net (1) (0.01) (0.06) (0.01) (0.08) Total operating expenses per ASM excluding net special items 19.89 17.02 19.64 17.60 Aircraft fuel and related taxes per ASM (5.96) (3.43) (5.08) (3.56) Total operating expenses per ASM excluding net special items and fuel 13.93 13.59 14.57 14.04 Profit sharing per ASM - (0.05) - (0.03) Total operating expenses per ASM excluding net special items, fuel and profit sharing 13.93 13.53 14.57 14.01 Note: Amounts may not recalculate due to rounding. FOOTNOTES: (1) The 2025 second quarter mainline operating special items, net principally included adjustments to litigation reserves. The 2025 six month period mainline operating special items, net principally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an adjustment to litigation reserves. (2) Principally included mark-to-market net unrealized gains and losses associated with certain equity investments as well as charges associated with debt refinancings and extinguishments.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9836</Words>
  <Characters>54392</Characters>
  <CharactersWithSpaces>63420</CharactersWithSpaces>
  <Paragraphs>1540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earningspresentation</dc:title>
</cp:coreProperties>
</file>