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547370</wp:posOffset>
            </wp:positionV>
            <wp:extent cx="71316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1685" cy="762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570230</wp:posOffset>
            </wp:positionV>
            <wp:extent cx="7131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1685" cy="7620"/>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2252345</wp:posOffset>
            </wp:positionH>
            <wp:positionV relativeFrom="paragraph">
              <wp:posOffset>71120</wp:posOffset>
            </wp:positionV>
            <wp:extent cx="26371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pacing w:after="0" w:line="127" w:lineRule="exact"/>
        <w:rPr>
          <w:sz w:val="24"/>
          <w:szCs w:val="24"/>
          <w:color w:val="auto"/>
        </w:rPr>
      </w:pPr>
    </w:p>
    <w:p>
      <w:pPr>
        <w:jc w:val="center"/>
        <w:ind w:right="160"/>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2252345</wp:posOffset>
            </wp:positionH>
            <wp:positionV relativeFrom="paragraph">
              <wp:posOffset>53340</wp:posOffset>
            </wp:positionV>
            <wp:extent cx="26371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pacing w:after="0" w:line="236" w:lineRule="exact"/>
        <w:rPr>
          <w:sz w:val="24"/>
          <w:szCs w:val="24"/>
          <w:color w:val="auto"/>
        </w:rPr>
      </w:pPr>
    </w:p>
    <w:p>
      <w:pPr>
        <w:ind w:left="640" w:hanging="628"/>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June 30, 2025</w:t>
      </w:r>
    </w:p>
    <w:p>
      <w:pPr>
        <w:spacing w:after="0" w:line="119" w:lineRule="exact"/>
        <w:rPr>
          <w:sz w:val="24"/>
          <w:szCs w:val="24"/>
          <w:color w:val="auto"/>
        </w:rPr>
      </w:pPr>
    </w:p>
    <w:p>
      <w:pPr>
        <w:ind w:left="640" w:hanging="628"/>
        <w:spacing w:after="0"/>
        <w:tabs>
          <w:tab w:leader="none" w:pos="64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60"/>
          </w:cols>
          <w:pgMar w:left="320" w:top="992" w:right="319" w:bottom="240" w:gutter="0" w:footer="0" w:header="0"/>
        </w:sectPr>
      </w:pPr>
    </w:p>
    <w:p>
      <w:pPr>
        <w:spacing w:after="0" w:line="9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87" w:lineRule="exact"/>
        <w:rPr>
          <w:sz w:val="24"/>
          <w:szCs w:val="24"/>
          <w:color w:val="auto"/>
        </w:rPr>
      </w:pPr>
    </w:p>
    <w:p>
      <w:pPr>
        <w:sectPr>
          <w:pgSz w:w="11900" w:h="16838" w:orient="portrait"/>
          <w:cols w:equalWidth="0" w:num="2">
            <w:col w:w="6320" w:space="720"/>
            <w:col w:w="4220"/>
          </w:cols>
          <w:pgMar w:left="320" w:top="992" w:right="319" w:bottom="2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1595120</wp:posOffset>
            </wp:positionH>
            <wp:positionV relativeFrom="paragraph">
              <wp:posOffset>119380</wp:posOffset>
            </wp:positionV>
            <wp:extent cx="3959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9860" cy="7620"/>
                    </a:xfrm>
                    <a:prstGeom prst="rect">
                      <a:avLst/>
                    </a:prstGeom>
                    <a:noFill/>
                  </pic:spPr>
                </pic:pic>
              </a:graphicData>
            </a:graphic>
          </wp:anchor>
        </w:drawing>
      </w:r>
    </w:p>
    <w:p>
      <w:pPr>
        <w:sectPr>
          <w:pgSz w:w="11900" w:h="16838" w:orient="portrait"/>
          <w:cols w:equalWidth="0" w:num="1">
            <w:col w:w="11260"/>
          </w:cols>
          <w:pgMar w:left="320" w:top="992" w:right="319" w:bottom="2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American Airlines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1595120</wp:posOffset>
            </wp:positionH>
            <wp:positionV relativeFrom="paragraph">
              <wp:posOffset>43180</wp:posOffset>
            </wp:positionV>
            <wp:extent cx="3959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9860" cy="7620"/>
                    </a:xfrm>
                    <a:prstGeom prst="rect">
                      <a:avLst/>
                    </a:prstGeom>
                    <a:noFill/>
                  </pic:spPr>
                </pic:pic>
              </a:graphicData>
            </a:graphic>
          </wp:anchor>
        </w:drawing>
      </w:r>
    </w:p>
    <w:p>
      <w:pPr>
        <w:spacing w:after="0" w:line="361" w:lineRule="exact"/>
        <w:rPr>
          <w:sz w:val="24"/>
          <w:szCs w:val="24"/>
          <w:color w:val="auto"/>
        </w:rPr>
      </w:pPr>
    </w:p>
    <w:tbl>
      <w:tblPr>
        <w:tblLayout w:type="fixed"/>
        <w:tblInd w:w="2000" w:type="dxa"/>
        <w:tblCellMar>
          <w:top w:w="0" w:type="dxa"/>
          <w:left w:w="0" w:type="dxa"/>
          <w:bottom w:w="0" w:type="dxa"/>
          <w:right w:w="0" w:type="dxa"/>
        </w:tblCellMar>
      </w:tblPr>
      <w:tr>
        <w:trPr>
          <w:trHeight w:val="197"/>
        </w:trPr>
        <w:tc>
          <w:tcPr>
            <w:tcW w:w="4300" w:type="dxa"/>
            <w:vAlign w:val="bottom"/>
          </w:tcPr>
          <w:p>
            <w:pPr>
              <w:jc w:val="center"/>
              <w:ind w:right="911"/>
              <w:spacing w:after="0"/>
              <w:rPr>
                <w:sz w:val="20"/>
                <w:szCs w:val="20"/>
                <w:color w:val="auto"/>
              </w:rPr>
            </w:pPr>
            <w:r>
              <w:rPr>
                <w:rFonts w:ascii="Arial" w:cs="Arial" w:eastAsia="Arial" w:hAnsi="Arial"/>
                <w:sz w:val="14"/>
                <w:szCs w:val="14"/>
                <w:b w:val="1"/>
                <w:bCs w:val="1"/>
                <w:color w:val="auto"/>
              </w:rPr>
              <w:t>Delaware</w:t>
            </w:r>
          </w:p>
        </w:tc>
        <w:tc>
          <w:tcPr>
            <w:tcW w:w="2180" w:type="dxa"/>
            <w:vAlign w:val="bottom"/>
          </w:tcPr>
          <w:p>
            <w:pPr>
              <w:jc w:val="right"/>
              <w:ind w:right="532"/>
              <w:spacing w:after="0"/>
              <w:rPr>
                <w:sz w:val="20"/>
                <w:szCs w:val="20"/>
                <w:color w:val="auto"/>
              </w:rPr>
            </w:pPr>
            <w:r>
              <w:rPr>
                <w:rFonts w:ascii="Arial" w:cs="Arial" w:eastAsia="Arial" w:hAnsi="Arial"/>
                <w:sz w:val="14"/>
                <w:szCs w:val="14"/>
                <w:b w:val="1"/>
                <w:bCs w:val="1"/>
                <w:color w:val="auto"/>
              </w:rPr>
              <w:t>75-1825172</w:t>
            </w:r>
          </w:p>
        </w:tc>
      </w:tr>
      <w:tr>
        <w:trPr>
          <w:trHeight w:val="168"/>
        </w:trPr>
        <w:tc>
          <w:tcPr>
            <w:tcW w:w="4300" w:type="dxa"/>
            <w:vAlign w:val="bottom"/>
          </w:tcPr>
          <w:p>
            <w:pPr>
              <w:jc w:val="center"/>
              <w:ind w:right="911"/>
              <w:spacing w:after="0"/>
              <w:rPr>
                <w:sz w:val="20"/>
                <w:szCs w:val="20"/>
                <w:color w:val="auto"/>
              </w:rPr>
            </w:pPr>
            <w:r>
              <w:rPr>
                <w:rFonts w:ascii="Arial" w:cs="Arial" w:eastAsia="Arial" w:hAnsi="Arial"/>
                <w:sz w:val="13"/>
                <w:szCs w:val="13"/>
                <w:color w:val="auto"/>
                <w:w w:val="99"/>
              </w:rPr>
              <w:t>(State or other jurisdiction of incorporation or organization)</w:t>
            </w:r>
          </w:p>
        </w:tc>
        <w:tc>
          <w:tcPr>
            <w:tcW w:w="2180" w:type="dxa"/>
            <w:vAlign w:val="bottom"/>
          </w:tcPr>
          <w:p>
            <w:pPr>
              <w:jc w:val="center"/>
              <w:ind w:left="132"/>
              <w:spacing w:after="0"/>
              <w:rPr>
                <w:sz w:val="20"/>
                <w:szCs w:val="20"/>
                <w:color w:val="auto"/>
              </w:rPr>
            </w:pPr>
            <w:r>
              <w:rPr>
                <w:rFonts w:ascii="Arial" w:cs="Arial" w:eastAsia="Arial" w:hAnsi="Arial"/>
                <w:sz w:val="13"/>
                <w:szCs w:val="13"/>
                <w:color w:val="auto"/>
                <w:w w:val="98"/>
              </w:rPr>
              <w:t>(I.R.S. Employer Identification No.)</w:t>
            </w:r>
          </w:p>
        </w:tc>
      </w:tr>
      <w:tr>
        <w:trPr>
          <w:trHeight w:val="205"/>
        </w:trPr>
        <w:tc>
          <w:tcPr>
            <w:tcW w:w="4300" w:type="dxa"/>
            <w:vAlign w:val="bottom"/>
          </w:tcPr>
          <w:p>
            <w:pPr>
              <w:jc w:val="right"/>
              <w:ind w:right="1311"/>
              <w:spacing w:after="0"/>
              <w:rPr>
                <w:sz w:val="20"/>
                <w:szCs w:val="20"/>
                <w:color w:val="auto"/>
              </w:rPr>
            </w:pPr>
            <w:r>
              <w:rPr>
                <w:rFonts w:ascii="Arial" w:cs="Arial" w:eastAsia="Arial" w:hAnsi="Arial"/>
                <w:sz w:val="14"/>
                <w:szCs w:val="14"/>
                <w:b w:val="1"/>
                <w:bCs w:val="1"/>
                <w:color w:val="auto"/>
              </w:rPr>
              <w:t>1 Skyview Drive, Fort Worth,  Texas</w:t>
            </w:r>
          </w:p>
        </w:tc>
        <w:tc>
          <w:tcPr>
            <w:tcW w:w="2180" w:type="dxa"/>
            <w:vAlign w:val="bottom"/>
          </w:tcPr>
          <w:p>
            <w:pPr>
              <w:jc w:val="right"/>
              <w:ind w:right="712"/>
              <w:spacing w:after="0"/>
              <w:rPr>
                <w:sz w:val="20"/>
                <w:szCs w:val="20"/>
                <w:color w:val="auto"/>
              </w:rPr>
            </w:pPr>
            <w:r>
              <w:rPr>
                <w:rFonts w:ascii="Arial" w:cs="Arial" w:eastAsia="Arial" w:hAnsi="Arial"/>
                <w:sz w:val="14"/>
                <w:szCs w:val="14"/>
                <w:b w:val="1"/>
                <w:bCs w:val="1"/>
                <w:color w:val="auto"/>
              </w:rPr>
              <w:t>76155</w:t>
            </w:r>
          </w:p>
        </w:tc>
      </w:tr>
      <w:tr>
        <w:trPr>
          <w:trHeight w:val="168"/>
        </w:trPr>
        <w:tc>
          <w:tcPr>
            <w:tcW w:w="4300" w:type="dxa"/>
            <w:vAlign w:val="bottom"/>
          </w:tcPr>
          <w:p>
            <w:pPr>
              <w:jc w:val="center"/>
              <w:ind w:right="911"/>
              <w:spacing w:after="0"/>
              <w:rPr>
                <w:sz w:val="20"/>
                <w:szCs w:val="20"/>
                <w:color w:val="auto"/>
              </w:rPr>
            </w:pPr>
            <w:r>
              <w:rPr>
                <w:rFonts w:ascii="Arial" w:cs="Arial" w:eastAsia="Arial" w:hAnsi="Arial"/>
                <w:sz w:val="13"/>
                <w:szCs w:val="13"/>
                <w:color w:val="auto"/>
                <w:w w:val="98"/>
              </w:rPr>
              <w:t>(Address of principal executive offices)</w:t>
            </w:r>
          </w:p>
        </w:tc>
        <w:tc>
          <w:tcPr>
            <w:tcW w:w="2180" w:type="dxa"/>
            <w:vAlign w:val="bottom"/>
          </w:tcPr>
          <w:p>
            <w:pPr>
              <w:jc w:val="center"/>
              <w:ind w:left="132"/>
              <w:spacing w:after="0"/>
              <w:rPr>
                <w:sz w:val="20"/>
                <w:szCs w:val="20"/>
                <w:color w:val="auto"/>
              </w:rPr>
            </w:pPr>
            <w:r>
              <w:rPr>
                <w:rFonts w:ascii="Arial" w:cs="Arial" w:eastAsia="Arial" w:hAnsi="Arial"/>
                <w:sz w:val="13"/>
                <w:szCs w:val="13"/>
                <w:color w:val="auto"/>
              </w:rPr>
              <w:t>(Zip Code)</w:t>
            </w:r>
          </w:p>
        </w:tc>
      </w:tr>
      <w:tr>
        <w:trPr>
          <w:trHeight w:val="315"/>
        </w:trPr>
        <w:tc>
          <w:tcPr>
            <w:tcW w:w="4300" w:type="dxa"/>
            <w:vAlign w:val="bottom"/>
          </w:tcPr>
          <w:p>
            <w:pPr>
              <w:jc w:val="right"/>
              <w:ind w:right="111"/>
              <w:spacing w:after="0"/>
              <w:rPr>
                <w:sz w:val="20"/>
                <w:szCs w:val="20"/>
                <w:color w:val="auto"/>
              </w:rPr>
            </w:pPr>
            <w:r>
              <w:rPr>
                <w:rFonts w:ascii="Arial" w:cs="Arial" w:eastAsia="Arial" w:hAnsi="Arial"/>
                <w:sz w:val="14"/>
                <w:szCs w:val="14"/>
                <w:b w:val="1"/>
                <w:bCs w:val="1"/>
                <w:color w:val="auto"/>
              </w:rPr>
              <w:t>(682) 278-9000</w:t>
            </w:r>
          </w:p>
        </w:tc>
        <w:tc>
          <w:tcPr>
            <w:tcW w:w="21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1595120</wp:posOffset>
            </wp:positionH>
            <wp:positionV relativeFrom="paragraph">
              <wp:posOffset>119380</wp:posOffset>
            </wp:positionV>
            <wp:extent cx="3959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9860" cy="762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American Airlines,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1595120</wp:posOffset>
            </wp:positionH>
            <wp:positionV relativeFrom="paragraph">
              <wp:posOffset>43180</wp:posOffset>
            </wp:positionV>
            <wp:extent cx="3959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9860" cy="7620"/>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500" w:type="dxa"/>
            <w:vAlign w:val="bottom"/>
            <w:gridSpan w:val="3"/>
          </w:tcPr>
          <w:p>
            <w:pPr>
              <w:jc w:val="center"/>
              <w:ind w:left="2630"/>
              <w:spacing w:after="0"/>
              <w:rPr>
                <w:sz w:val="20"/>
                <w:szCs w:val="20"/>
                <w:color w:val="auto"/>
              </w:rPr>
            </w:pPr>
            <w:r>
              <w:rPr>
                <w:rFonts w:ascii="Arial" w:cs="Arial" w:eastAsia="Arial" w:hAnsi="Arial"/>
                <w:sz w:val="14"/>
                <w:szCs w:val="14"/>
                <w:b w:val="1"/>
                <w:bCs w:val="1"/>
                <w:color w:val="auto"/>
              </w:rPr>
              <w:t>Delaware</w:t>
            </w:r>
          </w:p>
        </w:tc>
        <w:tc>
          <w:tcPr>
            <w:tcW w:w="1980" w:type="dxa"/>
            <w:vAlign w:val="bottom"/>
          </w:tcPr>
          <w:p>
            <w:pPr>
              <w:spacing w:after="0"/>
              <w:rPr>
                <w:sz w:val="17"/>
                <w:szCs w:val="17"/>
                <w:color w:val="auto"/>
              </w:rPr>
            </w:pPr>
          </w:p>
        </w:tc>
        <w:tc>
          <w:tcPr>
            <w:tcW w:w="4780" w:type="dxa"/>
            <w:vAlign w:val="bottom"/>
            <w:gridSpan w:val="3"/>
          </w:tcPr>
          <w:p>
            <w:pPr>
              <w:jc w:val="right"/>
              <w:ind w:right="3228"/>
              <w:spacing w:after="0"/>
              <w:rPr>
                <w:sz w:val="20"/>
                <w:szCs w:val="20"/>
                <w:color w:val="auto"/>
              </w:rPr>
            </w:pPr>
            <w:r>
              <w:rPr>
                <w:rFonts w:ascii="Arial" w:cs="Arial" w:eastAsia="Arial" w:hAnsi="Arial"/>
                <w:sz w:val="14"/>
                <w:szCs w:val="14"/>
                <w:b w:val="1"/>
                <w:bCs w:val="1"/>
                <w:color w:val="auto"/>
              </w:rPr>
              <w:t>13-1502798</w:t>
            </w:r>
          </w:p>
        </w:tc>
        <w:tc>
          <w:tcPr>
            <w:tcW w:w="0" w:type="dxa"/>
            <w:vAlign w:val="bottom"/>
          </w:tcPr>
          <w:p>
            <w:pPr>
              <w:spacing w:after="0"/>
              <w:rPr>
                <w:sz w:val="1"/>
                <w:szCs w:val="1"/>
                <w:color w:val="auto"/>
              </w:rPr>
            </w:pPr>
          </w:p>
        </w:tc>
      </w:tr>
      <w:tr>
        <w:trPr>
          <w:trHeight w:val="168"/>
        </w:trPr>
        <w:tc>
          <w:tcPr>
            <w:tcW w:w="6480" w:type="dxa"/>
            <w:vAlign w:val="bottom"/>
            <w:gridSpan w:val="4"/>
          </w:tcPr>
          <w:p>
            <w:pPr>
              <w:jc w:val="center"/>
              <w:ind w:left="650"/>
              <w:spacing w:after="0"/>
              <w:rPr>
                <w:sz w:val="20"/>
                <w:szCs w:val="20"/>
                <w:color w:val="auto"/>
              </w:rPr>
            </w:pPr>
            <w:r>
              <w:rPr>
                <w:rFonts w:ascii="Arial" w:cs="Arial" w:eastAsia="Arial" w:hAnsi="Arial"/>
                <w:sz w:val="13"/>
                <w:szCs w:val="13"/>
                <w:color w:val="auto"/>
                <w:w w:val="99"/>
              </w:rPr>
              <w:t>(State or other jurisdiction of incorporation or organization)</w:t>
            </w:r>
          </w:p>
        </w:tc>
        <w:tc>
          <w:tcPr>
            <w:tcW w:w="4780" w:type="dxa"/>
            <w:vAlign w:val="bottom"/>
            <w:gridSpan w:val="3"/>
          </w:tcPr>
          <w:p>
            <w:pPr>
              <w:jc w:val="center"/>
              <w:ind w:right="2528"/>
              <w:spacing w:after="0"/>
              <w:rPr>
                <w:sz w:val="20"/>
                <w:szCs w:val="20"/>
                <w:color w:val="auto"/>
              </w:rPr>
            </w:pPr>
            <w:r>
              <w:rPr>
                <w:rFonts w:ascii="Arial" w:cs="Arial" w:eastAsia="Arial" w:hAnsi="Arial"/>
                <w:sz w:val="13"/>
                <w:szCs w:val="13"/>
                <w:color w:val="auto"/>
                <w:w w:val="98"/>
              </w:rPr>
              <w:t>(I.R.S. Employer Identification No.)</w:t>
            </w:r>
          </w:p>
        </w:tc>
        <w:tc>
          <w:tcPr>
            <w:tcW w:w="0" w:type="dxa"/>
            <w:vAlign w:val="bottom"/>
          </w:tcPr>
          <w:p>
            <w:pPr>
              <w:spacing w:after="0"/>
              <w:rPr>
                <w:sz w:val="1"/>
                <w:szCs w:val="1"/>
                <w:color w:val="auto"/>
              </w:rPr>
            </w:pPr>
          </w:p>
        </w:tc>
      </w:tr>
      <w:tr>
        <w:trPr>
          <w:trHeight w:val="205"/>
        </w:trPr>
        <w:tc>
          <w:tcPr>
            <w:tcW w:w="4500" w:type="dxa"/>
            <w:vAlign w:val="bottom"/>
            <w:gridSpan w:val="3"/>
          </w:tcPr>
          <w:p>
            <w:pPr>
              <w:ind w:left="2500"/>
              <w:spacing w:after="0"/>
              <w:rPr>
                <w:sz w:val="20"/>
                <w:szCs w:val="20"/>
                <w:color w:val="auto"/>
              </w:rPr>
            </w:pPr>
            <w:r>
              <w:rPr>
                <w:rFonts w:ascii="Arial" w:cs="Arial" w:eastAsia="Arial" w:hAnsi="Arial"/>
                <w:sz w:val="14"/>
                <w:szCs w:val="14"/>
                <w:b w:val="1"/>
                <w:bCs w:val="1"/>
                <w:color w:val="auto"/>
              </w:rPr>
              <w:t>1 Skyview Drive, Fort Worth,</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Texas</w:t>
            </w:r>
          </w:p>
        </w:tc>
        <w:tc>
          <w:tcPr>
            <w:tcW w:w="4780" w:type="dxa"/>
            <w:vAlign w:val="bottom"/>
            <w:gridSpan w:val="3"/>
          </w:tcPr>
          <w:p>
            <w:pPr>
              <w:jc w:val="right"/>
              <w:ind w:right="3408"/>
              <w:spacing w:after="0"/>
              <w:rPr>
                <w:sz w:val="20"/>
                <w:szCs w:val="20"/>
                <w:color w:val="auto"/>
              </w:rPr>
            </w:pPr>
            <w:r>
              <w:rPr>
                <w:rFonts w:ascii="Arial" w:cs="Arial" w:eastAsia="Arial" w:hAnsi="Arial"/>
                <w:sz w:val="14"/>
                <w:szCs w:val="14"/>
                <w:b w:val="1"/>
                <w:bCs w:val="1"/>
                <w:color w:val="auto"/>
              </w:rPr>
              <w:t>76155</w:t>
            </w:r>
          </w:p>
        </w:tc>
        <w:tc>
          <w:tcPr>
            <w:tcW w:w="0" w:type="dxa"/>
            <w:vAlign w:val="bottom"/>
          </w:tcPr>
          <w:p>
            <w:pPr>
              <w:spacing w:after="0"/>
              <w:rPr>
                <w:sz w:val="1"/>
                <w:szCs w:val="1"/>
                <w:color w:val="auto"/>
              </w:rPr>
            </w:pPr>
          </w:p>
        </w:tc>
      </w:tr>
      <w:tr>
        <w:trPr>
          <w:trHeight w:val="168"/>
        </w:trPr>
        <w:tc>
          <w:tcPr>
            <w:tcW w:w="6480" w:type="dxa"/>
            <w:vAlign w:val="bottom"/>
            <w:gridSpan w:val="4"/>
          </w:tcPr>
          <w:p>
            <w:pPr>
              <w:jc w:val="center"/>
              <w:ind w:left="650"/>
              <w:spacing w:after="0"/>
              <w:rPr>
                <w:sz w:val="20"/>
                <w:szCs w:val="20"/>
                <w:color w:val="auto"/>
              </w:rPr>
            </w:pPr>
            <w:r>
              <w:rPr>
                <w:rFonts w:ascii="Arial" w:cs="Arial" w:eastAsia="Arial" w:hAnsi="Arial"/>
                <w:sz w:val="13"/>
                <w:szCs w:val="13"/>
                <w:color w:val="auto"/>
                <w:w w:val="98"/>
              </w:rPr>
              <w:t>(Address of principal executive offices)</w:t>
            </w:r>
          </w:p>
        </w:tc>
        <w:tc>
          <w:tcPr>
            <w:tcW w:w="4780" w:type="dxa"/>
            <w:vAlign w:val="bottom"/>
            <w:gridSpan w:val="3"/>
          </w:tcPr>
          <w:p>
            <w:pPr>
              <w:jc w:val="center"/>
              <w:ind w:right="2508"/>
              <w:spacing w:after="0"/>
              <w:rPr>
                <w:sz w:val="20"/>
                <w:szCs w:val="20"/>
                <w:color w:val="auto"/>
              </w:rPr>
            </w:pPr>
            <w:r>
              <w:rPr>
                <w:rFonts w:ascii="Arial" w:cs="Arial" w:eastAsia="Arial" w:hAnsi="Arial"/>
                <w:sz w:val="13"/>
                <w:szCs w:val="13"/>
                <w:color w:val="auto"/>
                <w:w w:val="97"/>
              </w:rPr>
              <w:t>(Zip Code)</w:t>
            </w:r>
          </w:p>
        </w:tc>
        <w:tc>
          <w:tcPr>
            <w:tcW w:w="0" w:type="dxa"/>
            <w:vAlign w:val="bottom"/>
          </w:tcPr>
          <w:p>
            <w:pPr>
              <w:spacing w:after="0"/>
              <w:rPr>
                <w:sz w:val="1"/>
                <w:szCs w:val="1"/>
                <w:color w:val="auto"/>
              </w:rPr>
            </w:pPr>
          </w:p>
        </w:tc>
      </w:tr>
      <w:tr>
        <w:trPr>
          <w:trHeight w:val="313"/>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auto"/>
              </w:rPr>
              <w:t>(682) 278-9000</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180" w:type="dxa"/>
            <w:vAlign w:val="bottom"/>
            <w:gridSpan w:val="5"/>
          </w:tcPr>
          <w:p>
            <w:pPr>
              <w:jc w:val="center"/>
              <w:ind w:right="4028"/>
              <w:spacing w:after="0"/>
              <w:rPr>
                <w:sz w:val="20"/>
                <w:szCs w:val="20"/>
                <w:color w:val="auto"/>
              </w:rPr>
            </w:pPr>
            <w:r>
              <w:rPr>
                <w:rFonts w:ascii="Arial" w:cs="Arial" w:eastAsia="Arial" w:hAnsi="Arial"/>
                <w:sz w:val="13"/>
                <w:szCs w:val="13"/>
                <w:color w:val="auto"/>
                <w:w w:val="98"/>
              </w:rPr>
              <w:t>(Registrant’s telephone number, including area code)</w:t>
            </w:r>
          </w:p>
        </w:tc>
        <w:tc>
          <w:tcPr>
            <w:tcW w:w="0" w:type="dxa"/>
            <w:vAlign w:val="bottom"/>
          </w:tcPr>
          <w:p>
            <w:pPr>
              <w:spacing w:after="0"/>
              <w:rPr>
                <w:sz w:val="1"/>
                <w:szCs w:val="1"/>
                <w:color w:val="auto"/>
              </w:rPr>
            </w:pPr>
          </w:p>
        </w:tc>
      </w:tr>
      <w:tr>
        <w:trPr>
          <w:trHeight w:val="403"/>
        </w:trPr>
        <w:tc>
          <w:tcPr>
            <w:tcW w:w="4500" w:type="dxa"/>
            <w:vAlign w:val="bottom"/>
            <w:gridSpan w:val="3"/>
          </w:tcPr>
          <w:p>
            <w:pPr>
              <w:ind w:left="140"/>
              <w:spacing w:after="0"/>
              <w:rPr>
                <w:sz w:val="20"/>
                <w:szCs w:val="20"/>
                <w:color w:val="auto"/>
              </w:rPr>
            </w:pPr>
            <w:r>
              <w:rPr>
                <w:rFonts w:ascii="Arial" w:cs="Arial" w:eastAsia="Arial" w:hAnsi="Arial"/>
                <w:sz w:val="14"/>
                <w:szCs w:val="14"/>
                <w:color w:val="auto"/>
              </w:rPr>
              <w:t>Securities registered pursuant to Section 12(b) of the Act:</w:t>
            </w: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00" w:type="dxa"/>
            <w:vAlign w:val="bottom"/>
            <w:gridSpan w:val="3"/>
          </w:tcPr>
          <w:p>
            <w:pPr>
              <w:jc w:val="center"/>
              <w:ind w:right="596"/>
              <w:spacing w:after="0"/>
              <w:rPr>
                <w:sz w:val="20"/>
                <w:szCs w:val="20"/>
                <w:color w:val="auto"/>
              </w:rPr>
            </w:pPr>
            <w:r>
              <w:rPr>
                <w:rFonts w:ascii="Arial" w:cs="Arial" w:eastAsia="Arial" w:hAnsi="Arial"/>
                <w:sz w:val="14"/>
                <w:szCs w:val="14"/>
                <w:b w:val="1"/>
                <w:bCs w:val="1"/>
                <w:color w:val="auto"/>
              </w:rPr>
              <w:t>Title of each class</w:t>
            </w:r>
          </w:p>
        </w:tc>
        <w:tc>
          <w:tcPr>
            <w:tcW w:w="1980" w:type="dxa"/>
            <w:vAlign w:val="bottom"/>
          </w:tcPr>
          <w:p>
            <w:pPr>
              <w:jc w:val="center"/>
              <w:ind w:left="488"/>
              <w:spacing w:after="0"/>
              <w:rPr>
                <w:sz w:val="20"/>
                <w:szCs w:val="20"/>
                <w:color w:val="auto"/>
              </w:rPr>
            </w:pPr>
            <w:r>
              <w:rPr>
                <w:rFonts w:ascii="Arial" w:cs="Arial" w:eastAsia="Arial" w:hAnsi="Arial"/>
                <w:sz w:val="14"/>
                <w:szCs w:val="14"/>
                <w:b w:val="1"/>
                <w:bCs w:val="1"/>
                <w:color w:val="auto"/>
              </w:rPr>
              <w:t>Trading Symbol(s)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6"/>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$0.01 par value per share</w:t>
            </w:r>
          </w:p>
        </w:tc>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ind w:left="488"/>
              <w:spacing w:after="0"/>
              <w:rPr>
                <w:sz w:val="20"/>
                <w:szCs w:val="20"/>
                <w:color w:val="auto"/>
              </w:rPr>
            </w:pPr>
            <w:r>
              <w:rPr>
                <w:rFonts w:ascii="Arial" w:cs="Arial" w:eastAsia="Arial" w:hAnsi="Arial"/>
                <w:sz w:val="14"/>
                <w:szCs w:val="14"/>
                <w:b w:val="1"/>
                <w:bCs w:val="1"/>
                <w:color w:val="auto"/>
              </w:rPr>
              <w:t>AAL</w:t>
            </w: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27"/>
        </w:trPr>
        <w:tc>
          <w:tcPr>
            <w:tcW w:w="4500" w:type="dxa"/>
            <w:vAlign w:val="bottom"/>
            <w:gridSpan w:val="3"/>
            <w:vMerge w:val="restart"/>
          </w:tcPr>
          <w:p>
            <w:pPr>
              <w:jc w:val="center"/>
              <w:ind w:right="576"/>
              <w:spacing w:after="0"/>
              <w:rPr>
                <w:sz w:val="20"/>
                <w:szCs w:val="20"/>
                <w:color w:val="auto"/>
              </w:rPr>
            </w:pPr>
            <w:r>
              <w:rPr>
                <w:rFonts w:ascii="Arial" w:cs="Arial" w:eastAsia="Arial" w:hAnsi="Arial"/>
                <w:sz w:val="14"/>
                <w:szCs w:val="14"/>
                <w:b w:val="1"/>
                <w:bCs w:val="1"/>
                <w:color w:val="auto"/>
              </w:rPr>
              <w:t>Preferred Stock Purchase Rights</w:t>
            </w:r>
          </w:p>
        </w:tc>
        <w:tc>
          <w:tcPr>
            <w:tcW w:w="1980" w:type="dxa"/>
            <w:vAlign w:val="bottom"/>
            <w:vMerge w:val="restart"/>
          </w:tcPr>
          <w:p>
            <w:pPr>
              <w:jc w:val="center"/>
              <w:ind w:left="488"/>
              <w:spacing w:after="0"/>
              <w:rPr>
                <w:sz w:val="20"/>
                <w:szCs w:val="20"/>
                <w:color w:val="auto"/>
              </w:rPr>
            </w:pPr>
            <w:r>
              <w:rPr>
                <w:rFonts w:ascii="Arial" w:cs="Arial" w:eastAsia="Arial" w:hAnsi="Arial"/>
                <w:sz w:val="14"/>
                <w:szCs w:val="14"/>
                <w:color w:val="auto"/>
                <w:w w:val="99"/>
              </w:rPr>
              <w:t>—</w:t>
            </w:r>
          </w:p>
        </w:tc>
        <w:tc>
          <w:tcPr>
            <w:tcW w:w="4780" w:type="dxa"/>
            <w:vAlign w:val="bottom"/>
            <w:gridSpan w:val="3"/>
          </w:tcPr>
          <w:p>
            <w:pPr>
              <w:jc w:val="center"/>
              <w:ind w:left="1076"/>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80"/>
        </w:trPr>
        <w:tc>
          <w:tcPr>
            <w:tcW w:w="4500" w:type="dxa"/>
            <w:vAlign w:val="bottom"/>
            <w:gridSpan w:val="3"/>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Attached to the Common Stock</w:t>
      </w:r>
    </w:p>
    <w:p>
      <w:pPr>
        <w:spacing w:after="0" w:line="128" w:lineRule="exact"/>
        <w:rPr>
          <w:sz w:val="24"/>
          <w:szCs w:val="24"/>
          <w:color w:val="auto"/>
        </w:rPr>
      </w:pPr>
    </w:p>
    <w:p>
      <w:pPr>
        <w:jc w:val="both"/>
        <w:ind w:right="20" w:firstLine="144"/>
        <w:spacing w:after="0" w:line="29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60"/>
          </w:cols>
          <w:pgMar w:left="320" w:top="992" w:right="319" w:bottom="240" w:gutter="0" w:footer="0" w:header="0"/>
          <w:type w:val="continuous"/>
        </w:sectPr>
      </w:pPr>
    </w:p>
    <w:p>
      <w:pPr>
        <w:spacing w:after="0" w:line="134" w:lineRule="exact"/>
        <w:rPr>
          <w:sz w:val="24"/>
          <w:szCs w:val="24"/>
          <w:color w:val="auto"/>
        </w:rPr>
      </w:pPr>
    </w:p>
    <w:p>
      <w:pPr>
        <w:ind w:left="20"/>
        <w:spacing w:after="0"/>
        <w:rPr>
          <w:sz w:val="20"/>
          <w:szCs w:val="20"/>
          <w:color w:val="auto"/>
        </w:rPr>
      </w:pPr>
      <w:r>
        <w:rPr>
          <w:rFonts w:ascii="Arial" w:cs="Arial" w:eastAsia="Arial" w:hAnsi="Arial"/>
          <w:sz w:val="14"/>
          <w:szCs w:val="14"/>
          <w:color w:val="auto"/>
        </w:rPr>
        <w:t>American Airlines Group Inc.</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4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0" w:lineRule="exact"/>
        <w:rPr>
          <w:sz w:val="24"/>
          <w:szCs w:val="24"/>
          <w:color w:val="auto"/>
        </w:rPr>
      </w:pPr>
    </w:p>
    <w:p>
      <w:pPr>
        <w:sectPr>
          <w:pgSz w:w="11900" w:h="16838" w:orient="portrait"/>
          <w:cols w:equalWidth="0" w:num="5">
            <w:col w:w="8640" w:space="720"/>
            <w:col w:w="120" w:space="480"/>
            <w:col w:w="240" w:space="180"/>
            <w:col w:w="140" w:space="540"/>
            <w:col w:w="200"/>
          </w:cols>
          <w:pgMar w:left="320" w:top="992" w:right="319" w:bottom="240" w:gutter="0" w:footer="0" w:header="0"/>
          <w:type w:val="continuous"/>
        </w:sectPr>
      </w:pPr>
    </w:p>
    <w:p>
      <w:pPr>
        <w:spacing w:after="0" w:line="36" w:lineRule="exact"/>
        <w:rPr>
          <w:sz w:val="24"/>
          <w:szCs w:val="24"/>
          <w:color w:val="auto"/>
        </w:rPr>
      </w:pPr>
    </w:p>
    <w:p>
      <w:pPr>
        <w:ind w:right="20" w:firstLine="144"/>
        <w:spacing w:after="0" w:line="31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260"/>
          </w:cols>
          <w:pgMar w:left="320" w:top="992" w:right="319" w:bottom="240" w:gutter="0" w:footer="0" w:header="0"/>
          <w:type w:val="continuous"/>
        </w:sectPr>
      </w:pPr>
    </w:p>
    <w:p>
      <w:pPr>
        <w:spacing w:after="0" w:line="110" w:lineRule="exact"/>
        <w:rPr>
          <w:sz w:val="24"/>
          <w:szCs w:val="24"/>
          <w:color w:val="auto"/>
        </w:rPr>
      </w:pPr>
    </w:p>
    <w:p>
      <w:pPr>
        <w:ind w:left="20"/>
        <w:spacing w:after="0"/>
        <w:rPr>
          <w:sz w:val="20"/>
          <w:szCs w:val="20"/>
          <w:color w:val="auto"/>
        </w:rPr>
      </w:pPr>
      <w:r>
        <w:rPr>
          <w:rFonts w:ascii="Arial" w:cs="Arial" w:eastAsia="Arial" w:hAnsi="Arial"/>
          <w:sz w:val="14"/>
          <w:szCs w:val="14"/>
          <w:color w:val="auto"/>
        </w:rPr>
        <w:t>American Airlines Group Inc.</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4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0" w:lineRule="exact"/>
        <w:rPr>
          <w:sz w:val="24"/>
          <w:szCs w:val="24"/>
          <w:color w:val="auto"/>
        </w:rPr>
      </w:pPr>
    </w:p>
    <w:p>
      <w:pPr>
        <w:sectPr>
          <w:pgSz w:w="11900" w:h="16838" w:orient="portrait"/>
          <w:cols w:equalWidth="0" w:num="5">
            <w:col w:w="8640" w:space="720"/>
            <w:col w:w="120" w:space="480"/>
            <w:col w:w="240" w:space="180"/>
            <w:col w:w="140" w:space="540"/>
            <w:col w:w="200"/>
          </w:cols>
          <w:pgMar w:left="320" w:top="992" w:right="319" w:bottom="240" w:gutter="0" w:footer="0" w:header="0"/>
          <w:type w:val="continuous"/>
        </w:sectPr>
      </w:pPr>
    </w:p>
    <w:p>
      <w:pPr>
        <w:spacing w:after="0" w:line="48" w:lineRule="exact"/>
        <w:rPr>
          <w:sz w:val="24"/>
          <w:szCs w:val="24"/>
          <w:color w:val="auto"/>
        </w:rPr>
      </w:pPr>
    </w:p>
    <w:p>
      <w:pPr>
        <w:ind w:right="20" w:firstLine="144"/>
        <w:spacing w:after="0" w:line="29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992" w:right="319" w:bottom="240" w:gutter="0" w:footer="0" w:header="0"/>
          <w:type w:val="continuous"/>
        </w:sectPr>
      </w:pPr>
    </w:p>
    <w:p>
      <w:pPr>
        <w:spacing w:after="0" w:line="131" w:lineRule="exact"/>
        <w:rPr>
          <w:sz w:val="24"/>
          <w:szCs w:val="24"/>
          <w:color w:val="auto"/>
        </w:rPr>
      </w:pPr>
    </w:p>
    <w:p>
      <w:pPr>
        <w:ind w:left="20"/>
        <w:spacing w:after="0"/>
        <w:rPr>
          <w:sz w:val="20"/>
          <w:szCs w:val="20"/>
          <w:color w:val="auto"/>
        </w:rPr>
      </w:pPr>
      <w:r>
        <w:rPr>
          <w:rFonts w:ascii="Arial" w:cs="Arial" w:eastAsia="Arial" w:hAnsi="Arial"/>
          <w:sz w:val="11"/>
          <w:szCs w:val="11"/>
          <w:color w:val="auto"/>
        </w:rPr>
        <w:t>American Airlines Group Inc.</w:t>
      </w:r>
    </w:p>
    <w:p>
      <w:pPr>
        <w:spacing w:after="0" w:line="78" w:lineRule="exact"/>
        <w:rPr>
          <w:sz w:val="24"/>
          <w:szCs w:val="24"/>
          <w:color w:val="auto"/>
        </w:rPr>
      </w:pPr>
    </w:p>
    <w:p>
      <w:pPr>
        <w:ind w:left="20"/>
        <w:spacing w:after="0"/>
        <w:rPr>
          <w:sz w:val="20"/>
          <w:szCs w:val="20"/>
          <w:color w:val="auto"/>
        </w:rPr>
      </w:pPr>
      <w:r>
        <w:rPr>
          <w:rFonts w:ascii="Arial" w:cs="Arial" w:eastAsia="Arial" w:hAnsi="Arial"/>
          <w:sz w:val="11"/>
          <w:szCs w:val="11"/>
          <w:color w:val="auto"/>
        </w:rPr>
        <w:t>American Airlines, Inc.</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both"/>
        <w:spacing w:after="0" w:line="428" w:lineRule="auto"/>
        <w:rPr>
          <w:sz w:val="20"/>
          <w:szCs w:val="20"/>
          <w:color w:val="auto"/>
        </w:rPr>
      </w:pPr>
      <w:r>
        <w:rPr>
          <w:rFonts w:ascii="Arial" w:cs="Arial" w:eastAsia="Arial" w:hAnsi="Arial"/>
          <w:sz w:val="11"/>
          <w:szCs w:val="11"/>
          <w:color w:val="auto"/>
        </w:rPr>
        <w:t>Large accelerated filer Large accelerated filer</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both"/>
        <w:spacing w:after="0" w:line="428" w:lineRule="auto"/>
        <w:rPr>
          <w:sz w:val="20"/>
          <w:szCs w:val="20"/>
          <w:color w:val="auto"/>
        </w:rPr>
      </w:pPr>
      <w:r>
        <w:rPr>
          <w:rFonts w:ascii="Arial" w:cs="Arial" w:eastAsia="Arial" w:hAnsi="Arial"/>
          <w:sz w:val="11"/>
          <w:szCs w:val="11"/>
          <w:color w:val="auto"/>
        </w:rPr>
        <w:t>Accelerated filer Accelerated filer</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both"/>
        <w:spacing w:after="0" w:line="428" w:lineRule="auto"/>
        <w:rPr>
          <w:sz w:val="20"/>
          <w:szCs w:val="20"/>
          <w:color w:val="auto"/>
        </w:rPr>
      </w:pPr>
      <w:r>
        <w:rPr>
          <w:rFonts w:ascii="Arial" w:cs="Arial" w:eastAsia="Arial" w:hAnsi="Arial"/>
          <w:sz w:val="11"/>
          <w:szCs w:val="11"/>
          <w:color w:val="auto"/>
        </w:rPr>
        <w:t>Non-accelerated filer Non-accelerated filer</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both"/>
        <w:spacing w:after="0" w:line="428" w:lineRule="auto"/>
        <w:rPr>
          <w:sz w:val="20"/>
          <w:szCs w:val="20"/>
          <w:color w:val="auto"/>
        </w:rPr>
      </w:pPr>
      <w:r>
        <w:rPr>
          <w:rFonts w:ascii="Arial" w:cs="Arial" w:eastAsia="Arial" w:hAnsi="Arial"/>
          <w:sz w:val="11"/>
          <w:szCs w:val="11"/>
          <w:color w:val="auto"/>
        </w:rPr>
        <w:t>Smaller reporting company Smaller reporting company</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both"/>
        <w:ind w:right="520"/>
        <w:spacing w:after="0" w:line="428" w:lineRule="auto"/>
        <w:rPr>
          <w:sz w:val="20"/>
          <w:szCs w:val="20"/>
          <w:color w:val="auto"/>
        </w:rPr>
      </w:pPr>
      <w:r>
        <w:rPr>
          <w:rFonts w:ascii="Arial" w:cs="Arial" w:eastAsia="Arial" w:hAnsi="Arial"/>
          <w:sz w:val="11"/>
          <w:szCs w:val="11"/>
          <w:color w:val="auto"/>
        </w:rPr>
        <w:t>Emerging growth company Emerging growth company</w:t>
      </w:r>
    </w:p>
    <w:p>
      <w:pPr>
        <w:spacing w:after="0" w:line="200" w:lineRule="exact"/>
        <w:rPr>
          <w:sz w:val="24"/>
          <w:szCs w:val="24"/>
          <w:color w:val="auto"/>
        </w:rPr>
      </w:pPr>
    </w:p>
    <w:p>
      <w:pPr>
        <w:sectPr>
          <w:pgSz w:w="11900" w:h="16838" w:orient="portrait"/>
          <w:cols w:equalWidth="0" w:num="11">
            <w:col w:w="1440" w:space="500"/>
            <w:col w:w="140" w:space="140"/>
            <w:col w:w="1120" w:space="480"/>
            <w:col w:w="140" w:space="80"/>
            <w:col w:w="820" w:space="380"/>
            <w:col w:w="140" w:space="140"/>
            <w:col w:w="1040" w:space="480"/>
            <w:col w:w="140" w:space="80"/>
            <w:col w:w="1340" w:space="580"/>
            <w:col w:w="140" w:space="80"/>
            <w:col w:w="1860"/>
          </w:cols>
          <w:pgMar w:left="320" w:top="992" w:right="319" w:bottom="240" w:gutter="0" w:footer="0" w:header="0"/>
          <w:type w:val="continuous"/>
        </w:sectPr>
      </w:pPr>
    </w:p>
    <w:p>
      <w:pPr>
        <w:spacing w:after="0" w:line="183" w:lineRule="exact"/>
        <w:rPr>
          <w:sz w:val="24"/>
          <w:szCs w:val="24"/>
          <w:color w:val="auto"/>
        </w:rPr>
      </w:pPr>
    </w:p>
    <w:p>
      <w:pPr>
        <w:ind w:right="20" w:firstLine="144"/>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60"/>
          </w:cols>
          <w:pgMar w:left="320" w:top="992" w:right="319" w:bottom="240" w:gutter="0" w:footer="0" w:header="0"/>
          <w:type w:val="continuous"/>
        </w:sectPr>
      </w:pPr>
    </w:p>
    <w:p>
      <w:pPr>
        <w:spacing w:after="0" w:line="110" w:lineRule="exact"/>
        <w:rPr>
          <w:sz w:val="24"/>
          <w:szCs w:val="24"/>
          <w:color w:val="auto"/>
        </w:rPr>
      </w:pPr>
    </w:p>
    <w:p>
      <w:pPr>
        <w:ind w:left="20"/>
        <w:spacing w:after="0"/>
        <w:rPr>
          <w:sz w:val="20"/>
          <w:szCs w:val="20"/>
          <w:color w:val="auto"/>
        </w:rPr>
      </w:pPr>
      <w:r>
        <w:rPr>
          <w:rFonts w:ascii="Arial" w:cs="Arial" w:eastAsia="Arial" w:hAnsi="Arial"/>
          <w:sz w:val="14"/>
          <w:szCs w:val="14"/>
          <w:color w:val="auto"/>
        </w:rPr>
        <w:t>American Airlines Group Inc.</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2">
            <w:col w:w="9040" w:space="720"/>
            <w:col w:w="1500"/>
          </w:cols>
          <w:pgMar w:left="320" w:top="992" w:right="319" w:bottom="240" w:gutter="0" w:footer="0" w:header="0"/>
          <w:type w:val="continuous"/>
        </w:sectPr>
      </w:pPr>
    </w:p>
    <w:p>
      <w:pPr>
        <w:spacing w:after="0" w:line="60" w:lineRule="exact"/>
        <w:rPr>
          <w:sz w:val="24"/>
          <w:szCs w:val="24"/>
          <w:color w:val="auto"/>
        </w:rPr>
      </w:pPr>
    </w:p>
    <w:p>
      <w:pPr>
        <w:ind w:left="1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ectPr>
          <w:pgSz w:w="11900" w:h="16838" w:orient="portrait"/>
          <w:cols w:equalWidth="0" w:num="1">
            <w:col w:w="11260"/>
          </w:cols>
          <w:pgMar w:left="320" w:top="992" w:right="319" w:bottom="24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Arial" w:cs="Arial" w:eastAsia="Arial" w:hAnsi="Arial"/>
          <w:sz w:val="14"/>
          <w:szCs w:val="14"/>
          <w:color w:val="auto"/>
        </w:rPr>
        <w:t>American Airlines Group Inc.</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4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0" w:lineRule="exact"/>
        <w:rPr>
          <w:sz w:val="24"/>
          <w:szCs w:val="24"/>
          <w:color w:val="auto"/>
        </w:rPr>
      </w:pPr>
    </w:p>
    <w:p>
      <w:pPr>
        <w:sectPr>
          <w:pgSz w:w="11900" w:h="16838" w:orient="portrait"/>
          <w:cols w:equalWidth="0" w:num="5">
            <w:col w:w="8640" w:space="720"/>
            <w:col w:w="120" w:space="480"/>
            <w:col w:w="240" w:space="180"/>
            <w:col w:w="140" w:space="540"/>
            <w:col w:w="200"/>
          </w:cols>
          <w:pgMar w:left="320" w:top="992" w:right="319" w:bottom="240" w:gutter="0" w:footer="0" w:header="0"/>
          <w:type w:val="continuous"/>
        </w:sectPr>
      </w:pPr>
    </w:p>
    <w:p>
      <w:pPr>
        <w:spacing w:after="0" w:line="48" w:lineRule="exact"/>
        <w:rPr>
          <w:sz w:val="24"/>
          <w:szCs w:val="24"/>
          <w:color w:val="auto"/>
        </w:rPr>
      </w:pPr>
    </w:p>
    <w:p>
      <w:pPr>
        <w:ind w:left="140"/>
        <w:spacing w:after="0"/>
        <w:rPr>
          <w:sz w:val="20"/>
          <w:szCs w:val="20"/>
          <w:color w:val="auto"/>
        </w:rPr>
      </w:pPr>
      <w:r>
        <w:rPr>
          <w:rFonts w:ascii="Arial" w:cs="Arial" w:eastAsia="Arial" w:hAnsi="Arial"/>
          <w:sz w:val="14"/>
          <w:szCs w:val="14"/>
          <w:color w:val="auto"/>
        </w:rPr>
        <w:t>As of July 18, 2025, there were 659,828,821 shares of American Airlines Group Inc. common stock outstanding.</w:t>
      </w:r>
    </w:p>
    <w:p>
      <w:pPr>
        <w:spacing w:after="0" w:line="15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As of July 18, 2025,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158115</wp:posOffset>
            </wp:positionV>
            <wp:extent cx="7146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180975</wp:posOffset>
            </wp:positionV>
            <wp:extent cx="7146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992" w:right="319" w:bottom="2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313055</wp:posOffset>
            </wp:positionV>
            <wp:extent cx="717232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Quarterly Period Ended June 30, 2025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40" w:type="dxa"/>
            <w:vAlign w:val="bottom"/>
            <w:gridSpan w:val="12"/>
            <w:vMerge w:val="restart"/>
          </w:tcPr>
          <w:p>
            <w:pPr>
              <w:jc w:val="center"/>
              <w:ind w:right="2800"/>
              <w:spacing w:after="0"/>
              <w:rPr>
                <w:sz w:val="20"/>
                <w:szCs w:val="20"/>
                <w:color w:val="auto"/>
              </w:rPr>
            </w:pPr>
            <w:r>
              <w:rPr>
                <w:rFonts w:ascii="Arial" w:cs="Arial" w:eastAsia="Arial" w:hAnsi="Arial"/>
                <w:sz w:val="16"/>
                <w:szCs w:val="16"/>
                <w:b w:val="1"/>
                <w:bCs w:val="1"/>
                <w:color w:val="auto"/>
                <w:w w:val="99"/>
              </w:rPr>
              <w:t>PART I: FINANCIAL INFORMATION</w:t>
            </w:r>
          </w:p>
        </w:tc>
        <w:tc>
          <w:tcPr>
            <w:tcW w:w="62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40" w:type="dxa"/>
            <w:vAlign w:val="bottom"/>
            <w:gridSpan w:val="12"/>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20" w:type="dxa"/>
            <w:vAlign w:val="bottom"/>
            <w:gridSpan w:val="3"/>
          </w:tcPr>
          <w:p>
            <w:pPr>
              <w:ind w:left="20"/>
              <w:spacing w:after="0" w:line="174" w:lineRule="exact"/>
              <w:rPr>
                <w:sz w:val="20"/>
                <w:szCs w:val="20"/>
                <w:color w:val="auto"/>
              </w:rPr>
            </w:pPr>
            <w:r>
              <w:rPr>
                <w:rFonts w:ascii="Arial" w:cs="Arial" w:eastAsia="Arial" w:hAnsi="Arial"/>
                <w:sz w:val="16"/>
                <w:szCs w:val="16"/>
                <w:color w:val="auto"/>
              </w:rPr>
              <w:t>Item 1A.</w:t>
            </w:r>
          </w:p>
        </w:tc>
        <w:tc>
          <w:tcPr>
            <w:tcW w:w="5620" w:type="dxa"/>
            <w:vAlign w:val="bottom"/>
            <w:tcBorders>
              <w:bottom w:val="single" w:sz="8" w:color="0000FF"/>
            </w:tcBorders>
            <w:gridSpan w:val="15"/>
          </w:tcPr>
          <w:p>
            <w:pPr>
              <w:spacing w:after="0" w:line="174" w:lineRule="exact"/>
              <w:rPr>
                <w:sz w:val="20"/>
                <w:szCs w:val="20"/>
                <w:color w:val="auto"/>
              </w:rPr>
            </w:pPr>
            <w:r>
              <w:rPr>
                <w:rFonts w:ascii="Arial" w:cs="Arial" w:eastAsia="Arial" w:hAnsi="Arial"/>
                <w:sz w:val="16"/>
                <w:szCs w:val="16"/>
                <w:color w:val="0000FF"/>
              </w:rPr>
              <w:t>Condensed Consolidated Financial Statements of American Airlines Group Inc.</w:t>
            </w:r>
          </w:p>
        </w:tc>
        <w:tc>
          <w:tcPr>
            <w:tcW w:w="3400" w:type="dxa"/>
            <w:vAlign w:val="bottom"/>
            <w:gridSpan w:val="2"/>
          </w:tcPr>
          <w:p>
            <w:pPr>
              <w:spacing w:after="0"/>
              <w:rPr>
                <w:sz w:val="15"/>
                <w:szCs w:val="15"/>
                <w:color w:val="auto"/>
              </w:rPr>
            </w:pPr>
          </w:p>
        </w:tc>
        <w:tc>
          <w:tcPr>
            <w:tcW w:w="5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74" w:lineRule="exact"/>
              <w:rPr>
                <w:sz w:val="20"/>
                <w:szCs w:val="20"/>
                <w:color w:val="auto"/>
              </w:rPr>
            </w:pPr>
            <w:r>
              <w:rPr>
                <w:rFonts w:ascii="Arial" w:cs="Arial" w:eastAsia="Arial" w:hAnsi="Arial"/>
                <w:sz w:val="16"/>
                <w:szCs w:val="16"/>
                <w:color w:val="0000FF"/>
                <w:w w:val="89"/>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Condensed Consolidated Statements of Operations</w:t>
            </w:r>
          </w:p>
        </w:tc>
        <w:tc>
          <w:tcPr>
            <w:tcW w:w="5340" w:type="dxa"/>
            <w:vAlign w:val="bottom"/>
            <w:gridSpan w:val="10"/>
          </w:tcPr>
          <w:p>
            <w:pPr>
              <w:spacing w:after="0"/>
              <w:rPr>
                <w:sz w:val="16"/>
                <w:szCs w:val="16"/>
                <w:color w:val="auto"/>
              </w:rPr>
            </w:pPr>
          </w:p>
        </w:tc>
        <w:tc>
          <w:tcPr>
            <w:tcW w:w="5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Comprehensive Income</w:t>
            </w:r>
          </w:p>
        </w:tc>
        <w:tc>
          <w:tcPr>
            <w:tcW w:w="4420" w:type="dxa"/>
            <w:vAlign w:val="bottom"/>
            <w:gridSpan w:val="4"/>
          </w:tcPr>
          <w:p>
            <w:pPr>
              <w:spacing w:after="0"/>
              <w:rPr>
                <w:sz w:val="16"/>
                <w:szCs w:val="16"/>
                <w:color w:val="auto"/>
              </w:rPr>
            </w:pPr>
          </w:p>
        </w:tc>
        <w:tc>
          <w:tcPr>
            <w:tcW w:w="5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9"/>
              </w:rPr>
              <w:t>Condensed Consolidated Balance Sheets</w:t>
            </w:r>
          </w:p>
        </w:tc>
        <w:tc>
          <w:tcPr>
            <w:tcW w:w="6040" w:type="dxa"/>
            <w:vAlign w:val="bottom"/>
            <w:gridSpan w:val="11"/>
          </w:tcPr>
          <w:p>
            <w:pPr>
              <w:spacing w:after="0"/>
              <w:rPr>
                <w:sz w:val="16"/>
                <w:szCs w:val="16"/>
                <w:color w:val="auto"/>
              </w:rPr>
            </w:pPr>
          </w:p>
        </w:tc>
        <w:tc>
          <w:tcPr>
            <w:tcW w:w="5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20" w:type="dxa"/>
            <w:vAlign w:val="bottom"/>
            <w:gridSpan w:val="17"/>
          </w:tcPr>
          <w:p>
            <w:pPr>
              <w:spacing w:after="0"/>
              <w:rPr>
                <w:sz w:val="20"/>
                <w:szCs w:val="20"/>
                <w:color w:val="auto"/>
              </w:rPr>
            </w:pPr>
            <w:r>
              <w:rPr>
                <w:rFonts w:ascii="Arial" w:cs="Arial" w:eastAsia="Arial" w:hAnsi="Arial"/>
                <w:sz w:val="16"/>
                <w:szCs w:val="16"/>
                <w:color w:val="0000FF"/>
              </w:rPr>
              <w:t>Condensed Consolidated Statements of Cash Flows</w:t>
            </w: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9"/>
              </w:rPr>
              <w:t>Condensed Consolidated Statements of Stockholders’ Deficit</w:t>
            </w:r>
          </w:p>
        </w:tc>
        <w:tc>
          <w:tcPr>
            <w:tcW w:w="4680" w:type="dxa"/>
            <w:vAlign w:val="bottom"/>
            <w:gridSpan w:val="6"/>
          </w:tcPr>
          <w:p>
            <w:pPr>
              <w:spacing w:after="0"/>
              <w:rPr>
                <w:sz w:val="16"/>
                <w:szCs w:val="16"/>
                <w:color w:val="auto"/>
              </w:rPr>
            </w:pPr>
          </w:p>
        </w:tc>
        <w:tc>
          <w:tcPr>
            <w:tcW w:w="5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60" w:type="dxa"/>
            <w:vAlign w:val="bottom"/>
            <w:gridSpan w:val="10"/>
          </w:tcPr>
          <w:p>
            <w:pPr>
              <w:spacing w:after="0"/>
              <w:rPr>
                <w:sz w:val="20"/>
                <w:szCs w:val="20"/>
                <w:color w:val="auto"/>
              </w:rPr>
            </w:pPr>
            <w:r>
              <w:rPr>
                <w:rFonts w:ascii="Arial" w:cs="Arial" w:eastAsia="Arial" w:hAnsi="Arial"/>
                <w:sz w:val="16"/>
                <w:szCs w:val="16"/>
                <w:color w:val="0000FF"/>
                <w:w w:val="99"/>
              </w:rPr>
              <w:t>Notes to the Condensed Consolidated Financial Statements</w:t>
            </w:r>
          </w:p>
        </w:tc>
        <w:tc>
          <w:tcPr>
            <w:tcW w:w="4760" w:type="dxa"/>
            <w:vAlign w:val="bottom"/>
            <w:gridSpan w:val="7"/>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Item 1B.</w:t>
            </w:r>
          </w:p>
        </w:tc>
        <w:tc>
          <w:tcPr>
            <w:tcW w:w="9020" w:type="dxa"/>
            <w:vAlign w:val="bottom"/>
            <w:gridSpan w:val="17"/>
          </w:tcPr>
          <w:p>
            <w:pPr>
              <w:spacing w:after="0"/>
              <w:rPr>
                <w:sz w:val="20"/>
                <w:szCs w:val="20"/>
                <w:color w:val="auto"/>
              </w:rPr>
            </w:pPr>
            <w:r>
              <w:rPr>
                <w:rFonts w:ascii="Arial" w:cs="Arial" w:eastAsia="Arial" w:hAnsi="Arial"/>
                <w:sz w:val="16"/>
                <w:szCs w:val="16"/>
                <w:color w:val="0000FF"/>
              </w:rPr>
              <w:t>Condensed Consolidated Financial Statements of American Airlines, Inc.</w:t>
            </w: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80" w:type="dxa"/>
            <w:vAlign w:val="bottom"/>
            <w:gridSpan w:val="7"/>
          </w:tcPr>
          <w:p>
            <w:pPr>
              <w:spacing w:after="0"/>
              <w:rPr>
                <w:sz w:val="20"/>
                <w:szCs w:val="20"/>
                <w:color w:val="auto"/>
              </w:rPr>
            </w:pPr>
            <w:r>
              <w:rPr>
                <w:rFonts w:ascii="Arial" w:cs="Arial" w:eastAsia="Arial" w:hAnsi="Arial"/>
                <w:sz w:val="16"/>
                <w:szCs w:val="16"/>
                <w:color w:val="0000FF"/>
              </w:rPr>
              <w:t>Condensed Consolidated Statements of Operations</w:t>
            </w:r>
          </w:p>
        </w:tc>
        <w:tc>
          <w:tcPr>
            <w:tcW w:w="1480" w:type="dxa"/>
            <w:vAlign w:val="bottom"/>
            <w:gridSpan w:val="7"/>
          </w:tcPr>
          <w:p>
            <w:pPr>
              <w:spacing w:after="0"/>
              <w:rPr>
                <w:sz w:val="16"/>
                <w:szCs w:val="16"/>
                <w:color w:val="auto"/>
              </w:rPr>
            </w:pPr>
          </w:p>
        </w:tc>
        <w:tc>
          <w:tcPr>
            <w:tcW w:w="3860" w:type="dxa"/>
            <w:vAlign w:val="bottom"/>
            <w:gridSpan w:val="3"/>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20" w:type="dxa"/>
            <w:vAlign w:val="bottom"/>
            <w:gridSpan w:val="17"/>
          </w:tcPr>
          <w:p>
            <w:pPr>
              <w:spacing w:after="0"/>
              <w:rPr>
                <w:sz w:val="20"/>
                <w:szCs w:val="20"/>
                <w:color w:val="auto"/>
              </w:rPr>
            </w:pPr>
            <w:r>
              <w:rPr>
                <w:rFonts w:ascii="Arial" w:cs="Arial" w:eastAsia="Arial" w:hAnsi="Arial"/>
                <w:sz w:val="16"/>
                <w:szCs w:val="16"/>
                <w:color w:val="0000FF"/>
              </w:rPr>
              <w:t>Condensed Consolidated Statements of Comprehensive Income</w:t>
            </w: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6"/>
                <w:szCs w:val="16"/>
                <w:color w:val="0000FF"/>
                <w:w w:val="99"/>
              </w:rPr>
              <w:t>Condensed Consolidated Balance Sheets</w:t>
            </w:r>
          </w:p>
        </w:tc>
        <w:tc>
          <w:tcPr>
            <w:tcW w:w="1600" w:type="dxa"/>
            <w:vAlign w:val="bottom"/>
            <w:gridSpan w:val="6"/>
          </w:tcPr>
          <w:p>
            <w:pPr>
              <w:spacing w:after="0"/>
              <w:rPr>
                <w:sz w:val="16"/>
                <w:szCs w:val="16"/>
                <w:color w:val="auto"/>
              </w:rPr>
            </w:pPr>
          </w:p>
        </w:tc>
        <w:tc>
          <w:tcPr>
            <w:tcW w:w="4440" w:type="dxa"/>
            <w:vAlign w:val="bottom"/>
            <w:gridSpan w:val="5"/>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20" w:type="dxa"/>
            <w:vAlign w:val="bottom"/>
            <w:gridSpan w:val="17"/>
          </w:tcPr>
          <w:p>
            <w:pPr>
              <w:spacing w:after="0"/>
              <w:rPr>
                <w:sz w:val="20"/>
                <w:szCs w:val="20"/>
                <w:color w:val="auto"/>
              </w:rPr>
            </w:pPr>
            <w:r>
              <w:rPr>
                <w:rFonts w:ascii="Arial" w:cs="Arial" w:eastAsia="Arial" w:hAnsi="Arial"/>
                <w:sz w:val="16"/>
                <w:szCs w:val="16"/>
                <w:color w:val="0000FF"/>
              </w:rPr>
              <w:t>Condensed Consolidated Statements of Cash Flows</w:t>
            </w: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20" w:type="dxa"/>
            <w:vAlign w:val="bottom"/>
            <w:gridSpan w:val="17"/>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60" w:type="dxa"/>
            <w:vAlign w:val="bottom"/>
            <w:gridSpan w:val="10"/>
          </w:tcPr>
          <w:p>
            <w:pPr>
              <w:spacing w:after="0"/>
              <w:rPr>
                <w:sz w:val="20"/>
                <w:szCs w:val="20"/>
                <w:color w:val="auto"/>
              </w:rPr>
            </w:pPr>
            <w:r>
              <w:rPr>
                <w:rFonts w:ascii="Arial" w:cs="Arial" w:eastAsia="Arial" w:hAnsi="Arial"/>
                <w:sz w:val="16"/>
                <w:szCs w:val="16"/>
                <w:color w:val="0000FF"/>
                <w:w w:val="99"/>
              </w:rPr>
              <w:t>Notes to the Condensed Consolidated Financial Statements</w:t>
            </w:r>
          </w:p>
        </w:tc>
        <w:tc>
          <w:tcPr>
            <w:tcW w:w="80" w:type="dxa"/>
            <w:vAlign w:val="bottom"/>
          </w:tcPr>
          <w:p>
            <w:pPr>
              <w:spacing w:after="0"/>
              <w:rPr>
                <w:sz w:val="16"/>
                <w:szCs w:val="16"/>
                <w:color w:val="auto"/>
              </w:rPr>
            </w:pPr>
          </w:p>
        </w:tc>
        <w:tc>
          <w:tcPr>
            <w:tcW w:w="4680" w:type="dxa"/>
            <w:vAlign w:val="bottom"/>
            <w:gridSpan w:val="6"/>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Item 2.</w:t>
            </w:r>
          </w:p>
        </w:tc>
        <w:tc>
          <w:tcPr>
            <w:tcW w:w="902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4820" w:type="dxa"/>
            <w:vAlign w:val="bottom"/>
            <w:gridSpan w:val="8"/>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Item 3.</w:t>
            </w:r>
          </w:p>
        </w:tc>
        <w:tc>
          <w:tcPr>
            <w:tcW w:w="9020" w:type="dxa"/>
            <w:vAlign w:val="bottom"/>
            <w:gridSpan w:val="1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Item 4.</w:t>
            </w:r>
          </w:p>
        </w:tc>
        <w:tc>
          <w:tcPr>
            <w:tcW w:w="4200" w:type="dxa"/>
            <w:vAlign w:val="bottom"/>
            <w:gridSpan w:val="9"/>
          </w:tcPr>
          <w:p>
            <w:pPr>
              <w:spacing w:after="0"/>
              <w:rPr>
                <w:sz w:val="20"/>
                <w:szCs w:val="20"/>
                <w:color w:val="auto"/>
              </w:rPr>
            </w:pPr>
            <w:r>
              <w:rPr>
                <w:rFonts w:ascii="Arial" w:cs="Arial" w:eastAsia="Arial" w:hAnsi="Arial"/>
                <w:sz w:val="16"/>
                <w:szCs w:val="16"/>
                <w:color w:val="0000FF"/>
              </w:rPr>
              <w:t>Controls and Procedures</w:t>
            </w:r>
          </w:p>
        </w:tc>
        <w:tc>
          <w:tcPr>
            <w:tcW w:w="4820" w:type="dxa"/>
            <w:vAlign w:val="bottom"/>
            <w:gridSpan w:val="8"/>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240" w:type="dxa"/>
            <w:vAlign w:val="bottom"/>
            <w:gridSpan w:val="12"/>
          </w:tcPr>
          <w:p>
            <w:pPr>
              <w:jc w:val="center"/>
              <w:ind w:right="2780"/>
              <w:spacing w:after="0"/>
              <w:rPr>
                <w:sz w:val="20"/>
                <w:szCs w:val="20"/>
                <w:color w:val="auto"/>
              </w:rPr>
            </w:pPr>
            <w:r>
              <w:rPr>
                <w:rFonts w:ascii="Arial" w:cs="Arial" w:eastAsia="Arial" w:hAnsi="Arial"/>
                <w:sz w:val="16"/>
                <w:szCs w:val="16"/>
                <w:b w:val="1"/>
                <w:bCs w:val="1"/>
                <w:color w:val="auto"/>
                <w:w w:val="99"/>
              </w:rPr>
              <w:t>PART II: OTHER INFORMATION</w:t>
            </w:r>
          </w:p>
        </w:tc>
        <w:tc>
          <w:tcPr>
            <w:tcW w:w="4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620" w:type="dxa"/>
            <w:vAlign w:val="bottom"/>
            <w:gridSpan w:val="3"/>
          </w:tcPr>
          <w:p>
            <w:pPr>
              <w:ind w:left="20"/>
              <w:spacing w:after="0" w:line="174" w:lineRule="exact"/>
              <w:rPr>
                <w:sz w:val="20"/>
                <w:szCs w:val="20"/>
                <w:color w:val="auto"/>
              </w:rPr>
            </w:pPr>
            <w:r>
              <w:rPr>
                <w:rFonts w:ascii="Arial" w:cs="Arial" w:eastAsia="Arial" w:hAnsi="Arial"/>
                <w:sz w:val="16"/>
                <w:szCs w:val="16"/>
                <w:color w:val="auto"/>
              </w:rPr>
              <w:t>Item 1.</w:t>
            </w:r>
          </w:p>
        </w:tc>
        <w:tc>
          <w:tcPr>
            <w:tcW w:w="9020" w:type="dxa"/>
            <w:vAlign w:val="bottom"/>
            <w:gridSpan w:val="17"/>
          </w:tcPr>
          <w:p>
            <w:pPr>
              <w:spacing w:after="0" w:line="174" w:lineRule="exact"/>
              <w:rPr>
                <w:sz w:val="20"/>
                <w:szCs w:val="20"/>
                <w:color w:val="auto"/>
              </w:rPr>
            </w:pPr>
            <w:r>
              <w:rPr>
                <w:rFonts w:ascii="Arial" w:cs="Arial" w:eastAsia="Arial" w:hAnsi="Arial"/>
                <w:sz w:val="16"/>
                <w:szCs w:val="16"/>
                <w:color w:val="0000FF"/>
              </w:rPr>
              <w:t>Legal Proceedings</w:t>
            </w:r>
          </w:p>
        </w:tc>
        <w:tc>
          <w:tcPr>
            <w:tcW w:w="620" w:type="dxa"/>
            <w:vAlign w:val="bottom"/>
            <w:gridSpan w:val="4"/>
          </w:tcPr>
          <w:p>
            <w:pPr>
              <w:jc w:val="right"/>
              <w:ind w:right="20"/>
              <w:spacing w:after="0" w:line="174" w:lineRule="exact"/>
              <w:rPr>
                <w:sz w:val="20"/>
                <w:szCs w:val="20"/>
                <w:color w:val="auto"/>
              </w:rPr>
            </w:pPr>
            <w:r>
              <w:rPr>
                <w:rFonts w:ascii="Arial" w:cs="Arial" w:eastAsia="Arial" w:hAnsi="Arial"/>
                <w:sz w:val="16"/>
                <w:szCs w:val="16"/>
                <w:color w:val="0000FF"/>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760" w:type="dxa"/>
            <w:vAlign w:val="bottom"/>
            <w:gridSpan w:val="1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Item 1A.</w:t>
            </w:r>
          </w:p>
        </w:tc>
        <w:tc>
          <w:tcPr>
            <w:tcW w:w="900" w:type="dxa"/>
            <w:vAlign w:val="bottom"/>
            <w:gridSpan w:val="2"/>
          </w:tcPr>
          <w:p>
            <w:pPr>
              <w:spacing w:after="0"/>
              <w:rPr>
                <w:sz w:val="20"/>
                <w:szCs w:val="20"/>
                <w:color w:val="auto"/>
              </w:rPr>
            </w:pPr>
            <w:r>
              <w:rPr>
                <w:rFonts w:ascii="Arial" w:cs="Arial" w:eastAsia="Arial" w:hAnsi="Arial"/>
                <w:sz w:val="16"/>
                <w:szCs w:val="16"/>
                <w:color w:val="0000FF"/>
                <w:w w:val="98"/>
              </w:rPr>
              <w:t>Risk Factors</w:t>
            </w:r>
          </w:p>
        </w:tc>
        <w:tc>
          <w:tcPr>
            <w:tcW w:w="8120" w:type="dxa"/>
            <w:vAlign w:val="bottom"/>
            <w:gridSpan w:val="15"/>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76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Item 5.</w:t>
            </w:r>
          </w:p>
        </w:tc>
        <w:tc>
          <w:tcPr>
            <w:tcW w:w="1260" w:type="dxa"/>
            <w:vAlign w:val="bottom"/>
            <w:gridSpan w:val="3"/>
          </w:tcPr>
          <w:p>
            <w:pPr>
              <w:spacing w:after="0"/>
              <w:rPr>
                <w:sz w:val="20"/>
                <w:szCs w:val="20"/>
                <w:color w:val="auto"/>
              </w:rPr>
            </w:pPr>
            <w:r>
              <w:rPr>
                <w:rFonts w:ascii="Arial" w:cs="Arial" w:eastAsia="Arial" w:hAnsi="Arial"/>
                <w:sz w:val="16"/>
                <w:szCs w:val="16"/>
                <w:color w:val="0000FF"/>
                <w:w w:val="99"/>
              </w:rPr>
              <w:t>Other Information</w:t>
            </w:r>
          </w:p>
        </w:tc>
        <w:tc>
          <w:tcPr>
            <w:tcW w:w="7760" w:type="dxa"/>
            <w:vAlign w:val="bottom"/>
            <w:gridSpan w:val="14"/>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76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Item 6.</w:t>
            </w:r>
          </w:p>
        </w:tc>
        <w:tc>
          <w:tcPr>
            <w:tcW w:w="1260" w:type="dxa"/>
            <w:vAlign w:val="bottom"/>
            <w:gridSpan w:val="3"/>
          </w:tcPr>
          <w:p>
            <w:pPr>
              <w:spacing w:after="0"/>
              <w:rPr>
                <w:sz w:val="20"/>
                <w:szCs w:val="20"/>
                <w:color w:val="auto"/>
              </w:rPr>
            </w:pPr>
            <w:r>
              <w:rPr>
                <w:rFonts w:ascii="Arial" w:cs="Arial" w:eastAsia="Arial" w:hAnsi="Arial"/>
                <w:sz w:val="16"/>
                <w:szCs w:val="16"/>
                <w:color w:val="0000FF"/>
              </w:rPr>
              <w:t>Exhibits</w:t>
            </w:r>
          </w:p>
        </w:tc>
        <w:tc>
          <w:tcPr>
            <w:tcW w:w="7760" w:type="dxa"/>
            <w:vAlign w:val="bottom"/>
            <w:gridSpan w:val="14"/>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20" w:type="dxa"/>
            <w:vAlign w:val="bottom"/>
            <w:gridSpan w:val="3"/>
          </w:tcPr>
          <w:p>
            <w:pPr>
              <w:ind w:left="20"/>
              <w:spacing w:after="0"/>
              <w:rPr>
                <w:sz w:val="20"/>
                <w:szCs w:val="20"/>
                <w:color w:val="auto"/>
              </w:rPr>
            </w:pPr>
            <w:r>
              <w:rPr>
                <w:rFonts w:ascii="Arial" w:cs="Arial" w:eastAsia="Arial" w:hAnsi="Arial"/>
                <w:sz w:val="16"/>
                <w:szCs w:val="16"/>
                <w:color w:val="0000FF"/>
              </w:rPr>
              <w:t>SIGNATURES</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0000FF"/>
              </w:rPr>
              <w:t>62</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200" w:type="dxa"/>
            <w:vAlign w:val="bottom"/>
            <w:gridSpan w:val="9"/>
          </w:tcPr>
          <w:p>
            <w:pPr>
              <w:jc w:val="center"/>
              <w:ind w:left="3720"/>
              <w:spacing w:after="0"/>
              <w:rPr>
                <w:sz w:val="20"/>
                <w:szCs w:val="20"/>
                <w:color w:val="auto"/>
              </w:rPr>
            </w:pPr>
            <w:r>
              <w:rPr>
                <w:rFonts w:ascii="Arial" w:cs="Arial" w:eastAsia="Arial" w:hAnsi="Arial"/>
                <w:sz w:val="16"/>
                <w:szCs w:val="16"/>
                <w:color w:val="auto"/>
                <w:w w:val="89"/>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General</w:t>
      </w:r>
    </w:p>
    <w:p>
      <w:pPr>
        <w:spacing w:after="0" w:line="81" w:lineRule="exact"/>
        <w:rPr>
          <w:sz w:val="20"/>
          <w:szCs w:val="20"/>
          <w:color w:val="auto"/>
        </w:rPr>
      </w:pPr>
    </w:p>
    <w:p>
      <w:pPr>
        <w:jc w:val="both"/>
        <w:ind w:firstLine="217"/>
        <w:spacing w:after="0" w:line="263" w:lineRule="auto"/>
        <w:rPr>
          <w:sz w:val="20"/>
          <w:szCs w:val="20"/>
          <w:color w:val="auto"/>
        </w:rPr>
      </w:pPr>
      <w:r>
        <w:rPr>
          <w:rFonts w:ascii="Arial" w:cs="Arial" w:eastAsia="Arial" w:hAnsi="Arial"/>
          <w:sz w:val="16"/>
          <w:szCs w:val="16"/>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 Capitalized terms used but not defined herein shall have the meanings given to them in our annual report on Form 10-K for the year ended December 31, 2024 (2024 Form 10-K).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Concerning Forward-Looking Statements</w:t>
      </w:r>
    </w:p>
    <w:p>
      <w:pPr>
        <w:spacing w:after="0" w:line="81" w:lineRule="exact"/>
        <w:rPr>
          <w:sz w:val="20"/>
          <w:szCs w:val="20"/>
          <w:color w:val="auto"/>
        </w:rPr>
      </w:pPr>
    </w:p>
    <w:p>
      <w:pPr>
        <w:jc w:val="both"/>
        <w:ind w:right="20" w:firstLine="217"/>
        <w:spacing w:after="0" w:line="256"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w:t>
      </w:r>
    </w:p>
    <w:p>
      <w:pPr>
        <w:spacing w:after="0" w:line="115" w:lineRule="exact"/>
        <w:rPr>
          <w:sz w:val="20"/>
          <w:szCs w:val="20"/>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downturns in economic conditions;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inability to obtain sufficient financing or other capital to operate successfully;</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high level of debt and other obligations;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significant pension and other postretirement benefit funding obligations;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deterioration of our financial condition;</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loss of key personnel, or our inability to attract, develop and retain additional qualified personnel;</w:t>
      </w:r>
    </w:p>
    <w:p>
      <w:pPr>
        <w:spacing w:after="0" w:line="153" w:lineRule="exact"/>
        <w:rPr>
          <w:rFonts w:ascii="Arial" w:cs="Arial" w:eastAsia="Arial" w:hAnsi="Arial"/>
          <w:sz w:val="16"/>
          <w:szCs w:val="16"/>
          <w:color w:val="auto"/>
        </w:rPr>
      </w:pPr>
    </w:p>
    <w:p>
      <w:pPr>
        <w:ind w:left="580" w:hanging="295"/>
        <w:spacing w:after="0" w:line="286"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changing economic, geopolitical, commercial, regulatory and other conditions beyond our control, including the recently announced tariffs and other global events that affect travel behavior;</w:t>
      </w:r>
    </w:p>
    <w:p>
      <w:pPr>
        <w:spacing w:after="0" w:line="91" w:lineRule="exact"/>
        <w:rPr>
          <w:rFonts w:ascii="Arial" w:cs="Arial" w:eastAsia="Arial" w:hAnsi="Arial"/>
          <w:sz w:val="16"/>
          <w:szCs w:val="16"/>
          <w:color w:val="auto"/>
        </w:rPr>
      </w:pPr>
    </w:p>
    <w:p>
      <w:pPr>
        <w:jc w:val="both"/>
        <w:ind w:left="580" w:right="20" w:hanging="295"/>
        <w:spacing w:after="0" w:line="269"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current legislation, regulations and economic conditions regarding federal governmental tariffs, the implementation of federal government budget cuts and the potential that any of the foregoing affects the demand for, or restricts the use of, travel by government employees and their families or private sector enterprises that contract or otherwise interface with the federal government;</w:t>
      </w:r>
    </w:p>
    <w:p>
      <w:pPr>
        <w:spacing w:after="0" w:line="10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intensely competitive and dynamic nature of the airline industry;</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union disputes, employee strikes and other labor-related disruptions;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problems with any of our third-party regional operators or third-party service providers;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damage to our reputation or brand image;</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losses and adverse publicity stemming from any public incidents involving our company, our people or our brand;</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our business model that may not be successful and may cause operational difficulties or decreased demand;</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inability to protect our intellectual property rights, particularly our branding rights;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 in the normal course of business or otherwise;</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inability to use net operating losses and other carryforwards;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new U.S. and international tax legislation;</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impairment of goodwill and intangible assets or long-lived assets;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 w:name="page5"/>
    <w:bookmarkEnd w:id="4"/>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inability of our commercial relationships with other companies to produce the returns or results we expect;</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dependence on price and availability of aircraft fuel;</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extensive government regulation and compliance risks;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and political instability outside of the U.S. where we have significant operations;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ongoing security concerns due to conflicts, terrorist attacks or other acts of violence, domestically or abroad;</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climate change;</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environmental and social matters, and compliance risks with environmental, health and noise regulations;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shortage of pilots;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dependence on a limited number of suppliers for aircraft, aircraft engines and parts;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failure of technology and automated systems, including artificial intelligence, that we rely on to operate our business;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evolving data privacy requirements, risks from cyberattacks and data privacy incidents, and compliance risks with regulations related therewith;</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inability to effectively manage the costs, rights and functionality of third-party distribution channels;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inability to obtain and maintain adequate facilities and infrastructure throughout our system and, at some airports, adequate slots;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interruptions or disruptions in service at one or more of our key facilities;</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increases in insurance costs or reductions in insurance coverage;</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heavy taxation in the airline industry;</w:t>
      </w:r>
    </w:p>
    <w:p>
      <w:pPr>
        <w:spacing w:after="0" w:line="153" w:lineRule="exact"/>
        <w:rPr>
          <w:rFonts w:ascii="Arial" w:cs="Arial" w:eastAsia="Arial" w:hAnsi="Arial"/>
          <w:sz w:val="16"/>
          <w:szCs w:val="16"/>
          <w:color w:val="auto"/>
        </w:rPr>
      </w:pPr>
    </w:p>
    <w:p>
      <w:pPr>
        <w:ind w:left="580" w:hanging="295"/>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ownership of AAG common stock; and</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other risks as described in Part I, Item 1A. Risk Factors in our 2024 Form 10-K, Part I, Item 2. Management’s Discussion and Analysis of Financial Condition and Results of Operations of this report and other risks and uncertainties listed from time to time in our filings with the Securities and Exchange Commission (the SEC).</w:t>
      </w:r>
    </w:p>
    <w:p>
      <w:pPr>
        <w:spacing w:after="0" w:line="104" w:lineRule="exact"/>
        <w:rPr>
          <w:sz w:val="20"/>
          <w:szCs w:val="20"/>
          <w:color w:val="auto"/>
        </w:rPr>
      </w:pPr>
    </w:p>
    <w:p>
      <w:pPr>
        <w:jc w:val="both"/>
        <w:ind w:firstLine="217"/>
        <w:spacing w:after="0" w:line="263" w:lineRule="auto"/>
        <w:rPr>
          <w:sz w:val="20"/>
          <w:szCs w:val="20"/>
          <w:color w:val="auto"/>
        </w:rPr>
      </w:pPr>
      <w:r>
        <w:rPr>
          <w:rFonts w:ascii="Arial" w:cs="Arial" w:eastAsia="Arial" w:hAnsi="Arial"/>
          <w:sz w:val="16"/>
          <w:szCs w:val="16"/>
          <w:color w:val="auto"/>
        </w:rPr>
        <w:t>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81" w:lineRule="exact"/>
        <w:rPr>
          <w:sz w:val="20"/>
          <w:szCs w:val="20"/>
          <w:color w:val="auto"/>
        </w:rPr>
      </w:pPr>
    </w:p>
    <w:p>
      <w:pPr>
        <w:ind w:firstLine="217"/>
        <w:spacing w:after="0" w:line="286" w:lineRule="auto"/>
        <w:rPr>
          <w:sz w:val="20"/>
          <w:szCs w:val="20"/>
          <w:color w:val="auto"/>
        </w:rPr>
      </w:pPr>
      <w:r>
        <w:rPr>
          <w:rFonts w:ascii="Arial" w:cs="Arial" w:eastAsia="Arial" w:hAnsi="Arial"/>
          <w:sz w:val="16"/>
          <w:szCs w:val="16"/>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CONDENSED CONSOLIDATED FINANCIAL STATEMENTS OF AMERICAN AIRLINES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amounts)(Unaudited)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Six Months Ended June 30,</w:t>
            </w:r>
          </w:p>
        </w:tc>
      </w:tr>
      <w:tr>
        <w:trPr>
          <w:trHeight w:val="185"/>
        </w:trPr>
        <w:tc>
          <w:tcPr>
            <w:tcW w:w="60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2024</w:t>
            </w:r>
          </w:p>
        </w:tc>
      </w:tr>
      <w:tr>
        <w:trPr>
          <w:trHeight w:val="18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Passenger</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13,202</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24,514</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24,661</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Cargo</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05"/>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w:t>
            </w:r>
          </w:p>
        </w:tc>
      </w:tr>
      <w:tr>
        <w:trPr>
          <w:trHeight w:val="197"/>
        </w:trPr>
        <w:tc>
          <w:tcPr>
            <w:tcW w:w="60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operating revenues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26,943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26,904</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Aircraft fuel and related taxes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Salaries, wages and benefits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8,604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7,820</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Regional expenses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Maintenance, materials and repairs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1,834</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rent and landing fees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Aircraft rent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Selling expenses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944</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Special items,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5"/>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3,175</w:t>
            </w:r>
          </w:p>
        </w:tc>
      </w:tr>
      <w:tr>
        <w:trPr>
          <w:trHeight w:val="197"/>
        </w:trPr>
        <w:tc>
          <w:tcPr>
            <w:tcW w:w="60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26,079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25,513</w:t>
            </w:r>
          </w:p>
        </w:tc>
      </w:tr>
      <w:tr>
        <w:trPr>
          <w:trHeight w:val="19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1,391</w:t>
            </w: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income (expense):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05"/>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197"/>
        </w:trPr>
        <w:tc>
          <w:tcPr>
            <w:tcW w:w="60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nonoperating expense, net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r>
      <w:tr>
        <w:trPr>
          <w:trHeight w:val="19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19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5"/>
        </w:trPr>
        <w:tc>
          <w:tcPr>
            <w:tcW w:w="6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0.59</w:t>
            </w: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 (in thousands):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660,127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656,965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659,504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656,406</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720,302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660,523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-4371975</wp:posOffset>
            </wp:positionV>
            <wp:extent cx="609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60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2024</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r>
      <w:tr>
        <w:trPr>
          <w:trHeight w:val="19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405</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Pension, retiree medical and other postretirement benefits</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Investments</w:t>
            </w:r>
          </w:p>
        </w:tc>
        <w:tc>
          <w:tcPr>
            <w:tcW w:w="8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7"/>
        </w:trPr>
        <w:tc>
          <w:tcPr>
            <w:tcW w:w="60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Total other comprehensive income, net of tax</w:t>
            </w: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r>
      <w:tr>
        <w:trPr>
          <w:trHeight w:val="19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441</w:t>
            </w: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(In millions, except share and par value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99"/>
              </w:rPr>
              <w:t>June 30, 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December 31, 2024</w:t>
            </w:r>
          </w:p>
        </w:tc>
      </w:tr>
      <w:tr>
        <w:trPr>
          <w:trHeight w:val="173"/>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(Unaudited)</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8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6,180</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Restricted cash and short-term investments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2,006</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Aircraft fuel, spare parts and supplies, net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w:t>
            </w:r>
          </w:p>
        </w:tc>
      </w:tr>
      <w:tr>
        <w:trPr>
          <w:trHeight w:val="180"/>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Prepaid expenses and other</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r>
      <w:tr>
        <w:trPr>
          <w:trHeight w:val="173"/>
        </w:trPr>
        <w:tc>
          <w:tcPr>
            <w:tcW w:w="76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13,154</w:t>
            </w:r>
          </w:p>
        </w:tc>
      </w:tr>
      <w:tr>
        <w:trPr>
          <w:trHeight w:val="18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Operating property and equipment</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Flight equipment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43,521</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Ground property and equipment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10,202</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Equipment purchase deposits</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w:t>
            </w:r>
          </w:p>
        </w:tc>
      </w:tr>
      <w:tr>
        <w:trPr>
          <w:trHeight w:val="172"/>
        </w:trPr>
        <w:tc>
          <w:tcPr>
            <w:tcW w:w="7600" w:type="dxa"/>
            <w:vAlign w:val="bottom"/>
          </w:tcPr>
          <w:p>
            <w:pPr>
              <w:ind w:left="600"/>
              <w:spacing w:after="0" w:line="159" w:lineRule="exact"/>
              <w:rPr>
                <w:sz w:val="20"/>
                <w:szCs w:val="20"/>
                <w:color w:val="auto"/>
              </w:rPr>
            </w:pPr>
            <w:r>
              <w:rPr>
                <w:rFonts w:ascii="Arial" w:cs="Arial" w:eastAsia="Arial" w:hAnsi="Arial"/>
                <w:sz w:val="14"/>
                <w:szCs w:val="14"/>
                <w:color w:val="auto"/>
              </w:rPr>
              <w:t>Total property and equipment, at cost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55,499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54,735</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Less accumulated depreciation and amortization</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(24,298)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(23,608)</w:t>
            </w:r>
          </w:p>
        </w:tc>
      </w:tr>
      <w:tr>
        <w:trPr>
          <w:trHeight w:val="172"/>
        </w:trPr>
        <w:tc>
          <w:tcPr>
            <w:tcW w:w="7600" w:type="dxa"/>
            <w:vAlign w:val="bottom"/>
          </w:tcPr>
          <w:p>
            <w:pPr>
              <w:ind w:left="600"/>
              <w:spacing w:after="0" w:line="159" w:lineRule="exact"/>
              <w:rPr>
                <w:sz w:val="20"/>
                <w:szCs w:val="20"/>
                <w:color w:val="auto"/>
              </w:rPr>
            </w:pPr>
            <w:r>
              <w:rPr>
                <w:rFonts w:ascii="Arial" w:cs="Arial" w:eastAsia="Arial" w:hAnsi="Arial"/>
                <w:sz w:val="14"/>
                <w:szCs w:val="14"/>
                <w:color w:val="auto"/>
              </w:rPr>
              <w:t>Total property and equipment, net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31,201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31,127</w:t>
            </w:r>
          </w:p>
        </w:tc>
      </w:tr>
      <w:tr>
        <w:trPr>
          <w:trHeight w:val="181"/>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 right-of-use assets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7,333</w:t>
            </w:r>
          </w:p>
        </w:tc>
      </w:tr>
      <w:tr>
        <w:trPr>
          <w:trHeight w:val="18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Other assets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Intangibles, net of accumulated amortization of $845 and $841, respectively</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2,044</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tax asset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w:t>
            </w:r>
          </w:p>
        </w:tc>
      </w:tr>
      <w:tr>
        <w:trPr>
          <w:trHeight w:val="180"/>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w:t>
            </w:r>
          </w:p>
        </w:tc>
      </w:tr>
      <w:tr>
        <w:trPr>
          <w:trHeight w:val="173"/>
        </w:trPr>
        <w:tc>
          <w:tcPr>
            <w:tcW w:w="76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other assets</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10,169</w:t>
            </w:r>
          </w:p>
        </w:tc>
      </w:tr>
      <w:tr>
        <w:trPr>
          <w:trHeight w:val="173"/>
        </w:trPr>
        <w:tc>
          <w:tcPr>
            <w:tcW w:w="7600" w:type="dxa"/>
            <w:vAlign w:val="bottom"/>
          </w:tcPr>
          <w:p>
            <w:pPr>
              <w:ind w:left="8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63,667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61,783</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45"/>
        </w:trPr>
        <w:tc>
          <w:tcPr>
            <w:tcW w:w="760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LIABILITIES AND STOCKHOLDERS’ EQUITY (DEFICIT)</w:t>
            </w: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8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Current maturities of long-term debt and finance leases</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5,322</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2,455</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salaries and wages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Air traffic liability</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8,240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6,759</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Loyalty program liability</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1,092</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w:t>
            </w:r>
          </w:p>
        </w:tc>
      </w:tr>
      <w:tr>
        <w:trPr>
          <w:trHeight w:val="172"/>
        </w:trPr>
        <w:tc>
          <w:tcPr>
            <w:tcW w:w="7600" w:type="dxa"/>
            <w:vAlign w:val="bottom"/>
          </w:tcPr>
          <w:p>
            <w:pPr>
              <w:ind w:left="600"/>
              <w:spacing w:after="0" w:line="159" w:lineRule="exact"/>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25,771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24,295</w:t>
            </w:r>
          </w:p>
        </w:tc>
      </w:tr>
      <w:tr>
        <w:trPr>
          <w:trHeight w:val="181"/>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Long-term debt and finance leases, net of current maturities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25,276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25,154</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Pension and postretirement benefits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Loyalty program liability</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6,805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6,498</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5,976</w:t>
            </w:r>
          </w:p>
        </w:tc>
      </w:tr>
      <w:tr>
        <w:trPr>
          <w:trHeight w:val="180"/>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r>
      <w:tr>
        <w:trPr>
          <w:trHeight w:val="173"/>
        </w:trPr>
        <w:tc>
          <w:tcPr>
            <w:tcW w:w="76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noncurrent liabilities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w:t>
            </w:r>
          </w:p>
        </w:tc>
      </w:tr>
      <w:tr>
        <w:trPr>
          <w:trHeight w:val="18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32"/>
        </w:trPr>
        <w:tc>
          <w:tcPr>
            <w:tcW w:w="7600" w:type="dxa"/>
            <w:vAlign w:val="bottom"/>
          </w:tcPr>
          <w:p>
            <w:pPr>
              <w:ind w:left="300"/>
              <w:spacing w:after="0" w:line="133" w:lineRule="exact"/>
              <w:rPr>
                <w:sz w:val="20"/>
                <w:szCs w:val="20"/>
                <w:color w:val="auto"/>
              </w:rPr>
            </w:pPr>
            <w:r>
              <w:rPr>
                <w:rFonts w:ascii="Arial" w:cs="Arial" w:eastAsia="Arial" w:hAnsi="Arial"/>
                <w:sz w:val="14"/>
                <w:szCs w:val="14"/>
                <w:color w:val="auto"/>
              </w:rPr>
              <w:t>Common stock, $0.01 par value; 1,750,000,000 shares authorized, 659,797,256 shares issued and outstanding at</w:t>
            </w: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91"/>
        </w:trPr>
        <w:tc>
          <w:tcPr>
            <w:tcW w:w="7600" w:type="dxa"/>
            <w:vAlign w:val="bottom"/>
          </w:tcPr>
          <w:p>
            <w:pPr>
              <w:ind w:left="300"/>
              <w:spacing w:after="0"/>
              <w:rPr>
                <w:sz w:val="20"/>
                <w:szCs w:val="20"/>
                <w:color w:val="auto"/>
              </w:rPr>
            </w:pPr>
            <w:r>
              <w:rPr>
                <w:rFonts w:ascii="Arial" w:cs="Arial" w:eastAsia="Arial" w:hAnsi="Arial"/>
                <w:sz w:val="14"/>
                <w:szCs w:val="14"/>
                <w:color w:val="auto"/>
              </w:rPr>
              <w:t>June 30, 2025; 657,566,166 shares issued and outstanding at December 31, 2024</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3"/>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7,424</w:t>
            </w:r>
          </w:p>
        </w:tc>
      </w:tr>
      <w:tr>
        <w:trPr>
          <w:trHeight w:val="180"/>
        </w:trPr>
        <w:tc>
          <w:tcPr>
            <w:tcW w:w="7600" w:type="dxa"/>
            <w:vAlign w:val="bottom"/>
          </w:tcPr>
          <w:p>
            <w:pPr>
              <w:ind w:left="3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(4,565)</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Retained deficit</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(6,843)</w:t>
            </w:r>
          </w:p>
        </w:tc>
      </w:tr>
      <w:tr>
        <w:trPr>
          <w:trHeight w:val="172"/>
        </w:trPr>
        <w:tc>
          <w:tcPr>
            <w:tcW w:w="7600" w:type="dxa"/>
            <w:vAlign w:val="bottom"/>
            <w:tcBorders>
              <w:bottom w:val="single" w:sz="8" w:color="CCEEFF"/>
            </w:tcBorders>
          </w:tcPr>
          <w:p>
            <w:pPr>
              <w:ind w:left="600"/>
              <w:spacing w:after="0" w:line="159" w:lineRule="exact"/>
              <w:rPr>
                <w:sz w:val="20"/>
                <w:szCs w:val="20"/>
                <w:color w:val="auto"/>
              </w:rPr>
            </w:pPr>
            <w:r>
              <w:rPr>
                <w:rFonts w:ascii="Arial" w:cs="Arial" w:eastAsia="Arial" w:hAnsi="Arial"/>
                <w:sz w:val="14"/>
                <w:szCs w:val="14"/>
                <w:color w:val="auto"/>
              </w:rPr>
              <w:t>Total stockholders’ deficit</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(3,977)</w:t>
            </w:r>
          </w:p>
        </w:tc>
      </w:tr>
      <w:tr>
        <w:trPr>
          <w:trHeight w:val="198"/>
        </w:trPr>
        <w:tc>
          <w:tcPr>
            <w:tcW w:w="76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61,783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 w:name="page10"/>
    <w:bookmarkEnd w:id="9"/>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millions)(Unaudited)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3"/>
                <w:szCs w:val="13"/>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r>
      <w:tr>
        <w:trPr>
          <w:trHeight w:val="173"/>
        </w:trPr>
        <w:tc>
          <w:tcPr>
            <w:tcW w:w="78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5"/>
                <w:szCs w:val="15"/>
                <w:color w:val="auto"/>
              </w:rPr>
            </w:pPr>
          </w:p>
        </w:tc>
      </w:tr>
      <w:tr>
        <w:trPr>
          <w:trHeight w:val="19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r>
      <w:tr>
        <w:trPr>
          <w:trHeight w:val="205"/>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expenditures and aircraft purchase deposits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Proceeds from sale-leaseback transactions and sale of property and equipment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Purchases of short-term investments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w:t>
            </w: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Sales of short-term investments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3,119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3,881</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Decrease (increase) in restricted short-term investments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5"/>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investing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7"/>
        </w:trPr>
        <w:tc>
          <w:tcPr>
            <w:tcW w:w="78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r>
      <w:tr>
        <w:trPr>
          <w:trHeight w:val="205"/>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Payments on long-term debt and finance leases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Proceeds from issuance of long-term debt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197"/>
        </w:trPr>
        <w:tc>
          <w:tcPr>
            <w:tcW w:w="78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w:t>
            </w:r>
          </w:p>
        </w:tc>
      </w:tr>
      <w:tr>
        <w:trPr>
          <w:trHeight w:val="19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restricted cash</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restricted cash at beginning of period</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222"/>
        </w:trPr>
        <w:tc>
          <w:tcPr>
            <w:tcW w:w="780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6"/>
                <w:szCs w:val="16"/>
                <w:color w:val="auto"/>
              </w:rPr>
              <w:t xml:space="preserve">Cash and restricted cash at end of period </w:t>
            </w:r>
            <w:r>
              <w:rPr>
                <w:rFonts w:ascii="Arial" w:cs="Arial" w:eastAsia="Arial" w:hAnsi="Arial"/>
                <w:sz w:val="20"/>
                <w:szCs w:val="20"/>
                <w:color w:val="auto"/>
                <w:vertAlign w:val="superscript"/>
              </w:rPr>
              <w:t>(1)</w:t>
            </w:r>
          </w:p>
        </w:tc>
        <w:tc>
          <w:tcPr>
            <w:tcW w:w="106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37"/>
        </w:trPr>
        <w:tc>
          <w:tcPr>
            <w:tcW w:w="7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0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Right-of-use (ROU) assets acquired through operating leases</w:t>
            </w:r>
          </w:p>
        </w:tc>
        <w:tc>
          <w:tcPr>
            <w:tcW w:w="1060" w:type="dxa"/>
            <w:vAlign w:val="bottom"/>
          </w:tcPr>
          <w:p>
            <w:pPr>
              <w:jc w:val="right"/>
              <w:ind w:right="866"/>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Property and equipment acquired through finance leases and other</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Operating leases converted to finance leases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Finance leases converted to operating leases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5"/>
        </w:trPr>
        <w:tc>
          <w:tcPr>
            <w:tcW w:w="7800" w:type="dxa"/>
            <w:vAlign w:val="bottom"/>
          </w:tcPr>
          <w:p>
            <w:pPr>
              <w:ind w:left="20"/>
              <w:spacing w:after="0"/>
              <w:rPr>
                <w:sz w:val="20"/>
                <w:szCs w:val="20"/>
                <w:color w:val="auto"/>
              </w:rPr>
            </w:pPr>
            <w:r>
              <w:rPr>
                <w:rFonts w:ascii="Arial" w:cs="Arial" w:eastAsia="Arial" w:hAnsi="Arial"/>
                <w:sz w:val="16"/>
                <w:szCs w:val="16"/>
                <w:color w:val="auto"/>
              </w:rPr>
              <w:t>Supplemental information:</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paid, net</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11"/>
        </w:trPr>
        <w:tc>
          <w:tcPr>
            <w:tcW w:w="7800" w:type="dxa"/>
            <w:vAlign w:val="bottom"/>
          </w:tcPr>
          <w:p>
            <w:pPr>
              <w:ind w:left="300"/>
              <w:spacing w:after="0"/>
              <w:rPr>
                <w:sz w:val="20"/>
                <w:szCs w:val="20"/>
                <w:color w:val="auto"/>
              </w:rPr>
            </w:pPr>
            <w:r>
              <w:rPr>
                <w:rFonts w:ascii="Arial" w:cs="Arial" w:eastAsia="Arial" w:hAnsi="Arial"/>
                <w:sz w:val="16"/>
                <w:szCs w:val="16"/>
                <w:color w:val="auto"/>
              </w:rPr>
              <w:t>Income taxes paid</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3150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167" w:lineRule="exact"/>
        <w:rPr>
          <w:sz w:val="20"/>
          <w:szCs w:val="20"/>
          <w:color w:val="auto"/>
        </w:rPr>
      </w:pPr>
    </w:p>
    <w:p>
      <w:pPr>
        <w:ind w:left="284" w:hanging="284"/>
        <w:spacing w:after="0"/>
        <w:tabs>
          <w:tab w:leader="none" w:pos="284"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following table provides a reconciliation of cash and restricted cash to amounts reported within the condensed consolidated balance sheets:</w:t>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0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restricted cash and short-term investments</w:t>
            </w: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22"/>
        </w:trPr>
        <w:tc>
          <w:tcPr>
            <w:tcW w:w="7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cash and restricted cash</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amounts)(Unaudited)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9"/>
              </w:rPr>
              <w:t>Common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center"/>
              <w:ind w:right="280"/>
              <w:spacing w:after="0" w:line="128"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260"/>
              <w:spacing w:after="0" w:line="133" w:lineRule="exact"/>
              <w:rPr>
                <w:sz w:val="20"/>
                <w:szCs w:val="20"/>
                <w:color w:val="auto"/>
              </w:rPr>
            </w:pPr>
            <w:r>
              <w:rPr>
                <w:rFonts w:ascii="Arial" w:cs="Arial" w:eastAsia="Arial" w:hAnsi="Arial"/>
                <w:sz w:val="13"/>
                <w:szCs w:val="13"/>
                <w:b w:val="1"/>
                <w:bCs w:val="1"/>
                <w:color w:val="auto"/>
                <w:w w:val="96"/>
              </w:rPr>
              <w:t>Paid-in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center"/>
              <w:ind w:right="300"/>
              <w:spacing w:after="0" w:line="133"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7,424</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(6,843)</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5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580" w:type="dxa"/>
            <w:vAlign w:val="bottom"/>
          </w:tcPr>
          <w:p>
            <w:pPr>
              <w:ind w:left="20"/>
              <w:spacing w:after="0" w:line="157" w:lineRule="exact"/>
              <w:rPr>
                <w:sz w:val="20"/>
                <w:szCs w:val="20"/>
                <w:color w:val="auto"/>
              </w:rPr>
            </w:pPr>
            <w:r>
              <w:rPr>
                <w:rFonts w:ascii="Arial" w:cs="Arial" w:eastAsia="Arial" w:hAnsi="Arial"/>
                <w:sz w:val="16"/>
                <w:szCs w:val="16"/>
                <w:color w:val="auto"/>
              </w:rPr>
              <w:t>Settlement of PSP1 and Treasury Loan Warrants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6"/>
                <w:szCs w:val="16"/>
                <w:color w:val="auto"/>
              </w:rPr>
              <w:t>(see Note 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5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Issuance of 1,914,837 shares of AAG common stock pursuant to employee</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55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7,348</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(7,316)</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5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580" w:type="dxa"/>
            <w:vAlign w:val="bottom"/>
          </w:tcPr>
          <w:p>
            <w:pPr>
              <w:ind w:left="20"/>
              <w:spacing w:after="0" w:line="157" w:lineRule="exact"/>
              <w:rPr>
                <w:sz w:val="20"/>
                <w:szCs w:val="20"/>
                <w:color w:val="auto"/>
              </w:rPr>
            </w:pPr>
            <w:r>
              <w:rPr>
                <w:rFonts w:ascii="Arial" w:cs="Arial" w:eastAsia="Arial" w:hAnsi="Arial"/>
                <w:sz w:val="16"/>
                <w:szCs w:val="16"/>
                <w:color w:val="auto"/>
              </w:rPr>
              <w:t>Issuance of 316,253 shares of AAG common stock pursuant to employee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7,370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5"/>
              </w:rPr>
              <w:t>Common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center"/>
              <w:ind w:right="180"/>
              <w:spacing w:after="0" w:line="133"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160"/>
              <w:spacing w:after="0" w:line="128"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center"/>
              <w:ind w:right="180"/>
              <w:spacing w:after="0" w:line="128"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8"/>
              </w:rPr>
              <w:t>Loss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14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(4,894)</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(7,689)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(5,202)</w:t>
            </w:r>
          </w:p>
        </w:tc>
        <w:tc>
          <w:tcPr>
            <w:tcW w:w="0" w:type="dxa"/>
            <w:vAlign w:val="bottom"/>
          </w:tcPr>
          <w:p>
            <w:pPr>
              <w:spacing w:after="0"/>
              <w:rPr>
                <w:sz w:val="1"/>
                <w:szCs w:val="1"/>
                <w:color w:val="auto"/>
              </w:rPr>
            </w:pP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(312)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64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Issuance of 1,772,443 shares of AAG common stock pursuant to employee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stock plans net of shares withheld for cash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Modification of share-based awards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7"/>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7,371</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(4,877)</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(8,001)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640" w:type="dxa"/>
            <w:vAlign w:val="bottom"/>
            <w:gridSpan w:val="2"/>
          </w:tcPr>
          <w:p>
            <w:pPr>
              <w:ind w:left="20"/>
              <w:spacing w:after="0" w:line="164" w:lineRule="exact"/>
              <w:rPr>
                <w:sz w:val="20"/>
                <w:szCs w:val="20"/>
                <w:color w:val="auto"/>
              </w:rPr>
            </w:pPr>
            <w:r>
              <w:rPr>
                <w:rFonts w:ascii="Arial" w:cs="Arial" w:eastAsia="Arial" w:hAnsi="Arial"/>
                <w:sz w:val="16"/>
                <w:szCs w:val="16"/>
                <w:color w:val="auto"/>
                <w:w w:val="99"/>
              </w:rPr>
              <w:t>Issuance of 562,167 shares of AAG common stock pursuant to employee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plans net of shares withheld for cash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7,389</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(4,858)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(7,284)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(4,746)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9" w:lineRule="exact"/>
        <w:rPr>
          <w:sz w:val="20"/>
          <w:szCs w:val="20"/>
          <w:color w:val="auto"/>
        </w:rPr>
      </w:pPr>
    </w:p>
    <w:p>
      <w:pPr>
        <w:ind w:left="184" w:hanging="184"/>
        <w:spacing w:after="0"/>
        <w:tabs>
          <w:tab w:leader="none" w:pos="18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82" w:lineRule="exact"/>
        <w:rPr>
          <w:rFonts w:ascii="Arial" w:cs="Arial" w:eastAsia="Arial" w:hAnsi="Arial"/>
          <w:sz w:val="16"/>
          <w:szCs w:val="16"/>
          <w:b w:val="1"/>
          <w:bCs w:val="1"/>
          <w:color w:val="auto"/>
        </w:rPr>
      </w:pPr>
    </w:p>
    <w:p>
      <w:pPr>
        <w:ind w:left="464" w:hanging="247"/>
        <w:spacing w:after="0"/>
        <w:tabs>
          <w:tab w:leader="none" w:pos="464" w:val="left"/>
        </w:tabs>
        <w:numPr>
          <w:ilvl w:val="1"/>
          <w:numId w:val="6"/>
        </w:numPr>
        <w:rPr>
          <w:rFonts w:ascii="Arial" w:cs="Arial" w:eastAsia="Arial" w:hAnsi="Arial"/>
          <w:sz w:val="16"/>
          <w:szCs w:val="16"/>
          <w:b w:val="1"/>
          <w:bCs w:val="1"/>
          <w:i w:val="1"/>
          <w:iCs w:val="1"/>
          <w:u w:val="single" w:color="auto"/>
          <w:color w:val="auto"/>
        </w:rPr>
      </w:pPr>
      <w:r>
        <w:rPr>
          <w:rFonts w:ascii="Arial" w:cs="Arial" w:eastAsia="Arial" w:hAnsi="Arial"/>
          <w:sz w:val="16"/>
          <w:szCs w:val="16"/>
          <w:b w:val="1"/>
          <w:bCs w:val="1"/>
          <w:i w:val="1"/>
          <w:iCs w:val="1"/>
          <w:u w:val="single" w:color="auto"/>
          <w:color w:val="auto"/>
        </w:rPr>
        <w:t>Basis of Presentation</w:t>
      </w:r>
    </w:p>
    <w:p>
      <w:pPr>
        <w:spacing w:after="0" w:line="79"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2024.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08" w:lineRule="exact"/>
        <w:rPr>
          <w:sz w:val="20"/>
          <w:szCs w:val="20"/>
          <w:color w:val="auto"/>
        </w:rPr>
      </w:pPr>
    </w:p>
    <w:p>
      <w:pPr>
        <w:jc w:val="both"/>
        <w:ind w:left="4" w:firstLine="217"/>
        <w:spacing w:after="0" w:line="258"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188"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(b) Operating Property and Equipment</w:t>
      </w:r>
    </w:p>
    <w:p>
      <w:pPr>
        <w:spacing w:after="0" w:line="79"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Effective January 1, 2025, we adjusted the estimated useful lives of our mainline and regional aircraft, engines and related rotable parts by three years to align with the extended lives of aircraft included in our long-term fleet plan. In conjunction with this change, we also reduced the salvage values for most of these assets from 10% to 5% of original cost to more closely reflect the estimated value at the end of the useful life. Accordingly, the estimated useful lives for the principal property and equipment classification are as follows: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6440" w:type="dxa"/>
            <w:vAlign w:val="bottom"/>
            <w:gridSpan w:val="3"/>
          </w:tcPr>
          <w:p>
            <w:pPr>
              <w:ind w:left="20"/>
              <w:spacing w:after="0"/>
              <w:rPr>
                <w:sz w:val="20"/>
                <w:szCs w:val="20"/>
                <w:color w:val="auto"/>
              </w:rPr>
            </w:pPr>
            <w:r>
              <w:rPr>
                <w:rFonts w:ascii="Arial" w:cs="Arial" w:eastAsia="Arial" w:hAnsi="Arial"/>
                <w:sz w:val="13"/>
                <w:szCs w:val="13"/>
                <w:b w:val="1"/>
                <w:bCs w:val="1"/>
                <w:color w:val="auto"/>
              </w:rPr>
              <w:t>Principal Property and Equipment Classification</w:t>
            </w:r>
          </w:p>
        </w:tc>
        <w:tc>
          <w:tcPr>
            <w:tcW w:w="48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Estimated Useful Life</w:t>
            </w:r>
          </w:p>
        </w:tc>
      </w:tr>
      <w:tr>
        <w:trPr>
          <w:trHeight w:val="28"/>
        </w:trPr>
        <w:tc>
          <w:tcPr>
            <w:tcW w:w="20" w:type="dxa"/>
            <w:vAlign w:val="bottom"/>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Aircraft, engines and related rotable parts</w:t>
            </w:r>
          </w:p>
        </w:tc>
        <w:tc>
          <w:tcPr>
            <w:tcW w:w="3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 – 33 years</w:t>
            </w:r>
          </w:p>
        </w:tc>
      </w:tr>
    </w:tbl>
    <w:p>
      <w:pPr>
        <w:spacing w:after="0" w:line="212"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The effect of these changes did not have a material impact to depreciation and amortization expense in the condensed consolidated statement of operations for the three and six months ended June 30, 2025.</w:t>
      </w:r>
    </w:p>
    <w:p>
      <w:pPr>
        <w:spacing w:after="0" w:line="165"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(c) Construction Projects</w:t>
      </w:r>
    </w:p>
    <w:p>
      <w:pPr>
        <w:spacing w:after="0" w:line="79" w:lineRule="exact"/>
        <w:rPr>
          <w:sz w:val="20"/>
          <w:szCs w:val="20"/>
          <w:color w:val="auto"/>
        </w:rPr>
      </w:pPr>
    </w:p>
    <w:p>
      <w:pPr>
        <w:jc w:val="both"/>
        <w:ind w:left="4" w:firstLine="217"/>
        <w:spacing w:after="0" w:line="260" w:lineRule="auto"/>
        <w:rPr>
          <w:sz w:val="20"/>
          <w:szCs w:val="20"/>
          <w:color w:val="auto"/>
        </w:rPr>
      </w:pPr>
      <w:r>
        <w:rPr>
          <w:rFonts w:ascii="Arial" w:cs="Arial" w:eastAsia="Arial" w:hAnsi="Arial"/>
          <w:sz w:val="16"/>
          <w:szCs w:val="16"/>
          <w:color w:val="auto"/>
        </w:rPr>
        <w:t>American’s improvements to the overhaul and maintenance base at Tulsa International Airport (Tulsa Maintenance Base) include the design, construction and renovation of various facilities at the Tulsa Maintenance Base. The Tulsa Maintenance Base is American’s largest maintenance facility and is an integral part of operating its mainline fleet. American has concluded that it does not control the underlying assets being constructed, and therefore, it recognizes operating lease liabilities with corresponding right-of-use assets on the condensed consolidated balance sheet as individual project stages are completed and leases commence.</w:t>
      </w:r>
    </w:p>
    <w:p>
      <w:pPr>
        <w:spacing w:after="0" w:line="111" w:lineRule="exact"/>
        <w:rPr>
          <w:sz w:val="20"/>
          <w:szCs w:val="20"/>
          <w:color w:val="auto"/>
        </w:rPr>
      </w:pPr>
    </w:p>
    <w:p>
      <w:pPr>
        <w:jc w:val="both"/>
        <w:ind w:left="4" w:right="20" w:firstLine="217"/>
        <w:spacing w:after="0" w:line="257" w:lineRule="auto"/>
        <w:rPr>
          <w:sz w:val="20"/>
          <w:szCs w:val="20"/>
          <w:color w:val="auto"/>
        </w:rPr>
      </w:pPr>
      <w:r>
        <w:rPr>
          <w:rFonts w:ascii="Arial" w:cs="Arial" w:eastAsia="Arial" w:hAnsi="Arial"/>
          <w:sz w:val="16"/>
          <w:szCs w:val="16"/>
          <w:color w:val="auto"/>
        </w:rPr>
        <w:t>In May 2025, the Tulsa Municipal Airport Trust (TMAT) issued $400 million aggregate principal amount of special facility revenue bonds on behalf of American, with $ 300 million maturing on December 1, 2035 and $100 million maturing on December 1, 2040 (collectively, the 2025 TMAT Bonds). The 2025 TMAT Bond due December 1, 2035 was priced at 109% of par value and the 2025 TMAT Bond due December 1, 2040 was priced at 107% of par value. The gross proceeds from the issuance of the 2025 TMAT Bonds were approximately $432 million. Of this amount, $104 million was used to fund the redemption of the aggregate principal amount of TMAT’s outstanding 2015 special facility revenue bonds (the 2015 TMAT Bonds) and the remaining $328 million will be used to finance the cost of improvements at the Tulsa Maintenance Base. The net proceeds received from the 2025 TMAT Bonds, offset by related project spend, are reflected within other investing activities in the condensed consolidated statement of cash flows.</w:t>
      </w:r>
    </w:p>
    <w:p>
      <w:pPr>
        <w:spacing w:after="0" w:line="114"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The 2025 TMAT Bonds bear interest at 6.25% per annum commencing on May 8, 2025, until the day preceding the applicable maturity date, on which date the bonds will be subject to mandatory tender for purchase by American. American is required to pay rent equal to the annual principal and interest requirement on the 2025 TMAT Bonds through payments under a sublease agreement with TMAT (as amended), and AAG guarantees the 2025 TMAT Bonds. American’s</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12" w:name="page13"/>
    <w:bookmarkEnd w:id="12"/>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obligations under both the sublease agreement with TMAT and the 2025 TMAT Bonds are secured by a leasehold mortgage on American’s lease of the Tulsa Maintenance Base.</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 Special Items, Net</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Special items, net in the condensed consolidated statements of operations consisted of the following (in millions):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60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r>
      <w:tr>
        <w:trPr>
          <w:trHeight w:val="19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reserve adjustments</w:t>
            </w:r>
          </w:p>
        </w:tc>
        <w:tc>
          <w:tcPr>
            <w:tcW w:w="840" w:type="dxa"/>
            <w:vAlign w:val="bottom"/>
            <w:shd w:val="clear" w:color="auto" w:fill="CCEEFF"/>
          </w:tcPr>
          <w:p>
            <w:pPr>
              <w:jc w:val="right"/>
              <w:ind w:right="67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5"/>
        </w:trPr>
        <w:tc>
          <w:tcPr>
            <w:tcW w:w="600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Labor contract expenses </w:t>
            </w:r>
            <w:r>
              <w:rPr>
                <w:rFonts w:ascii="Arial" w:cs="Arial" w:eastAsia="Arial" w:hAnsi="Arial"/>
                <w:sz w:val="20"/>
                <w:szCs w:val="20"/>
                <w:color w:val="auto"/>
                <w:vertAlign w:val="superscript"/>
              </w:rPr>
              <w:t>(1)</w:t>
            </w:r>
          </w:p>
        </w:tc>
        <w:tc>
          <w:tcPr>
            <w:tcW w:w="8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57</w:t>
            </w: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expenses</w:t>
            </w:r>
          </w:p>
        </w:tc>
        <w:tc>
          <w:tcPr>
            <w:tcW w:w="8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Other operating special items, net</w:t>
            </w:r>
          </w:p>
        </w:tc>
        <w:tc>
          <w:tcPr>
            <w:tcW w:w="8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7"/>
        </w:trPr>
        <w:tc>
          <w:tcPr>
            <w:tcW w:w="60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Mainline operating special items, net</w:t>
            </w: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r>
      <w:tr>
        <w:trPr>
          <w:trHeight w:val="241"/>
        </w:trPr>
        <w:tc>
          <w:tcPr>
            <w:tcW w:w="6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refinancing, extinguishment and other, net</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r>
      <w:tr>
        <w:trPr>
          <w:trHeight w:val="205"/>
        </w:trPr>
        <w:tc>
          <w:tcPr>
            <w:tcW w:w="600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6"/>
                <w:szCs w:val="16"/>
                <w:color w:val="auto"/>
              </w:rPr>
              <w:t xml:space="preserve">Mark-to-market adjustments on equity investments, net </w:t>
            </w:r>
            <w:r>
              <w:rPr>
                <w:rFonts w:ascii="Arial" w:cs="Arial" w:eastAsia="Arial" w:hAnsi="Arial"/>
                <w:sz w:val="20"/>
                <w:szCs w:val="20"/>
                <w:color w:val="auto"/>
                <w:vertAlign w:val="superscript"/>
              </w:rPr>
              <w:t>(2)</w:t>
            </w: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w:t>
            </w:r>
          </w:p>
        </w:tc>
      </w:tr>
      <w:tr>
        <w:trPr>
          <w:trHeight w:val="197"/>
        </w:trPr>
        <w:tc>
          <w:tcPr>
            <w:tcW w:w="6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Nonoperating special items, net</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3150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204" w:lineRule="exact"/>
        <w:rPr>
          <w:sz w:val="20"/>
          <w:szCs w:val="20"/>
          <w:color w:val="auto"/>
        </w:rPr>
      </w:pPr>
    </w:p>
    <w:p>
      <w:pPr>
        <w:jc w:val="both"/>
        <w:ind w:left="284" w:hanging="284"/>
        <w:spacing w:after="0" w:line="234" w:lineRule="auto"/>
        <w:tabs>
          <w:tab w:leader="none" w:pos="279"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Labor contract expenses for the six months ended June 30, 2025 included a one-time charge for adjustments to vacation accruals resulting from pay rate increases effective January 1, 2025, related to the ratification of the contract extension in the fourth quarter of 2024 with our mainline maintenance and fleet service team members.</w:t>
      </w:r>
    </w:p>
    <w:p>
      <w:pPr>
        <w:spacing w:after="0" w:line="128" w:lineRule="exact"/>
        <w:rPr>
          <w:rFonts w:ascii="Arial" w:cs="Arial" w:eastAsia="Arial" w:hAnsi="Arial"/>
          <w:sz w:val="21"/>
          <w:szCs w:val="21"/>
          <w:color w:val="auto"/>
          <w:vertAlign w:val="superscript"/>
        </w:rPr>
      </w:pPr>
    </w:p>
    <w:p>
      <w:pPr>
        <w:ind w:left="284" w:right="20"/>
        <w:spacing w:after="0" w:line="286" w:lineRule="auto"/>
        <w:rPr>
          <w:rFonts w:ascii="Arial" w:cs="Arial" w:eastAsia="Arial" w:hAnsi="Arial"/>
          <w:sz w:val="21"/>
          <w:szCs w:val="21"/>
          <w:color w:val="auto"/>
          <w:vertAlign w:val="superscript"/>
        </w:rPr>
      </w:pPr>
      <w:r>
        <w:rPr>
          <w:rFonts w:ascii="Arial" w:cs="Arial" w:eastAsia="Arial" w:hAnsi="Arial"/>
          <w:sz w:val="16"/>
          <w:szCs w:val="16"/>
          <w:color w:val="auto"/>
        </w:rPr>
        <w:t>Labor contract expenses for the six months ended June 30, 2024 included one-time charges resulting from the ratification of a new collective bargaining agreement with our mainline passenger service team members, including a one-time signing bonus.</w:t>
      </w:r>
    </w:p>
    <w:p>
      <w:pPr>
        <w:spacing w:after="0" w:line="60"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adjustments on equity investments, net included unrealized gains and losses associated with certain equity investments.</w:t>
      </w:r>
    </w:p>
    <w:p>
      <w:pPr>
        <w:spacing w:after="0" w:line="36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13" w:name="page14"/>
    <w:bookmarkEnd w:id="13"/>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3. Earnings Per Common Share</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following table provides the computation of basic and diluted earnings per common share (EPS) (in millions, except share and per share amounts):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2300" w:type="dxa"/>
            <w:vAlign w:val="bottom"/>
            <w:gridSpan w:val="4"/>
          </w:tcPr>
          <w:p>
            <w:pPr>
              <w:jc w:val="right"/>
              <w:ind w:right="381"/>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73"/>
        </w:trPr>
        <w:tc>
          <w:tcPr>
            <w:tcW w:w="60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8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(in thousands)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660,127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656,965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659,504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656,406</w:t>
            </w:r>
          </w:p>
        </w:tc>
        <w:tc>
          <w:tcPr>
            <w:tcW w:w="0" w:type="dxa"/>
            <w:vAlign w:val="bottom"/>
          </w:tcPr>
          <w:p>
            <w:pPr>
              <w:spacing w:after="0"/>
              <w:rPr>
                <w:sz w:val="1"/>
                <w:szCs w:val="1"/>
                <w:color w:val="auto"/>
              </w:rPr>
            </w:pPr>
          </w:p>
        </w:tc>
      </w:tr>
      <w:tr>
        <w:trPr>
          <w:trHeight w:val="197"/>
        </w:trPr>
        <w:tc>
          <w:tcPr>
            <w:tcW w:w="6000" w:type="dxa"/>
            <w:vAlign w:val="bottom"/>
          </w:tcPr>
          <w:p>
            <w:pPr>
              <w:ind w:left="120"/>
              <w:spacing w:after="0"/>
              <w:rPr>
                <w:sz w:val="20"/>
                <w:szCs w:val="20"/>
                <w:color w:val="auto"/>
              </w:rPr>
            </w:pPr>
            <w:r>
              <w:rPr>
                <w:rFonts w:ascii="Arial" w:cs="Arial" w:eastAsia="Arial" w:hAnsi="Arial"/>
                <w:sz w:val="16"/>
                <w:szCs w:val="16"/>
                <w:color w:val="auto"/>
              </w:rPr>
              <w:t>Basic EPS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Diluted EPS: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Interest expense on 6.50% convertible senior notes</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2"/>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for purposes of computing diluted EPS</w:t>
            </w: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 computation for diluted EPS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 weighted average common shares outstanding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660,127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659,504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656,406</w:t>
            </w:r>
          </w:p>
        </w:tc>
        <w:tc>
          <w:tcPr>
            <w:tcW w:w="0" w:type="dxa"/>
            <w:vAlign w:val="bottom"/>
          </w:tcPr>
          <w:p>
            <w:pPr>
              <w:spacing w:after="0"/>
              <w:rPr>
                <w:sz w:val="1"/>
                <w:szCs w:val="1"/>
                <w:color w:val="auto"/>
              </w:rPr>
            </w:pPr>
          </w:p>
        </w:tc>
      </w:tr>
      <w:tr>
        <w:trPr>
          <w:trHeight w:val="205"/>
        </w:trPr>
        <w:tc>
          <w:tcPr>
            <w:tcW w:w="6000" w:type="dxa"/>
            <w:vAlign w:val="bottom"/>
          </w:tcPr>
          <w:p>
            <w:pPr>
              <w:ind w:left="120"/>
              <w:spacing w:after="0"/>
              <w:rPr>
                <w:sz w:val="20"/>
                <w:szCs w:val="20"/>
                <w:color w:val="auto"/>
              </w:rPr>
            </w:pPr>
            <w:r>
              <w:rPr>
                <w:rFonts w:ascii="Arial" w:cs="Arial" w:eastAsia="Arial" w:hAnsi="Arial"/>
                <w:sz w:val="16"/>
                <w:szCs w:val="16"/>
                <w:color w:val="auto"/>
              </w:rPr>
              <w:t>Dilutive effect of restricted stock unit awards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41"/>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Dilutive effect of certain PSP Warrants and Treasury Loan Warrants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05"/>
        </w:trPr>
        <w:tc>
          <w:tcPr>
            <w:tcW w:w="6000" w:type="dxa"/>
            <w:vAlign w:val="bottom"/>
          </w:tcPr>
          <w:p>
            <w:pPr>
              <w:ind w:left="120"/>
              <w:spacing w:after="0"/>
              <w:rPr>
                <w:sz w:val="20"/>
                <w:szCs w:val="20"/>
                <w:color w:val="auto"/>
              </w:rPr>
            </w:pPr>
            <w:r>
              <w:rPr>
                <w:rFonts w:ascii="Arial" w:cs="Arial" w:eastAsia="Arial" w:hAnsi="Arial"/>
                <w:sz w:val="16"/>
                <w:szCs w:val="16"/>
                <w:color w:val="auto"/>
              </w:rPr>
              <w:t>Assumed conversion of 6.50% convertible senior notes</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61,728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61,728</w:t>
            </w:r>
          </w:p>
        </w:tc>
        <w:tc>
          <w:tcPr>
            <w:tcW w:w="0" w:type="dxa"/>
            <w:vAlign w:val="bottom"/>
          </w:tcPr>
          <w:p>
            <w:pPr>
              <w:spacing w:after="0"/>
              <w:rPr>
                <w:sz w:val="1"/>
                <w:szCs w:val="1"/>
                <w:color w:val="auto"/>
              </w:rPr>
            </w:pPr>
          </w:p>
        </w:tc>
      </w:tr>
      <w:tr>
        <w:trPr>
          <w:trHeight w:val="197"/>
        </w:trPr>
        <w:tc>
          <w:tcPr>
            <w:tcW w:w="60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Diluted weighted average common shares outstanding</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660,367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720,302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660,523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720,712</w:t>
            </w:r>
          </w:p>
        </w:tc>
        <w:tc>
          <w:tcPr>
            <w:tcW w:w="0" w:type="dxa"/>
            <w:vAlign w:val="bottom"/>
          </w:tcPr>
          <w:p>
            <w:pPr>
              <w:spacing w:after="0"/>
              <w:rPr>
                <w:sz w:val="1"/>
                <w:szCs w:val="1"/>
                <w:color w:val="auto"/>
              </w:rPr>
            </w:pPr>
          </w:p>
        </w:tc>
      </w:tr>
      <w:tr>
        <w:trPr>
          <w:trHeight w:val="197"/>
        </w:trPr>
        <w:tc>
          <w:tcPr>
            <w:tcW w:w="6000" w:type="dxa"/>
            <w:vAlign w:val="bottom"/>
          </w:tcPr>
          <w:p>
            <w:pPr>
              <w:ind w:left="600"/>
              <w:spacing w:after="0"/>
              <w:rPr>
                <w:sz w:val="20"/>
                <w:szCs w:val="20"/>
                <w:color w:val="auto"/>
              </w:rPr>
            </w:pPr>
            <w:r>
              <w:rPr>
                <w:rFonts w:ascii="Arial" w:cs="Arial" w:eastAsia="Arial" w:hAnsi="Arial"/>
                <w:sz w:val="16"/>
                <w:szCs w:val="16"/>
                <w:color w:val="auto"/>
              </w:rPr>
              <w:t>Diluted EPS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following were excluded from the calculation of diluted EPS because inclusion of such shares would be antidilutive (in thousands):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58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67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405"/>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1240" w:type="dxa"/>
            <w:vAlign w:val="bottom"/>
          </w:tcPr>
          <w:p>
            <w:pPr>
              <w:jc w:val="right"/>
              <w:ind w:right="405"/>
              <w:spacing w:after="0"/>
              <w:rPr>
                <w:sz w:val="20"/>
                <w:szCs w:val="20"/>
                <w:color w:val="auto"/>
              </w:rPr>
            </w:pPr>
            <w:r>
              <w:rPr>
                <w:rFonts w:ascii="Arial" w:cs="Arial" w:eastAsia="Arial" w:hAnsi="Arial"/>
                <w:sz w:val="13"/>
                <w:szCs w:val="13"/>
                <w:b w:val="1"/>
                <w:bCs w:val="1"/>
                <w:color w:val="auto"/>
              </w:rPr>
              <w:t>2024</w:t>
            </w:r>
          </w:p>
        </w:tc>
      </w:tr>
      <w:tr>
        <w:trPr>
          <w:trHeight w:val="197"/>
        </w:trPr>
        <w:tc>
          <w:tcPr>
            <w:tcW w:w="6000" w:type="dxa"/>
            <w:vAlign w:val="bottom"/>
            <w:tcBorders>
              <w:top w:val="single" w:sz="8" w:color="CCEEFF"/>
            </w:tcBorders>
            <w:shd w:val="clear" w:color="auto" w:fill="CCEEFF"/>
          </w:tcPr>
          <w:p>
            <w:pPr>
              <w:ind w:left="20"/>
              <w:spacing w:after="0" w:line="197" w:lineRule="exact"/>
              <w:rPr>
                <w:sz w:val="20"/>
                <w:szCs w:val="20"/>
                <w:color w:val="auto"/>
              </w:rPr>
            </w:pPr>
            <w:r>
              <w:rPr>
                <w:rFonts w:ascii="Arial" w:cs="Arial" w:eastAsia="Arial" w:hAnsi="Arial"/>
                <w:sz w:val="16"/>
                <w:szCs w:val="16"/>
                <w:color w:val="auto"/>
              </w:rPr>
              <w:t xml:space="preserve">6.50% convertible senior notes </w:t>
            </w:r>
            <w:r>
              <w:rPr>
                <w:rFonts w:ascii="Arial" w:cs="Arial" w:eastAsia="Arial" w:hAnsi="Arial"/>
                <w:sz w:val="20"/>
                <w:szCs w:val="20"/>
                <w:color w:val="auto"/>
                <w:vertAlign w:val="superscript"/>
              </w:rPr>
              <w:t>(1)</w:t>
            </w: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30,864</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11"/>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Restricted stock unit awards</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2,012</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1240" w:type="dxa"/>
            <w:vAlign w:val="bottom"/>
          </w:tcPr>
          <w:p>
            <w:pPr>
              <w:jc w:val="right"/>
              <w:ind w:right="5"/>
              <w:spacing w:after="0"/>
              <w:rPr>
                <w:sz w:val="20"/>
                <w:szCs w:val="20"/>
                <w:color w:val="auto"/>
              </w:rPr>
            </w:pPr>
            <w:r>
              <w:rPr>
                <w:rFonts w:ascii="Arial" w:cs="Arial" w:eastAsia="Arial" w:hAnsi="Arial"/>
                <w:sz w:val="16"/>
                <w:szCs w:val="16"/>
                <w:color w:val="auto"/>
              </w:rPr>
              <w:t>3,112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3150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197" w:lineRule="exact"/>
        <w:rPr>
          <w:sz w:val="20"/>
          <w:szCs w:val="20"/>
          <w:color w:val="auto"/>
        </w:rPr>
      </w:pPr>
    </w:p>
    <w:p>
      <w:pPr>
        <w:jc w:val="both"/>
        <w:ind w:left="284" w:right="20" w:hanging="284"/>
        <w:spacing w:after="0" w:line="234" w:lineRule="auto"/>
        <w:tabs>
          <w:tab w:leader="none" w:pos="279"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On March 27, 2025, we provided notice to the holders of our Convertible Notes that we would settle our Convertible Notes at their upcoming maturity on July 1, 2025, in cash (including any conversions up to a price per share of AAG common stock of approximately $22.00). As a result, for the three months ended June 30, 2025, we have excluded the assumed conversion of the Convertible Notes from the calculation of diluted EPS.</w:t>
      </w:r>
    </w:p>
    <w:p>
      <w:pPr>
        <w:spacing w:after="0" w:line="128" w:lineRule="exact"/>
        <w:rPr>
          <w:sz w:val="20"/>
          <w:szCs w:val="20"/>
          <w:color w:val="auto"/>
        </w:rPr>
      </w:pPr>
    </w:p>
    <w:p>
      <w:pPr>
        <w:jc w:val="both"/>
        <w:ind w:left="4" w:right="20" w:firstLine="217"/>
        <w:spacing w:after="0" w:line="260" w:lineRule="auto"/>
        <w:rPr>
          <w:sz w:val="20"/>
          <w:szCs w:val="20"/>
          <w:color w:val="auto"/>
        </w:rPr>
      </w:pPr>
      <w:r>
        <w:rPr>
          <w:rFonts w:ascii="Arial" w:cs="Arial" w:eastAsia="Arial" w:hAnsi="Arial"/>
          <w:sz w:val="16"/>
          <w:szCs w:val="16"/>
          <w:color w:val="auto"/>
        </w:rPr>
        <w:t>In addition, excluded from the calculation of diluted EPS because inclusion of such shares would be antidilutive, are certain shares underlying the warrants issued pursuant to (i) the payroll support program established under the Coronavirus Aid, Relief, and Economic Security Act (PSP1 Warrants), (ii) the payroll support program established under the Subtitle A of Title IV of Division N of the Consolidated Appropriations Act, 2021 (PSP2 Warrants), (iii) the payroll support program established under the American Rescue Plan Act of 2021 (PSP3 Warrants) and (iv) the Loan and Guarantee Agreement with the U.S. Department of Treasury (Treasury Loan Warrants).</w:t>
      </w:r>
    </w:p>
    <w:p>
      <w:pPr>
        <w:spacing w:after="0" w:line="111" w:lineRule="exact"/>
        <w:rPr>
          <w:sz w:val="20"/>
          <w:szCs w:val="20"/>
          <w:color w:val="auto"/>
        </w:rPr>
      </w:pPr>
    </w:p>
    <w:p>
      <w:pPr>
        <w:jc w:val="both"/>
        <w:ind w:left="4" w:firstLine="217"/>
        <w:spacing w:after="0" w:line="286" w:lineRule="auto"/>
        <w:rPr>
          <w:sz w:val="20"/>
          <w:szCs w:val="20"/>
          <w:color w:val="auto"/>
        </w:rPr>
      </w:pPr>
      <w:r>
        <w:rPr>
          <w:rFonts w:ascii="Arial" w:cs="Arial" w:eastAsia="Arial" w:hAnsi="Arial"/>
          <w:sz w:val="16"/>
          <w:szCs w:val="16"/>
          <w:color w:val="auto"/>
        </w:rPr>
        <w:t>During the first quarter of 2025, all of the PSP1 Warrants and Treasury Loan Warrants, 14.0 million shares and 4.4 million shares, respectively, were exercised at an exercise price of $12.51 per share and net settled in cash for $79 million.</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14" w:name="page15"/>
    <w:bookmarkEnd w:id="14"/>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table below provides a summary of the warrants outstanding as of June 30, 2025:</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Warrants</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Warrants Issued (shares, in</w:t>
            </w:r>
          </w:p>
        </w:tc>
        <w:tc>
          <w:tcPr>
            <w:tcW w:w="1600" w:type="dxa"/>
            <w:vAlign w:val="bottom"/>
            <w:vMerge w:val="restart"/>
          </w:tcPr>
          <w:p>
            <w:pPr>
              <w:ind w:left="500"/>
              <w:spacing w:after="0"/>
              <w:rPr>
                <w:sz w:val="20"/>
                <w:szCs w:val="20"/>
                <w:color w:val="auto"/>
              </w:rPr>
            </w:pPr>
            <w:r>
              <w:rPr>
                <w:rFonts w:ascii="Arial" w:cs="Arial" w:eastAsia="Arial" w:hAnsi="Arial"/>
                <w:sz w:val="13"/>
                <w:szCs w:val="13"/>
                <w:b w:val="1"/>
                <w:bCs w:val="1"/>
                <w:color w:val="auto"/>
                <w:w w:val="99"/>
              </w:rPr>
              <w:t>Exercise Price ($)</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80"/>
        </w:trPr>
        <w:tc>
          <w:tcPr>
            <w:tcW w:w="3300" w:type="dxa"/>
            <w:vAlign w:val="bottom"/>
            <w:gridSpan w:val="2"/>
            <w:vMerge w:val="continue"/>
          </w:tcPr>
          <w:p>
            <w:pPr>
              <w:spacing w:after="0"/>
              <w:rPr>
                <w:sz w:val="15"/>
                <w:szCs w:val="15"/>
                <w:color w:val="auto"/>
              </w:rPr>
            </w:pPr>
          </w:p>
        </w:tc>
        <w:tc>
          <w:tcPr>
            <w:tcW w:w="2140" w:type="dxa"/>
            <w:vAlign w:val="bottom"/>
            <w:gridSpan w:val="2"/>
          </w:tcPr>
          <w:p>
            <w:pPr>
              <w:jc w:val="center"/>
              <w:ind w:right="80"/>
              <w:spacing w:after="0" w:line="180" w:lineRule="exact"/>
              <w:rPr>
                <w:sz w:val="20"/>
                <w:szCs w:val="20"/>
                <w:color w:val="auto"/>
              </w:rPr>
            </w:pPr>
            <w:r>
              <w:rPr>
                <w:rFonts w:ascii="Arial" w:cs="Arial" w:eastAsia="Arial" w:hAnsi="Arial"/>
                <w:sz w:val="13"/>
                <w:szCs w:val="13"/>
                <w:b w:val="1"/>
                <w:bCs w:val="1"/>
                <w:color w:val="auto"/>
                <w:w w:val="94"/>
              </w:rPr>
              <w:t xml:space="preserve">thousands) </w:t>
            </w:r>
            <w:r>
              <w:rPr>
                <w:rFonts w:ascii="Arial" w:cs="Arial" w:eastAsia="Arial" w:hAnsi="Arial"/>
                <w:sz w:val="16"/>
                <w:szCs w:val="16"/>
                <w:b w:val="1"/>
                <w:bCs w:val="1"/>
                <w:color w:val="auto"/>
                <w:w w:val="94"/>
                <w:vertAlign w:val="superscript"/>
              </w:rPr>
              <w:t>(1)</w:t>
            </w:r>
          </w:p>
        </w:tc>
        <w:tc>
          <w:tcPr>
            <w:tcW w:w="16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PSP2 Warrants</w:t>
            </w:r>
          </w:p>
        </w:tc>
        <w:tc>
          <w:tcPr>
            <w:tcW w:w="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15.66</w:t>
            </w:r>
          </w:p>
        </w:tc>
        <w:tc>
          <w:tcPr>
            <w:tcW w:w="80" w:type="dxa"/>
            <w:vAlign w:val="bottom"/>
            <w:tcBorders>
              <w:top w:val="single" w:sz="8" w:color="CCEEFF"/>
            </w:tcBorders>
            <w:shd w:val="clear" w:color="auto" w:fill="CCEEFF"/>
          </w:tcPr>
          <w:p>
            <w:pPr>
              <w:spacing w:after="0"/>
              <w:rPr>
                <w:sz w:val="17"/>
                <w:szCs w:val="17"/>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January 2026 to April 2026</w:t>
            </w:r>
          </w:p>
        </w:tc>
        <w:tc>
          <w:tcPr>
            <w:tcW w:w="0" w:type="dxa"/>
            <w:vAlign w:val="bottom"/>
          </w:tcPr>
          <w:p>
            <w:pPr>
              <w:spacing w:after="0"/>
              <w:rPr>
                <w:sz w:val="1"/>
                <w:szCs w:val="1"/>
                <w:color w:val="auto"/>
              </w:rPr>
            </w:pPr>
          </w:p>
        </w:tc>
      </w:tr>
      <w:tr>
        <w:trPr>
          <w:trHeight w:val="211"/>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PSP3 Warrants</w:t>
            </w:r>
          </w:p>
        </w:tc>
        <w:tc>
          <w:tcPr>
            <w:tcW w:w="2060" w:type="dxa"/>
            <w:vAlign w:val="bottom"/>
          </w:tcPr>
          <w:p>
            <w:pPr>
              <w:jc w:val="right"/>
              <w:spacing w:after="0"/>
              <w:rPr>
                <w:sz w:val="20"/>
                <w:szCs w:val="20"/>
                <w:color w:val="auto"/>
              </w:rPr>
            </w:pPr>
            <w:r>
              <w:rPr>
                <w:rFonts w:ascii="Arial" w:cs="Arial" w:eastAsia="Arial" w:hAnsi="Arial"/>
                <w:sz w:val="16"/>
                <w:szCs w:val="16"/>
                <w:color w:val="auto"/>
              </w:rPr>
              <w:t>4,407</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21.75</w:t>
            </w:r>
          </w:p>
        </w:tc>
        <w:tc>
          <w:tcPr>
            <w:tcW w:w="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6"/>
                <w:szCs w:val="16"/>
                <w:color w:val="auto"/>
              </w:rPr>
              <w:t>April 2026 to June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3150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197" w:lineRule="exact"/>
        <w:rPr>
          <w:sz w:val="20"/>
          <w:szCs w:val="20"/>
          <w:color w:val="auto"/>
        </w:rPr>
      </w:pPr>
    </w:p>
    <w:p>
      <w:pPr>
        <w:jc w:val="both"/>
        <w:ind w:left="284" w:hanging="284"/>
        <w:spacing w:after="0" w:line="238" w:lineRule="auto"/>
        <w:tabs>
          <w:tab w:leader="none" w:pos="279"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PSP2 Warrants and PSP3 Warrants are subject to certain anti-dilution provisions, do not have any voting rights and are freely transferable, with registration rights. Each warrant will be exercisable either through net share settlement or cash, at our option. The warrants were issued solely as compensation to the U.S. Government related to entry into the payroll support program agreements. No separate proceeds (apart from the financial assistance previously received in 2021 and 2020) were received upon issuance of the warrants or will be received upon exercise thereof.</w:t>
      </w:r>
    </w:p>
    <w:p>
      <w:pPr>
        <w:spacing w:after="0" w:line="200" w:lineRule="exact"/>
        <w:rPr>
          <w:sz w:val="20"/>
          <w:szCs w:val="20"/>
          <w:color w:val="auto"/>
        </w:rPr>
      </w:pPr>
    </w:p>
    <w:p>
      <w:pPr>
        <w:ind w:left="224" w:right="9440" w:hanging="224"/>
        <w:spacing w:after="0" w:line="345" w:lineRule="auto"/>
        <w:tabs>
          <w:tab w:leader="none" w:pos="18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b w:val="1"/>
          <w:bCs w:val="1"/>
          <w:i w:val="1"/>
          <w:iCs w:val="1"/>
          <w:u w:val="single" w:color="auto"/>
          <w:color w:val="auto"/>
        </w:rPr>
        <w:t>Revenue</w:t>
      </w:r>
    </w:p>
    <w:p>
      <w:pPr>
        <w:ind w:left="224"/>
        <w:spacing w:after="0"/>
        <w:rPr>
          <w:rFonts w:ascii="Arial" w:cs="Arial" w:eastAsia="Arial" w:hAnsi="Arial"/>
          <w:sz w:val="16"/>
          <w:szCs w:val="16"/>
          <w:b w:val="1"/>
          <w:bCs w:val="1"/>
          <w:color w:val="auto"/>
        </w:rPr>
      </w:pPr>
      <w:r>
        <w:rPr>
          <w:rFonts w:ascii="Arial" w:cs="Arial" w:eastAsia="Arial" w:hAnsi="Arial"/>
          <w:sz w:val="16"/>
          <w:szCs w:val="16"/>
          <w:color w:val="auto"/>
        </w:rPr>
        <w:t>The following are the significant categories comprising our operating revenues (in millions):</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2300" w:type="dxa"/>
            <w:vAlign w:val="bottom"/>
            <w:gridSpan w:val="4"/>
          </w:tcPr>
          <w:p>
            <w:pPr>
              <w:jc w:val="right"/>
              <w:ind w:right="382"/>
              <w:spacing w:after="0"/>
              <w:rPr>
                <w:sz w:val="20"/>
                <w:szCs w:val="20"/>
                <w:color w:val="auto"/>
              </w:rPr>
            </w:pPr>
            <w:r>
              <w:rPr>
                <w:rFonts w:ascii="Arial" w:cs="Arial" w:eastAsia="Arial" w:hAnsi="Arial"/>
                <w:sz w:val="13"/>
                <w:szCs w:val="13"/>
                <w:b w:val="1"/>
                <w:bCs w:val="1"/>
                <w:color w:val="auto"/>
              </w:rPr>
              <w:t>Six Months Ended June 30,</w:t>
            </w:r>
          </w:p>
        </w:tc>
      </w:tr>
      <w:tr>
        <w:trPr>
          <w:trHeight w:val="185"/>
        </w:trPr>
        <w:tc>
          <w:tcPr>
            <w:tcW w:w="206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r>
      <w:tr>
        <w:trPr>
          <w:trHeight w:val="185"/>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5"/>
        </w:trPr>
        <w:tc>
          <w:tcPr>
            <w:tcW w:w="6000" w:type="dxa"/>
            <w:vAlign w:val="bottom"/>
            <w:gridSpan w:val="2"/>
          </w:tcPr>
          <w:p>
            <w:pPr>
              <w:ind w:left="200"/>
              <w:spacing w:after="0"/>
              <w:rPr>
                <w:sz w:val="20"/>
                <w:szCs w:val="20"/>
                <w:color w:val="auto"/>
              </w:rPr>
            </w:pPr>
            <w:r>
              <w:rPr>
                <w:rFonts w:ascii="Arial" w:cs="Arial" w:eastAsia="Arial" w:hAnsi="Arial"/>
                <w:sz w:val="16"/>
                <w:szCs w:val="16"/>
                <w:color w:val="auto"/>
              </w:rPr>
              <w:t>Passenger travel</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12,126</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12,212</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22,601</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22,795</w:t>
            </w:r>
          </w:p>
        </w:tc>
      </w:tr>
      <w:tr>
        <w:trPr>
          <w:trHeight w:val="205"/>
        </w:trPr>
        <w:tc>
          <w:tcPr>
            <w:tcW w:w="6000" w:type="dxa"/>
            <w:vAlign w:val="bottom"/>
            <w:gridSpan w:val="2"/>
            <w:shd w:val="clear" w:color="auto" w:fill="CCEEFF"/>
          </w:tcPr>
          <w:p>
            <w:pPr>
              <w:ind w:left="200"/>
              <w:spacing w:after="0" w:line="205" w:lineRule="exact"/>
              <w:rPr>
                <w:sz w:val="20"/>
                <w:szCs w:val="20"/>
                <w:color w:val="auto"/>
              </w:rPr>
            </w:pPr>
            <w:r>
              <w:rPr>
                <w:rFonts w:ascii="Arial" w:cs="Arial" w:eastAsia="Arial" w:hAnsi="Arial"/>
                <w:sz w:val="16"/>
                <w:szCs w:val="16"/>
                <w:color w:val="auto"/>
              </w:rPr>
              <w:t xml:space="preserve">Loyalty revenue - travel </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1,866</w:t>
            </w:r>
          </w:p>
        </w:tc>
      </w:tr>
      <w:tr>
        <w:trPr>
          <w:trHeight w:val="197"/>
        </w:trPr>
        <w:tc>
          <w:tcPr>
            <w:tcW w:w="6000" w:type="dxa"/>
            <w:vAlign w:val="bottom"/>
            <w:gridSpan w:val="2"/>
          </w:tcPr>
          <w:p>
            <w:pPr>
              <w:ind w:left="400"/>
              <w:spacing w:after="0"/>
              <w:rPr>
                <w:sz w:val="20"/>
                <w:szCs w:val="20"/>
                <w:color w:val="auto"/>
              </w:rPr>
            </w:pPr>
            <w:r>
              <w:rPr>
                <w:rFonts w:ascii="Arial" w:cs="Arial" w:eastAsia="Arial" w:hAnsi="Arial"/>
                <w:sz w:val="16"/>
                <w:szCs w:val="16"/>
                <w:color w:val="auto"/>
              </w:rPr>
              <w:t>Total passenger revenue</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24,514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24,661</w:t>
            </w:r>
          </w:p>
        </w:tc>
      </w:tr>
      <w:tr>
        <w:trPr>
          <w:trHeight w:val="205"/>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Cargo</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382</w:t>
            </w:r>
          </w:p>
        </w:tc>
      </w:tr>
      <w:tr>
        <w:trPr>
          <w:trHeight w:val="205"/>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6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Loyalty revenue - marketing services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1,584</w:t>
            </w:r>
          </w:p>
        </w:tc>
      </w:tr>
      <w:tr>
        <w:trPr>
          <w:trHeight w:val="205"/>
        </w:trPr>
        <w:tc>
          <w:tcPr>
            <w:tcW w:w="6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277</w:t>
            </w:r>
          </w:p>
        </w:tc>
      </w:tr>
      <w:tr>
        <w:trPr>
          <w:trHeight w:val="197"/>
        </w:trPr>
        <w:tc>
          <w:tcPr>
            <w:tcW w:w="60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Total other revenue</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1,861</w:t>
            </w:r>
          </w:p>
        </w:tc>
      </w:tr>
      <w:tr>
        <w:trPr>
          <w:trHeight w:val="197"/>
        </w:trPr>
        <w:tc>
          <w:tcPr>
            <w:tcW w:w="6000" w:type="dxa"/>
            <w:vAlign w:val="bottom"/>
            <w:gridSpan w:val="2"/>
          </w:tcPr>
          <w:p>
            <w:pPr>
              <w:ind w:left="600"/>
              <w:spacing w:after="0"/>
              <w:rPr>
                <w:sz w:val="20"/>
                <w:szCs w:val="20"/>
                <w:color w:val="auto"/>
              </w:rPr>
            </w:pPr>
            <w:r>
              <w:rPr>
                <w:rFonts w:ascii="Arial" w:cs="Arial" w:eastAsia="Arial" w:hAnsi="Arial"/>
                <w:sz w:val="16"/>
                <w:szCs w:val="16"/>
                <w:color w:val="auto"/>
              </w:rPr>
              <w:t>Total operating revenues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26,943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26,904</w:t>
            </w:r>
          </w:p>
        </w:tc>
      </w:tr>
      <w:tr>
        <w:trPr>
          <w:trHeight w:val="20"/>
        </w:trPr>
        <w:tc>
          <w:tcPr>
            <w:tcW w:w="20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5"/>
        </w:trPr>
        <w:tc>
          <w:tcPr>
            <w:tcW w:w="2060" w:type="dxa"/>
            <w:vAlign w:val="bottom"/>
            <w:tcBorders>
              <w:bottom w:val="single" w:sz="8" w:color="auto"/>
            </w:tcBorders>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bl>
    <w:p>
      <w:pPr>
        <w:spacing w:after="0" w:line="67" w:lineRule="exact"/>
        <w:rPr>
          <w:sz w:val="20"/>
          <w:szCs w:val="20"/>
          <w:color w:val="auto"/>
        </w:rPr>
      </w:pPr>
    </w:p>
    <w:p>
      <w:pPr>
        <w:ind w:left="284" w:right="20" w:hanging="284"/>
        <w:spacing w:after="0" w:line="227" w:lineRule="auto"/>
        <w:tabs>
          <w:tab w:leader="none" w:pos="279"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Loyalty revenue included in passenger revenue is principally comprised of mileage credit redemptions, which were earned from travel or co-branded credit card and other partners.</w:t>
      </w:r>
    </w:p>
    <w:p>
      <w:pPr>
        <w:spacing w:after="0" w:line="127"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following is our total passenger revenue by geographic region (in millions):</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2300" w:type="dxa"/>
            <w:vAlign w:val="bottom"/>
            <w:gridSpan w:val="4"/>
          </w:tcPr>
          <w:p>
            <w:pPr>
              <w:jc w:val="right"/>
              <w:ind w:right="382"/>
              <w:spacing w:after="0"/>
              <w:rPr>
                <w:sz w:val="20"/>
                <w:szCs w:val="20"/>
                <w:color w:val="auto"/>
              </w:rPr>
            </w:pPr>
            <w:r>
              <w:rPr>
                <w:rFonts w:ascii="Arial" w:cs="Arial" w:eastAsia="Arial" w:hAnsi="Arial"/>
                <w:sz w:val="13"/>
                <w:szCs w:val="13"/>
                <w:b w:val="1"/>
                <w:bCs w:val="1"/>
                <w:color w:val="auto"/>
              </w:rPr>
              <w:t>Six Months Ended June 30,</w:t>
            </w:r>
          </w:p>
        </w:tc>
      </w:tr>
      <w:tr>
        <w:trPr>
          <w:trHeight w:val="185"/>
        </w:trPr>
        <w:tc>
          <w:tcPr>
            <w:tcW w:w="60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r>
      <w:tr>
        <w:trPr>
          <w:trHeight w:val="19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17,286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17,604</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3,455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3,464</w:t>
            </w: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3,012</w:t>
            </w:r>
          </w:p>
        </w:tc>
      </w:tr>
      <w:tr>
        <w:trPr>
          <w:trHeight w:val="20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Pacific</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581</w:t>
            </w:r>
          </w:p>
        </w:tc>
      </w:tr>
      <w:tr>
        <w:trPr>
          <w:trHeight w:val="222"/>
        </w:trPr>
        <w:tc>
          <w:tcPr>
            <w:tcW w:w="6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passenger revenue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24,514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24,661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24"/>
        <w:spacing w:after="0"/>
        <w:rPr>
          <w:sz w:val="20"/>
          <w:szCs w:val="20"/>
          <w:color w:val="auto"/>
        </w:rPr>
      </w:pPr>
      <w:r>
        <w:rPr>
          <w:rFonts w:ascii="Arial" w:cs="Arial" w:eastAsia="Arial" w:hAnsi="Arial"/>
          <w:sz w:val="16"/>
          <w:szCs w:val="16"/>
          <w:color w:val="auto"/>
        </w:rPr>
        <w:t>We attribute passenger revenue by geographic region based upon the origin and destination of each flight segment.</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15" w:name="page16"/>
    <w:bookmarkEnd w:id="15"/>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8"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Contract Balances</w:t>
      </w:r>
    </w:p>
    <w:p>
      <w:pPr>
        <w:spacing w:after="0" w:line="79"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Our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June 30, 2025</w:t>
            </w: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December 31, 2024</w:t>
            </w:r>
          </w:p>
        </w:tc>
      </w:tr>
      <w:tr>
        <w:trPr>
          <w:trHeight w:val="173"/>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4"/>
          </w:tcPr>
          <w:p>
            <w:pPr>
              <w:jc w:val="right"/>
              <w:ind w:right="1364"/>
              <w:spacing w:after="0"/>
              <w:rPr>
                <w:sz w:val="20"/>
                <w:szCs w:val="20"/>
                <w:color w:val="auto"/>
              </w:rPr>
            </w:pPr>
            <w:r>
              <w:rPr>
                <w:rFonts w:ascii="Arial" w:cs="Arial" w:eastAsia="Arial" w:hAnsi="Arial"/>
                <w:sz w:val="13"/>
                <w:szCs w:val="13"/>
                <w:b w:val="1"/>
                <w:bCs w:val="1"/>
                <w:color w:val="auto"/>
              </w:rPr>
              <w:t>(In millions)</w:t>
            </w:r>
          </w:p>
        </w:tc>
      </w:tr>
      <w:tr>
        <w:trPr>
          <w:trHeight w:val="205"/>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Loyalty program liability</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10,471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10,054</w:t>
            </w:r>
          </w:p>
        </w:tc>
      </w:tr>
      <w:tr>
        <w:trPr>
          <w:trHeight w:val="205"/>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Air traffic liability</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8,240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6,759</w:t>
            </w:r>
          </w:p>
        </w:tc>
      </w:tr>
      <w:tr>
        <w:trPr>
          <w:trHeight w:val="222"/>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18,711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16,813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5969635</wp:posOffset>
            </wp:positionH>
            <wp:positionV relativeFrom="paragraph">
              <wp:posOffset>-549910</wp:posOffset>
            </wp:positionV>
            <wp:extent cx="609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62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10,054</w:t>
            </w:r>
          </w:p>
        </w:tc>
      </w:tr>
      <w:tr>
        <w:trPr>
          <w:trHeight w:val="205"/>
        </w:trPr>
        <w:tc>
          <w:tcPr>
            <w:tcW w:w="9560" w:type="dxa"/>
            <w:vAlign w:val="bottom"/>
            <w:gridSpan w:val="2"/>
          </w:tcPr>
          <w:p>
            <w:pPr>
              <w:ind w:left="200"/>
              <w:spacing w:after="0"/>
              <w:rPr>
                <w:sz w:val="20"/>
                <w:szCs w:val="20"/>
                <w:color w:val="auto"/>
              </w:rPr>
            </w:pPr>
            <w:r>
              <w:rPr>
                <w:rFonts w:ascii="Arial" w:cs="Arial" w:eastAsia="Arial" w:hAnsi="Arial"/>
                <w:sz w:val="16"/>
                <w:szCs w:val="16"/>
                <w:color w:val="auto"/>
              </w:rPr>
              <w:t>Deferral of revenue</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2,278</w:t>
            </w:r>
          </w:p>
        </w:tc>
      </w:tr>
      <w:tr>
        <w:trPr>
          <w:trHeight w:val="205"/>
        </w:trPr>
        <w:tc>
          <w:tcPr>
            <w:tcW w:w="9560" w:type="dxa"/>
            <w:vAlign w:val="bottom"/>
            <w:gridSpan w:val="2"/>
            <w:shd w:val="clear" w:color="auto" w:fill="CCEEFF"/>
          </w:tcPr>
          <w:p>
            <w:pPr>
              <w:ind w:left="200"/>
              <w:spacing w:after="0" w:line="205" w:lineRule="exact"/>
              <w:rPr>
                <w:sz w:val="20"/>
                <w:szCs w:val="20"/>
                <w:color w:val="auto"/>
              </w:rPr>
            </w:pPr>
            <w:r>
              <w:rPr>
                <w:rFonts w:ascii="Arial" w:cs="Arial" w:eastAsia="Arial" w:hAnsi="Arial"/>
                <w:sz w:val="16"/>
                <w:szCs w:val="16"/>
                <w:color w:val="auto"/>
              </w:rPr>
              <w:t xml:space="preserve">Recognition of revenue </w:t>
            </w:r>
            <w:r>
              <w:rPr>
                <w:rFonts w:ascii="Arial" w:cs="Arial" w:eastAsia="Arial" w:hAnsi="Arial"/>
                <w:sz w:val="20"/>
                <w:szCs w:val="20"/>
                <w:color w:val="auto"/>
                <w:vertAlign w:val="superscript"/>
              </w:rPr>
              <w:t>(1)</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w:t>
            </w:r>
          </w:p>
        </w:tc>
      </w:tr>
      <w:tr>
        <w:trPr>
          <w:trHeight w:val="197"/>
        </w:trPr>
        <w:tc>
          <w:tcPr>
            <w:tcW w:w="9560" w:type="dxa"/>
            <w:vAlign w:val="bottom"/>
            <w:gridSpan w:val="2"/>
          </w:tcPr>
          <w:p>
            <w:pPr>
              <w:ind w:left="20"/>
              <w:spacing w:after="0" w:line="197" w:lineRule="exact"/>
              <w:rPr>
                <w:sz w:val="20"/>
                <w:szCs w:val="20"/>
                <w:color w:val="auto"/>
              </w:rPr>
            </w:pPr>
            <w:r>
              <w:rPr>
                <w:rFonts w:ascii="Arial" w:cs="Arial" w:eastAsia="Arial" w:hAnsi="Arial"/>
                <w:sz w:val="16"/>
                <w:szCs w:val="16"/>
                <w:color w:val="auto"/>
              </w:rPr>
              <w:t xml:space="preserve">Balance at June 30, 2025 </w:t>
            </w:r>
            <w:r>
              <w:rPr>
                <w:rFonts w:ascii="Arial" w:cs="Arial" w:eastAsia="Arial" w:hAnsi="Arial"/>
                <w:sz w:val="20"/>
                <w:szCs w:val="20"/>
                <w:color w:val="auto"/>
                <w:vertAlign w:val="superscript"/>
              </w:rPr>
              <w:t>(2)</w:t>
            </w:r>
          </w:p>
        </w:tc>
        <w:tc>
          <w:tcPr>
            <w:tcW w:w="6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10,471</w:t>
            </w:r>
          </w:p>
        </w:tc>
      </w:tr>
      <w:tr>
        <w:trPr>
          <w:trHeight w:val="20"/>
        </w:trPr>
        <w:tc>
          <w:tcPr>
            <w:tcW w:w="20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3"/>
        </w:trPr>
        <w:tc>
          <w:tcPr>
            <w:tcW w:w="2060" w:type="dxa"/>
            <w:vAlign w:val="bottom"/>
            <w:tcBorders>
              <w:bottom w:val="single" w:sz="8" w:color="auto"/>
            </w:tcBorders>
          </w:tcPr>
          <w:p>
            <w:pPr>
              <w:spacing w:after="0"/>
              <w:rPr>
                <w:sz w:val="11"/>
                <w:szCs w:val="11"/>
                <w:color w:val="auto"/>
              </w:rPr>
            </w:pPr>
          </w:p>
        </w:tc>
        <w:tc>
          <w:tcPr>
            <w:tcW w:w="7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68" w:lineRule="exact"/>
        <w:rPr>
          <w:sz w:val="20"/>
          <w:szCs w:val="20"/>
          <w:color w:val="auto"/>
        </w:rPr>
      </w:pPr>
    </w:p>
    <w:p>
      <w:pPr>
        <w:jc w:val="both"/>
        <w:ind w:left="284" w:right="20" w:hanging="284"/>
        <w:spacing w:after="0" w:line="234" w:lineRule="auto"/>
        <w:tabs>
          <w:tab w:leader="none" w:pos="279"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28" w:lineRule="exact"/>
        <w:rPr>
          <w:rFonts w:ascii="Arial" w:cs="Arial" w:eastAsia="Arial" w:hAnsi="Arial"/>
          <w:sz w:val="21"/>
          <w:szCs w:val="21"/>
          <w:color w:val="auto"/>
          <w:vertAlign w:val="superscript"/>
        </w:rPr>
      </w:pPr>
    </w:p>
    <w:p>
      <w:pPr>
        <w:jc w:val="both"/>
        <w:ind w:left="284" w:hanging="284"/>
        <w:spacing w:after="0" w:line="238" w:lineRule="auto"/>
        <w:tabs>
          <w:tab w:leader="none" w:pos="279"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Mileage credits can be redeemed at any time and generally do not expire as long as the AAdvantage member has any type of qualifying activity at least every 24 months or if the AAdvantage member is the primary holder of a co-branded credit card. As of June 30, 2025, our current loyalty program liability was $3.7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28"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The air traffic liability principally represents tickets sold for future travel on American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the six months ended June 30, 2025, $4.8 billion of revenue was recognized in passenger revenue that was included in our air traffic liability at December 31, 2024.</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16" w:name="page17"/>
    <w:bookmarkEnd w:id="16"/>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5. Debt</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Long-term debt included in the condensed consolidated balance sheets consisted of (in millions):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2025</w:t>
            </w:r>
          </w:p>
        </w:tc>
        <w:tc>
          <w:tcPr>
            <w:tcW w:w="200" w:type="dxa"/>
            <w:vAlign w:val="bottom"/>
          </w:tcPr>
          <w:p>
            <w:pPr>
              <w:spacing w:after="0"/>
              <w:rPr>
                <w:sz w:val="15"/>
                <w:szCs w:val="15"/>
                <w:color w:val="auto"/>
              </w:rPr>
            </w:pPr>
          </w:p>
        </w:tc>
        <w:tc>
          <w:tcPr>
            <w:tcW w:w="1580" w:type="dxa"/>
            <w:vAlign w:val="bottom"/>
          </w:tcPr>
          <w:p>
            <w:pPr>
              <w:jc w:val="right"/>
              <w:ind w:right="240"/>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85"/>
        </w:trPr>
        <w:tc>
          <w:tcPr>
            <w:tcW w:w="7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Secured</w:t>
            </w:r>
          </w:p>
        </w:tc>
        <w:tc>
          <w:tcPr>
            <w:tcW w:w="2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20" w:type="dxa"/>
            <w:vAlign w:val="bottom"/>
            <w:gridSpan w:val="2"/>
          </w:tcPr>
          <w:p>
            <w:pPr>
              <w:ind w:left="100"/>
              <w:spacing w:after="0"/>
              <w:rPr>
                <w:sz w:val="20"/>
                <w:szCs w:val="20"/>
                <w:color w:val="auto"/>
              </w:rPr>
            </w:pPr>
            <w:r>
              <w:rPr>
                <w:rFonts w:ascii="Arial" w:cs="Arial" w:eastAsia="Arial" w:hAnsi="Arial"/>
                <w:sz w:val="16"/>
                <w:szCs w:val="16"/>
                <w:color w:val="auto"/>
              </w:rPr>
              <w:t>2013 Term Loan Facility, variable interest rate of 6.50%, installments until due in February 2028</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05"/>
        </w:trPr>
        <w:tc>
          <w:tcPr>
            <w:tcW w:w="7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2014 Term Loan Facility, variable interest rate of 5.98%, installments until due in January 2027</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05"/>
        </w:trPr>
        <w:tc>
          <w:tcPr>
            <w:tcW w:w="7620" w:type="dxa"/>
            <w:vAlign w:val="bottom"/>
            <w:gridSpan w:val="2"/>
          </w:tcPr>
          <w:p>
            <w:pPr>
              <w:ind w:left="100"/>
              <w:spacing w:after="0"/>
              <w:rPr>
                <w:sz w:val="20"/>
                <w:szCs w:val="20"/>
                <w:color w:val="auto"/>
              </w:rPr>
            </w:pPr>
            <w:r>
              <w:rPr>
                <w:rFonts w:ascii="Arial" w:cs="Arial" w:eastAsia="Arial" w:hAnsi="Arial"/>
                <w:sz w:val="16"/>
                <w:szCs w:val="16"/>
                <w:color w:val="auto"/>
              </w:rPr>
              <w:t>2023 Term Loan Facility, variable interest rate of 6.51%, installments until due in June 2029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05"/>
        </w:trPr>
        <w:tc>
          <w:tcPr>
            <w:tcW w:w="7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10.75% senior secured IP notes, interest only payments until due in February 2026</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05"/>
        </w:trPr>
        <w:tc>
          <w:tcPr>
            <w:tcW w:w="7620" w:type="dxa"/>
            <w:vAlign w:val="bottom"/>
            <w:gridSpan w:val="2"/>
          </w:tcPr>
          <w:p>
            <w:pPr>
              <w:ind w:left="100"/>
              <w:spacing w:after="0"/>
              <w:rPr>
                <w:sz w:val="20"/>
                <w:szCs w:val="20"/>
                <w:color w:val="auto"/>
              </w:rPr>
            </w:pPr>
            <w:r>
              <w:rPr>
                <w:rFonts w:ascii="Arial" w:cs="Arial" w:eastAsia="Arial" w:hAnsi="Arial"/>
                <w:sz w:val="16"/>
                <w:szCs w:val="16"/>
                <w:color w:val="auto"/>
              </w:rPr>
              <w:t>10.75% senior secured LGA/DCA notes, interest only payments until due in February 2026</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5"/>
        </w:trPr>
        <w:tc>
          <w:tcPr>
            <w:tcW w:w="7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7.25% senior secured notes, interest only payments until due in February 2028</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5"/>
        </w:trPr>
        <w:tc>
          <w:tcPr>
            <w:tcW w:w="7620" w:type="dxa"/>
            <w:vAlign w:val="bottom"/>
            <w:gridSpan w:val="2"/>
          </w:tcPr>
          <w:p>
            <w:pPr>
              <w:ind w:left="100"/>
              <w:spacing w:after="0"/>
              <w:rPr>
                <w:sz w:val="20"/>
                <w:szCs w:val="20"/>
                <w:color w:val="auto"/>
              </w:rPr>
            </w:pPr>
            <w:r>
              <w:rPr>
                <w:rFonts w:ascii="Arial" w:cs="Arial" w:eastAsia="Arial" w:hAnsi="Arial"/>
                <w:sz w:val="16"/>
                <w:szCs w:val="16"/>
                <w:color w:val="auto"/>
              </w:rPr>
              <w:t>8.50% senior secured notes, interest only payments until due in May 2029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5"/>
        </w:trPr>
        <w:tc>
          <w:tcPr>
            <w:tcW w:w="762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6"/>
                <w:szCs w:val="16"/>
                <w:color w:val="auto"/>
              </w:rPr>
              <w:t xml:space="preserve">5.50% senior secured notes, installments until due in April 2026 </w:t>
            </w:r>
            <w:r>
              <w:rPr>
                <w:rFonts w:ascii="Arial" w:cs="Arial" w:eastAsia="Arial" w:hAnsi="Arial"/>
                <w:sz w:val="20"/>
                <w:szCs w:val="20"/>
                <w:color w:val="auto"/>
                <w:vertAlign w:val="superscript"/>
              </w:rPr>
              <w:t>(1)</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05"/>
        </w:trPr>
        <w:tc>
          <w:tcPr>
            <w:tcW w:w="7620" w:type="dxa"/>
            <w:vAlign w:val="bottom"/>
            <w:gridSpan w:val="2"/>
          </w:tcPr>
          <w:p>
            <w:pPr>
              <w:ind w:left="100"/>
              <w:spacing w:after="0" w:line="205" w:lineRule="exact"/>
              <w:rPr>
                <w:sz w:val="20"/>
                <w:szCs w:val="20"/>
                <w:color w:val="auto"/>
              </w:rPr>
            </w:pPr>
            <w:r>
              <w:rPr>
                <w:rFonts w:ascii="Arial" w:cs="Arial" w:eastAsia="Arial" w:hAnsi="Arial"/>
                <w:sz w:val="16"/>
                <w:szCs w:val="16"/>
                <w:color w:val="auto"/>
              </w:rPr>
              <w:t xml:space="preserve">5.75% senior secured notes, installments beginning in July 2026 until due in April 2029 </w:t>
            </w:r>
            <w:r>
              <w:rPr>
                <w:rFonts w:ascii="Arial" w:cs="Arial" w:eastAsia="Arial" w:hAnsi="Arial"/>
                <w:sz w:val="20"/>
                <w:szCs w:val="20"/>
                <w:color w:val="auto"/>
                <w:vertAlign w:val="superscript"/>
              </w:rPr>
              <w:t>(1)</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56"/>
        </w:trPr>
        <w:tc>
          <w:tcPr>
            <w:tcW w:w="762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6"/>
                <w:szCs w:val="16"/>
                <w:color w:val="auto"/>
              </w:rPr>
              <w:t>2021 AAdvantage Term Loan Facility, variable interest rate of 6.52%, installments until due in April 2028</w:t>
            </w:r>
          </w:p>
        </w:tc>
        <w:tc>
          <w:tcPr>
            <w:tcW w:w="2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ind w:left="260"/>
              <w:spacing w:after="0"/>
              <w:rPr>
                <w:sz w:val="20"/>
                <w:szCs w:val="20"/>
                <w:color w:val="auto"/>
              </w:rPr>
            </w:pPr>
            <w:r>
              <w:rPr>
                <w:rFonts w:ascii="Arial" w:cs="Arial" w:eastAsia="Arial" w:hAnsi="Arial"/>
                <w:sz w:val="10"/>
                <w:szCs w:val="10"/>
                <w:color w:val="auto"/>
              </w:rPr>
              <w:t>(1)</w:t>
            </w:r>
          </w:p>
        </w:tc>
        <w:tc>
          <w:tcPr>
            <w:tcW w:w="5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20" w:type="dxa"/>
            <w:vAlign w:val="bottom"/>
            <w:gridSpan w:val="2"/>
          </w:tcPr>
          <w:p>
            <w:pPr>
              <w:ind w:left="100"/>
              <w:spacing w:after="0" w:line="157" w:lineRule="exact"/>
              <w:rPr>
                <w:sz w:val="20"/>
                <w:szCs w:val="20"/>
                <w:color w:val="auto"/>
              </w:rPr>
            </w:pPr>
            <w:r>
              <w:rPr>
                <w:rFonts w:ascii="Arial" w:cs="Arial" w:eastAsia="Arial" w:hAnsi="Arial"/>
                <w:sz w:val="16"/>
                <w:szCs w:val="16"/>
                <w:color w:val="auto"/>
              </w:rPr>
              <w:t>2025 AAdvantage Term Loan Facility, variable interest rate of 7.58%, installments beginning in July 2025</w:t>
            </w: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20" w:type="dxa"/>
            <w:vAlign w:val="bottom"/>
            <w:gridSpan w:val="2"/>
          </w:tcPr>
          <w:p>
            <w:pPr>
              <w:ind w:left="260"/>
              <w:spacing w:after="0" w:line="217" w:lineRule="exact"/>
              <w:rPr>
                <w:sz w:val="20"/>
                <w:szCs w:val="20"/>
                <w:color w:val="auto"/>
              </w:rPr>
            </w:pPr>
            <w:r>
              <w:rPr>
                <w:rFonts w:ascii="Arial" w:cs="Arial" w:eastAsia="Arial" w:hAnsi="Arial"/>
                <w:sz w:val="16"/>
                <w:szCs w:val="16"/>
                <w:color w:val="auto"/>
              </w:rPr>
              <w:t xml:space="preserve">until due in May 2032 </w:t>
            </w:r>
            <w:r>
              <w:rPr>
                <w:rFonts w:ascii="Arial" w:cs="Arial" w:eastAsia="Arial" w:hAnsi="Arial"/>
                <w:sz w:val="20"/>
                <w:szCs w:val="20"/>
                <w:color w:val="auto"/>
                <w:vertAlign w:val="superscript"/>
              </w:rPr>
              <w:t>(1)</w:t>
            </w: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2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6"/>
                <w:szCs w:val="16"/>
                <w:color w:val="auto"/>
              </w:rPr>
              <w:t>Enhanced equipment trust certificates (EETCs), fixed interest rates ranging from 2.88% to 7.15%,</w:t>
            </w:r>
          </w:p>
        </w:tc>
        <w:tc>
          <w:tcPr>
            <w:tcW w:w="2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6,364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0" w:type="dxa"/>
            <w:vAlign w:val="bottom"/>
          </w:tcPr>
          <w:p>
            <w:pPr>
              <w:spacing w:after="0"/>
              <w:rPr>
                <w:sz w:val="1"/>
                <w:szCs w:val="1"/>
                <w:color w:val="auto"/>
              </w:rPr>
            </w:pPr>
          </w:p>
        </w:tc>
      </w:tr>
      <w:tr>
        <w:trPr>
          <w:trHeight w:val="217"/>
        </w:trPr>
        <w:tc>
          <w:tcPr>
            <w:tcW w:w="76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averaging 3.79%, maturing from 2025 to 2034</w:t>
            </w:r>
          </w:p>
        </w:tc>
        <w:tc>
          <w:tcPr>
            <w:tcW w:w="2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20" w:type="dxa"/>
            <w:vAlign w:val="bottom"/>
            <w:gridSpan w:val="2"/>
          </w:tcPr>
          <w:p>
            <w:pPr>
              <w:ind w:left="100"/>
              <w:spacing w:after="0" w:line="157" w:lineRule="exact"/>
              <w:rPr>
                <w:sz w:val="20"/>
                <w:szCs w:val="20"/>
                <w:color w:val="auto"/>
              </w:rPr>
            </w:pPr>
            <w:r>
              <w:rPr>
                <w:rFonts w:ascii="Arial" w:cs="Arial" w:eastAsia="Arial" w:hAnsi="Arial"/>
                <w:sz w:val="16"/>
                <w:szCs w:val="16"/>
                <w:color w:val="auto"/>
              </w:rPr>
              <w:t>Equipment loans and other notes payable, fixed and variable interest rates ranging from 2.55% to 6.89%,</w:t>
            </w: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4,522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4,094</w:t>
            </w:r>
          </w:p>
        </w:tc>
        <w:tc>
          <w:tcPr>
            <w:tcW w:w="0" w:type="dxa"/>
            <w:vAlign w:val="bottom"/>
          </w:tcPr>
          <w:p>
            <w:pPr>
              <w:spacing w:after="0"/>
              <w:rPr>
                <w:sz w:val="1"/>
                <w:szCs w:val="1"/>
                <w:color w:val="auto"/>
              </w:rPr>
            </w:pPr>
          </w:p>
        </w:tc>
      </w:tr>
      <w:tr>
        <w:trPr>
          <w:trHeight w:val="217"/>
        </w:trPr>
        <w:tc>
          <w:tcPr>
            <w:tcW w:w="7620" w:type="dxa"/>
            <w:vAlign w:val="bottom"/>
            <w:gridSpan w:val="2"/>
          </w:tcPr>
          <w:p>
            <w:pPr>
              <w:ind w:left="260"/>
              <w:spacing w:after="0"/>
              <w:rPr>
                <w:sz w:val="20"/>
                <w:szCs w:val="20"/>
                <w:color w:val="auto"/>
              </w:rPr>
            </w:pPr>
            <w:r>
              <w:rPr>
                <w:rFonts w:ascii="Arial" w:cs="Arial" w:eastAsia="Arial" w:hAnsi="Arial"/>
                <w:sz w:val="16"/>
                <w:szCs w:val="16"/>
                <w:color w:val="auto"/>
              </w:rPr>
              <w:t>averaging 6.03%, maturing from 2025 to 2037</w:t>
            </w: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2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6"/>
                <w:szCs w:val="16"/>
                <w:color w:val="auto"/>
              </w:rPr>
              <w:t>Special facility revenue bonds, fixed interest rates ranging from 2.25% to 5.38%, maturing from 2026 to</w:t>
            </w:r>
          </w:p>
        </w:tc>
        <w:tc>
          <w:tcPr>
            <w:tcW w:w="2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2036</w:t>
            </w:r>
          </w:p>
        </w:tc>
        <w:tc>
          <w:tcPr>
            <w:tcW w:w="5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60" w:type="dxa"/>
            <w:vAlign w:val="bottom"/>
            <w:tcBorders>
              <w:bottom w:val="single" w:sz="8" w:color="CCEEFF"/>
            </w:tcBorders>
          </w:tcPr>
          <w:p>
            <w:pPr>
              <w:spacing w:after="0"/>
              <w:rPr>
                <w:sz w:val="17"/>
                <w:szCs w:val="17"/>
                <w:color w:val="auto"/>
              </w:rPr>
            </w:pPr>
          </w:p>
        </w:tc>
        <w:tc>
          <w:tcPr>
            <w:tcW w:w="55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25,372</w:t>
            </w: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Unsecured</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20" w:type="dxa"/>
            <w:vAlign w:val="bottom"/>
            <w:gridSpan w:val="2"/>
          </w:tcPr>
          <w:p>
            <w:pPr>
              <w:ind w:left="100"/>
              <w:spacing w:after="0"/>
              <w:rPr>
                <w:sz w:val="20"/>
                <w:szCs w:val="20"/>
                <w:color w:val="auto"/>
              </w:rPr>
            </w:pPr>
            <w:r>
              <w:rPr>
                <w:rFonts w:ascii="Arial" w:cs="Arial" w:eastAsia="Arial" w:hAnsi="Arial"/>
                <w:sz w:val="16"/>
                <w:szCs w:val="16"/>
                <w:color w:val="auto"/>
              </w:rPr>
              <w:t>PSP1 Promissory Note, variable interest rate of 6.13%, interest only payments until due in April 2030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05"/>
        </w:trPr>
        <w:tc>
          <w:tcPr>
            <w:tcW w:w="762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6"/>
                <w:szCs w:val="16"/>
                <w:color w:val="auto"/>
              </w:rPr>
              <w:t xml:space="preserve">PSP2 Promissory Note, interest only payments until due in January 2031 </w:t>
            </w:r>
            <w:r>
              <w:rPr>
                <w:rFonts w:ascii="Arial" w:cs="Arial" w:eastAsia="Arial" w:hAnsi="Arial"/>
                <w:sz w:val="20"/>
                <w:szCs w:val="20"/>
                <w:color w:val="auto"/>
                <w:vertAlign w:val="superscript"/>
              </w:rPr>
              <w:t>(2)</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05"/>
        </w:trPr>
        <w:tc>
          <w:tcPr>
            <w:tcW w:w="7620" w:type="dxa"/>
            <w:vAlign w:val="bottom"/>
            <w:gridSpan w:val="2"/>
          </w:tcPr>
          <w:p>
            <w:pPr>
              <w:ind w:left="100"/>
              <w:spacing w:after="0" w:line="205" w:lineRule="exact"/>
              <w:rPr>
                <w:sz w:val="20"/>
                <w:szCs w:val="20"/>
                <w:color w:val="auto"/>
              </w:rPr>
            </w:pPr>
            <w:r>
              <w:rPr>
                <w:rFonts w:ascii="Arial" w:cs="Arial" w:eastAsia="Arial" w:hAnsi="Arial"/>
                <w:sz w:val="16"/>
                <w:szCs w:val="16"/>
                <w:color w:val="auto"/>
              </w:rPr>
              <w:t xml:space="preserve">PSP3 Promissory Note, interest only payments until due in April 2031 </w:t>
            </w:r>
            <w:r>
              <w:rPr>
                <w:rFonts w:ascii="Arial" w:cs="Arial" w:eastAsia="Arial" w:hAnsi="Arial"/>
                <w:sz w:val="20"/>
                <w:szCs w:val="20"/>
                <w:color w:val="auto"/>
                <w:vertAlign w:val="superscript"/>
              </w:rPr>
              <w:t>(2)</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05"/>
        </w:trPr>
        <w:tc>
          <w:tcPr>
            <w:tcW w:w="7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6.50% convertible senior notes, interest only payments until due in July 2025</w:t>
            </w: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7"/>
        </w:trPr>
        <w:tc>
          <w:tcPr>
            <w:tcW w:w="2060" w:type="dxa"/>
            <w:vAlign w:val="bottom"/>
            <w:tcBorders>
              <w:bottom w:val="single" w:sz="8" w:color="CCEEFF"/>
            </w:tcBorders>
          </w:tcPr>
          <w:p>
            <w:pPr>
              <w:spacing w:after="0"/>
              <w:rPr>
                <w:sz w:val="17"/>
                <w:szCs w:val="17"/>
                <w:color w:val="auto"/>
              </w:rPr>
            </w:pPr>
          </w:p>
        </w:tc>
        <w:tc>
          <w:tcPr>
            <w:tcW w:w="55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4,746</w:t>
            </w:r>
          </w:p>
        </w:tc>
        <w:tc>
          <w:tcPr>
            <w:tcW w:w="0" w:type="dxa"/>
            <w:vAlign w:val="bottom"/>
          </w:tcPr>
          <w:p>
            <w:pPr>
              <w:spacing w:after="0"/>
              <w:rPr>
                <w:sz w:val="1"/>
                <w:szCs w:val="1"/>
                <w:color w:val="auto"/>
              </w:rPr>
            </w:pPr>
          </w:p>
        </w:tc>
      </w:tr>
      <w:tr>
        <w:trPr>
          <w:trHeight w:val="19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30,118</w:t>
            </w:r>
          </w:p>
        </w:tc>
        <w:tc>
          <w:tcPr>
            <w:tcW w:w="0" w:type="dxa"/>
            <w:vAlign w:val="bottom"/>
          </w:tcPr>
          <w:p>
            <w:pPr>
              <w:spacing w:after="0"/>
              <w:rPr>
                <w:sz w:val="1"/>
                <w:szCs w:val="1"/>
                <w:color w:val="auto"/>
              </w:rPr>
            </w:pPr>
          </w:p>
        </w:tc>
      </w:tr>
      <w:tr>
        <w:trPr>
          <w:trHeight w:val="205"/>
        </w:trPr>
        <w:tc>
          <w:tcPr>
            <w:tcW w:w="7620" w:type="dxa"/>
            <w:vAlign w:val="bottom"/>
            <w:gridSpan w:val="2"/>
          </w:tcPr>
          <w:p>
            <w:pPr>
              <w:ind w:left="100"/>
              <w:spacing w:after="0"/>
              <w:rPr>
                <w:sz w:val="20"/>
                <w:szCs w:val="20"/>
                <w:color w:val="auto"/>
              </w:rPr>
            </w:pPr>
            <w:r>
              <w:rPr>
                <w:rFonts w:ascii="Arial" w:cs="Arial" w:eastAsia="Arial" w:hAnsi="Arial"/>
                <w:sz w:val="16"/>
                <w:szCs w:val="16"/>
                <w:color w:val="auto"/>
              </w:rPr>
              <w:t>Less: Total unamortized debt discount, premium and issuance costs</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5"/>
        </w:trPr>
        <w:tc>
          <w:tcPr>
            <w:tcW w:w="7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Less: Current maturities</w:t>
            </w: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5,196</w:t>
            </w:r>
          </w:p>
        </w:tc>
        <w:tc>
          <w:tcPr>
            <w:tcW w:w="0" w:type="dxa"/>
            <w:vAlign w:val="bottom"/>
          </w:tcPr>
          <w:p>
            <w:pPr>
              <w:spacing w:after="0"/>
              <w:rPr>
                <w:sz w:val="1"/>
                <w:szCs w:val="1"/>
                <w:color w:val="auto"/>
              </w:rPr>
            </w:pPr>
          </w:p>
        </w:tc>
      </w:tr>
      <w:tr>
        <w:trPr>
          <w:trHeight w:val="197"/>
        </w:trPr>
        <w:tc>
          <w:tcPr>
            <w:tcW w:w="7620" w:type="dxa"/>
            <w:vAlign w:val="bottom"/>
            <w:gridSpan w:val="2"/>
          </w:tcPr>
          <w:p>
            <w:pPr>
              <w:ind w:left="300"/>
              <w:spacing w:after="0"/>
              <w:rPr>
                <w:sz w:val="20"/>
                <w:szCs w:val="20"/>
                <w:color w:val="auto"/>
              </w:rPr>
            </w:pPr>
            <w:r>
              <w:rPr>
                <w:rFonts w:ascii="Arial" w:cs="Arial" w:eastAsia="Arial" w:hAnsi="Arial"/>
                <w:sz w:val="16"/>
                <w:szCs w:val="16"/>
                <w:color w:val="auto"/>
              </w:rPr>
              <w:t>Long-term debt, net of current maturities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60" w:type="dxa"/>
            <w:vAlign w:val="bottom"/>
            <w:tcBorders>
              <w:bottom w:val="single" w:sz="8" w:color="auto"/>
            </w:tcBorders>
          </w:tcPr>
          <w:p>
            <w:pPr>
              <w:spacing w:after="0"/>
              <w:rPr>
                <w:sz w:val="12"/>
                <w:szCs w:val="12"/>
                <w:color w:val="auto"/>
              </w:rPr>
            </w:pPr>
          </w:p>
        </w:tc>
        <w:tc>
          <w:tcPr>
            <w:tcW w:w="5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84" w:hanging="284"/>
        <w:spacing w:after="0"/>
        <w:tabs>
          <w:tab w:leader="none" w:pos="284"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Collectively referred to as the AAdvantage Financing.</w:t>
      </w:r>
    </w:p>
    <w:p>
      <w:pPr>
        <w:spacing w:after="0" w:line="69" w:lineRule="exact"/>
        <w:rPr>
          <w:rFonts w:ascii="Arial" w:cs="Arial" w:eastAsia="Arial" w:hAnsi="Arial"/>
          <w:sz w:val="21"/>
          <w:szCs w:val="21"/>
          <w:color w:val="auto"/>
          <w:vertAlign w:val="superscript"/>
        </w:rPr>
      </w:pPr>
    </w:p>
    <w:p>
      <w:pPr>
        <w:jc w:val="both"/>
        <w:ind w:left="284" w:right="20" w:hanging="284"/>
        <w:spacing w:after="0" w:line="228" w:lineRule="auto"/>
        <w:tabs>
          <w:tab w:leader="none" w:pos="279"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PSP2 and PSP3 notes bear interest at a fixed interest rate of 1.00% until the first and second quarters of 2026, respectively. Thereafter and until maturity, the notes bear interest at 2.00% plus an interest rate based on the Secured Overnight Financing Rate (SOFR) or other benchmark replacement rate consistent with customary market conventions.</w:t>
      </w:r>
    </w:p>
    <w:p>
      <w:pPr>
        <w:spacing w:after="0" w:line="200" w:lineRule="exact"/>
        <w:rPr>
          <w:sz w:val="20"/>
          <w:szCs w:val="20"/>
          <w:color w:val="auto"/>
        </w:rPr>
      </w:pPr>
    </w:p>
    <w:p>
      <w:pPr>
        <w:spacing w:after="0" w:line="22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17" w:name="page18"/>
    <w:bookmarkEnd w:id="17"/>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9480" w:type="dxa"/>
            <w:vAlign w:val="bottom"/>
            <w:gridSpan w:val="2"/>
          </w:tcPr>
          <w:p>
            <w:pPr>
              <w:ind w:left="220"/>
              <w:spacing w:after="0"/>
              <w:rPr>
                <w:sz w:val="20"/>
                <w:szCs w:val="20"/>
                <w:color w:val="auto"/>
              </w:rPr>
            </w:pPr>
            <w:r>
              <w:rPr>
                <w:rFonts w:ascii="Arial" w:cs="Arial" w:eastAsia="Arial" w:hAnsi="Arial"/>
                <w:sz w:val="16"/>
                <w:szCs w:val="16"/>
                <w:color w:val="auto"/>
              </w:rPr>
              <w:t>As of June 30, 2025, the maximum availability under our revolving credit and other facilities is as follows (in millions):</w:t>
            </w: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67"/>
        </w:trPr>
        <w:tc>
          <w:tcPr>
            <w:tcW w:w="206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5"/>
        </w:trPr>
        <w:tc>
          <w:tcPr>
            <w:tcW w:w="948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2013 Revolving Facility </w:t>
            </w:r>
            <w:r>
              <w:rPr>
                <w:rFonts w:ascii="Arial" w:cs="Arial" w:eastAsia="Arial" w:hAnsi="Arial"/>
                <w:sz w:val="20"/>
                <w:szCs w:val="20"/>
                <w:color w:val="auto"/>
                <w:vertAlign w:val="superscript"/>
              </w:rPr>
              <w:t>(1)</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05"/>
        </w:trPr>
        <w:tc>
          <w:tcPr>
            <w:tcW w:w="9480" w:type="dxa"/>
            <w:vAlign w:val="bottom"/>
            <w:gridSpan w:val="2"/>
          </w:tcPr>
          <w:p>
            <w:pPr>
              <w:ind w:left="20"/>
              <w:spacing w:after="0" w:line="205" w:lineRule="exact"/>
              <w:rPr>
                <w:sz w:val="20"/>
                <w:szCs w:val="20"/>
                <w:color w:val="auto"/>
              </w:rPr>
            </w:pPr>
            <w:r>
              <w:rPr>
                <w:rFonts w:ascii="Arial" w:cs="Arial" w:eastAsia="Arial" w:hAnsi="Arial"/>
                <w:sz w:val="16"/>
                <w:szCs w:val="16"/>
                <w:color w:val="auto"/>
              </w:rPr>
              <w:t xml:space="preserve">2014 Revolving Facility </w:t>
            </w:r>
            <w:r>
              <w:rPr>
                <w:rFonts w:ascii="Arial" w:cs="Arial" w:eastAsia="Arial" w:hAnsi="Arial"/>
                <w:sz w:val="20"/>
                <w:szCs w:val="20"/>
                <w:color w:val="auto"/>
                <w:vertAlign w:val="superscript"/>
              </w:rPr>
              <w:t>(1)</w:t>
            </w: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1,557</w:t>
            </w:r>
          </w:p>
        </w:tc>
      </w:tr>
      <w:tr>
        <w:trPr>
          <w:trHeight w:val="205"/>
        </w:trPr>
        <w:tc>
          <w:tcPr>
            <w:tcW w:w="948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2023 Revolving Facility </w:t>
            </w:r>
            <w:r>
              <w:rPr>
                <w:rFonts w:ascii="Arial" w:cs="Arial" w:eastAsia="Arial" w:hAnsi="Arial"/>
                <w:sz w:val="20"/>
                <w:szCs w:val="20"/>
                <w:color w:val="auto"/>
                <w:vertAlign w:val="superscript"/>
              </w:rPr>
              <w:t>(1)</w:t>
            </w: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05"/>
        </w:trPr>
        <w:tc>
          <w:tcPr>
            <w:tcW w:w="9480" w:type="dxa"/>
            <w:vAlign w:val="bottom"/>
            <w:tcBorders>
              <w:bottom w:val="single" w:sz="8" w:color="CCEEFF"/>
            </w:tcBorders>
            <w:gridSpan w:val="2"/>
          </w:tcPr>
          <w:p>
            <w:pPr>
              <w:ind w:left="20"/>
              <w:spacing w:after="0" w:line="205"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0"/>
                <w:szCs w:val="20"/>
                <w:color w:val="auto"/>
                <w:vertAlign w:val="superscript"/>
              </w:rPr>
              <w:t>(2)</w:t>
            </w: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r>
      <w:tr>
        <w:trPr>
          <w:trHeight w:val="222"/>
        </w:trPr>
        <w:tc>
          <w:tcPr>
            <w:tcW w:w="9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25"/>
        </w:trPr>
        <w:tc>
          <w:tcPr>
            <w:tcW w:w="2060" w:type="dxa"/>
            <w:vAlign w:val="bottom"/>
            <w:tcBorders>
              <w:bottom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55" w:lineRule="exact"/>
        <w:rPr>
          <w:sz w:val="20"/>
          <w:szCs w:val="20"/>
          <w:color w:val="auto"/>
        </w:rPr>
      </w:pPr>
    </w:p>
    <w:p>
      <w:pPr>
        <w:jc w:val="both"/>
        <w:ind w:left="284" w:right="20" w:hanging="284"/>
        <w:spacing w:after="0" w:line="234" w:lineRule="auto"/>
        <w:tabs>
          <w:tab w:leader="none" w:pos="279"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On April 21, 2025, the aggregate revolving commitments under the 2013, 2014 and 2023 Revolving Facilities were increased from $2.9 billion to $3.0 billion upon the upsize of commitments by certain existing lenders. No other terms were changed and there are no borrowings outstanding under the facilities.</w:t>
      </w:r>
    </w:p>
    <w:p>
      <w:pPr>
        <w:spacing w:after="0" w:line="128" w:lineRule="exact"/>
        <w:rPr>
          <w:rFonts w:ascii="Arial" w:cs="Arial" w:eastAsia="Arial" w:hAnsi="Arial"/>
          <w:sz w:val="21"/>
          <w:szCs w:val="21"/>
          <w:color w:val="auto"/>
          <w:vertAlign w:val="superscript"/>
        </w:rPr>
      </w:pPr>
    </w:p>
    <w:p>
      <w:pPr>
        <w:jc w:val="both"/>
        <w:ind w:left="284" w:right="20" w:hanging="284"/>
        <w:spacing w:after="0" w:line="234" w:lineRule="auto"/>
        <w:tabs>
          <w:tab w:leader="none" w:pos="279"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a revolving credit facility that provides for borrowing capacity of up to $350 million, maturing in March 2027 with an option to extend for an additional year. Additionally, American currently has $50 million of available borrowing base under a cargo receivables facility that is set to expire in December 2025. There are no amounts drawn under these facilities.</w:t>
      </w:r>
    </w:p>
    <w:p>
      <w:pPr>
        <w:spacing w:after="0" w:line="128"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165"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AAdvantage Term Loan Facilities</w:t>
      </w:r>
    </w:p>
    <w:p>
      <w:pPr>
        <w:spacing w:after="0" w:line="79" w:lineRule="exact"/>
        <w:rPr>
          <w:sz w:val="20"/>
          <w:szCs w:val="20"/>
          <w:color w:val="auto"/>
        </w:rPr>
      </w:pPr>
    </w:p>
    <w:p>
      <w:pPr>
        <w:jc w:val="both"/>
        <w:ind w:left="4" w:firstLine="217"/>
        <w:spacing w:after="0" w:line="256" w:lineRule="auto"/>
        <w:rPr>
          <w:sz w:val="20"/>
          <w:szCs w:val="20"/>
          <w:color w:val="auto"/>
        </w:rPr>
      </w:pPr>
      <w:r>
        <w:rPr>
          <w:rFonts w:ascii="Arial" w:cs="Arial" w:eastAsia="Arial" w:hAnsi="Arial"/>
          <w:sz w:val="16"/>
          <w:szCs w:val="16"/>
          <w:color w:val="auto"/>
        </w:rPr>
        <w:t>On March 24, 2025, American and AAdvantage Loyalty IP Ltd. (the Borrowers) entered into a second amendment to the term loan credit and guaranty agreement dated March 24, 2021 (the Second Amendment). As a result of the Second Amendment, the term loans outstanding with a principal amount of approximately $2.3 billion (the 2021 AAdvantage Term Loan Facility) were replaced with new term loans in the same principal amount. The terms of the new term loans are substantially similar to the prior term loans; however, the new term loans bear interest at a base rate (subject to a floor of 0.00%) plus an applicable margin of 1.25% per annum or, at the Borrowers’ option, the SOFR for a tenor of three months (subject to a floor of 0.00%), plus an applicable margin of 2.25% per annum. Additionally, the scheduled quarterly principal amortization amount was reduced to 0.25% of the principal amount of term loans outstanding as of March 24, 2025 (approximately $ 6 million each quarter), payable beginning in July 2025, and the remaining balance is due at maturity in April 2028. Pursuant to the Second Amendment, the new term loans are not subject to a cost spread adjustment.</w:t>
      </w:r>
    </w:p>
    <w:p>
      <w:pPr>
        <w:spacing w:after="0" w:line="115" w:lineRule="exact"/>
        <w:rPr>
          <w:sz w:val="20"/>
          <w:szCs w:val="20"/>
          <w:color w:val="auto"/>
        </w:rPr>
      </w:pPr>
    </w:p>
    <w:p>
      <w:pPr>
        <w:jc w:val="both"/>
        <w:ind w:left="4" w:firstLine="217"/>
        <w:spacing w:after="0" w:line="255" w:lineRule="auto"/>
        <w:rPr>
          <w:sz w:val="20"/>
          <w:szCs w:val="20"/>
          <w:color w:val="auto"/>
        </w:rPr>
      </w:pPr>
      <w:r>
        <w:rPr>
          <w:rFonts w:ascii="Arial" w:cs="Arial" w:eastAsia="Arial" w:hAnsi="Arial"/>
          <w:sz w:val="16"/>
          <w:szCs w:val="16"/>
          <w:color w:val="auto"/>
        </w:rPr>
        <w:t>On May 28, 2025, the Borrowers entered into a third amendment to the term loan credit and guaranty agreement dated March 24, 2021 (the Third Amendment). As a result of the Third Amendment, the Borrowers incurred $1.0 billion of incremental term loans (the 2025 AAdvantage Term Loan Facility) due on May 28, 2032. The terms of the 2025 AAdvantage Term Loan Facility are substantially similar to the 2021 AAdvantage Term Loan Facility; however, the 2025 AAdvantage Term Loan Facility bears interest at a base rate (subject to a floor of 0.00%) plus an applicable margin of 2.25% per annum or, at the Borrowers’ option, the SOFR rate for a tenor of three months (subject to a floor of 0.00%), plus an applicable margin of 3.25% per annum. Additionally, the scheduled quarterly principal amortization amount is equal to 0.25% of the original aggregate principal amount of the 2025 AAdvantage Term Loan Facility (approximately $ 3 million each quarter), payable beginning in July 2025, and the remaining balance is due at maturity in May 2032. Pursuant to the Third Amendment, the 2025 AAdvantage Term Loan Facility is not subject to a cost spread adjustment. The net proceeds from the 2025 AAdvantage Term Loan Facility were used to repay near term maturities, including the Convertible Notes described further below.</w:t>
      </w:r>
    </w:p>
    <w:p>
      <w:pPr>
        <w:spacing w:after="0" w:line="193"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6.50% Convertible Senior Notes (the Convertible Notes)</w:t>
      </w:r>
    </w:p>
    <w:p>
      <w:pPr>
        <w:spacing w:after="0" w:line="79" w:lineRule="exact"/>
        <w:rPr>
          <w:sz w:val="20"/>
          <w:szCs w:val="20"/>
          <w:color w:val="auto"/>
        </w:rPr>
      </w:pPr>
    </w:p>
    <w:p>
      <w:pPr>
        <w:jc w:val="both"/>
        <w:ind w:left="4" w:right="20" w:firstLine="217"/>
        <w:spacing w:after="0" w:line="257" w:lineRule="auto"/>
        <w:rPr>
          <w:sz w:val="20"/>
          <w:szCs w:val="20"/>
          <w:color w:val="auto"/>
        </w:rPr>
      </w:pPr>
      <w:r>
        <w:rPr>
          <w:rFonts w:ascii="Arial" w:cs="Arial" w:eastAsia="Arial" w:hAnsi="Arial"/>
          <w:sz w:val="16"/>
          <w:szCs w:val="16"/>
          <w:color w:val="auto"/>
        </w:rPr>
        <w:t>On March 27, 2025, we provided notice to the holders of our Convertible Notes that we would settle our Convertible Notes at their maturity in cash (including any conversions up to a price per share of AAG common stock of approximately $22.00). We changed the default settlement method applicable to conversions of the Convertible Notes to provide that no shares of AAG common stock would be due upon settlement of the conversion of any Convertible Note (and, accordingly, such conversion would be settled entirely in cash) if the volume-weighted average price per share of AAG common stock did not exceed approximately $22.00 on any trading day of the 20-trading day “observation period” over which the consideration due upon conversion is calculated and determined. Pursuant to the terms of the indenture governing the Convertible Notes, the holders of the Convertible Notes could convert at their option beginning April 1, 2025, until the</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close of business on the scheduled trading day immediately before the maturity date, July 1, 2025, of the Convertible Notes.</w:t>
      </w:r>
    </w:p>
    <w:p>
      <w:pPr>
        <w:spacing w:after="0" w:line="153"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On July 1, 2025, the volume-weighted average price per share of AAG common stock did not exceed $22.00 on any trading day of the 20-trading day “observation period” and therefore the Convertible Notes were settled at their maturity in cash for $1.0 billion.</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Equipment Loans and Other Notes Payable Issued in 2025</w:t>
      </w:r>
    </w:p>
    <w:p>
      <w:pPr>
        <w:spacing w:after="0" w:line="79"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During the first six months of 2025, American entered into agreements under which it borrowed $712 million in connection with the financing of certain aircraft. Debt incurred under these agreements matures in 2036 through 2037 and bears interest at variable rates (comprised of SOFR plus an applicable margin) averaging 6.29% as of June 30, 2025.</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Other Financing Activities</w:t>
      </w:r>
    </w:p>
    <w:p>
      <w:pPr>
        <w:spacing w:after="0" w:line="79"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During the first six months of 2025, American prepaid $487 million of the outstanding principal amounts of equipment notes issued under EETCs, and these amounts were applied to repay the related trust certificates. Additionally, American prepaid $308 million toward portions of the outstanding principal amounts of the 10.75% senior secured IP notes and 10.75% senior secured LGA/DCA notes.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Income Taxes</w:t>
      </w:r>
    </w:p>
    <w:p>
      <w:pPr>
        <w:spacing w:after="0" w:line="81" w:lineRule="exact"/>
        <w:rPr>
          <w:sz w:val="20"/>
          <w:szCs w:val="20"/>
          <w:color w:val="auto"/>
        </w:rPr>
      </w:pPr>
    </w:p>
    <w:p>
      <w:pPr>
        <w:jc w:val="both"/>
        <w:ind w:right="20" w:firstLine="217"/>
        <w:spacing w:after="0" w:line="263" w:lineRule="auto"/>
        <w:rPr>
          <w:sz w:val="20"/>
          <w:szCs w:val="20"/>
          <w:color w:val="auto"/>
        </w:rPr>
      </w:pPr>
      <w:r>
        <w:rPr>
          <w:rFonts w:ascii="Arial" w:cs="Arial" w:eastAsia="Arial" w:hAnsi="Arial"/>
          <w:sz w:val="16"/>
          <w:szCs w:val="16"/>
          <w:color w:val="auto"/>
        </w:rPr>
        <w:t>At December 31, 2024, we had approximately $12.9 billion of gross federal net operating losses (NOLs) and $5.9 billion of other carryforwards available to reduce future federal taxable income, of which $2.6 billion will expire beginning in 2033 if unused and $16.2 billion can be carried forward indefinitely. We also had approximately $5.2 billion of NOL carryforwards to reduce future state taxable income at December 31, 2024, which will expire in taxable years 2024 through 2044 if unused.</w:t>
      </w:r>
    </w:p>
    <w:p>
      <w:pPr>
        <w:spacing w:after="0" w:line="108" w:lineRule="exact"/>
        <w:rPr>
          <w:sz w:val="20"/>
          <w:szCs w:val="20"/>
          <w:color w:val="auto"/>
        </w:rPr>
      </w:pPr>
    </w:p>
    <w:p>
      <w:pPr>
        <w:jc w:val="both"/>
        <w:ind w:firstLine="217"/>
        <w:spacing w:after="0" w:line="258" w:lineRule="auto"/>
        <w:rPr>
          <w:sz w:val="20"/>
          <w:szCs w:val="20"/>
          <w:color w:val="auto"/>
        </w:rPr>
      </w:pPr>
      <w:r>
        <w:rPr>
          <w:rFonts w:ascii="Arial" w:cs="Arial" w:eastAsia="Arial" w:hAnsi="Arial"/>
          <w:sz w:val="16"/>
          <w:szCs w:val="16"/>
          <w:color w:val="auto"/>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113" w:lineRule="exact"/>
        <w:rPr>
          <w:sz w:val="20"/>
          <w:szCs w:val="20"/>
          <w:color w:val="auto"/>
        </w:rPr>
      </w:pPr>
    </w:p>
    <w:p>
      <w:pPr>
        <w:jc w:val="both"/>
        <w:ind w:firstLine="217"/>
        <w:spacing w:after="0" w:line="260" w:lineRule="auto"/>
        <w:rPr>
          <w:sz w:val="20"/>
          <w:szCs w:val="20"/>
          <w:color w:val="auto"/>
        </w:rPr>
      </w:pPr>
      <w:r>
        <w:rPr>
          <w:rFonts w:ascii="Arial" w:cs="Arial" w:eastAsia="Arial" w:hAnsi="Arial"/>
          <w:sz w:val="16"/>
          <w:szCs w:val="16"/>
          <w:color w:val="auto"/>
        </w:rPr>
        <w:t>We have historically calculated the provision for income taxes during interim reporting periods by applying an estimate of the annual effective tax rate for the full year to income or loss for the reporting period. We have changed to use the discrete method to calculate taxes for the three and six months ended June 30, 2025. At this time, we believe that the use of the discrete method for the three and six months ended June 30, 2025 is more appropriate than the estimated annual effective tax rate method due to the fact that small changes in projected full year income could cause material fluctuations in our annual effective tax rate applied during each quarter.</w:t>
      </w:r>
    </w:p>
    <w:p>
      <w:pPr>
        <w:spacing w:after="0" w:line="111"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During the three and six months ended June 30, 2025, we recorded an income tax provision of $239 million and $63 million, respectively, which was substantially non-cash due to the utilization of the NOLs described above. Substantially all of our income before income taxes is attributable to the United States.</w:t>
      </w:r>
    </w:p>
    <w:p>
      <w:pPr>
        <w:spacing w:after="0" w:line="104" w:lineRule="exact"/>
        <w:rPr>
          <w:sz w:val="20"/>
          <w:szCs w:val="20"/>
          <w:color w:val="auto"/>
        </w:rPr>
      </w:pPr>
    </w:p>
    <w:p>
      <w:pPr>
        <w:jc w:val="both"/>
        <w:ind w:right="20" w:firstLine="217"/>
        <w:spacing w:after="0" w:line="263" w:lineRule="auto"/>
        <w:rPr>
          <w:sz w:val="20"/>
          <w:szCs w:val="20"/>
          <w:color w:val="auto"/>
        </w:rPr>
      </w:pPr>
      <w:r>
        <w:rPr>
          <w:rFonts w:ascii="Arial" w:cs="Arial" w:eastAsia="Arial" w:hAnsi="Arial"/>
          <w:sz w:val="16"/>
          <w:szCs w:val="16"/>
          <w:color w:val="auto"/>
        </w:rPr>
        <w:t>On July 4, 2025, H.R. 1, the “One Big Beautiful Bill Act” (the OBBBA) was signed into law in the U.S. Among other changes, the OBBBA modifies key business tax provisions, including by restoring 100% bonus depreciation under Section 168(k), reverting to the higher, EBITDA-based, business interest expense limitation under Section 163(j) and changing the computation of taxes related to international operations. Based on our current analysis of these provisions, we do not believe these provisions will have a material impact on our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9" w:name="page20"/>
    <w:bookmarkEnd w:id="19"/>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7. Fair Value Measurements</w:t>
      </w:r>
    </w:p>
    <w:p>
      <w:pPr>
        <w:spacing w:after="0" w:line="83"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Assets Measured at Fair Value on a Recurring Basis</w:t>
      </w:r>
    </w:p>
    <w:p>
      <w:pPr>
        <w:spacing w:after="0" w:line="79"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six months ended June 30, 2025.</w:t>
      </w:r>
    </w:p>
    <w:p>
      <w:pPr>
        <w:spacing w:after="0" w:line="108" w:lineRule="exact"/>
        <w:rPr>
          <w:sz w:val="20"/>
          <w:szCs w:val="20"/>
          <w:color w:val="auto"/>
        </w:rPr>
      </w:pPr>
    </w:p>
    <w:p>
      <w:pPr>
        <w:ind w:left="224"/>
        <w:spacing w:after="0"/>
        <w:rPr>
          <w:sz w:val="20"/>
          <w:szCs w:val="20"/>
          <w:color w:val="auto"/>
        </w:rPr>
      </w:pPr>
      <w:r>
        <w:rPr>
          <w:rFonts w:ascii="Arial" w:cs="Arial" w:eastAsia="Arial" w:hAnsi="Arial"/>
          <w:sz w:val="16"/>
          <w:szCs w:val="16"/>
          <w:color w:val="auto"/>
        </w:rPr>
        <w:t>Assets measured at fair value on a recurring basis are summarized below (in millions):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w w:val="98"/>
              </w:rPr>
              <w:t>Fair Value Measurements as of June 30, 2025</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73"/>
        </w:trPr>
        <w:tc>
          <w:tcPr>
            <w:tcW w:w="6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1</w:t>
            </w:r>
          </w:p>
        </w:tc>
        <w:tc>
          <w:tcPr>
            <w:tcW w:w="24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2</w:t>
            </w:r>
          </w:p>
        </w:tc>
        <w:tc>
          <w:tcPr>
            <w:tcW w:w="24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b w:val="1"/>
                <w:bCs w:val="1"/>
                <w:color w:val="auto"/>
              </w:rPr>
              <w:t>Level 3</w:t>
            </w:r>
          </w:p>
        </w:tc>
      </w:tr>
      <w:tr>
        <w:trPr>
          <w:trHeight w:val="185"/>
        </w:trPr>
        <w:tc>
          <w:tcPr>
            <w:tcW w:w="6000" w:type="dxa"/>
            <w:vAlign w:val="bottom"/>
            <w:tcBorders>
              <w:top w:val="single" w:sz="8" w:color="CCEEFF"/>
            </w:tcBorders>
            <w:shd w:val="clear" w:color="auto" w:fill="CCEEFF"/>
          </w:tcPr>
          <w:p>
            <w:pPr>
              <w:ind w:left="20"/>
              <w:spacing w:after="0" w:line="184" w:lineRule="exact"/>
              <w:rPr>
                <w:sz w:val="20"/>
                <w:szCs w:val="20"/>
                <w:color w:val="auto"/>
              </w:rPr>
            </w:pPr>
            <w:r>
              <w:rPr>
                <w:rFonts w:ascii="Arial" w:cs="Arial" w:eastAsia="Arial" w:hAnsi="Arial"/>
                <w:sz w:val="16"/>
                <w:szCs w:val="16"/>
                <w:color w:val="auto"/>
              </w:rPr>
              <w:t xml:space="preserve">Short-term investments </w:t>
            </w:r>
            <w:r>
              <w:rPr>
                <w:rFonts w:ascii="Arial" w:cs="Arial" w:eastAsia="Arial" w:hAnsi="Arial"/>
                <w:sz w:val="20"/>
                <w:szCs w:val="20"/>
                <w:color w:val="auto"/>
                <w:vertAlign w:val="superscript"/>
              </w:rPr>
              <w:t>(1), (2)</w:t>
            </w:r>
            <w:r>
              <w:rPr>
                <w:rFonts w:ascii="Arial" w:cs="Arial" w:eastAsia="Arial" w:hAnsi="Arial"/>
                <w:sz w:val="16"/>
                <w:szCs w:val="16"/>
                <w:color w:val="auto"/>
              </w:rPr>
              <w:t>:</w:t>
            </w:r>
          </w:p>
        </w:tc>
        <w:tc>
          <w:tcPr>
            <w:tcW w:w="3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05"/>
        </w:trPr>
        <w:tc>
          <w:tcPr>
            <w:tcW w:w="600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925</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r>
      <w:tr>
        <w:trPr>
          <w:trHeight w:val="205"/>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r>
      <w:tr>
        <w:trPr>
          <w:trHeight w:val="205"/>
        </w:trPr>
        <w:tc>
          <w:tcPr>
            <w:tcW w:w="6000" w:type="dxa"/>
            <w:vAlign w:val="bottom"/>
          </w:tcPr>
          <w:p>
            <w:pPr>
              <w:ind w:left="120"/>
              <w:spacing w:after="0"/>
              <w:rPr>
                <w:sz w:val="20"/>
                <w:szCs w:val="20"/>
                <w:color w:val="auto"/>
              </w:rPr>
            </w:pPr>
            <w:r>
              <w:rPr>
                <w:rFonts w:ascii="Arial" w:cs="Arial" w:eastAsia="Arial" w:hAnsi="Arial"/>
                <w:sz w:val="16"/>
                <w:szCs w:val="16"/>
                <w:color w:val="auto"/>
              </w:rPr>
              <w:t>Bank notes/certificates of deposit/time deposits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r>
      <w:tr>
        <w:trPr>
          <w:trHeight w:val="205"/>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agreements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r>
      <w:tr>
        <w:trPr>
          <w:trHeight w:val="197"/>
        </w:trPr>
        <w:tc>
          <w:tcPr>
            <w:tcW w:w="60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7,740</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6,815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r>
      <w:tr>
        <w:trPr>
          <w:trHeight w:val="205"/>
        </w:trPr>
        <w:tc>
          <w:tcPr>
            <w:tcW w:w="6000" w:type="dxa"/>
            <w:vAlign w:val="bottom"/>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Restricted cash and short-term investments </w:t>
            </w:r>
            <w:r>
              <w:rPr>
                <w:rFonts w:ascii="Arial" w:cs="Arial" w:eastAsia="Arial" w:hAnsi="Arial"/>
                <w:sz w:val="20"/>
                <w:szCs w:val="20"/>
                <w:color w:val="auto"/>
                <w:vertAlign w:val="superscript"/>
              </w:rPr>
              <w:t>(1), (3)</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r>
      <w:tr>
        <w:trPr>
          <w:trHeight w:val="205"/>
        </w:trPr>
        <w:tc>
          <w:tcPr>
            <w:tcW w:w="600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Long-term investments </w:t>
            </w:r>
            <w:r>
              <w:rPr>
                <w:rFonts w:ascii="Arial" w:cs="Arial" w:eastAsia="Arial" w:hAnsi="Arial"/>
                <w:sz w:val="20"/>
                <w:szCs w:val="20"/>
                <w:color w:val="auto"/>
                <w:vertAlign w:val="superscript"/>
              </w:rPr>
              <w:t>(4)</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r>
      <w:tr>
        <w:trPr>
          <w:trHeight w:val="222"/>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3150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204" w:lineRule="exact"/>
        <w:rPr>
          <w:sz w:val="20"/>
          <w:szCs w:val="20"/>
          <w:color w:val="auto"/>
        </w:rPr>
      </w:pPr>
    </w:p>
    <w:p>
      <w:pPr>
        <w:ind w:left="284" w:right="20" w:hanging="284"/>
        <w:spacing w:after="0" w:line="227" w:lineRule="auto"/>
        <w:tabs>
          <w:tab w:leader="none" w:pos="279"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96"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Our short-term investments mature in one year or less.</w:t>
      </w:r>
    </w:p>
    <w:p>
      <w:pPr>
        <w:spacing w:after="0" w:line="125" w:lineRule="exact"/>
        <w:rPr>
          <w:rFonts w:ascii="Arial" w:cs="Arial" w:eastAsia="Arial" w:hAnsi="Arial"/>
          <w:sz w:val="21"/>
          <w:szCs w:val="21"/>
          <w:color w:val="auto"/>
          <w:vertAlign w:val="superscript"/>
        </w:rPr>
      </w:pPr>
    </w:p>
    <w:p>
      <w:pPr>
        <w:jc w:val="both"/>
        <w:ind w:left="284" w:hanging="284"/>
        <w:spacing w:after="0" w:line="234" w:lineRule="auto"/>
        <w:tabs>
          <w:tab w:leader="none" w:pos="279"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Tulsa Maintenance Base. Restricted short-term investments mature in one year or less except for $157 million as of June 30, 2025.</w:t>
      </w:r>
    </w:p>
    <w:p>
      <w:pPr>
        <w:spacing w:after="0" w:line="128" w:lineRule="exact"/>
        <w:rPr>
          <w:rFonts w:ascii="Arial" w:cs="Arial" w:eastAsia="Arial" w:hAnsi="Arial"/>
          <w:sz w:val="21"/>
          <w:szCs w:val="21"/>
          <w:color w:val="auto"/>
          <w:vertAlign w:val="superscript"/>
        </w:rPr>
      </w:pPr>
    </w:p>
    <w:p>
      <w:pPr>
        <w:ind w:left="284" w:right="20" w:hanging="284"/>
        <w:spacing w:after="0" w:line="227" w:lineRule="auto"/>
        <w:tabs>
          <w:tab w:leader="none" w:pos="279"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Long-term investments primarily include our equity investment in China Southern Airlines Company Limited (China Southern Airlines). See Note 8 for further information on our equity investments.</w:t>
      </w:r>
    </w:p>
    <w:p>
      <w:pPr>
        <w:spacing w:after="0" w:line="201"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Fair Value of Debt</w:t>
      </w:r>
    </w:p>
    <w:p>
      <w:pPr>
        <w:spacing w:after="0" w:line="79" w:lineRule="exact"/>
        <w:rPr>
          <w:sz w:val="20"/>
          <w:szCs w:val="20"/>
          <w:color w:val="auto"/>
        </w:rPr>
      </w:pPr>
    </w:p>
    <w:p>
      <w:pPr>
        <w:jc w:val="both"/>
        <w:ind w:left="4" w:firstLine="217"/>
        <w:spacing w:after="0" w:line="269" w:lineRule="auto"/>
        <w:rPr>
          <w:sz w:val="20"/>
          <w:szCs w:val="20"/>
          <w:color w:val="auto"/>
        </w:rPr>
      </w:pPr>
      <w:r>
        <w:rPr>
          <w:rFonts w:ascii="Arial" w:cs="Arial" w:eastAsia="Arial" w:hAnsi="Arial"/>
          <w:sz w:val="16"/>
          <w:szCs w:val="16"/>
          <w:color w:val="auto"/>
        </w:rPr>
        <w:t>The fair value of our long-term debt was estimated using quoted market prices or discounted cash flow analyses based on our current estimated incremental borrowing rates for similar types of borrowing arrangements. The fair value of the Convertible Notes, which would have been classified as Level 2, was $1.0 billion and $1.2 billion as of June 30, 2025 and December 31, 2024, respectively.</w:t>
      </w:r>
    </w:p>
    <w:p>
      <w:pPr>
        <w:spacing w:after="0" w:line="104"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carrying value and estimated fair value of our long-term debt, including current maturities, were as follows (in millions):</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6"/>
              </w:rPr>
              <w:t>June 30, 2025</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Fair Value</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29"/>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190"/>
              <w:spacing w:after="0"/>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Level 1</w:t>
            </w:r>
          </w:p>
        </w:tc>
        <w:tc>
          <w:tcPr>
            <w:tcW w:w="34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3</w:t>
            </w:r>
          </w:p>
        </w:tc>
      </w:tr>
      <w:tr>
        <w:trPr>
          <w:trHeight w:val="222"/>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29,219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29,270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3,464</w:t>
            </w:r>
          </w:p>
        </w:tc>
        <w:tc>
          <w:tcPr>
            <w:tcW w:w="40" w:type="dxa"/>
            <w:vAlign w:val="bottom"/>
          </w:tcPr>
          <w:p>
            <w:pPr>
              <w:spacing w:after="0"/>
              <w:rPr>
                <w:sz w:val="18"/>
                <w:szCs w:val="18"/>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3"/>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9"/>
              </w:rPr>
              <w:t>December 31, 2024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Fair Value</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29"/>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190"/>
              <w:spacing w:after="0"/>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Level 1</w:t>
            </w:r>
          </w:p>
        </w:tc>
        <w:tc>
          <w:tcPr>
            <w:tcW w:w="34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3</w:t>
            </w:r>
          </w:p>
        </w:tc>
      </w:tr>
      <w:tr>
        <w:trPr>
          <w:trHeight w:val="222"/>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29,813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30,010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3,608</w:t>
            </w:r>
          </w:p>
        </w:tc>
        <w:tc>
          <w:tcPr>
            <w:tcW w:w="40" w:type="dxa"/>
            <w:vAlign w:val="bottom"/>
          </w:tcPr>
          <w:p>
            <w:pPr>
              <w:spacing w:after="0"/>
              <w:rPr>
                <w:sz w:val="18"/>
                <w:szCs w:val="18"/>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2"/>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9"/>
        </w:trPr>
        <w:tc>
          <w:tcPr>
            <w:tcW w:w="4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20" w:name="page21"/>
    <w:bookmarkEnd w:id="20"/>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8. Investments</w:t>
      </w:r>
    </w:p>
    <w:p>
      <w:pPr>
        <w:spacing w:after="0" w:line="81"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condensed consolidated balance sheets. Our share of equity method investees’ financial results and changes in fair value are recorded in nonoperating other income (expense), net on the condensed consolidated statements of operations.</w:t>
      </w:r>
    </w:p>
    <w:p>
      <w:pPr>
        <w:spacing w:after="0" w:line="108" w:lineRule="exact"/>
        <w:rPr>
          <w:sz w:val="20"/>
          <w:szCs w:val="20"/>
          <w:color w:val="auto"/>
        </w:rPr>
      </w:pPr>
    </w:p>
    <w:p>
      <w:pPr>
        <w:ind w:left="144"/>
        <w:spacing w:after="0"/>
        <w:rPr>
          <w:sz w:val="20"/>
          <w:szCs w:val="20"/>
          <w:color w:val="auto"/>
        </w:rPr>
      </w:pPr>
      <w:r>
        <w:rPr>
          <w:rFonts w:ascii="Arial" w:cs="Arial" w:eastAsia="Arial" w:hAnsi="Arial"/>
          <w:sz w:val="16"/>
          <w:szCs w:val="16"/>
          <w:color w:val="auto"/>
        </w:rPr>
        <w:t>Our equity investment ownership interests and carrying values are as follows:</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80"/>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Borders>
              <w:bottom w:val="single" w:sz="8" w:color="auto"/>
            </w:tcBorders>
            <w:gridSpan w:val="3"/>
          </w:tcPr>
          <w:p>
            <w:pPr>
              <w:jc w:val="right"/>
              <w:ind w:right="1145"/>
              <w:spacing w:after="0"/>
              <w:rPr>
                <w:sz w:val="20"/>
                <w:szCs w:val="20"/>
                <w:color w:val="auto"/>
              </w:rPr>
            </w:pPr>
            <w:r>
              <w:rPr>
                <w:rFonts w:ascii="Arial" w:cs="Arial" w:eastAsia="Arial" w:hAnsi="Arial"/>
                <w:sz w:val="13"/>
                <w:szCs w:val="13"/>
                <w:b w:val="1"/>
                <w:bCs w:val="1"/>
                <w:color w:val="auto"/>
              </w:rPr>
              <w:t>Ownership Interest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3"/>
                <w:szCs w:val="13"/>
                <w:b w:val="1"/>
                <w:bCs w:val="1"/>
                <w:color w:val="auto"/>
              </w:rPr>
              <w:t>Carrying Value (in millions)</w:t>
            </w:r>
          </w:p>
        </w:tc>
        <w:tc>
          <w:tcPr>
            <w:tcW w:w="0" w:type="dxa"/>
            <w:vAlign w:val="bottom"/>
          </w:tcPr>
          <w:p>
            <w:pPr>
              <w:spacing w:after="0"/>
              <w:rPr>
                <w:sz w:val="1"/>
                <w:szCs w:val="1"/>
                <w:color w:val="auto"/>
              </w:rPr>
            </w:pPr>
          </w:p>
        </w:tc>
      </w:tr>
      <w:tr>
        <w:trPr>
          <w:trHeight w:val="180"/>
        </w:trPr>
        <w:tc>
          <w:tcPr>
            <w:tcW w:w="20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Accounting Treatment</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June 30, 2025</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December 31, 2024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June 30, 2025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37"/>
        </w:trPr>
        <w:tc>
          <w:tcPr>
            <w:tcW w:w="220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5"/>
                <w:szCs w:val="15"/>
                <w:color w:val="auto"/>
              </w:rPr>
              <w:t>Republic Airways Holdings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Equity Method</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00" w:type="dxa"/>
            <w:vAlign w:val="bottom"/>
            <w:shd w:val="clear" w:color="auto" w:fill="CCEEFF"/>
          </w:tcPr>
          <w:p>
            <w:pPr>
              <w:spacing w:after="0"/>
              <w:rPr>
                <w:sz w:val="11"/>
                <w:szCs w:val="11"/>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7"/>
        </w:trPr>
        <w:tc>
          <w:tcPr>
            <w:tcW w:w="2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w:t>
            </w:r>
          </w:p>
        </w:tc>
        <w:tc>
          <w:tcPr>
            <w:tcW w:w="2000" w:type="dxa"/>
            <w:vAlign w:val="bottom"/>
            <w:gridSpan w:val="2"/>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China Southern Airlines</w:t>
            </w:r>
          </w:p>
        </w:tc>
        <w:tc>
          <w:tcPr>
            <w:tcW w:w="200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Fair Value</w:t>
            </w:r>
          </w:p>
        </w:tc>
        <w:tc>
          <w:tcPr>
            <w:tcW w:w="17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5"/>
        </w:trPr>
        <w:tc>
          <w:tcPr>
            <w:tcW w:w="22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20"/>
                <w:szCs w:val="20"/>
                <w:color w:val="auto"/>
                <w:vertAlign w:val="superscript"/>
              </w:rPr>
              <w:t>(1)</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Various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7"/>
        </w:trPr>
        <w:tc>
          <w:tcPr>
            <w:tcW w:w="220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84" w:hanging="284"/>
        <w:spacing w:after="0"/>
        <w:tabs>
          <w:tab w:leader="none" w:pos="284"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Primarily includes our investment in JetSMART Holdings Limited, which is accounted for under the equity method.</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9. Employee Benefit Plans</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following table provides the components of net periodic benefit cost (income) (in millions):</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Pension Benefits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4"/>
          </w:tcPr>
          <w:p>
            <w:pPr>
              <w:jc w:val="center"/>
              <w:ind w:right="222"/>
              <w:spacing w:after="0"/>
              <w:rPr>
                <w:sz w:val="20"/>
                <w:szCs w:val="20"/>
                <w:color w:val="auto"/>
              </w:rPr>
            </w:pPr>
            <w:r>
              <w:rPr>
                <w:rFonts w:ascii="Arial" w:cs="Arial" w:eastAsia="Arial" w:hAnsi="Arial"/>
                <w:sz w:val="13"/>
                <w:szCs w:val="13"/>
                <w:b w:val="1"/>
                <w:bCs w:val="1"/>
                <w:color w:val="auto"/>
                <w:w w:val="98"/>
              </w:rPr>
              <w:t>Retiree Medical and Other</w:t>
            </w:r>
          </w:p>
        </w:tc>
        <w:tc>
          <w:tcPr>
            <w:tcW w:w="0" w:type="dxa"/>
            <w:vAlign w:val="bottom"/>
          </w:tcPr>
          <w:p>
            <w:pPr>
              <w:spacing w:after="0"/>
              <w:rPr>
                <w:sz w:val="1"/>
                <w:szCs w:val="1"/>
                <w:color w:val="auto"/>
              </w:rPr>
            </w:pPr>
          </w:p>
        </w:tc>
      </w:tr>
      <w:tr>
        <w:trPr>
          <w:trHeight w:val="164"/>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222"/>
              <w:spacing w:after="0"/>
              <w:rPr>
                <w:sz w:val="20"/>
                <w:szCs w:val="20"/>
                <w:color w:val="auto"/>
              </w:rPr>
            </w:pPr>
            <w:r>
              <w:rPr>
                <w:rFonts w:ascii="Arial" w:cs="Arial" w:eastAsia="Arial" w:hAnsi="Arial"/>
                <w:sz w:val="13"/>
                <w:szCs w:val="13"/>
                <w:b w:val="1"/>
                <w:bCs w:val="1"/>
                <w:color w:val="auto"/>
                <w:w w:val="99"/>
              </w:rPr>
              <w:t>Postretirement Benefits</w:t>
            </w:r>
          </w:p>
        </w:tc>
        <w:tc>
          <w:tcPr>
            <w:tcW w:w="0" w:type="dxa"/>
            <w:vAlign w:val="bottom"/>
          </w:tcPr>
          <w:p>
            <w:pPr>
              <w:spacing w:after="0"/>
              <w:rPr>
                <w:sz w:val="1"/>
                <w:szCs w:val="1"/>
                <w:color w:val="auto"/>
              </w:rPr>
            </w:pPr>
          </w:p>
        </w:tc>
      </w:tr>
      <w:tr>
        <w:trPr>
          <w:trHeight w:val="173"/>
        </w:trPr>
        <w:tc>
          <w:tcPr>
            <w:tcW w:w="596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30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40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2"/>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97"/>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Amortization of:</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Prior service cost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Unrecognized net loss (gain)</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2"/>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periodic benefit cost (income)</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Pension Benefits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4"/>
          </w:tcPr>
          <w:p>
            <w:pPr>
              <w:jc w:val="center"/>
              <w:ind w:right="222"/>
              <w:spacing w:after="0"/>
              <w:rPr>
                <w:sz w:val="20"/>
                <w:szCs w:val="20"/>
                <w:color w:val="auto"/>
              </w:rPr>
            </w:pPr>
            <w:r>
              <w:rPr>
                <w:rFonts w:ascii="Arial" w:cs="Arial" w:eastAsia="Arial" w:hAnsi="Arial"/>
                <w:sz w:val="13"/>
                <w:szCs w:val="13"/>
                <w:b w:val="1"/>
                <w:bCs w:val="1"/>
                <w:color w:val="auto"/>
                <w:w w:val="98"/>
              </w:rPr>
              <w:t>Retiree Medical and Other</w:t>
            </w:r>
          </w:p>
        </w:tc>
        <w:tc>
          <w:tcPr>
            <w:tcW w:w="0" w:type="dxa"/>
            <w:vAlign w:val="bottom"/>
          </w:tcPr>
          <w:p>
            <w:pPr>
              <w:spacing w:after="0"/>
              <w:rPr>
                <w:sz w:val="1"/>
                <w:szCs w:val="1"/>
                <w:color w:val="auto"/>
              </w:rPr>
            </w:pPr>
          </w:p>
        </w:tc>
      </w:tr>
      <w:tr>
        <w:trPr>
          <w:trHeight w:val="164"/>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222"/>
              <w:spacing w:after="0"/>
              <w:rPr>
                <w:sz w:val="20"/>
                <w:szCs w:val="20"/>
                <w:color w:val="auto"/>
              </w:rPr>
            </w:pPr>
            <w:r>
              <w:rPr>
                <w:rFonts w:ascii="Arial" w:cs="Arial" w:eastAsia="Arial" w:hAnsi="Arial"/>
                <w:sz w:val="13"/>
                <w:szCs w:val="13"/>
                <w:b w:val="1"/>
                <w:bCs w:val="1"/>
                <w:color w:val="auto"/>
                <w:w w:val="99"/>
              </w:rPr>
              <w:t>Postretirement Benefits</w:t>
            </w:r>
          </w:p>
        </w:tc>
        <w:tc>
          <w:tcPr>
            <w:tcW w:w="0" w:type="dxa"/>
            <w:vAlign w:val="bottom"/>
          </w:tcPr>
          <w:p>
            <w:pPr>
              <w:spacing w:after="0"/>
              <w:rPr>
                <w:sz w:val="1"/>
                <w:szCs w:val="1"/>
                <w:color w:val="auto"/>
              </w:rPr>
            </w:pPr>
          </w:p>
        </w:tc>
      </w:tr>
      <w:tr>
        <w:trPr>
          <w:trHeight w:val="173"/>
        </w:trPr>
        <w:tc>
          <w:tcPr>
            <w:tcW w:w="5960" w:type="dxa"/>
            <w:vAlign w:val="bottom"/>
            <w:gridSpan w:val="2"/>
          </w:tcPr>
          <w:p>
            <w:pPr>
              <w:ind w:left="20"/>
              <w:spacing w:after="0"/>
              <w:rPr>
                <w:sz w:val="20"/>
                <w:szCs w:val="20"/>
                <w:color w:val="auto"/>
              </w:rPr>
            </w:pPr>
            <w:r>
              <w:rPr>
                <w:rFonts w:ascii="Arial" w:cs="Arial" w:eastAsia="Arial" w:hAnsi="Arial"/>
                <w:sz w:val="13"/>
                <w:szCs w:val="13"/>
                <w:b w:val="1"/>
                <w:bCs w:val="1"/>
                <w:color w:val="auto"/>
              </w:rPr>
              <w:t>Six Months Ended June 30,</w:t>
            </w:r>
          </w:p>
        </w:tc>
        <w:tc>
          <w:tcPr>
            <w:tcW w:w="30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40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2"/>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97"/>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Amortization of:</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Prior service cost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5"/>
        </w:trPr>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Unrecognized net loss (gain)</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2"/>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periodic benefit cost (income)</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24"/>
        <w:spacing w:after="0"/>
        <w:rPr>
          <w:sz w:val="20"/>
          <w:szCs w:val="20"/>
          <w:color w:val="auto"/>
        </w:rPr>
      </w:pPr>
      <w:r>
        <w:rPr>
          <w:rFonts w:ascii="Arial" w:cs="Arial" w:eastAsia="Arial" w:hAnsi="Arial"/>
          <w:sz w:val="16"/>
          <w:szCs w:val="16"/>
          <w:color w:val="auto"/>
        </w:rPr>
        <w:t>Effective November 1, 2012, substantially all of our defined benefit pension plans were frozen.</w:t>
      </w:r>
    </w:p>
    <w:p>
      <w:pPr>
        <w:spacing w:after="0" w:line="153"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9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During the first six months of 2025, we made required contributions of $223 million to our defined benefit pension plans.</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21" w:name="page22"/>
    <w:bookmarkEnd w:id="21"/>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10. Accumulated Other Comprehensive Loss</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components of accumulated other comprehensive loss (AOCI) are as follows (in millions):</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Pension, Retiree</w:t>
            </w: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99"/>
              </w:rPr>
              <w:t>Medical and Other</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2"/>
          </w:tcPr>
          <w:p>
            <w:pPr>
              <w:jc w:val="center"/>
              <w:ind w:right="280"/>
              <w:spacing w:after="0" w:line="125" w:lineRule="exact"/>
              <w:rPr>
                <w:sz w:val="20"/>
                <w:szCs w:val="20"/>
                <w:color w:val="auto"/>
              </w:rPr>
            </w:pPr>
            <w:r>
              <w:rPr>
                <w:rFonts w:ascii="Arial" w:cs="Arial" w:eastAsia="Arial" w:hAnsi="Arial"/>
                <w:sz w:val="13"/>
                <w:szCs w:val="13"/>
                <w:b w:val="1"/>
                <w:bCs w:val="1"/>
                <w:color w:val="auto"/>
                <w:w w:val="98"/>
              </w:rPr>
              <w:t>Postretirement</w:t>
            </w:r>
          </w:p>
        </w:tc>
        <w:tc>
          <w:tcPr>
            <w:tcW w:w="120" w:type="dxa"/>
            <w:vAlign w:val="bottom"/>
          </w:tcPr>
          <w:p>
            <w:pPr>
              <w:spacing w:after="0"/>
              <w:rPr>
                <w:sz w:val="10"/>
                <w:szCs w:val="10"/>
                <w:color w:val="auto"/>
              </w:rPr>
            </w:pPr>
          </w:p>
        </w:tc>
        <w:tc>
          <w:tcPr>
            <w:tcW w:w="1600" w:type="dxa"/>
            <w:vAlign w:val="bottom"/>
            <w:vMerge w:val="restart"/>
          </w:tcPr>
          <w:p>
            <w:pPr>
              <w:jc w:val="right"/>
              <w:ind w:right="63"/>
              <w:spacing w:after="0"/>
              <w:rPr>
                <w:sz w:val="20"/>
                <w:szCs w:val="20"/>
                <w:color w:val="auto"/>
              </w:rPr>
            </w:pPr>
            <w:r>
              <w:rPr>
                <w:rFonts w:ascii="Arial" w:cs="Arial" w:eastAsia="Arial" w:hAnsi="Arial"/>
                <w:sz w:val="13"/>
                <w:szCs w:val="13"/>
                <w:b w:val="1"/>
                <w:bCs w:val="1"/>
                <w:color w:val="auto"/>
                <w:w w:val="95"/>
              </w:rPr>
              <w:t xml:space="preserve">Income Tax Provision </w:t>
            </w:r>
            <w:r>
              <w:rPr>
                <w:rFonts w:ascii="Arial" w:cs="Arial" w:eastAsia="Arial" w:hAnsi="Arial"/>
                <w:sz w:val="16"/>
                <w:szCs w:val="16"/>
                <w:b w:val="1"/>
                <w:bCs w:val="1"/>
                <w:color w:val="auto"/>
                <w:w w:val="95"/>
                <w:vertAlign w:val="superscript"/>
              </w:rPr>
              <w:t>(1)</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vMerge w:val="restart"/>
          </w:tcPr>
          <w:p>
            <w:pPr>
              <w:jc w:val="right"/>
              <w:ind w:right="62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(4,565)</w:t>
            </w:r>
          </w:p>
        </w:tc>
        <w:tc>
          <w:tcPr>
            <w:tcW w:w="0" w:type="dxa"/>
            <w:vAlign w:val="bottom"/>
          </w:tcPr>
          <w:p>
            <w:pPr>
              <w:spacing w:after="0"/>
              <w:rPr>
                <w:sz w:val="1"/>
                <w:szCs w:val="1"/>
                <w:color w:val="auto"/>
              </w:rPr>
            </w:pPr>
          </w:p>
        </w:tc>
      </w:tr>
      <w:tr>
        <w:trPr>
          <w:trHeight w:val="205"/>
        </w:trPr>
        <w:tc>
          <w:tcPr>
            <w:tcW w:w="5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tcPr>
          <w:p>
            <w:pPr>
              <w:jc w:val="right"/>
              <w:ind w:right="72"/>
              <w:spacing w:after="0"/>
              <w:rPr>
                <w:sz w:val="20"/>
                <w:szCs w:val="20"/>
                <w:color w:val="auto"/>
              </w:rPr>
            </w:pPr>
            <w:r>
              <w:rPr>
                <w:rFonts w:ascii="Arial" w:cs="Arial" w:eastAsia="Arial" w:hAnsi="Arial"/>
                <w:sz w:val="10"/>
                <w:szCs w:val="10"/>
                <w:color w:val="auto"/>
                <w:w w:val="97"/>
              </w:rPr>
              <w:t>(2)</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7"/>
        </w:trPr>
        <w:tc>
          <w:tcPr>
            <w:tcW w:w="5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current-period other comprehensive income (loss)</w:t>
            </w: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7"/>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Balance at June 30, 2025</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60" w:type="dxa"/>
            <w:vAlign w:val="bottom"/>
            <w:tcBorders>
              <w:bottom w:val="single" w:sz="8" w:color="auto"/>
            </w:tcBorders>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84" w:right="20" w:hanging="284"/>
        <w:spacing w:after="0" w:line="227" w:lineRule="auto"/>
        <w:tabs>
          <w:tab w:leader="none" w:pos="279"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Relates principally to pension, retiree medical and other postretirement benefits obligations that will not be recognized in net income until the obligations are fully extinguished.</w:t>
      </w:r>
    </w:p>
    <w:p>
      <w:pPr>
        <w:spacing w:after="0" w:line="127" w:lineRule="exact"/>
        <w:rPr>
          <w:rFonts w:ascii="Arial" w:cs="Arial" w:eastAsia="Arial" w:hAnsi="Arial"/>
          <w:sz w:val="21"/>
          <w:szCs w:val="21"/>
          <w:color w:val="auto"/>
          <w:vertAlign w:val="superscript"/>
        </w:rPr>
      </w:pPr>
    </w:p>
    <w:p>
      <w:pPr>
        <w:ind w:left="284" w:right="20" w:hanging="284"/>
        <w:spacing w:after="0" w:line="227" w:lineRule="auto"/>
        <w:tabs>
          <w:tab w:leader="none" w:pos="279"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Relates to pension, retiree medical and other postretirement benefits obligations and is recognized within the income tax provision on the condensed consolidated statements of operations.</w:t>
      </w:r>
    </w:p>
    <w:p>
      <w:pPr>
        <w:spacing w:after="0" w:line="127" w:lineRule="exact"/>
        <w:rPr>
          <w:sz w:val="20"/>
          <w:szCs w:val="20"/>
          <w:color w:val="auto"/>
        </w:rPr>
      </w:pPr>
    </w:p>
    <w:p>
      <w:pPr>
        <w:ind w:left="224"/>
        <w:spacing w:after="0"/>
        <w:rPr>
          <w:sz w:val="20"/>
          <w:szCs w:val="20"/>
          <w:color w:val="auto"/>
        </w:rPr>
      </w:pPr>
      <w:r>
        <w:rPr>
          <w:rFonts w:ascii="Arial" w:cs="Arial" w:eastAsia="Arial" w:hAnsi="Arial"/>
          <w:sz w:val="16"/>
          <w:szCs w:val="16"/>
          <w:color w:val="auto"/>
        </w:rPr>
        <w:t>Reclassifications out of AOCI are as follows (in millions):</w:t>
      </w:r>
    </w:p>
    <w:p>
      <w:pPr>
        <w:sectPr>
          <w:pgSz w:w="11900" w:h="16838" w:orient="portrait"/>
          <w:cols w:equalWidth="0" w:num="1">
            <w:col w:w="11264"/>
          </w:cols>
          <w:pgMar w:left="316" w:top="124" w:right="319" w:bottom="1440" w:gutter="0" w:footer="0" w:header="0"/>
        </w:sectPr>
      </w:pPr>
    </w:p>
    <w:p>
      <w:pPr>
        <w:spacing w:after="0" w:line="210" w:lineRule="exact"/>
        <w:rPr>
          <w:sz w:val="20"/>
          <w:szCs w:val="20"/>
          <w:color w:val="auto"/>
        </w:rPr>
      </w:pPr>
    </w:p>
    <w:tbl>
      <w:tblPr>
        <w:tblLayout w:type="fixed"/>
        <w:tblInd w:w="24"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rPr>
              <w:t>Amounts reclassified from AOCI</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940" w:type="dxa"/>
            <w:vAlign w:val="bottom"/>
          </w:tcPr>
          <w:p>
            <w:pPr>
              <w:spacing w:after="0"/>
              <w:rPr>
                <w:sz w:val="12"/>
                <w:szCs w:val="12"/>
                <w:color w:val="auto"/>
              </w:rPr>
            </w:pPr>
          </w:p>
        </w:tc>
        <w:tc>
          <w:tcPr>
            <w:tcW w:w="228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Three Months Ended June 30,</w:t>
            </w:r>
          </w:p>
        </w:tc>
        <w:tc>
          <w:tcPr>
            <w:tcW w:w="216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9"/>
              </w:rPr>
              <w:t>Six Months Ended</w:t>
            </w:r>
          </w:p>
        </w:tc>
        <w:tc>
          <w:tcPr>
            <w:tcW w:w="0" w:type="dxa"/>
            <w:vAlign w:val="bottom"/>
          </w:tcPr>
          <w:p>
            <w:pPr>
              <w:spacing w:after="0"/>
              <w:rPr>
                <w:sz w:val="1"/>
                <w:szCs w:val="1"/>
                <w:color w:val="auto"/>
              </w:rPr>
            </w:pPr>
          </w:p>
        </w:tc>
      </w:tr>
      <w:tr>
        <w:trPr>
          <w:trHeight w:val="164"/>
        </w:trPr>
        <w:tc>
          <w:tcPr>
            <w:tcW w:w="3940" w:type="dxa"/>
            <w:vAlign w:val="bottom"/>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1420" w:type="dxa"/>
            <w:vAlign w:val="bottom"/>
          </w:tcPr>
          <w:p>
            <w:pPr>
              <w:jc w:val="center"/>
              <w:ind w:left="676"/>
              <w:spacing w:after="0"/>
              <w:rPr>
                <w:sz w:val="20"/>
                <w:szCs w:val="20"/>
                <w:color w:val="auto"/>
              </w:rPr>
            </w:pPr>
            <w:r>
              <w:rPr>
                <w:rFonts w:ascii="Arial" w:cs="Arial" w:eastAsia="Arial" w:hAnsi="Arial"/>
                <w:sz w:val="13"/>
                <w:szCs w:val="13"/>
                <w:b w:val="1"/>
                <w:bCs w:val="1"/>
                <w:color w:val="auto"/>
                <w:w w:val="99"/>
              </w:rPr>
              <w:t>June 30,</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spacing w:after="0"/>
              <w:rPr>
                <w:sz w:val="20"/>
                <w:szCs w:val="20"/>
                <w:color w:val="auto"/>
              </w:rPr>
            </w:pPr>
            <w:r>
              <w:rPr>
                <w:rFonts w:ascii="Arial" w:cs="Arial" w:eastAsia="Arial" w:hAnsi="Arial"/>
                <w:sz w:val="13"/>
                <w:szCs w:val="13"/>
                <w:b w:val="1"/>
                <w:bCs w:val="1"/>
                <w:color w:val="auto"/>
              </w:rPr>
              <w:t>AOCI Components</w:t>
            </w:r>
          </w:p>
        </w:tc>
        <w:tc>
          <w:tcPr>
            <w:tcW w:w="960" w:type="dxa"/>
            <w:vAlign w:val="bottom"/>
            <w:tcBorders>
              <w:top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2025</w:t>
            </w:r>
          </w:p>
        </w:tc>
        <w:tc>
          <w:tcPr>
            <w:tcW w:w="1220" w:type="dxa"/>
            <w:vAlign w:val="bottom"/>
            <w:tcBorders>
              <w:top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4"/>
                <w:szCs w:val="14"/>
                <w:color w:val="auto"/>
              </w:rPr>
            </w:pPr>
          </w:p>
        </w:tc>
        <w:tc>
          <w:tcPr>
            <w:tcW w:w="1420" w:type="dxa"/>
            <w:vAlign w:val="bottom"/>
            <w:tcBorders>
              <w:top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2025</w:t>
            </w:r>
          </w:p>
        </w:tc>
        <w:tc>
          <w:tcPr>
            <w:tcW w:w="740" w:type="dxa"/>
            <w:vAlign w:val="bottom"/>
            <w:tcBorders>
              <w:top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6925" cy="2444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925" cy="244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right="220" w:firstLine="39"/>
        <w:spacing w:after="0" w:line="268" w:lineRule="auto"/>
        <w:rPr>
          <w:sz w:val="20"/>
          <w:szCs w:val="20"/>
          <w:color w:val="auto"/>
        </w:rPr>
      </w:pPr>
      <w:r>
        <w:rPr>
          <w:rFonts w:ascii="Arial" w:cs="Arial" w:eastAsia="Arial" w:hAnsi="Arial"/>
          <w:sz w:val="12"/>
          <w:szCs w:val="12"/>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404" w:space="300"/>
            <w:col w:w="2560"/>
          </w:cols>
          <w:pgMar w:left="316" w:top="124" w:right="319" w:bottom="1440" w:gutter="0" w:footer="0" w:header="0"/>
          <w:type w:val="continuous"/>
        </w:sectPr>
      </w:pPr>
    </w:p>
    <w:p>
      <w:pPr>
        <w:ind w:left="24"/>
        <w:spacing w:after="0" w:line="235" w:lineRule="auto"/>
        <w:rPr>
          <w:sz w:val="20"/>
          <w:szCs w:val="20"/>
          <w:color w:val="auto"/>
        </w:rPr>
      </w:pPr>
      <w:r>
        <w:rPr>
          <w:rFonts w:ascii="Arial" w:cs="Arial" w:eastAsia="Arial" w:hAnsi="Arial"/>
          <w:sz w:val="16"/>
          <w:szCs w:val="16"/>
          <w:color w:val="auto"/>
        </w:rPr>
        <w:t>Amortization of pension, retiree medical and other</w:t>
      </w:r>
    </w:p>
    <w:p>
      <w:pPr>
        <w:ind w:left="164"/>
        <w:spacing w:after="0"/>
        <w:rPr>
          <w:sz w:val="20"/>
          <w:szCs w:val="20"/>
          <w:color w:val="auto"/>
        </w:rPr>
      </w:pPr>
      <w:r>
        <w:rPr>
          <w:rFonts w:ascii="Arial" w:cs="Arial" w:eastAsia="Arial" w:hAnsi="Arial"/>
          <w:sz w:val="16"/>
          <w:szCs w:val="16"/>
          <w:color w:val="auto"/>
        </w:rPr>
        <w:t>postretirement benefits:</w:t>
      </w:r>
    </w:p>
    <w:tbl>
      <w:tblPr>
        <w:tblLayout w:type="fixed"/>
        <w:tblInd w:w="4" w:type="dxa"/>
        <w:tblCellMar>
          <w:top w:w="0" w:type="dxa"/>
          <w:left w:w="0" w:type="dxa"/>
          <w:bottom w:w="0" w:type="dxa"/>
          <w:right w:w="0" w:type="dxa"/>
        </w:tblCellMar>
      </w:tblPr>
      <w:tr>
        <w:trPr>
          <w:trHeight w:val="173"/>
        </w:trPr>
        <w:tc>
          <w:tcPr>
            <w:tcW w:w="3960" w:type="dxa"/>
            <w:vAlign w:val="bottom"/>
            <w:vMerge w:val="restart"/>
          </w:tcPr>
          <w:p>
            <w:pPr>
              <w:ind w:left="300"/>
              <w:spacing w:after="0"/>
              <w:rPr>
                <w:sz w:val="20"/>
                <w:szCs w:val="20"/>
                <w:color w:val="auto"/>
              </w:rPr>
            </w:pPr>
            <w:r>
              <w:rPr>
                <w:rFonts w:ascii="Arial" w:cs="Arial" w:eastAsia="Arial" w:hAnsi="Arial"/>
                <w:sz w:val="16"/>
                <w:szCs w:val="16"/>
                <w:color w:val="auto"/>
              </w:rPr>
              <w:t>Prior service cost</w:t>
            </w:r>
          </w:p>
        </w:tc>
        <w:tc>
          <w:tcPr>
            <w:tcW w:w="460" w:type="dxa"/>
            <w:vAlign w:val="bottom"/>
            <w:vMerge w:val="restart"/>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5"/>
                <w:szCs w:val="15"/>
                <w:color w:val="auto"/>
              </w:rPr>
            </w:pPr>
          </w:p>
        </w:tc>
        <w:tc>
          <w:tcPr>
            <w:tcW w:w="440" w:type="dxa"/>
            <w:vAlign w:val="bottom"/>
            <w:vMerge w:val="restart"/>
          </w:tcPr>
          <w:p>
            <w:pPr>
              <w:jc w:val="right"/>
              <w:ind w:right="260"/>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5"/>
                <w:szCs w:val="15"/>
                <w:color w:val="auto"/>
              </w:rPr>
            </w:pPr>
          </w:p>
        </w:tc>
        <w:tc>
          <w:tcPr>
            <w:tcW w:w="440" w:type="dxa"/>
            <w:vAlign w:val="bottom"/>
            <w:vMerge w:val="restart"/>
          </w:tcPr>
          <w:p>
            <w:pPr>
              <w:jc w:val="right"/>
              <w:ind w:right="260"/>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5"/>
                <w:szCs w:val="15"/>
                <w:color w:val="auto"/>
              </w:rPr>
            </w:pPr>
          </w:p>
        </w:tc>
        <w:tc>
          <w:tcPr>
            <w:tcW w:w="460" w:type="dxa"/>
            <w:vAlign w:val="bottom"/>
            <w:vMerge w:val="restart"/>
          </w:tcPr>
          <w:p>
            <w:pPr>
              <w:jc w:val="right"/>
              <w:ind w:right="280"/>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2860" w:type="dxa"/>
            <w:vAlign w:val="bottom"/>
          </w:tcPr>
          <w:p>
            <w:pPr>
              <w:ind w:left="120"/>
              <w:spacing w:after="0" w:line="173" w:lineRule="exact"/>
              <w:rPr>
                <w:sz w:val="20"/>
                <w:szCs w:val="20"/>
                <w:color w:val="auto"/>
              </w:rPr>
            </w:pPr>
            <w:r>
              <w:rPr>
                <w:rFonts w:ascii="Arial" w:cs="Arial" w:eastAsia="Arial" w:hAnsi="Arial"/>
                <w:sz w:val="16"/>
                <w:szCs w:val="16"/>
                <w:color w:val="auto"/>
              </w:rPr>
              <w:t>Nonoperating other income</w:t>
            </w:r>
          </w:p>
        </w:tc>
        <w:tc>
          <w:tcPr>
            <w:tcW w:w="0" w:type="dxa"/>
            <w:vAlign w:val="bottom"/>
          </w:tcPr>
          <w:p>
            <w:pPr>
              <w:spacing w:after="0"/>
              <w:rPr>
                <w:sz w:val="1"/>
                <w:szCs w:val="1"/>
                <w:color w:val="auto"/>
              </w:rPr>
            </w:pPr>
          </w:p>
        </w:tc>
      </w:tr>
      <w:tr>
        <w:trPr>
          <w:trHeight w:val="209"/>
        </w:trPr>
        <w:tc>
          <w:tcPr>
            <w:tcW w:w="39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860" w:type="dxa"/>
            <w:vAlign w:val="bottom"/>
          </w:tcPr>
          <w:p>
            <w:pPr>
              <w:ind w:left="260"/>
              <w:spacing w:after="0"/>
              <w:rPr>
                <w:sz w:val="20"/>
                <w:szCs w:val="20"/>
                <w:color w:val="auto"/>
              </w:rPr>
            </w:pPr>
            <w:r>
              <w:rPr>
                <w:rFonts w:ascii="Arial" w:cs="Arial" w:eastAsia="Arial" w:hAnsi="Arial"/>
                <w:sz w:val="16"/>
                <w:szCs w:val="16"/>
                <w:color w:val="auto"/>
              </w:rPr>
              <w:t>(expense), net</w:t>
            </w:r>
          </w:p>
        </w:tc>
        <w:tc>
          <w:tcPr>
            <w:tcW w:w="0" w:type="dxa"/>
            <w:vAlign w:val="bottom"/>
          </w:tcPr>
          <w:p>
            <w:pPr>
              <w:spacing w:after="0"/>
              <w:rPr>
                <w:sz w:val="1"/>
                <w:szCs w:val="1"/>
                <w:color w:val="auto"/>
              </w:rPr>
            </w:pPr>
          </w:p>
        </w:tc>
      </w:tr>
      <w:tr>
        <w:trPr>
          <w:trHeight w:val="164"/>
        </w:trPr>
        <w:tc>
          <w:tcPr>
            <w:tcW w:w="396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Actuarial loss</w:t>
            </w:r>
          </w:p>
        </w:tc>
        <w:tc>
          <w:tcPr>
            <w:tcW w:w="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860" w:type="dxa"/>
            <w:vAlign w:val="bottom"/>
            <w:shd w:val="clear" w:color="auto" w:fill="CCEEFF"/>
          </w:tcPr>
          <w:p>
            <w:pPr>
              <w:ind w:left="120"/>
              <w:spacing w:after="0" w:line="164" w:lineRule="exact"/>
              <w:rPr>
                <w:sz w:val="20"/>
                <w:szCs w:val="20"/>
                <w:color w:val="auto"/>
              </w:rPr>
            </w:pPr>
            <w:r>
              <w:rPr>
                <w:rFonts w:ascii="Arial" w:cs="Arial" w:eastAsia="Arial" w:hAnsi="Arial"/>
                <w:sz w:val="16"/>
                <w:szCs w:val="16"/>
                <w:color w:val="auto"/>
              </w:rPr>
              <w:t>Nonoperating other income</w:t>
            </w:r>
          </w:p>
        </w:tc>
        <w:tc>
          <w:tcPr>
            <w:tcW w:w="0" w:type="dxa"/>
            <w:vAlign w:val="bottom"/>
          </w:tcPr>
          <w:p>
            <w:pPr>
              <w:spacing w:after="0"/>
              <w:rPr>
                <w:sz w:val="1"/>
                <w:szCs w:val="1"/>
                <w:color w:val="auto"/>
              </w:rPr>
            </w:pPr>
          </w:p>
        </w:tc>
      </w:tr>
      <w:tr>
        <w:trPr>
          <w:trHeight w:val="209"/>
        </w:trPr>
        <w:tc>
          <w:tcPr>
            <w:tcW w:w="3960" w:type="dxa"/>
            <w:vAlign w:val="bottom"/>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(expense), net</w:t>
            </w:r>
          </w:p>
        </w:tc>
        <w:tc>
          <w:tcPr>
            <w:tcW w:w="0" w:type="dxa"/>
            <w:vAlign w:val="bottom"/>
          </w:tcPr>
          <w:p>
            <w:pPr>
              <w:spacing w:after="0"/>
              <w:rPr>
                <w:sz w:val="1"/>
                <w:szCs w:val="1"/>
                <w:color w:val="auto"/>
              </w:rPr>
            </w:pPr>
          </w:p>
        </w:tc>
      </w:tr>
      <w:tr>
        <w:trPr>
          <w:trHeight w:val="197"/>
        </w:trPr>
        <w:tc>
          <w:tcPr>
            <w:tcW w:w="3960" w:type="dxa"/>
            <w:vAlign w:val="bottom"/>
          </w:tcPr>
          <w:p>
            <w:pPr>
              <w:ind w:left="20"/>
              <w:spacing w:after="0"/>
              <w:rPr>
                <w:sz w:val="20"/>
                <w:szCs w:val="20"/>
                <w:color w:val="auto"/>
              </w:rPr>
            </w:pPr>
            <w:r>
              <w:rPr>
                <w:rFonts w:ascii="Arial" w:cs="Arial" w:eastAsia="Arial" w:hAnsi="Arial"/>
                <w:sz w:val="16"/>
                <w:szCs w:val="16"/>
                <w:color w:val="auto"/>
              </w:rPr>
              <w:t>Total reclassifications for the period, net of tax</w:t>
            </w: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11. Regional Expenses</w:t>
      </w:r>
    </w:p>
    <w:p>
      <w:pPr>
        <w:spacing w:after="0" w:line="81"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Our regional carriers provide scheduled air transportation under the brand name “American Eagle.” The American Eagle carriers include our wholly-owned regional carriers as well as third-party regional carriers. Our regional carrier arrangements are principally in the form of capacity purchase agreements. Expenses associated with American Eagle operations are classified as regional expenses on the condensed consolidated statements of operations.</w:t>
      </w:r>
    </w:p>
    <w:p>
      <w:pPr>
        <w:spacing w:after="0" w:line="104"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Regional expenses for the three months ended June 30, 2025 and 2024 include $81 million and $79 million of depreciation and amortization, respectively, and each includes $2 million of aircraft rent. Regional expenses for the six months ended June 30, 2025 and 2024 include $160 million and $158 million of depreciation and amortization, respectively, and $5 million and $4 million of aircraft rent, respectively.</w:t>
      </w:r>
    </w:p>
    <w:p>
      <w:pPr>
        <w:spacing w:after="0" w:line="104"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During the three months ended June 30, 2025 and 2024, we recognized $174 million and $150 million, respectively, of expense under our capacity purchase agreement with Republic Airways Inc. (Republic). During the six months ended June 30, 2025 and 2024, we recognized $342 million and $ 299 million, respectively, of expense under our capacity purchase agreement with Republic. We hold a 25% equity interest in Republic Airways Holdings Inc., the parent company of Republic.</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Legal Proceedings</w:t>
      </w:r>
    </w:p>
    <w:p>
      <w:pPr>
        <w:spacing w:after="0" w:line="81" w:lineRule="exact"/>
        <w:rPr>
          <w:sz w:val="20"/>
          <w:szCs w:val="20"/>
          <w:color w:val="auto"/>
        </w:rPr>
      </w:pPr>
    </w:p>
    <w:p>
      <w:pPr>
        <w:jc w:val="both"/>
        <w:ind w:firstLine="217"/>
        <w:spacing w:after="0" w:line="256" w:lineRule="auto"/>
        <w:rPr>
          <w:sz w:val="20"/>
          <w:szCs w:val="20"/>
          <w:color w:val="auto"/>
        </w:rPr>
      </w:pPr>
      <w:r>
        <w:rPr>
          <w:rFonts w:ascii="Arial" w:cs="Arial" w:eastAsia="Arial" w:hAnsi="Arial"/>
          <w:sz w:val="16"/>
          <w:szCs w:val="16"/>
          <w:i w:val="1"/>
          <w:iCs w:val="1"/>
          <w:color w:val="auto"/>
        </w:rPr>
        <w:t xml:space="preserve">Government Antitrust Action Related to the Northeast Alliance. </w:t>
      </w:r>
      <w:r>
        <w:rPr>
          <w:rFonts w:ascii="Arial" w:cs="Arial" w:eastAsia="Arial" w:hAnsi="Arial"/>
          <w:sz w:val="16"/>
          <w:szCs w:val="16"/>
          <w:color w:val="auto"/>
        </w:rPr>
        <w:t>On September 21, 2021, the United States Department of Justice, joined by Attorneys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from six states and the District of Columbia, filed an antitrust complaint against AAG and JetBlue Airways Corporation (JetBlue) in the U.S. District Court for the District of Massachusetts alleging that AAG and JetBlue violated U.S. antitrust law in connection with the previously disclosed Northeast Alliance arrangement (NEA). On May 19, 2023, the U.S. District Court for the District of Massachusetts issued an order permanently enjoining AAG and JetBlue from continuing and further implementing the NEA. Following JetBlue’s notice of termination of the NEA, effective July 29, 2023, the airlines conducted a wind-down of the NEA. AAG filed a notice of appeal to the U.S. Court of Appeals for the First Circuit on September 25, 2023. The First Circuit affirmed the District Court’s decision on November 8, 2024. AAG filed a petition for writ of certiorari to the U.S. Supreme Court on February 27, 2025. On June 30, 2025, the U.S. Supreme Court denied the petition for writ of certiorari.</w:t>
      </w:r>
    </w:p>
    <w:p>
      <w:pPr>
        <w:spacing w:after="0" w:line="115" w:lineRule="exact"/>
        <w:rPr>
          <w:sz w:val="20"/>
          <w:szCs w:val="20"/>
          <w:color w:val="auto"/>
        </w:rPr>
      </w:pPr>
    </w:p>
    <w:p>
      <w:pPr>
        <w:jc w:val="both"/>
        <w:ind w:firstLine="217"/>
        <w:spacing w:after="0" w:line="254" w:lineRule="auto"/>
        <w:rPr>
          <w:sz w:val="20"/>
          <w:szCs w:val="20"/>
          <w:color w:val="auto"/>
        </w:rPr>
      </w:pPr>
      <w:r>
        <w:rPr>
          <w:rFonts w:ascii="Arial" w:cs="Arial" w:eastAsia="Arial" w:hAnsi="Arial"/>
          <w:sz w:val="16"/>
          <w:szCs w:val="16"/>
          <w:i w:val="1"/>
          <w:iCs w:val="1"/>
          <w:color w:val="auto"/>
        </w:rPr>
        <w:t xml:space="preserve">Private Party Antitrust Actions Related to the Northeast Alliance. </w:t>
      </w:r>
      <w:r>
        <w:rPr>
          <w:rFonts w:ascii="Arial" w:cs="Arial" w:eastAsia="Arial" w:hAnsi="Arial"/>
          <w:sz w:val="16"/>
          <w:szCs w:val="16"/>
          <w:color w:val="auto"/>
        </w:rPr>
        <w:t>On December 5, 2022 and December 7, 2022, two private party plaintiffs filed putative</w:t>
      </w:r>
      <w:r>
        <w:rPr>
          <w:rFonts w:ascii="Arial" w:cs="Arial" w:eastAsia="Arial" w:hAnsi="Arial"/>
          <w:sz w:val="16"/>
          <w:szCs w:val="16"/>
          <w:i w:val="1"/>
          <w:iCs w:val="1"/>
          <w:color w:val="auto"/>
        </w:rPr>
        <w:t xml:space="preserve"> </w:t>
      </w:r>
      <w:r>
        <w:rPr>
          <w:rFonts w:ascii="Arial" w:cs="Arial" w:eastAsia="Arial" w:hAnsi="Arial"/>
          <w:sz w:val="16"/>
          <w:szCs w:val="16"/>
          <w:color w:val="auto"/>
        </w:rPr>
        <w:t>class action antitrust complaints against AAG and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and the parties are now engaged in discovery. We believe these lawsuits are without merit and are defending against them vigorously.</w:t>
      </w:r>
    </w:p>
    <w:p>
      <w:pPr>
        <w:spacing w:after="0" w:line="119" w:lineRule="exact"/>
        <w:rPr>
          <w:sz w:val="20"/>
          <w:szCs w:val="20"/>
          <w:color w:val="auto"/>
        </w:rPr>
      </w:pPr>
    </w:p>
    <w:p>
      <w:pPr>
        <w:jc w:val="both"/>
        <w:ind w:firstLine="217"/>
        <w:spacing w:after="0" w:line="254" w:lineRule="auto"/>
        <w:rPr>
          <w:sz w:val="20"/>
          <w:szCs w:val="20"/>
          <w:color w:val="auto"/>
        </w:rPr>
      </w:pPr>
      <w:r>
        <w:rPr>
          <w:rFonts w:ascii="Arial" w:cs="Arial" w:eastAsia="Arial" w:hAnsi="Arial"/>
          <w:sz w:val="16"/>
          <w:szCs w:val="16"/>
          <w:i w:val="1"/>
          <w:iCs w:val="1"/>
          <w:color w:val="auto"/>
        </w:rPr>
        <w:t xml:space="preserve">Securities and Stockholder Derivative Litigation. </w:t>
      </w:r>
      <w:r>
        <w:rPr>
          <w:rFonts w:ascii="Arial" w:cs="Arial" w:eastAsia="Arial" w:hAnsi="Arial"/>
          <w:sz w:val="16"/>
          <w:szCs w:val="16"/>
          <w:color w:val="auto"/>
        </w:rPr>
        <w:t>On July 18, 2024, AAG and certain of its current and former officers were named as defendants 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putative class action lawsuit filed in the U.S. District Court for the Northern District of Texas, captioned </w:t>
      </w:r>
      <w:r>
        <w:rPr>
          <w:rFonts w:ascii="Arial" w:cs="Arial" w:eastAsia="Arial" w:hAnsi="Arial"/>
          <w:sz w:val="16"/>
          <w:szCs w:val="16"/>
          <w:i w:val="1"/>
          <w:iCs w:val="1"/>
          <w:color w:val="auto"/>
        </w:rPr>
        <w:t>Qawasmi v. American Airlines Group Inc., et al</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Qawasmi </w:t>
      </w:r>
      <w:r>
        <w:rPr>
          <w:rFonts w:ascii="Arial" w:cs="Arial" w:eastAsia="Arial" w:hAnsi="Arial"/>
          <w:sz w:val="16"/>
          <w:szCs w:val="16"/>
          <w:color w:val="auto"/>
        </w:rPr>
        <w:t>plaintiff purports to represent investors who acquired AAG securities between January 25, 2024 and May 28, 2024. On August 28, 2024, AAG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certain of its current and former officers were named as defendants in a second putative class action lawsuit filed in the same court, captioned </w:t>
      </w:r>
      <w:r>
        <w:rPr>
          <w:rFonts w:ascii="Arial" w:cs="Arial" w:eastAsia="Arial" w:hAnsi="Arial"/>
          <w:sz w:val="16"/>
          <w:szCs w:val="16"/>
          <w:i w:val="1"/>
          <w:iCs w:val="1"/>
          <w:color w:val="auto"/>
        </w:rPr>
        <w:t>Thornburg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American Airlines Group Inc., et al. </w:t>
      </w:r>
      <w:r>
        <w:rPr>
          <w:rFonts w:ascii="Arial" w:cs="Arial" w:eastAsia="Arial" w:hAnsi="Arial"/>
          <w:sz w:val="16"/>
          <w:szCs w:val="16"/>
          <w:color w:val="auto"/>
        </w:rPr>
        <w:t>The</w:t>
      </w:r>
      <w:r>
        <w:rPr>
          <w:rFonts w:ascii="Arial" w:cs="Arial" w:eastAsia="Arial" w:hAnsi="Arial"/>
          <w:sz w:val="16"/>
          <w:szCs w:val="16"/>
          <w:i w:val="1"/>
          <w:iCs w:val="1"/>
          <w:color w:val="auto"/>
        </w:rPr>
        <w:t xml:space="preserve"> Thornburg </w:t>
      </w:r>
      <w:r>
        <w:rPr>
          <w:rFonts w:ascii="Arial" w:cs="Arial" w:eastAsia="Arial" w:hAnsi="Arial"/>
          <w:sz w:val="16"/>
          <w:szCs w:val="16"/>
          <w:color w:val="auto"/>
        </w:rPr>
        <w:t>plaintiff purports to represent investors who acquired AAG securities between July 20, 2023 and May 28,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2024. Both the </w:t>
      </w:r>
      <w:r>
        <w:rPr>
          <w:rFonts w:ascii="Arial" w:cs="Arial" w:eastAsia="Arial" w:hAnsi="Arial"/>
          <w:sz w:val="16"/>
          <w:szCs w:val="16"/>
          <w:i w:val="1"/>
          <w:iCs w:val="1"/>
          <w:color w:val="auto"/>
        </w:rPr>
        <w:t>Qawasmi</w:t>
      </w:r>
      <w:r>
        <w:rPr>
          <w:rFonts w:ascii="Arial" w:cs="Arial" w:eastAsia="Arial" w:hAnsi="Arial"/>
          <w:sz w:val="16"/>
          <w:szCs w:val="16"/>
          <w:color w:val="auto"/>
        </w:rPr>
        <w:t xml:space="preserve"> and </w:t>
      </w:r>
      <w:r>
        <w:rPr>
          <w:rFonts w:ascii="Arial" w:cs="Arial" w:eastAsia="Arial" w:hAnsi="Arial"/>
          <w:sz w:val="16"/>
          <w:szCs w:val="16"/>
          <w:i w:val="1"/>
          <w:iCs w:val="1"/>
          <w:color w:val="auto"/>
        </w:rPr>
        <w:t>Thornburg</w:t>
      </w:r>
      <w:r>
        <w:rPr>
          <w:rFonts w:ascii="Arial" w:cs="Arial" w:eastAsia="Arial" w:hAnsi="Arial"/>
          <w:sz w:val="16"/>
          <w:szCs w:val="16"/>
          <w:color w:val="auto"/>
        </w:rPr>
        <w:t xml:space="preserve"> complaints assert violations of Sections 10(b) and 20(a) of the Exchange Act based on allegations that, during the relevant periods, AAG misrepresented and/or omitted material facts related to its financial outlook and certain commercial initiatives. On September 16, 2024, certain purported AAG investors moved for consolidation of the </w:t>
      </w:r>
      <w:r>
        <w:rPr>
          <w:rFonts w:ascii="Arial" w:cs="Arial" w:eastAsia="Arial" w:hAnsi="Arial"/>
          <w:sz w:val="16"/>
          <w:szCs w:val="16"/>
          <w:i w:val="1"/>
          <w:iCs w:val="1"/>
          <w:color w:val="auto"/>
        </w:rPr>
        <w:t>Qawasmi</w:t>
      </w:r>
      <w:r>
        <w:rPr>
          <w:rFonts w:ascii="Arial" w:cs="Arial" w:eastAsia="Arial" w:hAnsi="Arial"/>
          <w:sz w:val="16"/>
          <w:szCs w:val="16"/>
          <w:color w:val="auto"/>
        </w:rPr>
        <w:t xml:space="preserve"> and </w:t>
      </w:r>
      <w:r>
        <w:rPr>
          <w:rFonts w:ascii="Arial" w:cs="Arial" w:eastAsia="Arial" w:hAnsi="Arial"/>
          <w:sz w:val="16"/>
          <w:szCs w:val="16"/>
          <w:i w:val="1"/>
          <w:iCs w:val="1"/>
          <w:color w:val="auto"/>
        </w:rPr>
        <w:t>Thornburg</w:t>
      </w:r>
      <w:r>
        <w:rPr>
          <w:rFonts w:ascii="Arial" w:cs="Arial" w:eastAsia="Arial" w:hAnsi="Arial"/>
          <w:sz w:val="16"/>
          <w:szCs w:val="16"/>
          <w:color w:val="auto"/>
        </w:rPr>
        <w:t xml:space="preserve"> actions as well as appointment as lead plaintiff. On November 22, 2024, the </w:t>
      </w:r>
      <w:r>
        <w:rPr>
          <w:rFonts w:ascii="Arial" w:cs="Arial" w:eastAsia="Arial" w:hAnsi="Arial"/>
          <w:sz w:val="16"/>
          <w:szCs w:val="16"/>
          <w:i w:val="1"/>
          <w:iCs w:val="1"/>
          <w:color w:val="auto"/>
        </w:rPr>
        <w:t>Qawasmi</w:t>
      </w:r>
      <w:r>
        <w:rPr>
          <w:rFonts w:ascii="Arial" w:cs="Arial" w:eastAsia="Arial" w:hAnsi="Arial"/>
          <w:sz w:val="16"/>
          <w:szCs w:val="16"/>
          <w:color w:val="auto"/>
        </w:rPr>
        <w:t xml:space="preserve"> and </w:t>
      </w:r>
      <w:r>
        <w:rPr>
          <w:rFonts w:ascii="Arial" w:cs="Arial" w:eastAsia="Arial" w:hAnsi="Arial"/>
          <w:sz w:val="16"/>
          <w:szCs w:val="16"/>
          <w:i w:val="1"/>
          <w:iCs w:val="1"/>
          <w:color w:val="auto"/>
        </w:rPr>
        <w:t>Thornburg</w:t>
      </w:r>
      <w:r>
        <w:rPr>
          <w:rFonts w:ascii="Arial" w:cs="Arial" w:eastAsia="Arial" w:hAnsi="Arial"/>
          <w:sz w:val="16"/>
          <w:szCs w:val="16"/>
          <w:color w:val="auto"/>
        </w:rPr>
        <w:t xml:space="preserve"> complaints were consolidated into a single action bearing the caption </w:t>
      </w:r>
      <w:r>
        <w:rPr>
          <w:rFonts w:ascii="Arial" w:cs="Arial" w:eastAsia="Arial" w:hAnsi="Arial"/>
          <w:sz w:val="16"/>
          <w:szCs w:val="16"/>
          <w:i w:val="1"/>
          <w:iCs w:val="1"/>
          <w:color w:val="auto"/>
        </w:rPr>
        <w:t>In re American Airlines Group Inc.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Litigation</w:t>
      </w:r>
      <w:r>
        <w:rPr>
          <w:rFonts w:ascii="Arial" w:cs="Arial" w:eastAsia="Arial" w:hAnsi="Arial"/>
          <w:sz w:val="16"/>
          <w:szCs w:val="16"/>
          <w:color w:val="auto"/>
        </w:rPr>
        <w:t>. The court also appointed co-lead plaintiffs and lead counsel to represent the putative class in the consolidated action. Plaintiffs filed a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on January 21, 2025, and an amended consolidated complaint on March 19, 2025. The consolidated complaint makes similar factual allegations to the prior complaints regarding AAG’s financial outlook and certain commercial initiatives. AAG and the individual defendants filed a joint motion to dismiss on March 21, 2025 that was fully submitted on May 23, 2025. That motion is currently pending.</w:t>
      </w:r>
    </w:p>
    <w:p>
      <w:pPr>
        <w:spacing w:after="0" w:line="117" w:lineRule="exact"/>
        <w:rPr>
          <w:sz w:val="20"/>
          <w:szCs w:val="20"/>
          <w:color w:val="auto"/>
        </w:rPr>
      </w:pPr>
    </w:p>
    <w:p>
      <w:pPr>
        <w:jc w:val="both"/>
        <w:ind w:firstLine="217"/>
        <w:spacing w:after="0" w:line="255" w:lineRule="auto"/>
        <w:rPr>
          <w:sz w:val="20"/>
          <w:szCs w:val="20"/>
          <w:color w:val="auto"/>
        </w:rPr>
      </w:pPr>
      <w:r>
        <w:rPr>
          <w:rFonts w:ascii="Arial" w:cs="Arial" w:eastAsia="Arial" w:hAnsi="Arial"/>
          <w:sz w:val="16"/>
          <w:szCs w:val="16"/>
          <w:color w:val="auto"/>
        </w:rPr>
        <w:t xml:space="preserve">Additionally, on September 19, 2024, certain of AAG’s current and former directors and officers were named as defendants in a shareholder derivative lawsuit (in which AAG is a nominal defendant) filed in the U.S. District Court for the Northern District of Texas, captioned </w:t>
      </w:r>
      <w:r>
        <w:rPr>
          <w:rFonts w:ascii="Arial" w:cs="Arial" w:eastAsia="Arial" w:hAnsi="Arial"/>
          <w:sz w:val="16"/>
          <w:szCs w:val="16"/>
          <w:i w:val="1"/>
          <w:iCs w:val="1"/>
          <w:color w:val="auto"/>
        </w:rPr>
        <w:t>Hollin v. Isom, et al.</w:t>
      </w:r>
      <w:r>
        <w:rPr>
          <w:rFonts w:ascii="Arial" w:cs="Arial" w:eastAsia="Arial" w:hAnsi="Arial"/>
          <w:sz w:val="16"/>
          <w:szCs w:val="16"/>
          <w:color w:val="auto"/>
        </w:rPr>
        <w:t xml:space="preserve"> The </w:t>
      </w:r>
      <w:r>
        <w:rPr>
          <w:rFonts w:ascii="Arial" w:cs="Arial" w:eastAsia="Arial" w:hAnsi="Arial"/>
          <w:sz w:val="16"/>
          <w:szCs w:val="16"/>
          <w:i w:val="1"/>
          <w:iCs w:val="1"/>
          <w:color w:val="auto"/>
        </w:rPr>
        <w:t>Hollin</w:t>
      </w:r>
      <w:r>
        <w:rPr>
          <w:rFonts w:ascii="Arial" w:cs="Arial" w:eastAsia="Arial" w:hAnsi="Arial"/>
          <w:sz w:val="16"/>
          <w:szCs w:val="16"/>
          <w:color w:val="auto"/>
        </w:rPr>
        <w:t xml:space="preserve"> complaint asserts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16"/>
          <w:szCs w:val="16"/>
          <w:i w:val="1"/>
          <w:iCs w:val="1"/>
          <w:color w:val="auto"/>
        </w:rPr>
        <w:t>Leon v. Isom, et al</w:t>
      </w:r>
      <w:r>
        <w:rPr>
          <w:rFonts w:ascii="Arial" w:cs="Arial" w:eastAsia="Arial" w:hAnsi="Arial"/>
          <w:sz w:val="16"/>
          <w:szCs w:val="16"/>
          <w:color w:val="auto"/>
        </w:rPr>
        <w:t xml:space="preserve">. The </w:t>
      </w:r>
      <w:r>
        <w:rPr>
          <w:rFonts w:ascii="Arial" w:cs="Arial" w:eastAsia="Arial" w:hAnsi="Arial"/>
          <w:sz w:val="16"/>
          <w:szCs w:val="16"/>
          <w:i w:val="1"/>
          <w:iCs w:val="1"/>
          <w:color w:val="auto"/>
        </w:rPr>
        <w:t>Leon</w:t>
      </w:r>
      <w:r>
        <w:rPr>
          <w:rFonts w:ascii="Arial" w:cs="Arial" w:eastAsia="Arial" w:hAnsi="Arial"/>
          <w:sz w:val="16"/>
          <w:szCs w:val="16"/>
          <w:color w:val="auto"/>
        </w:rPr>
        <w:t xml:space="preserve"> complaint asserts violations of Section 14(a) of the Exchange Act, breaches of fiduciary duty, claims of unjust enrichment, abuse of control, gross mismanagement, waste of corporate assets, and a claim for contribution. The </w:t>
      </w:r>
      <w:r>
        <w:rPr>
          <w:rFonts w:ascii="Arial" w:cs="Arial" w:eastAsia="Arial" w:hAnsi="Arial"/>
          <w:sz w:val="16"/>
          <w:szCs w:val="16"/>
          <w:i w:val="1"/>
          <w:iCs w:val="1"/>
          <w:color w:val="auto"/>
        </w:rPr>
        <w:t>Hollin</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Leon </w:t>
      </w:r>
      <w:r>
        <w:rPr>
          <w:rFonts w:ascii="Arial" w:cs="Arial" w:eastAsia="Arial" w:hAnsi="Arial"/>
          <w:sz w:val="16"/>
          <w:szCs w:val="16"/>
          <w:color w:val="auto"/>
        </w:rPr>
        <w:t>complaints generally allege the same purported misconduct as alleged in the securities class actions. On November 25, 2024, the</w:t>
      </w:r>
      <w:r>
        <w:rPr>
          <w:rFonts w:ascii="Arial" w:cs="Arial" w:eastAsia="Arial" w:hAnsi="Arial"/>
          <w:sz w:val="16"/>
          <w:szCs w:val="16"/>
          <w:i w:val="1"/>
          <w:iCs w:val="1"/>
          <w:color w:val="auto"/>
        </w:rPr>
        <w:t xml:space="preserve"> Hollin </w:t>
      </w:r>
      <w:r>
        <w:rPr>
          <w:rFonts w:ascii="Arial" w:cs="Arial" w:eastAsia="Arial" w:hAnsi="Arial"/>
          <w:sz w:val="16"/>
          <w:szCs w:val="16"/>
          <w:color w:val="auto"/>
        </w:rPr>
        <w:t>and</w:t>
      </w:r>
      <w:r>
        <w:rPr>
          <w:rFonts w:ascii="Arial" w:cs="Arial" w:eastAsia="Arial" w:hAnsi="Arial"/>
          <w:sz w:val="16"/>
          <w:szCs w:val="16"/>
          <w:i w:val="1"/>
          <w:iCs w:val="1"/>
          <w:color w:val="auto"/>
        </w:rPr>
        <w:t xml:space="preserve"> Leon </w:t>
      </w:r>
      <w:r>
        <w:rPr>
          <w:rFonts w:ascii="Arial" w:cs="Arial" w:eastAsia="Arial" w:hAnsi="Arial"/>
          <w:sz w:val="16"/>
          <w:szCs w:val="16"/>
          <w:color w:val="auto"/>
        </w:rPr>
        <w:t xml:space="preserve">complaints were consolidated into a single action bearing the caption </w:t>
      </w:r>
      <w:r>
        <w:rPr>
          <w:rFonts w:ascii="Arial" w:cs="Arial" w:eastAsia="Arial" w:hAnsi="Arial"/>
          <w:sz w:val="16"/>
          <w:szCs w:val="16"/>
          <w:i w:val="1"/>
          <w:iCs w:val="1"/>
          <w:color w:val="auto"/>
        </w:rPr>
        <w:t>In re American Airlines Group Inc. Stockholder Derivative Action</w:t>
      </w:r>
      <w:r>
        <w:rPr>
          <w:rFonts w:ascii="Arial" w:cs="Arial" w:eastAsia="Arial" w:hAnsi="Arial"/>
          <w:sz w:val="16"/>
          <w:szCs w:val="16"/>
          <w:color w:val="auto"/>
        </w:rPr>
        <w:t>. The derivative actions are currently stayed pending resolution of the securities class action. We believe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both the securities class action and shareholder derivative lawsuit are without merit and intend to defend against them vigorously.</w:t>
      </w:r>
    </w:p>
    <w:p>
      <w:pPr>
        <w:spacing w:after="0" w:line="153" w:lineRule="exact"/>
        <w:rPr>
          <w:sz w:val="20"/>
          <w:szCs w:val="20"/>
          <w:color w:val="auto"/>
        </w:rPr>
      </w:pPr>
    </w:p>
    <w:p>
      <w:pPr>
        <w:jc w:val="both"/>
        <w:ind w:firstLine="217"/>
        <w:spacing w:after="0" w:line="263"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In addition to the specifically identified legal proceedings, we and our subsidiaries are also engaged in other legal proceedings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CONDENSED CONSOLIDATED FINANCIAL STATEMENTS OF 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60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2024</w:t>
            </w:r>
          </w:p>
        </w:tc>
      </w:tr>
      <w:tr>
        <w:trPr>
          <w:trHeight w:val="18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Passenger</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13,202</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24,514</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24,661</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Cargo</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05"/>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r>
      <w:tr>
        <w:trPr>
          <w:trHeight w:val="197"/>
        </w:trPr>
        <w:tc>
          <w:tcPr>
            <w:tcW w:w="60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operating revenues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26,940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26,902</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Aircraft fuel and related taxes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Salaries, wages and benefits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7,816</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Regional expenses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Maintenance, materials and repairs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1,834</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rent and landing fees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Aircraft rent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Selling expenses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Special items,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5"/>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3,178</w:t>
            </w:r>
          </w:p>
        </w:tc>
      </w:tr>
      <w:tr>
        <w:trPr>
          <w:trHeight w:val="197"/>
        </w:trPr>
        <w:tc>
          <w:tcPr>
            <w:tcW w:w="60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25,495</w:t>
            </w:r>
          </w:p>
        </w:tc>
      </w:tr>
      <w:tr>
        <w:trPr>
          <w:trHeight w:val="19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1,407</w:t>
            </w: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income (expense):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r>
      <w:tr>
        <w:trPr>
          <w:trHeight w:val="205"/>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197"/>
        </w:trPr>
        <w:tc>
          <w:tcPr>
            <w:tcW w:w="60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nonoperating expense, net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19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874</w:t>
            </w: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19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60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2024</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r>
      <w:tr>
        <w:trPr>
          <w:trHeight w:val="19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577</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6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Pension, retiree medical and other postretirement benefits</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w:t>
            </w:r>
          </w:p>
        </w:tc>
      </w:tr>
      <w:tr>
        <w:trPr>
          <w:trHeight w:val="205"/>
        </w:trPr>
        <w:tc>
          <w:tcPr>
            <w:tcW w:w="6000" w:type="dxa"/>
            <w:vAlign w:val="bottom"/>
          </w:tcPr>
          <w:p>
            <w:pPr>
              <w:ind w:left="300"/>
              <w:spacing w:after="0"/>
              <w:rPr>
                <w:sz w:val="20"/>
                <w:szCs w:val="20"/>
                <w:color w:val="auto"/>
              </w:rPr>
            </w:pPr>
            <w:r>
              <w:rPr>
                <w:rFonts w:ascii="Arial" w:cs="Arial" w:eastAsia="Arial" w:hAnsi="Arial"/>
                <w:sz w:val="16"/>
                <w:szCs w:val="16"/>
                <w:color w:val="auto"/>
              </w:rPr>
              <w:t>Investments</w:t>
            </w:r>
          </w:p>
        </w:tc>
        <w:tc>
          <w:tcPr>
            <w:tcW w:w="8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7"/>
        </w:trPr>
        <w:tc>
          <w:tcPr>
            <w:tcW w:w="60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Total other comprehensive income, net of tax</w:t>
            </w: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r>
      <w:tr>
        <w:trPr>
          <w:trHeight w:val="19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613</w:t>
            </w: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AMERICAN AIRLINES, INC.</w:t>
      </w:r>
    </w:p>
    <w:p>
      <w:pPr>
        <w:spacing w:after="0" w:line="25"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(In millions, except share and par value amounts)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99"/>
              </w:rPr>
              <w:t>June 30, 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(Unaudited)</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Restricted cash and short-term investments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Receivables from related parties, net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Aircraft fuel, spare parts and supplies, net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expenses and other</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2"/>
        </w:trPr>
        <w:tc>
          <w:tcPr>
            <w:tcW w:w="7560" w:type="dxa"/>
            <w:vAlign w:val="bottom"/>
          </w:tcPr>
          <w:p>
            <w:pPr>
              <w:ind w:left="580"/>
              <w:spacing w:after="0" w:line="159" w:lineRule="exact"/>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23,295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21,019</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property and equipment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Flight equipment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43,862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43,158</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Ground property and equipment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c>
          <w:tcPr>
            <w:tcW w:w="0" w:type="dxa"/>
            <w:vAlign w:val="bottom"/>
          </w:tcPr>
          <w:p>
            <w:pPr>
              <w:spacing w:after="0"/>
              <w:rPr>
                <w:sz w:val="1"/>
                <w:szCs w:val="1"/>
                <w:color w:val="auto"/>
              </w:rPr>
            </w:pPr>
          </w:p>
        </w:tc>
      </w:tr>
      <w:tr>
        <w:trPr>
          <w:trHeight w:val="180"/>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Equipment purchase deposits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73"/>
        </w:trPr>
        <w:tc>
          <w:tcPr>
            <w:tcW w:w="75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property and equipment, at cost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53,879</w:t>
            </w:r>
          </w:p>
        </w:tc>
        <w:tc>
          <w:tcPr>
            <w:tcW w:w="0" w:type="dxa"/>
            <w:vAlign w:val="bottom"/>
          </w:tcPr>
          <w:p>
            <w:pPr>
              <w:spacing w:after="0"/>
              <w:rPr>
                <w:sz w:val="1"/>
                <w:szCs w:val="1"/>
                <w:color w:val="auto"/>
              </w:rPr>
            </w:pPr>
          </w:p>
        </w:tc>
      </w:tr>
      <w:tr>
        <w:trPr>
          <w:trHeight w:val="180"/>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Less accumulated depreciation and amortization</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(23,060)</w:t>
            </w:r>
          </w:p>
        </w:tc>
        <w:tc>
          <w:tcPr>
            <w:tcW w:w="0" w:type="dxa"/>
            <w:vAlign w:val="bottom"/>
          </w:tcPr>
          <w:p>
            <w:pPr>
              <w:spacing w:after="0"/>
              <w:rPr>
                <w:sz w:val="1"/>
                <w:szCs w:val="1"/>
                <w:color w:val="auto"/>
              </w:rPr>
            </w:pPr>
          </w:p>
        </w:tc>
      </w:tr>
      <w:tr>
        <w:trPr>
          <w:trHeight w:val="173"/>
        </w:trPr>
        <w:tc>
          <w:tcPr>
            <w:tcW w:w="75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property and equipment, net</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30,819</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20"/>
                <w:szCs w:val="20"/>
                <w:color w:val="auto"/>
              </w:rPr>
            </w:pPr>
            <w:r>
              <w:rPr>
                <w:rFonts w:ascii="Arial" w:cs="Arial" w:eastAsia="Arial" w:hAnsi="Arial"/>
                <w:sz w:val="14"/>
                <w:szCs w:val="14"/>
                <w:b w:val="1"/>
                <w:bCs w:val="1"/>
                <w:color w:val="auto"/>
              </w:rPr>
              <w:t>Operating lease right-of-use assets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7,431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7,274</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assets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Intangibles, net of accumulated amortization of $845 and $841, respectively</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Deferred tax asset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72"/>
        </w:trPr>
        <w:tc>
          <w:tcPr>
            <w:tcW w:w="7560" w:type="dxa"/>
            <w:vAlign w:val="bottom"/>
            <w:tcBorders>
              <w:bottom w:val="single" w:sz="8" w:color="CCEEFF"/>
            </w:tcBorders>
          </w:tcPr>
          <w:p>
            <w:pPr>
              <w:ind w:left="580"/>
              <w:spacing w:after="0" w:line="159" w:lineRule="exact"/>
              <w:rPr>
                <w:sz w:val="20"/>
                <w:szCs w:val="20"/>
                <w:color w:val="auto"/>
              </w:rPr>
            </w:pPr>
            <w:r>
              <w:rPr>
                <w:rFonts w:ascii="Arial" w:cs="Arial" w:eastAsia="Arial" w:hAnsi="Arial"/>
                <w:sz w:val="14"/>
                <w:szCs w:val="14"/>
                <w:color w:val="auto"/>
              </w:rPr>
              <w:t>Total other assets</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9,643</w:t>
            </w:r>
          </w:p>
        </w:tc>
        <w:tc>
          <w:tcPr>
            <w:tcW w:w="0" w:type="dxa"/>
            <w:vAlign w:val="bottom"/>
          </w:tcPr>
          <w:p>
            <w:pPr>
              <w:spacing w:after="0"/>
              <w:rPr>
                <w:sz w:val="1"/>
                <w:szCs w:val="1"/>
                <w:color w:val="auto"/>
              </w:rPr>
            </w:pPr>
          </w:p>
        </w:tc>
      </w:tr>
      <w:tr>
        <w:trPr>
          <w:trHeight w:val="198"/>
        </w:trPr>
        <w:tc>
          <w:tcPr>
            <w:tcW w:w="75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68,755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7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Current maturities of long-term debt and finance leases</w:t>
            </w: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3,602</w:t>
            </w:r>
          </w:p>
        </w:tc>
        <w:tc>
          <w:tcPr>
            <w:tcW w:w="10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4,326</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Accrued salaries and wages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Air traffic liability</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6,759</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Loyalty program liability</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80"/>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2,812</w:t>
            </w:r>
          </w:p>
        </w:tc>
        <w:tc>
          <w:tcPr>
            <w:tcW w:w="0" w:type="dxa"/>
            <w:vAlign w:val="bottom"/>
          </w:tcPr>
          <w:p>
            <w:pPr>
              <w:spacing w:after="0"/>
              <w:rPr>
                <w:sz w:val="1"/>
                <w:szCs w:val="1"/>
                <w:color w:val="auto"/>
              </w:rPr>
            </w:pPr>
          </w:p>
        </w:tc>
      </w:tr>
      <w:tr>
        <w:trPr>
          <w:trHeight w:val="173"/>
        </w:trPr>
        <w:tc>
          <w:tcPr>
            <w:tcW w:w="75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22,902</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Long-term debt and finance leases, net of current maturities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21,410</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Pension and postretirement benefits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Loyalty program liability</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6,498</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5,926</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172"/>
        </w:trPr>
        <w:tc>
          <w:tcPr>
            <w:tcW w:w="7560" w:type="dxa"/>
            <w:vAlign w:val="bottom"/>
          </w:tcPr>
          <w:p>
            <w:pPr>
              <w:ind w:left="580"/>
              <w:spacing w:after="0" w:line="159" w:lineRule="exact"/>
              <w:rPr>
                <w:sz w:val="20"/>
                <w:szCs w:val="20"/>
                <w:color w:val="auto"/>
              </w:rPr>
            </w:pPr>
            <w:r>
              <w:rPr>
                <w:rFonts w:ascii="Arial" w:cs="Arial" w:eastAsia="Arial" w:hAnsi="Arial"/>
                <w:sz w:val="14"/>
                <w:szCs w:val="14"/>
                <w:color w:val="auto"/>
              </w:rPr>
              <w:t>Total noncurrent liabilities</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37,925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37,619</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Common stock, $1.00 par value; 1,000 shares authorized, issued and outstanding</w:t>
            </w:r>
          </w:p>
        </w:tc>
        <w:tc>
          <w:tcPr>
            <w:tcW w:w="2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17,447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17,408</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w:t>
            </w:r>
          </w:p>
        </w:tc>
        <w:tc>
          <w:tcPr>
            <w:tcW w:w="0" w:type="dxa"/>
            <w:vAlign w:val="bottom"/>
          </w:tcPr>
          <w:p>
            <w:pPr>
              <w:spacing w:after="0"/>
              <w:rPr>
                <w:sz w:val="1"/>
                <w:szCs w:val="1"/>
                <w:color w:val="auto"/>
              </w:rPr>
            </w:pPr>
          </w:p>
        </w:tc>
      </w:tr>
      <w:tr>
        <w:trPr>
          <w:trHeight w:val="180"/>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Retained deficit</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(4,497)</w:t>
            </w:r>
          </w:p>
        </w:tc>
        <w:tc>
          <w:tcPr>
            <w:tcW w:w="0" w:type="dxa"/>
            <w:vAlign w:val="bottom"/>
          </w:tcPr>
          <w:p>
            <w:pPr>
              <w:spacing w:after="0"/>
              <w:rPr>
                <w:sz w:val="1"/>
                <w:szCs w:val="1"/>
                <w:color w:val="auto"/>
              </w:rPr>
            </w:pPr>
          </w:p>
        </w:tc>
      </w:tr>
      <w:tr>
        <w:trPr>
          <w:trHeight w:val="173"/>
        </w:trPr>
        <w:tc>
          <w:tcPr>
            <w:tcW w:w="75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172"/>
        </w:trPr>
        <w:tc>
          <w:tcPr>
            <w:tcW w:w="7560" w:type="dxa"/>
            <w:vAlign w:val="bottom"/>
          </w:tcPr>
          <w:p>
            <w:pPr>
              <w:ind w:left="88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70,907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68,755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AMERICAN AIRLINES,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millions)(Unaudited)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3"/>
                <w:szCs w:val="13"/>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r>
      <w:tr>
        <w:trPr>
          <w:trHeight w:val="173"/>
        </w:trPr>
        <w:tc>
          <w:tcPr>
            <w:tcW w:w="78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5"/>
                <w:szCs w:val="15"/>
                <w:color w:val="auto"/>
              </w:rPr>
            </w:pPr>
          </w:p>
        </w:tc>
      </w:tr>
      <w:tr>
        <w:trPr>
          <w:trHeight w:val="19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r>
      <w:tr>
        <w:trPr>
          <w:trHeight w:val="205"/>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expenditures and aircraft purchase deposits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Proceeds from sale-leaseback transactions and sale of property and equipment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Purchases of short-term investments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Sales of short-term investments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3,119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3,881</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Decrease (increase) in restricted short-term investments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5"/>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investing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7"/>
        </w:trPr>
        <w:tc>
          <w:tcPr>
            <w:tcW w:w="7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r>
      <w:tr>
        <w:trPr>
          <w:trHeight w:val="205"/>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Payments on long-term debt and finance leases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w:t>
            </w: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Proceeds from issuance of long-term debt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197"/>
        </w:trPr>
        <w:tc>
          <w:tcPr>
            <w:tcW w:w="78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w:t>
            </w:r>
          </w:p>
        </w:tc>
      </w:tr>
      <w:tr>
        <w:trPr>
          <w:trHeight w:val="19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restricted cash</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restricted cash at beginning of period</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r>
      <w:tr>
        <w:trPr>
          <w:trHeight w:val="222"/>
        </w:trPr>
        <w:tc>
          <w:tcPr>
            <w:tcW w:w="780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6"/>
                <w:szCs w:val="16"/>
                <w:color w:val="auto"/>
              </w:rPr>
              <w:t xml:space="preserve">Cash and restricted cash at end of period </w:t>
            </w:r>
            <w:r>
              <w:rPr>
                <w:rFonts w:ascii="Arial" w:cs="Arial" w:eastAsia="Arial" w:hAnsi="Arial"/>
                <w:sz w:val="20"/>
                <w:szCs w:val="20"/>
                <w:color w:val="auto"/>
                <w:vertAlign w:val="superscript"/>
              </w:rPr>
              <w:t>(1)</w:t>
            </w:r>
          </w:p>
        </w:tc>
        <w:tc>
          <w:tcPr>
            <w:tcW w:w="106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73"/>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Right-of-use (ROU) assets acquired through operating leases</w:t>
            </w:r>
          </w:p>
        </w:tc>
        <w:tc>
          <w:tcPr>
            <w:tcW w:w="1060" w:type="dxa"/>
            <w:vAlign w:val="bottom"/>
          </w:tcPr>
          <w:p>
            <w:pPr>
              <w:jc w:val="right"/>
              <w:ind w:right="866"/>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7"/>
                <w:szCs w:val="17"/>
                <w:color w:val="auto"/>
              </w:rPr>
            </w:pP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Property and equipment acquired through finance leases and other</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5"/>
        </w:trPr>
        <w:tc>
          <w:tcPr>
            <w:tcW w:w="7800" w:type="dxa"/>
            <w:vAlign w:val="bottom"/>
          </w:tcPr>
          <w:p>
            <w:pPr>
              <w:ind w:left="300"/>
              <w:spacing w:after="0"/>
              <w:rPr>
                <w:sz w:val="20"/>
                <w:szCs w:val="20"/>
                <w:color w:val="auto"/>
              </w:rPr>
            </w:pPr>
            <w:r>
              <w:rPr>
                <w:rFonts w:ascii="Arial" w:cs="Arial" w:eastAsia="Arial" w:hAnsi="Arial"/>
                <w:sz w:val="16"/>
                <w:szCs w:val="16"/>
                <w:color w:val="auto"/>
              </w:rPr>
              <w:t>Operating leases converted to finance leases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Finance leases converted to operating leases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5"/>
        </w:trPr>
        <w:tc>
          <w:tcPr>
            <w:tcW w:w="7800" w:type="dxa"/>
            <w:vAlign w:val="bottom"/>
          </w:tcPr>
          <w:p>
            <w:pPr>
              <w:ind w:left="20"/>
              <w:spacing w:after="0"/>
              <w:rPr>
                <w:sz w:val="20"/>
                <w:szCs w:val="20"/>
                <w:color w:val="auto"/>
              </w:rPr>
            </w:pPr>
            <w:r>
              <w:rPr>
                <w:rFonts w:ascii="Arial" w:cs="Arial" w:eastAsia="Arial" w:hAnsi="Arial"/>
                <w:sz w:val="16"/>
                <w:szCs w:val="16"/>
                <w:color w:val="auto"/>
              </w:rPr>
              <w:t>Supplemental information:</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paid, net</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11"/>
        </w:trPr>
        <w:tc>
          <w:tcPr>
            <w:tcW w:w="7800" w:type="dxa"/>
            <w:vAlign w:val="bottom"/>
          </w:tcPr>
          <w:p>
            <w:pPr>
              <w:ind w:left="300"/>
              <w:spacing w:after="0"/>
              <w:rPr>
                <w:sz w:val="20"/>
                <w:szCs w:val="20"/>
                <w:color w:val="auto"/>
              </w:rPr>
            </w:pPr>
            <w:r>
              <w:rPr>
                <w:rFonts w:ascii="Arial" w:cs="Arial" w:eastAsia="Arial" w:hAnsi="Arial"/>
                <w:sz w:val="16"/>
                <w:szCs w:val="16"/>
                <w:color w:val="auto"/>
              </w:rPr>
              <w:t>Income taxes paid</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31508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167" w:lineRule="exact"/>
        <w:rPr>
          <w:sz w:val="20"/>
          <w:szCs w:val="20"/>
          <w:color w:val="auto"/>
        </w:rPr>
      </w:pPr>
    </w:p>
    <w:p>
      <w:pPr>
        <w:ind w:left="284" w:hanging="284"/>
        <w:spacing w:after="0"/>
        <w:tabs>
          <w:tab w:leader="none" w:pos="284"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The following table provides a reconciliation of cash and restricted cash to amounts reported within the condensed consolidated balance sheets:</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72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0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restricted cash and short-term investments</w:t>
            </w: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22"/>
        </w:trPr>
        <w:tc>
          <w:tcPr>
            <w:tcW w:w="7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cash and restricted cash</w:t>
            </w:r>
          </w:p>
        </w:tc>
        <w:tc>
          <w:tcPr>
            <w:tcW w:w="72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8"/>
              </w:rPr>
              <w:t>Retained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17,408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8,234</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equity transfer</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17,424</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Intercompany equity transfer</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2"/>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8"/>
              </w:rPr>
              <w:t>Retained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17,335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6,577</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Modification of share-based awards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Intercompany equity transfer</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17,343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6,386</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equity transfer</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17,364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9" w:lineRule="exact"/>
        <w:rPr>
          <w:sz w:val="20"/>
          <w:szCs w:val="20"/>
          <w:color w:val="auto"/>
        </w:rPr>
      </w:pPr>
    </w:p>
    <w:p>
      <w:pPr>
        <w:ind w:left="184" w:hanging="184"/>
        <w:spacing w:after="0"/>
        <w:tabs>
          <w:tab w:leader="none" w:pos="18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82" w:lineRule="exact"/>
        <w:rPr>
          <w:rFonts w:ascii="Arial" w:cs="Arial" w:eastAsia="Arial" w:hAnsi="Arial"/>
          <w:sz w:val="16"/>
          <w:szCs w:val="16"/>
          <w:b w:val="1"/>
          <w:bCs w:val="1"/>
          <w:color w:val="auto"/>
        </w:rPr>
      </w:pPr>
    </w:p>
    <w:p>
      <w:pPr>
        <w:ind w:left="464" w:hanging="247"/>
        <w:spacing w:after="0"/>
        <w:tabs>
          <w:tab w:leader="none" w:pos="464" w:val="left"/>
        </w:tabs>
        <w:numPr>
          <w:ilvl w:val="1"/>
          <w:numId w:val="19"/>
        </w:numPr>
        <w:rPr>
          <w:rFonts w:ascii="Arial" w:cs="Arial" w:eastAsia="Arial" w:hAnsi="Arial"/>
          <w:sz w:val="16"/>
          <w:szCs w:val="16"/>
          <w:b w:val="1"/>
          <w:bCs w:val="1"/>
          <w:i w:val="1"/>
          <w:iCs w:val="1"/>
          <w:u w:val="single" w:color="auto"/>
          <w:color w:val="auto"/>
        </w:rPr>
      </w:pPr>
      <w:r>
        <w:rPr>
          <w:rFonts w:ascii="Arial" w:cs="Arial" w:eastAsia="Arial" w:hAnsi="Arial"/>
          <w:sz w:val="16"/>
          <w:szCs w:val="16"/>
          <w:b w:val="1"/>
          <w:bCs w:val="1"/>
          <w:i w:val="1"/>
          <w:iCs w:val="1"/>
          <w:u w:val="single" w:color="auto"/>
          <w:color w:val="auto"/>
        </w:rPr>
        <w:t>Basis of Presentation</w:t>
      </w:r>
    </w:p>
    <w:p>
      <w:pPr>
        <w:spacing w:after="0" w:line="79"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2024. American is the principal wholly-owned subsidiary of American Airlines Group Inc. (AAG). All significant intercompany transactions have been eliminated.</w:t>
      </w:r>
    </w:p>
    <w:p>
      <w:pPr>
        <w:spacing w:after="0" w:line="104" w:lineRule="exact"/>
        <w:rPr>
          <w:sz w:val="20"/>
          <w:szCs w:val="20"/>
          <w:color w:val="auto"/>
        </w:rPr>
      </w:pPr>
    </w:p>
    <w:p>
      <w:pPr>
        <w:jc w:val="both"/>
        <w:ind w:left="4" w:firstLine="217"/>
        <w:spacing w:after="0" w:line="258"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188"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(b) Operating Property and Equipment</w:t>
      </w:r>
    </w:p>
    <w:p>
      <w:pPr>
        <w:spacing w:after="0" w:line="79"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Effective January 1, 2025, American adjusted the estimated useful lives of its mainline and regional aircraft, engines and related rotable parts by three years to align with the extended lives of aircraft included in American’s long-term fleet plan. In conjunction with this change, American also reduced the salvage values for most of these assets from 10% to 5% of original cost to more closely reflect the estimated value at the end of the useful life. Accordingly, the estimated useful lives for the principal property and equipment classification are as follows: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6440" w:type="dxa"/>
            <w:vAlign w:val="bottom"/>
            <w:gridSpan w:val="3"/>
          </w:tcPr>
          <w:p>
            <w:pPr>
              <w:ind w:left="20"/>
              <w:spacing w:after="0"/>
              <w:rPr>
                <w:sz w:val="20"/>
                <w:szCs w:val="20"/>
                <w:color w:val="auto"/>
              </w:rPr>
            </w:pPr>
            <w:r>
              <w:rPr>
                <w:rFonts w:ascii="Arial" w:cs="Arial" w:eastAsia="Arial" w:hAnsi="Arial"/>
                <w:sz w:val="13"/>
                <w:szCs w:val="13"/>
                <w:b w:val="1"/>
                <w:bCs w:val="1"/>
                <w:color w:val="auto"/>
              </w:rPr>
              <w:t>Principal Property and Equipment Classification</w:t>
            </w:r>
          </w:p>
        </w:tc>
        <w:tc>
          <w:tcPr>
            <w:tcW w:w="48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Estimated Useful Life</w:t>
            </w:r>
          </w:p>
        </w:tc>
      </w:tr>
      <w:tr>
        <w:trPr>
          <w:trHeight w:val="28"/>
        </w:trPr>
        <w:tc>
          <w:tcPr>
            <w:tcW w:w="20" w:type="dxa"/>
            <w:vAlign w:val="bottom"/>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Aircraft, engines and related rotable parts</w:t>
            </w:r>
          </w:p>
        </w:tc>
        <w:tc>
          <w:tcPr>
            <w:tcW w:w="3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 – 33 years</w:t>
            </w:r>
          </w:p>
        </w:tc>
      </w:tr>
    </w:tbl>
    <w:p>
      <w:pPr>
        <w:spacing w:after="0" w:line="212"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The effect of these changes did not have a material impact to depreciation and amortization expense in the condensed consolidated statement of operations for the three and six months ended June 30, 2025.</w:t>
      </w:r>
    </w:p>
    <w:p>
      <w:pPr>
        <w:spacing w:after="0" w:line="165"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(c) Construction Projects</w:t>
      </w:r>
    </w:p>
    <w:p>
      <w:pPr>
        <w:spacing w:after="0" w:line="79" w:lineRule="exact"/>
        <w:rPr>
          <w:sz w:val="20"/>
          <w:szCs w:val="20"/>
          <w:color w:val="auto"/>
        </w:rPr>
      </w:pPr>
    </w:p>
    <w:p>
      <w:pPr>
        <w:jc w:val="both"/>
        <w:ind w:left="4" w:firstLine="217"/>
        <w:spacing w:after="0" w:line="260" w:lineRule="auto"/>
        <w:rPr>
          <w:sz w:val="20"/>
          <w:szCs w:val="20"/>
          <w:color w:val="auto"/>
        </w:rPr>
      </w:pPr>
      <w:r>
        <w:rPr>
          <w:rFonts w:ascii="Arial" w:cs="Arial" w:eastAsia="Arial" w:hAnsi="Arial"/>
          <w:sz w:val="16"/>
          <w:szCs w:val="16"/>
          <w:color w:val="auto"/>
        </w:rPr>
        <w:t>American’s improvements to the overhaul and maintenance base at Tulsa International Airport (Tulsa Maintenance Base) include the design, construction and renovation of various facilities at the Tulsa Maintenance Base. The Tulsa Maintenance Base is American’s largest maintenance facility and is an integral part of operating its mainline fleet. American has concluded that it does not control the underlying assets being constructed, and therefore, it recognizes operating lease liabilities with corresponding right-of-use assets on the condensed consolidated balance sheet as individual project stages are completed and leases commence.</w:t>
      </w:r>
    </w:p>
    <w:p>
      <w:pPr>
        <w:spacing w:after="0" w:line="111" w:lineRule="exact"/>
        <w:rPr>
          <w:sz w:val="20"/>
          <w:szCs w:val="20"/>
          <w:color w:val="auto"/>
        </w:rPr>
      </w:pPr>
    </w:p>
    <w:p>
      <w:pPr>
        <w:jc w:val="both"/>
        <w:ind w:left="4" w:right="20" w:firstLine="217"/>
        <w:spacing w:after="0" w:line="257" w:lineRule="auto"/>
        <w:rPr>
          <w:sz w:val="20"/>
          <w:szCs w:val="20"/>
          <w:color w:val="auto"/>
        </w:rPr>
      </w:pPr>
      <w:r>
        <w:rPr>
          <w:rFonts w:ascii="Arial" w:cs="Arial" w:eastAsia="Arial" w:hAnsi="Arial"/>
          <w:sz w:val="16"/>
          <w:szCs w:val="16"/>
          <w:color w:val="auto"/>
        </w:rPr>
        <w:t>In May 2025, the Tulsa Municipal Airport Trust (TMAT) issued $400 million aggregate principal amount of special facility revenue bonds on behalf of American, with $ 300 million maturing on December 1, 2035 and $100 million maturing on December 1, 2040 (collectively, the 2025 TMAT Bonds). The 2025 TMAT Bond due December 1, 2035 was priced at 109% of par value and the 2025 TMAT Bond due December 1, 2040 was priced at 107% of par value. The gross proceeds from the issuance of the 2025 TMAT Bonds were approximately $432 million. Of this amount, $104 million was used to fund the redemption of the aggregate principal amount of TMAT’s outstanding 2015 special facility revenue bonds (the 2015 TMAT Bonds) and the remaining $328 million will be used to finance the cost of improvements at the Tulsa Maintenance Base. The net proceeds received from the 2025 TMAT Bonds, offset by related project spend, are reflected within other investing activities in the condensed consolidated statement of cash flows.</w:t>
      </w:r>
    </w:p>
    <w:p>
      <w:pPr>
        <w:spacing w:after="0" w:line="114" w:lineRule="exact"/>
        <w:rPr>
          <w:sz w:val="20"/>
          <w:szCs w:val="20"/>
          <w:color w:val="auto"/>
        </w:rPr>
      </w:pPr>
    </w:p>
    <w:p>
      <w:pPr>
        <w:jc w:val="both"/>
        <w:ind w:left="4" w:firstLine="217"/>
        <w:spacing w:after="0" w:line="260" w:lineRule="auto"/>
        <w:rPr>
          <w:sz w:val="20"/>
          <w:szCs w:val="20"/>
          <w:color w:val="auto"/>
        </w:rPr>
      </w:pPr>
      <w:r>
        <w:rPr>
          <w:rFonts w:ascii="Arial" w:cs="Arial" w:eastAsia="Arial" w:hAnsi="Arial"/>
          <w:sz w:val="16"/>
          <w:szCs w:val="16"/>
          <w:color w:val="auto"/>
        </w:rPr>
        <w:t>The 2025 TMAT Bonds bear interest at 6.25% per annum commencing on May 8, 2025, until the day preceding the applicable maturity date, on which date the bonds will be subject to mandatory tender for purchase by American. American is required to pay rent equal to the annual principal and interest requirement on the 2025 TMAT Bonds through payments under a sublease agreement with TMAT (as amended), and AAG guarantees the 2025 TMAT Bonds. American’s obligations under both the sublease agreement with TMAT and the 2025 TMAT Bonds are secured by a leasehold mortgage on American’s lease of the Tulsa Maintenance Base.</w:t>
      </w: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30" w:name="page31"/>
    <w:bookmarkEnd w:id="30"/>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 Special Items, Net</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Special items, net in the condensed consolidated statements of operations consisted of the following (in millions):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60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r>
      <w:tr>
        <w:trPr>
          <w:trHeight w:val="19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reserve adjustments</w:t>
            </w:r>
          </w:p>
        </w:tc>
        <w:tc>
          <w:tcPr>
            <w:tcW w:w="840" w:type="dxa"/>
            <w:vAlign w:val="bottom"/>
            <w:shd w:val="clear" w:color="auto" w:fill="CCEEFF"/>
          </w:tcPr>
          <w:p>
            <w:pPr>
              <w:jc w:val="right"/>
              <w:ind w:right="67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5"/>
        </w:trPr>
        <w:tc>
          <w:tcPr>
            <w:tcW w:w="600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Labor contract expenses </w:t>
            </w:r>
            <w:r>
              <w:rPr>
                <w:rFonts w:ascii="Arial" w:cs="Arial" w:eastAsia="Arial" w:hAnsi="Arial"/>
                <w:sz w:val="20"/>
                <w:szCs w:val="20"/>
                <w:color w:val="auto"/>
                <w:vertAlign w:val="superscript"/>
              </w:rPr>
              <w:t>(1)</w:t>
            </w:r>
          </w:p>
        </w:tc>
        <w:tc>
          <w:tcPr>
            <w:tcW w:w="8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57</w:t>
            </w: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expenses</w:t>
            </w:r>
          </w:p>
        </w:tc>
        <w:tc>
          <w:tcPr>
            <w:tcW w:w="8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Other operating special items, net</w:t>
            </w:r>
          </w:p>
        </w:tc>
        <w:tc>
          <w:tcPr>
            <w:tcW w:w="8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7"/>
        </w:trPr>
        <w:tc>
          <w:tcPr>
            <w:tcW w:w="60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Mainline operating special items, net</w:t>
            </w: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r>
      <w:tr>
        <w:trPr>
          <w:trHeight w:val="241"/>
        </w:trPr>
        <w:tc>
          <w:tcPr>
            <w:tcW w:w="6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refinancing, extinguishment and other, net</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r>
      <w:tr>
        <w:trPr>
          <w:trHeight w:val="205"/>
        </w:trPr>
        <w:tc>
          <w:tcPr>
            <w:tcW w:w="600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6"/>
                <w:szCs w:val="16"/>
                <w:color w:val="auto"/>
              </w:rPr>
              <w:t xml:space="preserve">Mark-to-market adjustments on equity investments, net </w:t>
            </w:r>
            <w:r>
              <w:rPr>
                <w:rFonts w:ascii="Arial" w:cs="Arial" w:eastAsia="Arial" w:hAnsi="Arial"/>
                <w:sz w:val="20"/>
                <w:szCs w:val="20"/>
                <w:color w:val="auto"/>
                <w:vertAlign w:val="superscript"/>
              </w:rPr>
              <w:t>(2)</w:t>
            </w: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w:t>
            </w:r>
          </w:p>
        </w:tc>
      </w:tr>
      <w:tr>
        <w:trPr>
          <w:trHeight w:val="197"/>
        </w:trPr>
        <w:tc>
          <w:tcPr>
            <w:tcW w:w="6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Nonoperating special items, net</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3150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204" w:lineRule="exact"/>
        <w:rPr>
          <w:sz w:val="20"/>
          <w:szCs w:val="20"/>
          <w:color w:val="auto"/>
        </w:rPr>
      </w:pPr>
    </w:p>
    <w:p>
      <w:pPr>
        <w:jc w:val="both"/>
        <w:ind w:left="284" w:right="20" w:hanging="284"/>
        <w:spacing w:after="0" w:line="234" w:lineRule="auto"/>
        <w:tabs>
          <w:tab w:leader="none" w:pos="279"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Labor contract expenses for the six months ended June 30, 2025 included a one-time charge for adjustments to vacation accruals resulting from pay rate increases effective January 1, 2025, related to the ratification of the contract extension in the fourth quarter of 2024 with American’s mainline maintenance and fleet service team members.</w:t>
      </w:r>
    </w:p>
    <w:p>
      <w:pPr>
        <w:spacing w:after="0" w:line="128" w:lineRule="exact"/>
        <w:rPr>
          <w:rFonts w:ascii="Arial" w:cs="Arial" w:eastAsia="Arial" w:hAnsi="Arial"/>
          <w:sz w:val="21"/>
          <w:szCs w:val="21"/>
          <w:color w:val="auto"/>
          <w:vertAlign w:val="superscript"/>
        </w:rPr>
      </w:pPr>
    </w:p>
    <w:p>
      <w:pPr>
        <w:ind w:left="284" w:right="20"/>
        <w:spacing w:after="0" w:line="286" w:lineRule="auto"/>
        <w:rPr>
          <w:rFonts w:ascii="Arial" w:cs="Arial" w:eastAsia="Arial" w:hAnsi="Arial"/>
          <w:sz w:val="21"/>
          <w:szCs w:val="21"/>
          <w:color w:val="auto"/>
          <w:vertAlign w:val="superscript"/>
        </w:rPr>
      </w:pPr>
      <w:r>
        <w:rPr>
          <w:rFonts w:ascii="Arial" w:cs="Arial" w:eastAsia="Arial" w:hAnsi="Arial"/>
          <w:sz w:val="16"/>
          <w:szCs w:val="16"/>
          <w:color w:val="auto"/>
        </w:rPr>
        <w:t>Labor contract expenses for the six months ended June 30, 2024 included one-time charges resulting from the ratification of a new collective bargaining agreement with American’s mainline passenger service team members, including a one-time signing bonus.</w:t>
      </w:r>
    </w:p>
    <w:p>
      <w:pPr>
        <w:spacing w:after="0" w:line="60"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adjustments on equity investments, net included unrealized gains and losses associated with certain equity investments.</w:t>
      </w:r>
    </w:p>
    <w:p>
      <w:pPr>
        <w:spacing w:after="0" w:line="198" w:lineRule="exact"/>
        <w:rPr>
          <w:sz w:val="20"/>
          <w:szCs w:val="20"/>
          <w:color w:val="auto"/>
        </w:rPr>
      </w:pPr>
    </w:p>
    <w:p>
      <w:pPr>
        <w:ind w:left="224" w:right="9440" w:hanging="224"/>
        <w:spacing w:after="0" w:line="345" w:lineRule="auto"/>
        <w:tabs>
          <w:tab w:leader="none" w:pos="18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b w:val="1"/>
          <w:bCs w:val="1"/>
          <w:i w:val="1"/>
          <w:iCs w:val="1"/>
          <w:u w:val="single" w:color="auto"/>
          <w:color w:val="auto"/>
        </w:rPr>
        <w:t>Revenue</w:t>
      </w:r>
    </w:p>
    <w:p>
      <w:pPr>
        <w:ind w:left="224"/>
        <w:spacing w:after="0"/>
        <w:rPr>
          <w:rFonts w:ascii="Arial" w:cs="Arial" w:eastAsia="Arial" w:hAnsi="Arial"/>
          <w:sz w:val="16"/>
          <w:szCs w:val="16"/>
          <w:b w:val="1"/>
          <w:bCs w:val="1"/>
          <w:color w:val="auto"/>
        </w:rPr>
      </w:pPr>
      <w:r>
        <w:rPr>
          <w:rFonts w:ascii="Arial" w:cs="Arial" w:eastAsia="Arial" w:hAnsi="Arial"/>
          <w:sz w:val="16"/>
          <w:szCs w:val="16"/>
          <w:color w:val="auto"/>
        </w:rPr>
        <w:t>The following are the significant categories comprising American’s operating revenues (in millions):</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260" w:type="dxa"/>
            <w:vAlign w:val="bottom"/>
          </w:tcPr>
          <w:p>
            <w:pPr>
              <w:spacing w:after="0"/>
              <w:rPr>
                <w:sz w:val="15"/>
                <w:szCs w:val="15"/>
                <w:color w:val="auto"/>
              </w:rPr>
            </w:pPr>
          </w:p>
        </w:tc>
        <w:tc>
          <w:tcPr>
            <w:tcW w:w="2280" w:type="dxa"/>
            <w:vAlign w:val="bottom"/>
            <w:gridSpan w:val="4"/>
          </w:tcPr>
          <w:p>
            <w:pPr>
              <w:jc w:val="right"/>
              <w:ind w:right="362"/>
              <w:spacing w:after="0"/>
              <w:rPr>
                <w:sz w:val="20"/>
                <w:szCs w:val="20"/>
                <w:color w:val="auto"/>
              </w:rPr>
            </w:pPr>
            <w:r>
              <w:rPr>
                <w:rFonts w:ascii="Arial" w:cs="Arial" w:eastAsia="Arial" w:hAnsi="Arial"/>
                <w:sz w:val="13"/>
                <w:szCs w:val="13"/>
                <w:b w:val="1"/>
                <w:bCs w:val="1"/>
                <w:color w:val="auto"/>
              </w:rPr>
              <w:t>Six Months Ended June 30,</w:t>
            </w:r>
          </w:p>
        </w:tc>
      </w:tr>
      <w:tr>
        <w:trPr>
          <w:trHeight w:val="185"/>
        </w:trPr>
        <w:tc>
          <w:tcPr>
            <w:tcW w:w="20" w:type="dxa"/>
            <w:vAlign w:val="bottom"/>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r>
      <w:tr>
        <w:trPr>
          <w:trHeight w:val="185"/>
        </w:trPr>
        <w:tc>
          <w:tcPr>
            <w:tcW w:w="20" w:type="dxa"/>
            <w:vAlign w:val="bottom"/>
          </w:tcPr>
          <w:p>
            <w:pPr>
              <w:spacing w:after="0"/>
              <w:rPr>
                <w:sz w:val="16"/>
                <w:szCs w:val="16"/>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6000" w:type="dxa"/>
            <w:vAlign w:val="bottom"/>
            <w:gridSpan w:val="2"/>
          </w:tcPr>
          <w:p>
            <w:pPr>
              <w:ind w:left="200"/>
              <w:spacing w:after="0"/>
              <w:rPr>
                <w:sz w:val="20"/>
                <w:szCs w:val="20"/>
                <w:color w:val="auto"/>
              </w:rPr>
            </w:pPr>
            <w:r>
              <w:rPr>
                <w:rFonts w:ascii="Arial" w:cs="Arial" w:eastAsia="Arial" w:hAnsi="Arial"/>
                <w:sz w:val="16"/>
                <w:szCs w:val="16"/>
                <w:color w:val="auto"/>
              </w:rPr>
              <w:t>Passenger travel</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12,126</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12,212</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22,601</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22,795</w:t>
            </w:r>
          </w:p>
        </w:tc>
      </w:tr>
      <w:tr>
        <w:trPr>
          <w:trHeight w:val="205"/>
        </w:trPr>
        <w:tc>
          <w:tcPr>
            <w:tcW w:w="20" w:type="dxa"/>
            <w:vAlign w:val="bottom"/>
          </w:tcPr>
          <w:p>
            <w:pPr>
              <w:spacing w:after="0"/>
              <w:rPr>
                <w:sz w:val="17"/>
                <w:szCs w:val="17"/>
                <w:color w:val="auto"/>
              </w:rPr>
            </w:pPr>
          </w:p>
        </w:tc>
        <w:tc>
          <w:tcPr>
            <w:tcW w:w="6000" w:type="dxa"/>
            <w:vAlign w:val="bottom"/>
            <w:gridSpan w:val="2"/>
            <w:shd w:val="clear" w:color="auto" w:fill="CCEEFF"/>
          </w:tcPr>
          <w:p>
            <w:pPr>
              <w:ind w:left="200"/>
              <w:spacing w:after="0" w:line="205" w:lineRule="exact"/>
              <w:rPr>
                <w:sz w:val="20"/>
                <w:szCs w:val="20"/>
                <w:color w:val="auto"/>
              </w:rPr>
            </w:pPr>
            <w:r>
              <w:rPr>
                <w:rFonts w:ascii="Arial" w:cs="Arial" w:eastAsia="Arial" w:hAnsi="Arial"/>
                <w:sz w:val="16"/>
                <w:szCs w:val="16"/>
                <w:color w:val="auto"/>
              </w:rPr>
              <w:t xml:space="preserve">Loyalty revenue - travel </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1,866</w:t>
            </w:r>
          </w:p>
        </w:tc>
      </w:tr>
      <w:tr>
        <w:trPr>
          <w:trHeight w:val="197"/>
        </w:trPr>
        <w:tc>
          <w:tcPr>
            <w:tcW w:w="20" w:type="dxa"/>
            <w:vAlign w:val="bottom"/>
          </w:tcPr>
          <w:p>
            <w:pPr>
              <w:spacing w:after="0"/>
              <w:rPr>
                <w:sz w:val="17"/>
                <w:szCs w:val="17"/>
                <w:color w:val="auto"/>
              </w:rPr>
            </w:pPr>
          </w:p>
        </w:tc>
        <w:tc>
          <w:tcPr>
            <w:tcW w:w="6000" w:type="dxa"/>
            <w:vAlign w:val="bottom"/>
            <w:gridSpan w:val="2"/>
          </w:tcPr>
          <w:p>
            <w:pPr>
              <w:ind w:left="400"/>
              <w:spacing w:after="0"/>
              <w:rPr>
                <w:sz w:val="20"/>
                <w:szCs w:val="20"/>
                <w:color w:val="auto"/>
              </w:rPr>
            </w:pPr>
            <w:r>
              <w:rPr>
                <w:rFonts w:ascii="Arial" w:cs="Arial" w:eastAsia="Arial" w:hAnsi="Arial"/>
                <w:sz w:val="16"/>
                <w:szCs w:val="16"/>
                <w:color w:val="auto"/>
              </w:rPr>
              <w:t>Total passenger revenue</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13,202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24,514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24,661</w:t>
            </w:r>
          </w:p>
        </w:tc>
      </w:tr>
      <w:tr>
        <w:trPr>
          <w:trHeight w:val="205"/>
        </w:trPr>
        <w:tc>
          <w:tcPr>
            <w:tcW w:w="20" w:type="dxa"/>
            <w:vAlign w:val="bottom"/>
          </w:tcPr>
          <w:p>
            <w:pPr>
              <w:spacing w:after="0"/>
              <w:rPr>
                <w:sz w:val="17"/>
                <w:szCs w:val="17"/>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Cargo</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382</w:t>
            </w:r>
          </w:p>
        </w:tc>
      </w:tr>
      <w:tr>
        <w:trPr>
          <w:trHeight w:val="205"/>
        </w:trPr>
        <w:tc>
          <w:tcPr>
            <w:tcW w:w="20" w:type="dxa"/>
            <w:vAlign w:val="bottom"/>
          </w:tcPr>
          <w:p>
            <w:pPr>
              <w:spacing w:after="0"/>
              <w:rPr>
                <w:sz w:val="17"/>
                <w:szCs w:val="17"/>
                <w:color w:val="auto"/>
              </w:rPr>
            </w:pPr>
          </w:p>
        </w:tc>
        <w:tc>
          <w:tcPr>
            <w:tcW w:w="6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Loyalty revenue - marketing services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1,585</w:t>
            </w:r>
          </w:p>
        </w:tc>
      </w:tr>
      <w:tr>
        <w:trPr>
          <w:trHeight w:val="205"/>
        </w:trPr>
        <w:tc>
          <w:tcPr>
            <w:tcW w:w="20" w:type="dxa"/>
            <w:vAlign w:val="bottom"/>
          </w:tcPr>
          <w:p>
            <w:pPr>
              <w:spacing w:after="0"/>
              <w:rPr>
                <w:sz w:val="17"/>
                <w:szCs w:val="17"/>
                <w:color w:val="auto"/>
              </w:rPr>
            </w:pPr>
          </w:p>
        </w:tc>
        <w:tc>
          <w:tcPr>
            <w:tcW w:w="6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274</w:t>
            </w:r>
          </w:p>
        </w:tc>
      </w:tr>
      <w:tr>
        <w:trPr>
          <w:trHeight w:val="197"/>
        </w:trPr>
        <w:tc>
          <w:tcPr>
            <w:tcW w:w="20" w:type="dxa"/>
            <w:vAlign w:val="bottom"/>
          </w:tcPr>
          <w:p>
            <w:pPr>
              <w:spacing w:after="0"/>
              <w:rPr>
                <w:sz w:val="17"/>
                <w:szCs w:val="17"/>
                <w:color w:val="auto"/>
              </w:rPr>
            </w:pPr>
          </w:p>
        </w:tc>
        <w:tc>
          <w:tcPr>
            <w:tcW w:w="60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Total other revenue</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1,859</w:t>
            </w:r>
          </w:p>
        </w:tc>
      </w:tr>
      <w:tr>
        <w:trPr>
          <w:trHeight w:val="197"/>
        </w:trPr>
        <w:tc>
          <w:tcPr>
            <w:tcW w:w="20" w:type="dxa"/>
            <w:vAlign w:val="bottom"/>
          </w:tcPr>
          <w:p>
            <w:pPr>
              <w:spacing w:after="0"/>
              <w:rPr>
                <w:sz w:val="17"/>
                <w:szCs w:val="17"/>
                <w:color w:val="auto"/>
              </w:rPr>
            </w:pPr>
          </w:p>
        </w:tc>
        <w:tc>
          <w:tcPr>
            <w:tcW w:w="6000" w:type="dxa"/>
            <w:vAlign w:val="bottom"/>
            <w:gridSpan w:val="2"/>
          </w:tcPr>
          <w:p>
            <w:pPr>
              <w:ind w:left="580"/>
              <w:spacing w:after="0"/>
              <w:rPr>
                <w:sz w:val="20"/>
                <w:szCs w:val="20"/>
                <w:color w:val="auto"/>
              </w:rPr>
            </w:pPr>
            <w:r>
              <w:rPr>
                <w:rFonts w:ascii="Arial" w:cs="Arial" w:eastAsia="Arial" w:hAnsi="Arial"/>
                <w:sz w:val="16"/>
                <w:szCs w:val="16"/>
                <w:color w:val="auto"/>
              </w:rPr>
              <w:t>Total operating revenues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26,940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26,902</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5"/>
        </w:trPr>
        <w:tc>
          <w:tcPr>
            <w:tcW w:w="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spacing w:after="0" w:line="67" w:lineRule="exact"/>
        <w:rPr>
          <w:sz w:val="20"/>
          <w:szCs w:val="20"/>
          <w:color w:val="auto"/>
        </w:rPr>
      </w:pPr>
    </w:p>
    <w:p>
      <w:pPr>
        <w:ind w:left="284" w:right="20" w:hanging="284"/>
        <w:spacing w:after="0" w:line="227" w:lineRule="auto"/>
        <w:tabs>
          <w:tab w:leader="none" w:pos="279"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Loyalty revenue included in passenger revenue is principally comprised of mileage credit redemptions, which were earned from travel or co-branded credit card and other partners.</w:t>
      </w:r>
    </w:p>
    <w:p>
      <w:pPr>
        <w:spacing w:after="0" w:line="3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31" w:name="page32"/>
    <w:bookmarkEnd w:id="31"/>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following is American’s total passenger revenue by geographic region (in millions):</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2300" w:type="dxa"/>
            <w:vAlign w:val="bottom"/>
            <w:gridSpan w:val="4"/>
          </w:tcPr>
          <w:p>
            <w:pPr>
              <w:jc w:val="right"/>
              <w:ind w:right="382"/>
              <w:spacing w:after="0"/>
              <w:rPr>
                <w:sz w:val="20"/>
                <w:szCs w:val="20"/>
                <w:color w:val="auto"/>
              </w:rPr>
            </w:pPr>
            <w:r>
              <w:rPr>
                <w:rFonts w:ascii="Arial" w:cs="Arial" w:eastAsia="Arial" w:hAnsi="Arial"/>
                <w:sz w:val="13"/>
                <w:szCs w:val="13"/>
                <w:b w:val="1"/>
                <w:bCs w:val="1"/>
                <w:color w:val="auto"/>
              </w:rPr>
              <w:t>Six Months Ended June 30,</w:t>
            </w:r>
          </w:p>
        </w:tc>
      </w:tr>
      <w:tr>
        <w:trPr>
          <w:trHeight w:val="185"/>
        </w:trPr>
        <w:tc>
          <w:tcPr>
            <w:tcW w:w="60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r>
      <w:tr>
        <w:trPr>
          <w:trHeight w:val="19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17,286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17,604</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3,455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3,464</w:t>
            </w: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3,012</w:t>
            </w:r>
          </w:p>
        </w:tc>
      </w:tr>
      <w:tr>
        <w:trPr>
          <w:trHeight w:val="20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Pacific</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581</w:t>
            </w:r>
          </w:p>
        </w:tc>
      </w:tr>
      <w:tr>
        <w:trPr>
          <w:trHeight w:val="222"/>
        </w:trPr>
        <w:tc>
          <w:tcPr>
            <w:tcW w:w="6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passenger revenue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24,514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24,661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224"/>
        <w:spacing w:after="0"/>
        <w:rPr>
          <w:sz w:val="20"/>
          <w:szCs w:val="20"/>
          <w:color w:val="auto"/>
        </w:rPr>
      </w:pPr>
      <w:r>
        <w:rPr>
          <w:rFonts w:ascii="Arial" w:cs="Arial" w:eastAsia="Arial" w:hAnsi="Arial"/>
          <w:sz w:val="16"/>
          <w:szCs w:val="16"/>
          <w:color w:val="auto"/>
        </w:rPr>
        <w:t>American attributes passenger revenue by geographic region based upon the origin and destination of each flight segment.</w:t>
      </w:r>
    </w:p>
    <w:p>
      <w:pPr>
        <w:spacing w:after="0" w:line="227"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Contract Balances</w:t>
      </w:r>
    </w:p>
    <w:p>
      <w:pPr>
        <w:spacing w:after="0" w:line="79"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American’s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June 30, 2025</w:t>
            </w: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December 31, 2024</w:t>
            </w:r>
          </w:p>
        </w:tc>
      </w:tr>
      <w:tr>
        <w:trPr>
          <w:trHeight w:val="173"/>
        </w:trPr>
        <w:tc>
          <w:tcPr>
            <w:tcW w:w="7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60" w:type="dxa"/>
            <w:vAlign w:val="bottom"/>
            <w:gridSpan w:val="4"/>
          </w:tcPr>
          <w:p>
            <w:pPr>
              <w:jc w:val="right"/>
              <w:ind w:right="1384"/>
              <w:spacing w:after="0"/>
              <w:rPr>
                <w:sz w:val="20"/>
                <w:szCs w:val="20"/>
                <w:color w:val="auto"/>
              </w:rPr>
            </w:pPr>
            <w:r>
              <w:rPr>
                <w:rFonts w:ascii="Arial" w:cs="Arial" w:eastAsia="Arial" w:hAnsi="Arial"/>
                <w:sz w:val="13"/>
                <w:szCs w:val="13"/>
                <w:b w:val="1"/>
                <w:bCs w:val="1"/>
                <w:color w:val="auto"/>
              </w:rPr>
              <w:t>(In millions)</w:t>
            </w:r>
          </w:p>
        </w:tc>
      </w:tr>
      <w:tr>
        <w:trPr>
          <w:trHeight w:val="20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Loyalty program liability</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10,054</w:t>
            </w:r>
          </w:p>
        </w:tc>
      </w:tr>
      <w:tr>
        <w:trPr>
          <w:trHeight w:val="20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Air traffic liability</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6,759</w:t>
            </w:r>
          </w:p>
        </w:tc>
      </w:tr>
      <w:tr>
        <w:trPr>
          <w:trHeight w:val="222"/>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16,813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-549910</wp:posOffset>
            </wp:positionV>
            <wp:extent cx="609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80"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66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10,054</w:t>
            </w:r>
          </w:p>
        </w:tc>
      </w:tr>
      <w:tr>
        <w:trPr>
          <w:trHeight w:val="205"/>
        </w:trPr>
        <w:tc>
          <w:tcPr>
            <w:tcW w:w="9480" w:type="dxa"/>
            <w:vAlign w:val="bottom"/>
            <w:gridSpan w:val="2"/>
          </w:tcPr>
          <w:p>
            <w:pPr>
              <w:ind w:left="200"/>
              <w:spacing w:after="0"/>
              <w:rPr>
                <w:sz w:val="20"/>
                <w:szCs w:val="20"/>
                <w:color w:val="auto"/>
              </w:rPr>
            </w:pPr>
            <w:r>
              <w:rPr>
                <w:rFonts w:ascii="Arial" w:cs="Arial" w:eastAsia="Arial" w:hAnsi="Arial"/>
                <w:sz w:val="16"/>
                <w:szCs w:val="16"/>
                <w:color w:val="auto"/>
              </w:rPr>
              <w:t>Deferral of revenue</w:t>
            </w:r>
          </w:p>
        </w:tc>
        <w:tc>
          <w:tcPr>
            <w:tcW w:w="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2,278</w:t>
            </w:r>
          </w:p>
        </w:tc>
      </w:tr>
      <w:tr>
        <w:trPr>
          <w:trHeight w:val="205"/>
        </w:trPr>
        <w:tc>
          <w:tcPr>
            <w:tcW w:w="9480" w:type="dxa"/>
            <w:vAlign w:val="bottom"/>
            <w:gridSpan w:val="2"/>
            <w:shd w:val="clear" w:color="auto" w:fill="CCEEFF"/>
          </w:tcPr>
          <w:p>
            <w:pPr>
              <w:ind w:left="200"/>
              <w:spacing w:after="0" w:line="205" w:lineRule="exact"/>
              <w:rPr>
                <w:sz w:val="20"/>
                <w:szCs w:val="20"/>
                <w:color w:val="auto"/>
              </w:rPr>
            </w:pPr>
            <w:r>
              <w:rPr>
                <w:rFonts w:ascii="Arial" w:cs="Arial" w:eastAsia="Arial" w:hAnsi="Arial"/>
                <w:sz w:val="16"/>
                <w:szCs w:val="16"/>
                <w:color w:val="auto"/>
              </w:rPr>
              <w:t xml:space="preserve">Recognition of revenue </w:t>
            </w:r>
            <w:r>
              <w:rPr>
                <w:rFonts w:ascii="Arial" w:cs="Arial" w:eastAsia="Arial" w:hAnsi="Arial"/>
                <w:sz w:val="20"/>
                <w:szCs w:val="20"/>
                <w:color w:val="auto"/>
                <w:vertAlign w:val="superscript"/>
              </w:rPr>
              <w:t>(1)</w:t>
            </w:r>
          </w:p>
        </w:tc>
        <w:tc>
          <w:tcPr>
            <w:tcW w:w="6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w:t>
            </w:r>
          </w:p>
        </w:tc>
      </w:tr>
      <w:tr>
        <w:trPr>
          <w:trHeight w:val="197"/>
        </w:trPr>
        <w:tc>
          <w:tcPr>
            <w:tcW w:w="9480" w:type="dxa"/>
            <w:vAlign w:val="bottom"/>
            <w:gridSpan w:val="2"/>
          </w:tcPr>
          <w:p>
            <w:pPr>
              <w:ind w:left="20"/>
              <w:spacing w:after="0" w:line="197" w:lineRule="exact"/>
              <w:rPr>
                <w:sz w:val="20"/>
                <w:szCs w:val="20"/>
                <w:color w:val="auto"/>
              </w:rPr>
            </w:pPr>
            <w:r>
              <w:rPr>
                <w:rFonts w:ascii="Arial" w:cs="Arial" w:eastAsia="Arial" w:hAnsi="Arial"/>
                <w:sz w:val="16"/>
                <w:szCs w:val="16"/>
                <w:color w:val="auto"/>
              </w:rPr>
              <w:t xml:space="preserve">Balance at June 30, 2025 </w:t>
            </w:r>
            <w:r>
              <w:rPr>
                <w:rFonts w:ascii="Arial" w:cs="Arial" w:eastAsia="Arial" w:hAnsi="Arial"/>
                <w:sz w:val="20"/>
                <w:szCs w:val="20"/>
                <w:color w:val="auto"/>
                <w:vertAlign w:val="superscript"/>
              </w:rPr>
              <w:t>(2)</w:t>
            </w:r>
          </w:p>
        </w:tc>
        <w:tc>
          <w:tcPr>
            <w:tcW w:w="6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10,471</w:t>
            </w:r>
          </w:p>
        </w:tc>
      </w:tr>
      <w:tr>
        <w:trPr>
          <w:trHeight w:val="20"/>
        </w:trPr>
        <w:tc>
          <w:tcPr>
            <w:tcW w:w="20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45"/>
        </w:trPr>
        <w:tc>
          <w:tcPr>
            <w:tcW w:w="2060" w:type="dxa"/>
            <w:vAlign w:val="bottom"/>
            <w:tcBorders>
              <w:bottom w:val="single" w:sz="8" w:color="auto"/>
            </w:tcBorders>
          </w:tcPr>
          <w:p>
            <w:pPr>
              <w:spacing w:after="0"/>
              <w:rPr>
                <w:sz w:val="12"/>
                <w:szCs w:val="12"/>
                <w:color w:val="auto"/>
              </w:rPr>
            </w:pPr>
          </w:p>
        </w:tc>
        <w:tc>
          <w:tcPr>
            <w:tcW w:w="7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67" w:lineRule="exact"/>
        <w:rPr>
          <w:sz w:val="20"/>
          <w:szCs w:val="20"/>
          <w:color w:val="auto"/>
        </w:rPr>
      </w:pPr>
    </w:p>
    <w:p>
      <w:pPr>
        <w:jc w:val="both"/>
        <w:ind w:left="284" w:right="20" w:hanging="284"/>
        <w:spacing w:after="0" w:line="234" w:lineRule="auto"/>
        <w:tabs>
          <w:tab w:leader="none" w:pos="279"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28" w:lineRule="exact"/>
        <w:rPr>
          <w:rFonts w:ascii="Arial" w:cs="Arial" w:eastAsia="Arial" w:hAnsi="Arial"/>
          <w:sz w:val="21"/>
          <w:szCs w:val="21"/>
          <w:color w:val="auto"/>
          <w:vertAlign w:val="superscript"/>
        </w:rPr>
      </w:pPr>
    </w:p>
    <w:p>
      <w:pPr>
        <w:jc w:val="both"/>
        <w:ind w:left="284" w:hanging="284"/>
        <w:spacing w:after="0" w:line="238" w:lineRule="auto"/>
        <w:tabs>
          <w:tab w:leader="none" w:pos="279"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Mileage credits can be redeemed at any time and generally do not expire as long as the AAdvantage member has any type of qualifying activity at least every 24 months or if the AAdvantage member is the primary holder of a co-branded credit card. As of June 30, 2025, American’s current loyalty program liability was $3.7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28"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The air traffic liability principally represents tickets sold for future travel on American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the six months ended June 30, 2025, $4.8 billion of revenue was recognized in passenger revenue that was included in American’s air traffic liability at December 31, 2024.</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32" w:name="page33"/>
    <w:bookmarkEnd w:id="32"/>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4. Debt</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Long-term debt included in the condensed consolidated balance sheets consisted of (in millions):</w:t>
      </w:r>
    </w:p>
    <w:p>
      <w:pPr>
        <w:spacing w:after="0" w:line="198" w:lineRule="exact"/>
        <w:rPr>
          <w:sz w:val="20"/>
          <w:szCs w:val="20"/>
          <w:color w:val="auto"/>
        </w:rPr>
      </w:pPr>
    </w:p>
    <w:p>
      <w:pPr>
        <w:jc w:val="right"/>
        <w:ind w:right="320"/>
        <w:spacing w:after="0"/>
        <w:tabs>
          <w:tab w:leader="none" w:pos="1140" w:val="left"/>
        </w:tabs>
        <w:rPr>
          <w:sz w:val="20"/>
          <w:szCs w:val="20"/>
          <w:color w:val="auto"/>
        </w:rPr>
      </w:pPr>
      <w:r>
        <w:rPr>
          <w:rFonts w:ascii="Arial" w:cs="Arial" w:eastAsia="Arial" w:hAnsi="Arial"/>
          <w:sz w:val="13"/>
          <w:szCs w:val="13"/>
          <w:b w:val="1"/>
          <w:bCs w:val="1"/>
          <w:color w:val="auto"/>
        </w:rPr>
        <w:t>June 30, 2025</w:t>
      </w:r>
      <w:r>
        <w:rPr>
          <w:sz w:val="20"/>
          <w:szCs w:val="20"/>
          <w:color w:val="auto"/>
        </w:rPr>
        <w:tab/>
      </w:r>
      <w:r>
        <w:rPr>
          <w:rFonts w:ascii="Arial" w:cs="Arial" w:eastAsia="Arial" w:hAnsi="Arial"/>
          <w:sz w:val="12"/>
          <w:szCs w:val="12"/>
          <w:b w:val="1"/>
          <w:bCs w:val="1"/>
          <w:color w:val="auto"/>
        </w:rPr>
        <w:t>December 31, 2024</w:t>
      </w:r>
    </w:p>
    <w:p>
      <w:pPr>
        <w:sectPr>
          <w:pgSz w:w="11900" w:h="16838" w:orient="portrait"/>
          <w:cols w:equalWidth="0" w:num="1">
            <w:col w:w="11264"/>
          </w:cols>
          <w:pgMar w:left="316" w:top="124" w:right="319" w:bottom="1440" w:gutter="0" w:footer="0" w:header="0"/>
        </w:sectPr>
      </w:pPr>
    </w:p>
    <w:p>
      <w:pPr>
        <w:spacing w:after="0" w:line="27" w:lineRule="exact"/>
        <w:rPr>
          <w:sz w:val="20"/>
          <w:szCs w:val="20"/>
          <w:color w:val="auto"/>
        </w:rPr>
      </w:pPr>
    </w:p>
    <w:p>
      <w:pPr>
        <w:ind w:left="24"/>
        <w:spacing w:after="0"/>
        <w:rPr>
          <w:sz w:val="20"/>
          <w:szCs w:val="20"/>
          <w:color w:val="auto"/>
        </w:rPr>
      </w:pPr>
      <w:r>
        <w:rPr>
          <w:rFonts w:ascii="Arial" w:cs="Arial" w:eastAsia="Arial" w:hAnsi="Arial"/>
          <w:sz w:val="16"/>
          <w:szCs w:val="16"/>
          <w:i w:val="1"/>
          <w:iCs w:val="1"/>
          <w:color w:val="auto"/>
        </w:rPr>
        <w:t>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6925" cy="130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925" cy="130175"/>
                    </a:xfrm>
                    <a:prstGeom prst="rect">
                      <a:avLst/>
                    </a:prstGeom>
                    <a:noFill/>
                  </pic:spPr>
                </pic:pic>
              </a:graphicData>
            </a:graphic>
          </wp:anchor>
        </w:drawing>
      </w:r>
    </w:p>
    <w:p>
      <w:pPr>
        <w:spacing w:after="0" w:line="3" w:lineRule="exact"/>
        <w:rPr>
          <w:sz w:val="20"/>
          <w:szCs w:val="20"/>
          <w:color w:val="auto"/>
        </w:rPr>
      </w:pPr>
    </w:p>
    <w:p>
      <w:pPr>
        <w:ind w:left="124"/>
        <w:spacing w:after="0"/>
        <w:tabs>
          <w:tab w:leader="none" w:pos="7623" w:val="left"/>
        </w:tabs>
        <w:rPr>
          <w:sz w:val="20"/>
          <w:szCs w:val="20"/>
          <w:color w:val="auto"/>
        </w:rPr>
      </w:pPr>
      <w:r>
        <w:rPr>
          <w:rFonts w:ascii="Arial" w:cs="Arial" w:eastAsia="Arial" w:hAnsi="Arial"/>
          <w:sz w:val="16"/>
          <w:szCs w:val="16"/>
          <w:color w:val="auto"/>
        </w:rPr>
        <w:t>2013 Term Loan Facility, variable interest rate of 6.50%, installments until due in February 2028</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6925" cy="130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925" cy="130175"/>
                    </a:xfrm>
                    <a:prstGeom prst="rect">
                      <a:avLst/>
                    </a:prstGeom>
                    <a:noFill/>
                  </pic:spPr>
                </pic:pic>
              </a:graphicData>
            </a:graphic>
          </wp:anchor>
        </w:drawing>
      </w:r>
    </w:p>
    <w:p>
      <w:pPr>
        <w:spacing w:after="0" w:line="1" w:lineRule="exact"/>
        <w:rPr>
          <w:sz w:val="20"/>
          <w:szCs w:val="20"/>
          <w:color w:val="auto"/>
        </w:rPr>
      </w:pPr>
    </w:p>
    <w:p>
      <w:pPr>
        <w:ind w:left="124"/>
        <w:spacing w:after="0"/>
        <w:rPr>
          <w:sz w:val="20"/>
          <w:szCs w:val="20"/>
          <w:color w:val="auto"/>
        </w:rPr>
      </w:pPr>
      <w:r>
        <w:rPr>
          <w:rFonts w:ascii="Arial" w:cs="Arial" w:eastAsia="Arial" w:hAnsi="Arial"/>
          <w:sz w:val="16"/>
          <w:szCs w:val="16"/>
          <w:color w:val="auto"/>
        </w:rPr>
        <w:t>2014 Term Loan Facility, variable interest rate of 5.98%, installments until due in January 2027</w:t>
      </w:r>
    </w:p>
    <w:p>
      <w:pPr>
        <w:spacing w:after="0" w:line="21" w:lineRule="exact"/>
        <w:rPr>
          <w:sz w:val="20"/>
          <w:szCs w:val="20"/>
          <w:color w:val="auto"/>
        </w:rPr>
      </w:pPr>
    </w:p>
    <w:p>
      <w:pPr>
        <w:ind w:left="124"/>
        <w:spacing w:after="0"/>
        <w:rPr>
          <w:sz w:val="20"/>
          <w:szCs w:val="20"/>
          <w:color w:val="auto"/>
        </w:rPr>
      </w:pPr>
      <w:r>
        <w:rPr>
          <w:rFonts w:ascii="Arial" w:cs="Arial" w:eastAsia="Arial" w:hAnsi="Arial"/>
          <w:sz w:val="16"/>
          <w:szCs w:val="16"/>
          <w:color w:val="auto"/>
        </w:rPr>
        <w:t>2023 Term Loan Facility, variable interest rate of 6.51%, installments until due in June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6925" cy="130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6925" cy="130175"/>
                    </a:xfrm>
                    <a:prstGeom prst="rect">
                      <a:avLst/>
                    </a:prstGeom>
                    <a:noFill/>
                  </pic:spPr>
                </pic:pic>
              </a:graphicData>
            </a:graphic>
          </wp:anchor>
        </w:drawing>
      </w:r>
    </w:p>
    <w:p>
      <w:pPr>
        <w:spacing w:after="0" w:line="1" w:lineRule="exact"/>
        <w:rPr>
          <w:sz w:val="20"/>
          <w:szCs w:val="20"/>
          <w:color w:val="auto"/>
        </w:rPr>
      </w:pPr>
    </w:p>
    <w:p>
      <w:pPr>
        <w:ind w:left="104"/>
        <w:spacing w:after="0"/>
        <w:rPr>
          <w:sz w:val="20"/>
          <w:szCs w:val="20"/>
          <w:color w:val="auto"/>
        </w:rPr>
      </w:pPr>
      <w:r>
        <w:rPr>
          <w:rFonts w:ascii="Arial" w:cs="Arial" w:eastAsia="Arial" w:hAnsi="Arial"/>
          <w:sz w:val="16"/>
          <w:szCs w:val="16"/>
          <w:color w:val="auto"/>
        </w:rPr>
        <w:t>10.75% senior secured IP notes, interest only payments until due in February 2026</w:t>
      </w:r>
    </w:p>
    <w:p>
      <w:pPr>
        <w:spacing w:after="0" w:line="21" w:lineRule="exact"/>
        <w:rPr>
          <w:sz w:val="20"/>
          <w:szCs w:val="20"/>
          <w:color w:val="auto"/>
        </w:rPr>
      </w:pPr>
    </w:p>
    <w:p>
      <w:pPr>
        <w:ind w:left="124"/>
        <w:spacing w:after="0"/>
        <w:rPr>
          <w:sz w:val="20"/>
          <w:szCs w:val="20"/>
          <w:color w:val="auto"/>
        </w:rPr>
      </w:pPr>
      <w:r>
        <w:rPr>
          <w:rFonts w:ascii="Arial" w:cs="Arial" w:eastAsia="Arial" w:hAnsi="Arial"/>
          <w:sz w:val="16"/>
          <w:szCs w:val="16"/>
          <w:color w:val="auto"/>
        </w:rPr>
        <w:t>10.75% senior secured LGA/DCA notes, interest only payments until due in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6925" cy="130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925" cy="130175"/>
                    </a:xfrm>
                    <a:prstGeom prst="rect">
                      <a:avLst/>
                    </a:prstGeom>
                    <a:noFill/>
                  </pic:spPr>
                </pic:pic>
              </a:graphicData>
            </a:graphic>
          </wp:anchor>
        </w:drawing>
      </w:r>
    </w:p>
    <w:p>
      <w:pPr>
        <w:spacing w:after="0" w:line="1" w:lineRule="exact"/>
        <w:rPr>
          <w:sz w:val="20"/>
          <w:szCs w:val="20"/>
          <w:color w:val="auto"/>
        </w:rPr>
      </w:pPr>
    </w:p>
    <w:p>
      <w:pPr>
        <w:ind w:left="104"/>
        <w:spacing w:after="0"/>
        <w:rPr>
          <w:sz w:val="20"/>
          <w:szCs w:val="20"/>
          <w:color w:val="auto"/>
        </w:rPr>
      </w:pPr>
      <w:r>
        <w:rPr>
          <w:rFonts w:ascii="Arial" w:cs="Arial" w:eastAsia="Arial" w:hAnsi="Arial"/>
          <w:sz w:val="16"/>
          <w:szCs w:val="16"/>
          <w:color w:val="auto"/>
        </w:rPr>
        <w:t>7.25% senior secured notes, interest only payments until due in February 2028</w:t>
      </w:r>
    </w:p>
    <w:p>
      <w:pPr>
        <w:spacing w:after="0" w:line="21" w:lineRule="exact"/>
        <w:rPr>
          <w:sz w:val="20"/>
          <w:szCs w:val="20"/>
          <w:color w:val="auto"/>
        </w:rPr>
      </w:pPr>
    </w:p>
    <w:p>
      <w:pPr>
        <w:ind w:left="104"/>
        <w:spacing w:after="0"/>
        <w:rPr>
          <w:sz w:val="20"/>
          <w:szCs w:val="20"/>
          <w:color w:val="auto"/>
        </w:rPr>
      </w:pPr>
      <w:r>
        <w:rPr>
          <w:rFonts w:ascii="Arial" w:cs="Arial" w:eastAsia="Arial" w:hAnsi="Arial"/>
          <w:sz w:val="16"/>
          <w:szCs w:val="16"/>
          <w:color w:val="auto"/>
        </w:rPr>
        <w:t>8.50% senior secured notes, interest only payments until due in May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6925" cy="130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925" cy="130175"/>
                    </a:xfrm>
                    <a:prstGeom prst="rect">
                      <a:avLst/>
                    </a:prstGeom>
                    <a:noFill/>
                  </pic:spPr>
                </pic:pic>
              </a:graphicData>
            </a:graphic>
          </wp:anchor>
        </w:drawing>
      </w:r>
    </w:p>
    <w:p>
      <w:pPr>
        <w:ind w:left="104"/>
        <w:spacing w:after="0" w:line="235" w:lineRule="auto"/>
        <w:rPr>
          <w:sz w:val="20"/>
          <w:szCs w:val="20"/>
          <w:color w:val="auto"/>
        </w:rPr>
      </w:pPr>
      <w:r>
        <w:rPr>
          <w:rFonts w:ascii="Arial" w:cs="Arial" w:eastAsia="Arial" w:hAnsi="Arial"/>
          <w:sz w:val="16"/>
          <w:szCs w:val="16"/>
          <w:color w:val="auto"/>
        </w:rPr>
        <w:t xml:space="preserve">5.50% senior secured notes, installments until due in April 2026 </w:t>
      </w:r>
      <w:r>
        <w:rPr>
          <w:rFonts w:ascii="Arial" w:cs="Arial" w:eastAsia="Arial" w:hAnsi="Arial"/>
          <w:sz w:val="20"/>
          <w:szCs w:val="20"/>
          <w:color w:val="auto"/>
          <w:vertAlign w:val="superscript"/>
        </w:rPr>
        <w:t>(1)</w:t>
      </w:r>
    </w:p>
    <w:p>
      <w:pPr>
        <w:ind w:left="104"/>
        <w:spacing w:after="0" w:line="223" w:lineRule="auto"/>
        <w:rPr>
          <w:sz w:val="20"/>
          <w:szCs w:val="20"/>
          <w:color w:val="auto"/>
        </w:rPr>
      </w:pPr>
      <w:r>
        <w:rPr>
          <w:rFonts w:ascii="Arial" w:cs="Arial" w:eastAsia="Arial" w:hAnsi="Arial"/>
          <w:sz w:val="16"/>
          <w:szCs w:val="16"/>
          <w:color w:val="auto"/>
        </w:rPr>
        <w:t xml:space="preserve">5.75% senior secured notes, installments beginning in July 2026 until due in April 2029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46925" cy="198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925" cy="198755"/>
                    </a:xfrm>
                    <a:prstGeom prst="rect">
                      <a:avLst/>
                    </a:prstGeom>
                    <a:noFill/>
                  </pic:spPr>
                </pic:pic>
              </a:graphicData>
            </a:graphic>
          </wp:anchor>
        </w:drawing>
      </w:r>
    </w:p>
    <w:p>
      <w:pPr>
        <w:ind w:left="104"/>
        <w:spacing w:after="0" w:line="194" w:lineRule="auto"/>
        <w:rPr>
          <w:sz w:val="20"/>
          <w:szCs w:val="20"/>
          <w:color w:val="auto"/>
        </w:rPr>
      </w:pPr>
      <w:r>
        <w:rPr>
          <w:rFonts w:ascii="Arial" w:cs="Arial" w:eastAsia="Arial" w:hAnsi="Arial"/>
          <w:sz w:val="12"/>
          <w:szCs w:val="12"/>
          <w:color w:val="auto"/>
        </w:rPr>
        <w:t>2021 AAdvantage Term Loan Facility, variable interest rate of 6.52%, installments until due in April 2028</w:t>
      </w:r>
    </w:p>
    <w:p>
      <w:pPr>
        <w:ind w:left="264"/>
        <w:spacing w:after="0"/>
        <w:rPr>
          <w:sz w:val="20"/>
          <w:szCs w:val="20"/>
          <w:color w:val="auto"/>
        </w:rPr>
      </w:pPr>
      <w:r>
        <w:rPr>
          <w:rFonts w:ascii="Arial" w:cs="Arial" w:eastAsia="Arial" w:hAnsi="Arial"/>
          <w:sz w:val="10"/>
          <w:szCs w:val="10"/>
          <w:color w:val="auto"/>
        </w:rPr>
        <w:t>(1)</w:t>
      </w:r>
    </w:p>
    <w:p>
      <w:pPr>
        <w:spacing w:after="0" w:line="71" w:lineRule="exact"/>
        <w:rPr>
          <w:sz w:val="20"/>
          <w:szCs w:val="20"/>
          <w:color w:val="auto"/>
        </w:rPr>
      </w:pPr>
    </w:p>
    <w:p>
      <w:pPr>
        <w:ind w:left="264" w:right="680" w:hanging="143"/>
        <w:spacing w:after="0" w:line="225" w:lineRule="auto"/>
        <w:rPr>
          <w:sz w:val="20"/>
          <w:szCs w:val="20"/>
          <w:color w:val="auto"/>
        </w:rPr>
      </w:pPr>
      <w:r>
        <w:rPr>
          <w:rFonts w:ascii="Arial" w:cs="Arial" w:eastAsia="Arial" w:hAnsi="Arial"/>
          <w:sz w:val="16"/>
          <w:szCs w:val="16"/>
          <w:color w:val="auto"/>
        </w:rPr>
        <w:t xml:space="preserve">2025 AAdvantage Term Loan Facility, variable interest rate of 7.58%, installments beginning in July 2025 until due in May 2032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6925" cy="2368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6925" cy="236855"/>
                    </a:xfrm>
                    <a:prstGeom prst="rect">
                      <a:avLst/>
                    </a:prstGeom>
                    <a:noFill/>
                  </pic:spPr>
                </pic:pic>
              </a:graphicData>
            </a:graphic>
          </wp:anchor>
        </w:drawing>
      </w:r>
    </w:p>
    <w:p>
      <w:pPr>
        <w:ind w:left="264" w:right="1160" w:hanging="143"/>
        <w:spacing w:after="0" w:line="229" w:lineRule="auto"/>
        <w:rPr>
          <w:sz w:val="20"/>
          <w:szCs w:val="20"/>
          <w:color w:val="auto"/>
        </w:rPr>
      </w:pPr>
      <w:r>
        <w:rPr>
          <w:rFonts w:ascii="Arial" w:cs="Arial" w:eastAsia="Arial" w:hAnsi="Arial"/>
          <w:sz w:val="16"/>
          <w:szCs w:val="16"/>
          <w:color w:val="auto"/>
        </w:rPr>
        <w:t>Enhanced equipment trust certificates (EETCs), fixed interest rates ranging from 2.88% to 7.15%, averaging 3.79%, maturing from 2025 to 2034</w:t>
      </w:r>
    </w:p>
    <w:p>
      <w:pPr>
        <w:spacing w:after="0" w:line="6" w:lineRule="exact"/>
        <w:rPr>
          <w:sz w:val="20"/>
          <w:szCs w:val="20"/>
          <w:color w:val="auto"/>
        </w:rPr>
      </w:pPr>
    </w:p>
    <w:p>
      <w:pPr>
        <w:ind w:left="264" w:right="640" w:hanging="143"/>
        <w:spacing w:after="0" w:line="239" w:lineRule="auto"/>
        <w:rPr>
          <w:sz w:val="20"/>
          <w:szCs w:val="20"/>
          <w:color w:val="auto"/>
        </w:rPr>
      </w:pPr>
      <w:r>
        <w:rPr>
          <w:rFonts w:ascii="Arial" w:cs="Arial" w:eastAsia="Arial" w:hAnsi="Arial"/>
          <w:sz w:val="16"/>
          <w:szCs w:val="16"/>
          <w:color w:val="auto"/>
        </w:rPr>
        <w:t>Equipment loans and other notes payable, fixed and variable interest rates ranging from 2.55% to 6.89%, averaging 6.03%, maturing from 2025 to 2037</w:t>
      </w:r>
    </w:p>
    <w:p>
      <w:pPr>
        <w:spacing w:after="0" w:line="7" w:lineRule="exact"/>
        <w:rPr>
          <w:sz w:val="20"/>
          <w:szCs w:val="20"/>
          <w:color w:val="auto"/>
        </w:rPr>
      </w:pPr>
    </w:p>
    <w:p>
      <w:pPr>
        <w:ind w:left="264" w:right="780" w:hanging="143"/>
        <w:spacing w:after="0" w:line="239" w:lineRule="auto"/>
        <w:rPr>
          <w:sz w:val="20"/>
          <w:szCs w:val="20"/>
          <w:color w:val="auto"/>
        </w:rPr>
      </w:pPr>
      <w:r>
        <w:rPr>
          <w:rFonts w:ascii="Arial" w:cs="Arial" w:eastAsia="Arial" w:hAnsi="Arial"/>
          <w:sz w:val="16"/>
          <w:szCs w:val="16"/>
          <w:color w:val="auto"/>
        </w:rPr>
        <w:t>Special facility revenue bonds, fixed interest rates ranging from 2.25% to 5.38%, maturing from 2026 to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146925" cy="236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925" cy="236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480" w:type="dxa"/>
            <w:vAlign w:val="bottom"/>
          </w:tcPr>
          <w:p>
            <w:pPr>
              <w:jc w:val="right"/>
              <w:spacing w:after="0"/>
              <w:rPr>
                <w:sz w:val="20"/>
                <w:szCs w:val="20"/>
                <w:color w:val="auto"/>
              </w:rPr>
            </w:pPr>
            <w:r>
              <w:rPr>
                <w:rFonts w:ascii="Arial" w:cs="Arial" w:eastAsia="Arial" w:hAnsi="Arial"/>
                <w:sz w:val="16"/>
                <w:szCs w:val="16"/>
                <w:color w:val="auto"/>
              </w:rPr>
              <w:t>970</w:t>
            </w:r>
          </w:p>
        </w:tc>
        <w:tc>
          <w:tcPr>
            <w:tcW w:w="780" w:type="dxa"/>
            <w:vAlign w:val="bottom"/>
          </w:tcPr>
          <w:p>
            <w:pPr>
              <w:jc w:val="right"/>
              <w:ind w:right="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980</w:t>
            </w:r>
          </w:p>
        </w:tc>
      </w:tr>
      <w:tr>
        <w:trPr>
          <w:trHeight w:val="205"/>
        </w:trPr>
        <w:tc>
          <w:tcPr>
            <w:tcW w:w="480" w:type="dxa"/>
            <w:vAlign w:val="bottom"/>
          </w:tcPr>
          <w:p>
            <w:pPr>
              <w:jc w:val="right"/>
              <w:spacing w:after="0"/>
              <w:rPr>
                <w:sz w:val="20"/>
                <w:szCs w:val="20"/>
                <w:color w:val="auto"/>
              </w:rPr>
            </w:pPr>
            <w:r>
              <w:rPr>
                <w:rFonts w:ascii="Arial" w:cs="Arial" w:eastAsia="Arial" w:hAnsi="Arial"/>
                <w:sz w:val="16"/>
                <w:szCs w:val="16"/>
                <w:color w:val="auto"/>
                <w:w w:val="94"/>
              </w:rPr>
              <w:t>1,159</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1,171</w:t>
            </w:r>
          </w:p>
        </w:tc>
      </w:tr>
      <w:tr>
        <w:trPr>
          <w:trHeight w:val="20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1,089</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05"/>
        </w:trPr>
        <w:tc>
          <w:tcPr>
            <w:tcW w:w="480" w:type="dxa"/>
            <w:vAlign w:val="bottom"/>
          </w:tcPr>
          <w:p>
            <w:pPr>
              <w:jc w:val="right"/>
              <w:spacing w:after="0"/>
              <w:rPr>
                <w:sz w:val="20"/>
                <w:szCs w:val="20"/>
                <w:color w:val="auto"/>
              </w:rPr>
            </w:pPr>
            <w:r>
              <w:rPr>
                <w:rFonts w:ascii="Arial" w:cs="Arial" w:eastAsia="Arial" w:hAnsi="Arial"/>
                <w:sz w:val="16"/>
                <w:szCs w:val="16"/>
                <w:color w:val="auto"/>
              </w:rPr>
              <w:t>524</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05"/>
        </w:trPr>
        <w:tc>
          <w:tcPr>
            <w:tcW w:w="480" w:type="dxa"/>
            <w:vAlign w:val="bottom"/>
          </w:tcPr>
          <w:p>
            <w:pPr>
              <w:jc w:val="right"/>
              <w:spacing w:after="0"/>
              <w:rPr>
                <w:sz w:val="20"/>
                <w:szCs w:val="20"/>
                <w:color w:val="auto"/>
              </w:rPr>
            </w:pPr>
            <w:r>
              <w:rPr>
                <w:rFonts w:ascii="Arial" w:cs="Arial" w:eastAsia="Arial" w:hAnsi="Arial"/>
                <w:sz w:val="16"/>
                <w:szCs w:val="16"/>
                <w:color w:val="auto"/>
              </w:rPr>
              <w:t>105</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05"/>
        </w:trPr>
        <w:tc>
          <w:tcPr>
            <w:tcW w:w="480" w:type="dxa"/>
            <w:vAlign w:val="bottom"/>
          </w:tcPr>
          <w:p>
            <w:pPr>
              <w:jc w:val="right"/>
              <w:spacing w:after="0"/>
              <w:rPr>
                <w:sz w:val="20"/>
                <w:szCs w:val="20"/>
                <w:color w:val="auto"/>
              </w:rPr>
            </w:pPr>
            <w:r>
              <w:rPr>
                <w:rFonts w:ascii="Arial" w:cs="Arial" w:eastAsia="Arial" w:hAnsi="Arial"/>
                <w:sz w:val="16"/>
                <w:szCs w:val="16"/>
                <w:color w:val="auto"/>
              </w:rPr>
              <w:t>750</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0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1,000</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5"/>
        </w:trPr>
        <w:tc>
          <w:tcPr>
            <w:tcW w:w="480" w:type="dxa"/>
            <w:vAlign w:val="bottom"/>
          </w:tcPr>
          <w:p>
            <w:pPr>
              <w:jc w:val="right"/>
              <w:spacing w:after="0"/>
              <w:rPr>
                <w:sz w:val="20"/>
                <w:szCs w:val="20"/>
                <w:color w:val="auto"/>
              </w:rPr>
            </w:pPr>
            <w:r>
              <w:rPr>
                <w:rFonts w:ascii="Arial" w:cs="Arial" w:eastAsia="Arial" w:hAnsi="Arial"/>
                <w:sz w:val="16"/>
                <w:szCs w:val="16"/>
                <w:color w:val="auto"/>
                <w:w w:val="94"/>
              </w:rPr>
              <w:t>1,167</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11"/>
        </w:trPr>
        <w:tc>
          <w:tcPr>
            <w:tcW w:w="480" w:type="dxa"/>
            <w:vAlign w:val="bottom"/>
          </w:tcPr>
          <w:p>
            <w:pPr>
              <w:jc w:val="right"/>
              <w:spacing w:after="0"/>
              <w:rPr>
                <w:sz w:val="20"/>
                <w:szCs w:val="20"/>
                <w:color w:val="auto"/>
              </w:rPr>
            </w:pPr>
            <w:r>
              <w:rPr>
                <w:rFonts w:ascii="Arial" w:cs="Arial" w:eastAsia="Arial" w:hAnsi="Arial"/>
                <w:sz w:val="16"/>
                <w:szCs w:val="16"/>
                <w:color w:val="auto"/>
                <w:w w:val="94"/>
              </w:rPr>
              <w:t>3,000</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313"/>
        </w:trPr>
        <w:tc>
          <w:tcPr>
            <w:tcW w:w="480" w:type="dxa"/>
            <w:vAlign w:val="bottom"/>
          </w:tcPr>
          <w:p>
            <w:pPr>
              <w:jc w:val="right"/>
              <w:spacing w:after="0"/>
              <w:rPr>
                <w:sz w:val="20"/>
                <w:szCs w:val="20"/>
                <w:color w:val="auto"/>
              </w:rPr>
            </w:pPr>
            <w:r>
              <w:rPr>
                <w:rFonts w:ascii="Arial" w:cs="Arial" w:eastAsia="Arial" w:hAnsi="Arial"/>
                <w:sz w:val="16"/>
                <w:szCs w:val="16"/>
                <w:color w:val="auto"/>
                <w:w w:val="94"/>
              </w:rPr>
              <w:t>2,275</w:t>
            </w: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373"/>
        </w:trPr>
        <w:tc>
          <w:tcPr>
            <w:tcW w:w="480" w:type="dxa"/>
            <w:vAlign w:val="bottom"/>
          </w:tcPr>
          <w:p>
            <w:pPr>
              <w:jc w:val="right"/>
              <w:spacing w:after="0"/>
              <w:rPr>
                <w:sz w:val="20"/>
                <w:szCs w:val="20"/>
                <w:color w:val="auto"/>
              </w:rPr>
            </w:pPr>
            <w:r>
              <w:rPr>
                <w:rFonts w:ascii="Arial" w:cs="Arial" w:eastAsia="Arial" w:hAnsi="Arial"/>
                <w:sz w:val="16"/>
                <w:szCs w:val="16"/>
                <w:color w:val="auto"/>
                <w:w w:val="94"/>
              </w:rPr>
              <w:t>1,000</w:t>
            </w: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3"/>
        </w:trPr>
        <w:tc>
          <w:tcPr>
            <w:tcW w:w="480" w:type="dxa"/>
            <w:vAlign w:val="bottom"/>
          </w:tcPr>
          <w:p>
            <w:pPr>
              <w:jc w:val="right"/>
              <w:spacing w:after="0"/>
              <w:rPr>
                <w:sz w:val="20"/>
                <w:szCs w:val="20"/>
                <w:color w:val="auto"/>
              </w:rPr>
            </w:pPr>
            <w:r>
              <w:rPr>
                <w:rFonts w:ascii="Arial" w:cs="Arial" w:eastAsia="Arial" w:hAnsi="Arial"/>
                <w:sz w:val="16"/>
                <w:szCs w:val="16"/>
                <w:color w:val="auto"/>
                <w:w w:val="94"/>
              </w:rPr>
              <w:t>6,364</w:t>
            </w: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7,271</w:t>
            </w:r>
          </w:p>
        </w:tc>
      </w:tr>
      <w:tr>
        <w:trPr>
          <w:trHeight w:val="373"/>
        </w:trPr>
        <w:tc>
          <w:tcPr>
            <w:tcW w:w="480" w:type="dxa"/>
            <w:vAlign w:val="bottom"/>
          </w:tcPr>
          <w:p>
            <w:pPr>
              <w:jc w:val="right"/>
              <w:spacing w:after="0"/>
              <w:rPr>
                <w:sz w:val="20"/>
                <w:szCs w:val="20"/>
                <w:color w:val="auto"/>
              </w:rPr>
            </w:pPr>
            <w:r>
              <w:rPr>
                <w:rFonts w:ascii="Arial" w:cs="Arial" w:eastAsia="Arial" w:hAnsi="Arial"/>
                <w:sz w:val="16"/>
                <w:szCs w:val="16"/>
                <w:color w:val="auto"/>
                <w:w w:val="94"/>
              </w:rPr>
              <w:t>4,522</w:t>
            </w: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4,094</w:t>
            </w:r>
          </w:p>
        </w:tc>
      </w:tr>
      <w:tr>
        <w:trPr>
          <w:trHeight w:val="371"/>
        </w:trPr>
        <w:tc>
          <w:tcPr>
            <w:tcW w:w="480" w:type="dxa"/>
            <w:vAlign w:val="bottom"/>
          </w:tcPr>
          <w:p>
            <w:pPr>
              <w:jc w:val="right"/>
              <w:spacing w:after="0"/>
              <w:rPr>
                <w:sz w:val="20"/>
                <w:szCs w:val="20"/>
                <w:color w:val="auto"/>
              </w:rPr>
            </w:pPr>
            <w:r>
              <w:rPr>
                <w:rFonts w:ascii="Arial" w:cs="Arial" w:eastAsia="Arial" w:hAnsi="Arial"/>
                <w:sz w:val="16"/>
                <w:szCs w:val="16"/>
                <w:color w:val="auto"/>
              </w:rPr>
              <w:t>880</w:t>
            </w: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880</w:t>
            </w:r>
          </w:p>
        </w:tc>
      </w:tr>
    </w:tbl>
    <w:p>
      <w:pPr>
        <w:spacing w:after="0" w:line="1" w:lineRule="exact"/>
        <w:rPr>
          <w:sz w:val="20"/>
          <w:szCs w:val="20"/>
          <w:color w:val="auto"/>
        </w:rPr>
      </w:pPr>
    </w:p>
    <w:p>
      <w:pPr>
        <w:sectPr>
          <w:pgSz w:w="11900" w:h="16838" w:orient="portrait"/>
          <w:cols w:equalWidth="0" w:num="2">
            <w:col w:w="8204" w:space="720"/>
            <w:col w:w="2340"/>
          </w:cols>
          <w:pgMar w:left="316" w:top="124" w:right="319" w:bottom="1440" w:gutter="0" w:footer="0" w:header="0"/>
          <w:type w:val="continuous"/>
        </w:sectPr>
      </w:pPr>
    </w:p>
    <w:tbl>
      <w:tblPr>
        <w:tblLayout w:type="fixed"/>
        <w:tblInd w:w="4" w:type="dxa"/>
        <w:tblCellMar>
          <w:top w:w="0" w:type="dxa"/>
          <w:left w:w="0" w:type="dxa"/>
          <w:bottom w:w="0" w:type="dxa"/>
          <w:right w:w="0" w:type="dxa"/>
        </w:tblCellMar>
      </w:tblPr>
      <w:tr>
        <w:trPr>
          <w:trHeight w:val="197"/>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long-term debt</w:t>
            </w:r>
          </w:p>
        </w:tc>
        <w:tc>
          <w:tcPr>
            <w:tcW w:w="6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24,805</w:t>
            </w:r>
          </w:p>
        </w:tc>
        <w:tc>
          <w:tcPr>
            <w:tcW w:w="10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25,372</w:t>
            </w:r>
          </w:p>
        </w:tc>
      </w:tr>
      <w:tr>
        <w:trPr>
          <w:trHeight w:val="197"/>
        </w:trPr>
        <w:tc>
          <w:tcPr>
            <w:tcW w:w="7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Total unamortized debt discount, premium and issuance costs</w:t>
            </w: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5"/>
        </w:trPr>
        <w:tc>
          <w:tcPr>
            <w:tcW w:w="7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Less: Current maturities</w:t>
            </w: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4,196</w:t>
            </w:r>
          </w:p>
        </w:tc>
      </w:tr>
      <w:tr>
        <w:trPr>
          <w:trHeight w:val="222"/>
        </w:trPr>
        <w:tc>
          <w:tcPr>
            <w:tcW w:w="7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Long-term debt, net of current maturities</w:t>
            </w:r>
          </w:p>
        </w:tc>
        <w:tc>
          <w:tcPr>
            <w:tcW w:w="66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20,961</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20,876</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25"/>
        </w:trPr>
        <w:tc>
          <w:tcPr>
            <w:tcW w:w="2060" w:type="dxa"/>
            <w:vAlign w:val="bottom"/>
            <w:tcBorders>
              <w:bottom w:val="single" w:sz="8" w:color="auto"/>
            </w:tcBorders>
          </w:tcPr>
          <w:p>
            <w:pPr>
              <w:spacing w:after="0"/>
              <w:rPr>
                <w:sz w:val="10"/>
                <w:szCs w:val="10"/>
                <w:color w:val="auto"/>
              </w:rPr>
            </w:pPr>
          </w:p>
        </w:tc>
        <w:tc>
          <w:tcPr>
            <w:tcW w:w="5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334"/>
        </w:trPr>
        <w:tc>
          <w:tcPr>
            <w:tcW w:w="7620" w:type="dxa"/>
            <w:vAlign w:val="bottom"/>
            <w:gridSpan w:val="2"/>
          </w:tcPr>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Collectively referred to as the AAdvantage Financing.</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2"/>
        </w:trPr>
        <w:tc>
          <w:tcPr>
            <w:tcW w:w="9480" w:type="dxa"/>
            <w:vAlign w:val="bottom"/>
            <w:gridSpan w:val="5"/>
          </w:tcPr>
          <w:p>
            <w:pPr>
              <w:ind w:left="220"/>
              <w:spacing w:after="0"/>
              <w:rPr>
                <w:sz w:val="20"/>
                <w:szCs w:val="20"/>
                <w:color w:val="auto"/>
              </w:rPr>
            </w:pPr>
            <w:r>
              <w:rPr>
                <w:rFonts w:ascii="Arial" w:cs="Arial" w:eastAsia="Arial" w:hAnsi="Arial"/>
                <w:sz w:val="16"/>
                <w:szCs w:val="16"/>
                <w:color w:val="auto"/>
              </w:rPr>
              <w:t>As of June 30, 2025, the maximum availability under American’s revolving credit and other facilities is as follows (in millions):</w:t>
            </w: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7"/>
        </w:trPr>
        <w:tc>
          <w:tcPr>
            <w:tcW w:w="762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5"/>
        </w:trPr>
        <w:tc>
          <w:tcPr>
            <w:tcW w:w="76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2013 Revolving Facility </w:t>
            </w:r>
            <w:r>
              <w:rPr>
                <w:rFonts w:ascii="Arial" w:cs="Arial" w:eastAsia="Arial" w:hAnsi="Arial"/>
                <w:sz w:val="20"/>
                <w:szCs w:val="20"/>
                <w:color w:val="auto"/>
                <w:vertAlign w:val="superscript"/>
              </w:rPr>
              <w:t>(1)</w:t>
            </w: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05"/>
        </w:trPr>
        <w:tc>
          <w:tcPr>
            <w:tcW w:w="7620" w:type="dxa"/>
            <w:vAlign w:val="bottom"/>
            <w:gridSpan w:val="2"/>
          </w:tcPr>
          <w:p>
            <w:pPr>
              <w:ind w:left="20"/>
              <w:spacing w:after="0" w:line="205" w:lineRule="exact"/>
              <w:rPr>
                <w:sz w:val="20"/>
                <w:szCs w:val="20"/>
                <w:color w:val="auto"/>
              </w:rPr>
            </w:pPr>
            <w:r>
              <w:rPr>
                <w:rFonts w:ascii="Arial" w:cs="Arial" w:eastAsia="Arial" w:hAnsi="Arial"/>
                <w:sz w:val="16"/>
                <w:szCs w:val="16"/>
                <w:color w:val="auto"/>
              </w:rPr>
              <w:t xml:space="preserve">2014 Revolving Facility </w:t>
            </w:r>
            <w:r>
              <w:rPr>
                <w:rFonts w:ascii="Arial" w:cs="Arial" w:eastAsia="Arial" w:hAnsi="Arial"/>
                <w:sz w:val="20"/>
                <w:szCs w:val="20"/>
                <w:color w:val="auto"/>
                <w:vertAlign w:val="superscript"/>
              </w:rPr>
              <w:t>(1)</w:t>
            </w: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1,557</w:t>
            </w:r>
          </w:p>
        </w:tc>
      </w:tr>
      <w:tr>
        <w:trPr>
          <w:trHeight w:val="205"/>
        </w:trPr>
        <w:tc>
          <w:tcPr>
            <w:tcW w:w="76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2023 Revolving Facility </w:t>
            </w:r>
            <w:r>
              <w:rPr>
                <w:rFonts w:ascii="Arial" w:cs="Arial" w:eastAsia="Arial" w:hAnsi="Arial"/>
                <w:sz w:val="20"/>
                <w:szCs w:val="20"/>
                <w:color w:val="auto"/>
                <w:vertAlign w:val="superscript"/>
              </w:rPr>
              <w:t>(1)</w:t>
            </w: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05"/>
        </w:trPr>
        <w:tc>
          <w:tcPr>
            <w:tcW w:w="7620" w:type="dxa"/>
            <w:vAlign w:val="bottom"/>
            <w:tcBorders>
              <w:bottom w:val="single" w:sz="8" w:color="CCEEFF"/>
            </w:tcBorders>
            <w:gridSpan w:val="2"/>
          </w:tcPr>
          <w:p>
            <w:pPr>
              <w:ind w:left="20"/>
              <w:spacing w:after="0" w:line="205"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0"/>
                <w:szCs w:val="20"/>
                <w:color w:val="auto"/>
                <w:vertAlign w:val="superscript"/>
              </w:rPr>
              <w:t>(2)</w:t>
            </w:r>
          </w:p>
        </w:tc>
        <w:tc>
          <w:tcPr>
            <w:tcW w:w="6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r>
      <w:tr>
        <w:trPr>
          <w:trHeight w:val="222"/>
        </w:trPr>
        <w:tc>
          <w:tcPr>
            <w:tcW w:w="7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25"/>
        </w:trPr>
        <w:tc>
          <w:tcPr>
            <w:tcW w:w="2060" w:type="dxa"/>
            <w:vAlign w:val="bottom"/>
            <w:tcBorders>
              <w:bottom w:val="single" w:sz="8" w:color="auto"/>
            </w:tcBorders>
          </w:tcPr>
          <w:p>
            <w:pPr>
              <w:spacing w:after="0"/>
              <w:rPr>
                <w:sz w:val="10"/>
                <w:szCs w:val="10"/>
                <w:color w:val="auto"/>
              </w:rPr>
            </w:pPr>
          </w:p>
        </w:tc>
        <w:tc>
          <w:tcPr>
            <w:tcW w:w="5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67" w:lineRule="exact"/>
        <w:rPr>
          <w:sz w:val="20"/>
          <w:szCs w:val="20"/>
          <w:color w:val="auto"/>
        </w:rPr>
      </w:pPr>
    </w:p>
    <w:p>
      <w:pPr>
        <w:jc w:val="both"/>
        <w:ind w:left="284" w:right="20" w:hanging="284"/>
        <w:spacing w:after="0" w:line="234" w:lineRule="auto"/>
        <w:tabs>
          <w:tab w:leader="none" w:pos="279"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On April 21, 2025, the aggregate revolving commitments under the 2013, 2014 and 2023 Revolving Facilities were increased from $2.9 billion to $3.0 billion upon the upsize of commitments by certain existing lenders. No other terms were changed and there are no borrowings outstanding under the facilities.</w:t>
      </w:r>
    </w:p>
    <w:p>
      <w:pPr>
        <w:spacing w:after="0" w:line="128" w:lineRule="exact"/>
        <w:rPr>
          <w:rFonts w:ascii="Arial" w:cs="Arial" w:eastAsia="Arial" w:hAnsi="Arial"/>
          <w:sz w:val="21"/>
          <w:szCs w:val="21"/>
          <w:color w:val="auto"/>
          <w:vertAlign w:val="superscript"/>
        </w:rPr>
      </w:pPr>
    </w:p>
    <w:p>
      <w:pPr>
        <w:jc w:val="both"/>
        <w:ind w:left="284" w:right="20" w:hanging="284"/>
        <w:spacing w:after="0" w:line="234" w:lineRule="auto"/>
        <w:tabs>
          <w:tab w:leader="none" w:pos="279"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Includes a revolving credit facility that provides for borrowing capacity of up to $350 million, maturing in March 2027 with an option to extend for an additional year. Additionally, American currently has $50 million of available borrowing base under a cargo receivables facility that is set to expire in December 2025. There are no amounts drawn under these facilities.</w:t>
      </w: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AAdvantage Term Loan Facilities</w:t>
      </w:r>
    </w:p>
    <w:p>
      <w:pPr>
        <w:spacing w:after="0" w:line="79" w:lineRule="exact"/>
        <w:rPr>
          <w:sz w:val="20"/>
          <w:szCs w:val="20"/>
          <w:color w:val="auto"/>
        </w:rPr>
      </w:pPr>
    </w:p>
    <w:p>
      <w:pPr>
        <w:jc w:val="both"/>
        <w:ind w:firstLine="217"/>
        <w:spacing w:after="0" w:line="256" w:lineRule="auto"/>
        <w:rPr>
          <w:sz w:val="20"/>
          <w:szCs w:val="20"/>
          <w:color w:val="auto"/>
        </w:rPr>
      </w:pPr>
      <w:r>
        <w:rPr>
          <w:rFonts w:ascii="Arial" w:cs="Arial" w:eastAsia="Arial" w:hAnsi="Arial"/>
          <w:sz w:val="16"/>
          <w:szCs w:val="16"/>
          <w:color w:val="auto"/>
        </w:rPr>
        <w:t>On March 24, 2025, American and AAdvantage Loyalty IP Ltd. (the Borrowers) entered into a second amendment to the term loan credit and guaranty agreement dated March 24, 2021 (the Second Amendment). As a result of the Second Amendment, the term loans outstanding with a principal amount of approximately $2.3 billion (the 2021 AAdvantage Term Loan Facility) were replaced with new term loans in the same principal amount. The terms of the new term loans are substantially similar to the prior term loans; however, the new term loans bear interest at a base rate (subject to a floor of 0.00%) plus an applicable margin of 1.25% per annum or, at the Borrowers’ option, the Secured Overnight Financing Rate (SOFR) for a tenor of three months (subject to a floor of 0.00%), plus an applicable margin of 2.25% per annum. Additionally, the scheduled quarterly principal amortization amount was reduced to 0.25% of the principal amount of term loans outstanding as of March 24, 2025 (approximately $6 million each quarter), payable beginning in July 2025, and the remaining balance is due at maturity in April 2028. Pursuant to the Second Amendment, the new term loans are not subject to a cost spread adjustment.</w:t>
      </w:r>
    </w:p>
    <w:p>
      <w:pPr>
        <w:spacing w:after="0" w:line="115" w:lineRule="exact"/>
        <w:rPr>
          <w:sz w:val="20"/>
          <w:szCs w:val="20"/>
          <w:color w:val="auto"/>
        </w:rPr>
      </w:pPr>
    </w:p>
    <w:p>
      <w:pPr>
        <w:jc w:val="both"/>
        <w:ind w:firstLine="217"/>
        <w:spacing w:after="0" w:line="255" w:lineRule="auto"/>
        <w:rPr>
          <w:sz w:val="20"/>
          <w:szCs w:val="20"/>
          <w:color w:val="auto"/>
        </w:rPr>
      </w:pPr>
      <w:r>
        <w:rPr>
          <w:rFonts w:ascii="Arial" w:cs="Arial" w:eastAsia="Arial" w:hAnsi="Arial"/>
          <w:sz w:val="16"/>
          <w:szCs w:val="16"/>
          <w:color w:val="auto"/>
        </w:rPr>
        <w:t>On May 28, 2025, the Borrowers entered into a third amendment to the term loan credit and guaranty agreement dated March 24, 2021 (the Third Amendment). As a result of the Third Amendment, the Borrowers incurred $1.0 billion of incremental term loans (the 2025 AAdvantage Term Loan Facility) due on May 28, 2032. The terms of the 2025 AAdvantage Term Loan Facility are substantially similar to the 2021 AAdvantage Term Loan Facility; however, the 2025 AAdvantage Term Loan Facility bears interest at a base rate (subject to a floor of 0.00%) plus an applicable margin of 2.25% per annum or, at the Borrowers’ option, the SOFR rate for a tenor of three months (subject to a floor of 0.00%), plus an applicable margin of 3.25% per annum. Additionally, the scheduled quarterly principal amortization amount is equal to 0.25% of the original aggregate principal amount of the 2025 AAdvantage Term Loan Facility (approximately $ 3 million each quarter), payable beginning in July 2025, and the remaining balance is due at maturity in May 2032. Pursuant to the Third Amendment, the 2025 AAdvantage Term Loan Facility is not subject to a cost spread adjustment. The net proceeds from the 2025 AAdvantage Term Loan Facility were used to repay near term maturities, including the 6.50% convertible senior notes described in Note 5 to AAG’s Condensed Consolidated Financial Statements in Part I, Item 1A.</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Equipment Loans and Other Notes Payable Issued in 2025</w:t>
      </w:r>
    </w:p>
    <w:p>
      <w:pPr>
        <w:spacing w:after="0" w:line="79"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During the first six months of 2025, American entered into agreements under which it borrowed $712 million in connection with the financing of certain aircraft. Debt incurred under these agreements matures in 2036 through 2037 and bears interest at variable rates (comprised of SOFR plus an applicable margin) averaging 6.29% as of June 30, 2025.</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Other Financing Activities</w:t>
      </w:r>
    </w:p>
    <w:p>
      <w:pPr>
        <w:spacing w:after="0" w:line="79"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During the first six months of 2025, American prepaid $487 million of the outstanding principal amounts of equipment notes issued under EETCs, and these amounts were applied to repay the related trust certificates. Additionally, American prepaid $308 million toward portions of the outstanding principal amounts of the 10.75% senior secured IP notes and 10.75% senior secured LGA/DCA notes.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Income Taxes</w:t>
      </w:r>
    </w:p>
    <w:p>
      <w:pPr>
        <w:spacing w:after="0" w:line="81" w:lineRule="exact"/>
        <w:rPr>
          <w:sz w:val="20"/>
          <w:szCs w:val="20"/>
          <w:color w:val="auto"/>
        </w:rPr>
      </w:pPr>
    </w:p>
    <w:p>
      <w:pPr>
        <w:jc w:val="both"/>
        <w:ind w:right="20" w:firstLine="217"/>
        <w:spacing w:after="0" w:line="263" w:lineRule="auto"/>
        <w:rPr>
          <w:sz w:val="20"/>
          <w:szCs w:val="20"/>
          <w:color w:val="auto"/>
        </w:rPr>
      </w:pPr>
      <w:r>
        <w:rPr>
          <w:rFonts w:ascii="Arial" w:cs="Arial" w:eastAsia="Arial" w:hAnsi="Arial"/>
          <w:sz w:val="16"/>
          <w:szCs w:val="16"/>
          <w:color w:val="auto"/>
        </w:rPr>
        <w:t>At December 31, 2024, American had approximately $12.8 billion of gross federal net operating losses (NOLs) and $4.2 billion of other carryforwards available to reduce future federal taxable income, of which $2.9 billion will expire beginning in 2033 if unused and $14.1 billion can be carried forward indefinitely. American is a member of AAG’s consolidated federal and certain state income tax returns. American also had approximately $5.0 billion of NOL carryforwards to reduce future state taxable income at December 31, 2024, which will expire in taxable years 2024 through 2044 if unused.</w:t>
      </w:r>
    </w:p>
    <w:p>
      <w:pPr>
        <w:spacing w:after="0" w:line="108" w:lineRule="exact"/>
        <w:rPr>
          <w:sz w:val="20"/>
          <w:szCs w:val="20"/>
          <w:color w:val="auto"/>
        </w:rPr>
      </w:pPr>
    </w:p>
    <w:p>
      <w:pPr>
        <w:jc w:val="both"/>
        <w:ind w:firstLine="217"/>
        <w:spacing w:after="0" w:line="260" w:lineRule="auto"/>
        <w:rPr>
          <w:sz w:val="20"/>
          <w:szCs w:val="20"/>
          <w:color w:val="auto"/>
        </w:rPr>
      </w:pPr>
      <w:r>
        <w:rPr>
          <w:rFonts w:ascii="Arial" w:cs="Arial" w:eastAsia="Arial" w:hAnsi="Arial"/>
          <w:sz w:val="16"/>
          <w:szCs w:val="16"/>
          <w:color w:val="auto"/>
        </w:rPr>
        <w:t>American’s ability to use its NOLs and other carryforwards depends on the amount of taxable income generated in future periods. American provides a valuation allowance for its deferred tax assets, which include its NOLs and other carryforwards,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4" w:name="page35"/>
    <w:bookmarkEnd w:id="34"/>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jc w:val="both"/>
        <w:ind w:left="4"/>
        <w:spacing w:after="0" w:line="286" w:lineRule="auto"/>
        <w:rPr>
          <w:sz w:val="20"/>
          <w:szCs w:val="20"/>
          <w:color w:val="auto"/>
        </w:rPr>
      </w:pPr>
      <w:r>
        <w:rPr>
          <w:rFonts w:ascii="Arial" w:cs="Arial" w:eastAsia="Arial" w:hAnsi="Arial"/>
          <w:sz w:val="16"/>
          <w:szCs w:val="16"/>
          <w:color w:val="auto"/>
        </w:rPr>
        <w:t>volatility of aircraft fuel and travel demand. American has determined that positive factors outweigh negative factors in the determination of the realizability of its deferred tax assets.</w:t>
      </w:r>
    </w:p>
    <w:p>
      <w:pPr>
        <w:spacing w:after="0" w:line="91" w:lineRule="exact"/>
        <w:rPr>
          <w:sz w:val="20"/>
          <w:szCs w:val="20"/>
          <w:color w:val="auto"/>
        </w:rPr>
      </w:pPr>
    </w:p>
    <w:p>
      <w:pPr>
        <w:jc w:val="both"/>
        <w:ind w:left="4" w:right="20" w:firstLine="217"/>
        <w:spacing w:after="0" w:line="260" w:lineRule="auto"/>
        <w:rPr>
          <w:sz w:val="20"/>
          <w:szCs w:val="20"/>
          <w:color w:val="auto"/>
        </w:rPr>
      </w:pPr>
      <w:r>
        <w:rPr>
          <w:rFonts w:ascii="Arial" w:cs="Arial" w:eastAsia="Arial" w:hAnsi="Arial"/>
          <w:sz w:val="16"/>
          <w:szCs w:val="16"/>
          <w:color w:val="auto"/>
        </w:rPr>
        <w:t>American has historically calculated the provision for income taxes during interim reporting periods by applying an estimate of the annual effective tax rate for the full year to income or loss for the reporting period. American has changed to use the discrete method to calculate taxes for the three and six months ended June 30, 2025. At this time, American believes that the use of the discrete method for the three and six months ended June 30, 2025 is more appropriate than the estimated annual effective tax rate method due to the fact that small changes in projected full year income could cause material fluctuations in American’s annual effective tax rate applied during each quarter.</w:t>
      </w:r>
    </w:p>
    <w:p>
      <w:pPr>
        <w:spacing w:after="0" w:line="111"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During the three and six months ended June 30, 2025, American recorded an income tax provision of $ 267 million and $123 million, respectively, which was substantially non-cash due to the utilization of the NOLs described above. Substantially all of American’s income before income taxes is attributable to the United States.</w:t>
      </w:r>
    </w:p>
    <w:p>
      <w:pPr>
        <w:spacing w:after="0" w:line="104"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On July 4, 2025, H.R. 1, the “One Big Beautiful Bill Act” (the OBBBA) was signed into law in the U.S. Among other changes, the OBBBA modifies key business tax provisions, including by restoring 100% bonus depreciation under Section 168(k), reverting to the higher, EBITDA-based, business interest expense limitation under Section 163(j) and changing the computation of taxes related to international operations. Based on American’s current analysis of these provisions, American does not believe these provisions will have a material impact on its consolidated financial statements.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6. Fair Value Measurements</w:t>
      </w:r>
    </w:p>
    <w:p>
      <w:pPr>
        <w:spacing w:after="0" w:line="83"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Assets Measured at Fair Value on a Recurring Basis</w:t>
      </w:r>
    </w:p>
    <w:p>
      <w:pPr>
        <w:spacing w:after="0" w:line="79"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six months ended June 30, 2025.</w:t>
      </w:r>
    </w:p>
    <w:p>
      <w:pPr>
        <w:spacing w:after="0" w:line="108" w:lineRule="exact"/>
        <w:rPr>
          <w:sz w:val="20"/>
          <w:szCs w:val="20"/>
          <w:color w:val="auto"/>
        </w:rPr>
      </w:pPr>
    </w:p>
    <w:p>
      <w:pPr>
        <w:ind w:left="224"/>
        <w:spacing w:after="0"/>
        <w:rPr>
          <w:sz w:val="20"/>
          <w:szCs w:val="20"/>
          <w:color w:val="auto"/>
        </w:rPr>
      </w:pPr>
      <w:r>
        <w:rPr>
          <w:rFonts w:ascii="Arial" w:cs="Arial" w:eastAsia="Arial" w:hAnsi="Arial"/>
          <w:sz w:val="16"/>
          <w:szCs w:val="16"/>
          <w:color w:val="auto"/>
        </w:rPr>
        <w:t>Assets measured at fair value on a recurring basis are summarized below (in millions):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Fair Value Measurements as of June 30, 2025</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3"/>
        </w:trPr>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1</w:t>
            </w:r>
          </w:p>
        </w:tc>
        <w:tc>
          <w:tcPr>
            <w:tcW w:w="30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30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Arial" w:cs="Arial" w:eastAsia="Arial" w:hAnsi="Arial"/>
                <w:sz w:val="13"/>
                <w:szCs w:val="13"/>
                <w:b w:val="1"/>
                <w:bCs w:val="1"/>
                <w:color w:val="auto"/>
              </w:rPr>
              <w:t>Level 3</w:t>
            </w:r>
          </w:p>
        </w:tc>
      </w:tr>
      <w:tr>
        <w:trPr>
          <w:trHeight w:val="185"/>
        </w:trPr>
        <w:tc>
          <w:tcPr>
            <w:tcW w:w="5360" w:type="dxa"/>
            <w:vAlign w:val="bottom"/>
            <w:tcBorders>
              <w:top w:val="single" w:sz="8" w:color="CCEEFF"/>
            </w:tcBorders>
            <w:shd w:val="clear" w:color="auto" w:fill="CCEEFF"/>
          </w:tcPr>
          <w:p>
            <w:pPr>
              <w:ind w:left="20"/>
              <w:spacing w:after="0" w:line="184" w:lineRule="exact"/>
              <w:rPr>
                <w:sz w:val="20"/>
                <w:szCs w:val="20"/>
                <w:color w:val="auto"/>
              </w:rPr>
            </w:pPr>
            <w:r>
              <w:rPr>
                <w:rFonts w:ascii="Arial" w:cs="Arial" w:eastAsia="Arial" w:hAnsi="Arial"/>
                <w:sz w:val="16"/>
                <w:szCs w:val="16"/>
                <w:color w:val="auto"/>
              </w:rPr>
              <w:t xml:space="preserve">Short-term investments </w:t>
            </w:r>
            <w:r>
              <w:rPr>
                <w:rFonts w:ascii="Arial" w:cs="Arial" w:eastAsia="Arial" w:hAnsi="Arial"/>
                <w:sz w:val="20"/>
                <w:szCs w:val="20"/>
                <w:color w:val="auto"/>
                <w:vertAlign w:val="superscript"/>
              </w:rPr>
              <w:t>(1), (2)</w:t>
            </w: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05"/>
        </w:trPr>
        <w:tc>
          <w:tcPr>
            <w:tcW w:w="536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923</w:t>
            </w:r>
          </w:p>
        </w:tc>
        <w:tc>
          <w:tcPr>
            <w:tcW w:w="80" w:type="dxa"/>
            <w:vAlign w:val="bottom"/>
          </w:tcPr>
          <w:p>
            <w:pPr>
              <w:spacing w:after="0"/>
              <w:rPr>
                <w:sz w:val="17"/>
                <w:szCs w:val="17"/>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05"/>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5"/>
        </w:trPr>
        <w:tc>
          <w:tcPr>
            <w:tcW w:w="5360" w:type="dxa"/>
            <w:vAlign w:val="bottom"/>
          </w:tcPr>
          <w:p>
            <w:pPr>
              <w:ind w:left="120"/>
              <w:spacing w:after="0"/>
              <w:rPr>
                <w:sz w:val="20"/>
                <w:szCs w:val="20"/>
                <w:color w:val="auto"/>
              </w:rPr>
            </w:pPr>
            <w:r>
              <w:rPr>
                <w:rFonts w:ascii="Arial" w:cs="Arial" w:eastAsia="Arial" w:hAnsi="Arial"/>
                <w:sz w:val="16"/>
                <w:szCs w:val="16"/>
                <w:color w:val="auto"/>
              </w:rPr>
              <w:t>Bank notes/certificates of deposit/time deposits</w:t>
            </w:r>
          </w:p>
        </w:tc>
        <w:tc>
          <w:tcPr>
            <w:tcW w:w="3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05"/>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agreements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197"/>
        </w:trPr>
        <w:tc>
          <w:tcPr>
            <w:tcW w:w="53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7,737</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923</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860"/>
              <w:spacing w:after="0"/>
              <w:rPr>
                <w:sz w:val="20"/>
                <w:szCs w:val="20"/>
                <w:color w:val="auto"/>
              </w:rPr>
            </w:pPr>
            <w:r>
              <w:rPr>
                <w:rFonts w:ascii="Arial" w:cs="Arial" w:eastAsia="Arial" w:hAnsi="Arial"/>
                <w:sz w:val="16"/>
                <w:szCs w:val="16"/>
                <w:color w:val="auto"/>
              </w:rPr>
              <w:t>—</w:t>
            </w:r>
          </w:p>
        </w:tc>
      </w:tr>
      <w:tr>
        <w:trPr>
          <w:trHeight w:val="205"/>
        </w:trPr>
        <w:tc>
          <w:tcPr>
            <w:tcW w:w="5360" w:type="dxa"/>
            <w:vAlign w:val="bottom"/>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Restricted cash and short-term investments </w:t>
            </w:r>
            <w:r>
              <w:rPr>
                <w:rFonts w:ascii="Arial" w:cs="Arial" w:eastAsia="Arial" w:hAnsi="Arial"/>
                <w:sz w:val="20"/>
                <w:szCs w:val="20"/>
                <w:color w:val="auto"/>
                <w:vertAlign w:val="superscript"/>
              </w:rPr>
              <w:t>(1), (3)</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5"/>
        </w:trPr>
        <w:tc>
          <w:tcPr>
            <w:tcW w:w="536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Long-term investments </w:t>
            </w:r>
            <w:r>
              <w:rPr>
                <w:rFonts w:ascii="Arial" w:cs="Arial" w:eastAsia="Arial" w:hAnsi="Arial"/>
                <w:sz w:val="20"/>
                <w:szCs w:val="20"/>
                <w:color w:val="auto"/>
                <w:vertAlign w:val="superscript"/>
              </w:rPr>
              <w:t>(4)</w:t>
            </w:r>
          </w:p>
        </w:tc>
        <w:tc>
          <w:tcPr>
            <w:tcW w:w="3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0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22"/>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3150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204" w:lineRule="exact"/>
        <w:rPr>
          <w:sz w:val="20"/>
          <w:szCs w:val="20"/>
          <w:color w:val="auto"/>
        </w:rPr>
      </w:pPr>
    </w:p>
    <w:p>
      <w:pPr>
        <w:ind w:left="284" w:right="20" w:hanging="284"/>
        <w:spacing w:after="0" w:line="227" w:lineRule="auto"/>
        <w:tabs>
          <w:tab w:leader="none" w:pos="279"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96"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American’s short-term investments mature in one year or less.</w:t>
      </w:r>
    </w:p>
    <w:p>
      <w:pPr>
        <w:spacing w:after="0" w:line="125" w:lineRule="exact"/>
        <w:rPr>
          <w:rFonts w:ascii="Arial" w:cs="Arial" w:eastAsia="Arial" w:hAnsi="Arial"/>
          <w:sz w:val="21"/>
          <w:szCs w:val="21"/>
          <w:color w:val="auto"/>
          <w:vertAlign w:val="superscript"/>
        </w:rPr>
      </w:pPr>
    </w:p>
    <w:p>
      <w:pPr>
        <w:jc w:val="both"/>
        <w:ind w:left="284" w:hanging="284"/>
        <w:spacing w:after="0" w:line="234" w:lineRule="auto"/>
        <w:tabs>
          <w:tab w:leader="none" w:pos="279"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Tulsa Maintenance Base. Restricted short-term investments mature in one year or less except for $157 million as of June 30, 2025.</w:t>
      </w:r>
    </w:p>
    <w:p>
      <w:pPr>
        <w:spacing w:after="0" w:line="128" w:lineRule="exact"/>
        <w:rPr>
          <w:rFonts w:ascii="Arial" w:cs="Arial" w:eastAsia="Arial" w:hAnsi="Arial"/>
          <w:sz w:val="21"/>
          <w:szCs w:val="21"/>
          <w:color w:val="auto"/>
          <w:vertAlign w:val="superscript"/>
        </w:rPr>
      </w:pPr>
    </w:p>
    <w:p>
      <w:pPr>
        <w:ind w:left="284" w:right="20" w:hanging="284"/>
        <w:spacing w:after="0" w:line="227" w:lineRule="auto"/>
        <w:tabs>
          <w:tab w:leader="none" w:pos="279"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Long-term investments primarily include American’s equity investment in China Southern Airlines Company Limited (China Southern Airlines). See Note 7 for further information on American’s equity investments.</w:t>
      </w:r>
    </w:p>
    <w:p>
      <w:pPr>
        <w:spacing w:after="0" w:line="3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35" w:name="page36"/>
    <w:bookmarkEnd w:id="35"/>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8"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Fair Value of Debt</w:t>
      </w:r>
    </w:p>
    <w:p>
      <w:pPr>
        <w:spacing w:after="0" w:line="79"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The fair value of American’s long-term debt was estimated using quoted market prices or discounted cash flow analyses based on American’s current estimated incremental borrowing rates for similar types of borrowing arrangements.</w:t>
      </w:r>
    </w:p>
    <w:p>
      <w:pPr>
        <w:spacing w:after="0" w:line="9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carrying value and estimated fair value of American’s long-term debt, including current maturities, were as follows (in millions):</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9"/>
              </w:rPr>
              <w:t>June 30, 2025</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3"/>
        </w:trPr>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Fair Value</w:t>
            </w: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17"/>
        </w:trPr>
        <w:tc>
          <w:tcPr>
            <w:tcW w:w="4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360"/>
              <w:spacing w:after="0" w:line="117" w:lineRule="exact"/>
              <w:rPr>
                <w:sz w:val="20"/>
                <w:szCs w:val="20"/>
                <w:color w:val="auto"/>
              </w:rPr>
            </w:pPr>
            <w:r>
              <w:rPr>
                <w:rFonts w:ascii="Arial" w:cs="Arial" w:eastAsia="Arial" w:hAnsi="Arial"/>
                <w:sz w:val="13"/>
                <w:szCs w:val="13"/>
                <w:b w:val="1"/>
                <w:bCs w:val="1"/>
                <w:color w:val="auto"/>
                <w:w w:val="97"/>
              </w:rPr>
              <w:t>Carrying</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88"/>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Value</w:t>
            </w: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Level 1</w:t>
            </w:r>
          </w:p>
        </w:tc>
        <w:tc>
          <w:tcPr>
            <w:tcW w:w="34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Arial" w:cs="Arial" w:eastAsia="Arial" w:hAnsi="Arial"/>
                <w:sz w:val="13"/>
                <w:szCs w:val="13"/>
                <w:b w:val="1"/>
                <w:bCs w:val="1"/>
                <w:color w:val="auto"/>
              </w:rPr>
              <w:t>Level 3</w:t>
            </w:r>
          </w:p>
        </w:tc>
      </w:tr>
      <w:tr>
        <w:trPr>
          <w:trHeight w:val="222"/>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24,806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24,806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65"/>
        </w:trPr>
        <w:tc>
          <w:tcPr>
            <w:tcW w:w="4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9"/>
              </w:rPr>
              <w:t>December 31, 2024</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3"/>
        </w:trPr>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Fair Value</w:t>
            </w: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17"/>
        </w:trPr>
        <w:tc>
          <w:tcPr>
            <w:tcW w:w="4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360"/>
              <w:spacing w:after="0" w:line="117" w:lineRule="exact"/>
              <w:rPr>
                <w:sz w:val="20"/>
                <w:szCs w:val="20"/>
                <w:color w:val="auto"/>
              </w:rPr>
            </w:pPr>
            <w:r>
              <w:rPr>
                <w:rFonts w:ascii="Arial" w:cs="Arial" w:eastAsia="Arial" w:hAnsi="Arial"/>
                <w:sz w:val="13"/>
                <w:szCs w:val="13"/>
                <w:b w:val="1"/>
                <w:bCs w:val="1"/>
                <w:color w:val="auto"/>
                <w:w w:val="97"/>
              </w:rPr>
              <w:t>Carrying</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88"/>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Value</w:t>
            </w: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Level 1</w:t>
            </w:r>
          </w:p>
        </w:tc>
        <w:tc>
          <w:tcPr>
            <w:tcW w:w="34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Arial" w:cs="Arial" w:eastAsia="Arial" w:hAnsi="Arial"/>
                <w:sz w:val="13"/>
                <w:szCs w:val="13"/>
                <w:b w:val="1"/>
                <w:bCs w:val="1"/>
                <w:color w:val="auto"/>
              </w:rPr>
              <w:t>Level 3</w:t>
            </w:r>
          </w:p>
        </w:tc>
      </w:tr>
      <w:tr>
        <w:trPr>
          <w:trHeight w:val="222"/>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25,234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25,234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7. Investments</w:t>
      </w:r>
    </w:p>
    <w:p>
      <w:pPr>
        <w:spacing w:after="0" w:line="81"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condensed consolidated balance sheets. American’s share of equity method investees’ financial results and changes in fair value are recorded in nonoperating other income (expense), net on the condensed consolidated statements of operations.</w:t>
      </w:r>
    </w:p>
    <w:p>
      <w:pPr>
        <w:spacing w:after="0" w:line="108" w:lineRule="exact"/>
        <w:rPr>
          <w:sz w:val="20"/>
          <w:szCs w:val="20"/>
          <w:color w:val="auto"/>
        </w:rPr>
      </w:pPr>
    </w:p>
    <w:p>
      <w:pPr>
        <w:ind w:left="144"/>
        <w:spacing w:after="0"/>
        <w:rPr>
          <w:sz w:val="20"/>
          <w:szCs w:val="20"/>
          <w:color w:val="auto"/>
        </w:rPr>
      </w:pPr>
      <w:r>
        <w:rPr>
          <w:rFonts w:ascii="Arial" w:cs="Arial" w:eastAsia="Arial" w:hAnsi="Arial"/>
          <w:sz w:val="16"/>
          <w:szCs w:val="16"/>
          <w:color w:val="auto"/>
        </w:rPr>
        <w:t>American’s equity investment ownership interests and carrying values are as follows:</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80"/>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Borders>
              <w:bottom w:val="single" w:sz="8" w:color="auto"/>
            </w:tcBorders>
            <w:gridSpan w:val="3"/>
          </w:tcPr>
          <w:p>
            <w:pPr>
              <w:jc w:val="right"/>
              <w:ind w:right="1145"/>
              <w:spacing w:after="0"/>
              <w:rPr>
                <w:sz w:val="20"/>
                <w:szCs w:val="20"/>
                <w:color w:val="auto"/>
              </w:rPr>
            </w:pPr>
            <w:r>
              <w:rPr>
                <w:rFonts w:ascii="Arial" w:cs="Arial" w:eastAsia="Arial" w:hAnsi="Arial"/>
                <w:sz w:val="13"/>
                <w:szCs w:val="13"/>
                <w:b w:val="1"/>
                <w:bCs w:val="1"/>
                <w:color w:val="auto"/>
              </w:rPr>
              <w:t>Ownership Interest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3"/>
                <w:szCs w:val="13"/>
                <w:b w:val="1"/>
                <w:bCs w:val="1"/>
                <w:color w:val="auto"/>
              </w:rPr>
              <w:t>Carrying Value (in millions)</w:t>
            </w:r>
          </w:p>
        </w:tc>
        <w:tc>
          <w:tcPr>
            <w:tcW w:w="0" w:type="dxa"/>
            <w:vAlign w:val="bottom"/>
          </w:tcPr>
          <w:p>
            <w:pPr>
              <w:spacing w:after="0"/>
              <w:rPr>
                <w:sz w:val="1"/>
                <w:szCs w:val="1"/>
                <w:color w:val="auto"/>
              </w:rPr>
            </w:pPr>
          </w:p>
        </w:tc>
      </w:tr>
      <w:tr>
        <w:trPr>
          <w:trHeight w:val="180"/>
        </w:trPr>
        <w:tc>
          <w:tcPr>
            <w:tcW w:w="20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Accounting Treatment</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June 30, 2025</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December 31, 2024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June 30, 2025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37"/>
        </w:trPr>
        <w:tc>
          <w:tcPr>
            <w:tcW w:w="220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5"/>
                <w:szCs w:val="15"/>
                <w:color w:val="auto"/>
              </w:rPr>
              <w:t>Republic Airways Holdings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Equity Method</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00" w:type="dxa"/>
            <w:vAlign w:val="bottom"/>
            <w:shd w:val="clear" w:color="auto" w:fill="CCEEFF"/>
          </w:tcPr>
          <w:p>
            <w:pPr>
              <w:spacing w:after="0"/>
              <w:rPr>
                <w:sz w:val="11"/>
                <w:szCs w:val="11"/>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7"/>
        </w:trPr>
        <w:tc>
          <w:tcPr>
            <w:tcW w:w="2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w:t>
            </w:r>
          </w:p>
        </w:tc>
        <w:tc>
          <w:tcPr>
            <w:tcW w:w="2000" w:type="dxa"/>
            <w:vAlign w:val="bottom"/>
            <w:gridSpan w:val="2"/>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China Southern Airlines</w:t>
            </w:r>
          </w:p>
        </w:tc>
        <w:tc>
          <w:tcPr>
            <w:tcW w:w="200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Fair Value</w:t>
            </w:r>
          </w:p>
        </w:tc>
        <w:tc>
          <w:tcPr>
            <w:tcW w:w="17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5"/>
        </w:trPr>
        <w:tc>
          <w:tcPr>
            <w:tcW w:w="22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20"/>
                <w:szCs w:val="20"/>
                <w:color w:val="auto"/>
                <w:vertAlign w:val="superscript"/>
              </w:rPr>
              <w:t>(1)</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Various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7"/>
        </w:trPr>
        <w:tc>
          <w:tcPr>
            <w:tcW w:w="220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5544" w:right="2360" w:hanging="5544"/>
        <w:spacing w:after="0" w:line="714" w:lineRule="auto"/>
        <w:tabs>
          <w:tab w:leader="none" w:pos="289"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Primarily includes American’s investment in JetSMART Holdings Limited, which is accounted for under the equity method.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-254635</wp:posOffset>
            </wp:positionV>
            <wp:extent cx="717232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36" w:name="page37"/>
    <w:bookmarkEnd w:id="36"/>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8. Employee Benefit Plans</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following table provides the components of net periodic benefit cost (income) (in millions):</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Pension Benefits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4"/>
          </w:tcPr>
          <w:p>
            <w:pPr>
              <w:jc w:val="center"/>
              <w:ind w:right="222"/>
              <w:spacing w:after="0"/>
              <w:rPr>
                <w:sz w:val="20"/>
                <w:szCs w:val="20"/>
                <w:color w:val="auto"/>
              </w:rPr>
            </w:pPr>
            <w:r>
              <w:rPr>
                <w:rFonts w:ascii="Arial" w:cs="Arial" w:eastAsia="Arial" w:hAnsi="Arial"/>
                <w:sz w:val="13"/>
                <w:szCs w:val="13"/>
                <w:b w:val="1"/>
                <w:bCs w:val="1"/>
                <w:color w:val="auto"/>
                <w:w w:val="98"/>
              </w:rPr>
              <w:t>Retiree Medical and Other</w:t>
            </w:r>
          </w:p>
        </w:tc>
        <w:tc>
          <w:tcPr>
            <w:tcW w:w="0" w:type="dxa"/>
            <w:vAlign w:val="bottom"/>
          </w:tcPr>
          <w:p>
            <w:pPr>
              <w:spacing w:after="0"/>
              <w:rPr>
                <w:sz w:val="1"/>
                <w:szCs w:val="1"/>
                <w:color w:val="auto"/>
              </w:rPr>
            </w:pPr>
          </w:p>
        </w:tc>
      </w:tr>
      <w:tr>
        <w:trPr>
          <w:trHeight w:val="164"/>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222"/>
              <w:spacing w:after="0"/>
              <w:rPr>
                <w:sz w:val="20"/>
                <w:szCs w:val="20"/>
                <w:color w:val="auto"/>
              </w:rPr>
            </w:pPr>
            <w:r>
              <w:rPr>
                <w:rFonts w:ascii="Arial" w:cs="Arial" w:eastAsia="Arial" w:hAnsi="Arial"/>
                <w:sz w:val="13"/>
                <w:szCs w:val="13"/>
                <w:b w:val="1"/>
                <w:bCs w:val="1"/>
                <w:color w:val="auto"/>
                <w:w w:val="99"/>
              </w:rPr>
              <w:t>Postretirement Benefits</w:t>
            </w:r>
          </w:p>
        </w:tc>
        <w:tc>
          <w:tcPr>
            <w:tcW w:w="0" w:type="dxa"/>
            <w:vAlign w:val="bottom"/>
          </w:tcPr>
          <w:p>
            <w:pPr>
              <w:spacing w:after="0"/>
              <w:rPr>
                <w:sz w:val="1"/>
                <w:szCs w:val="1"/>
                <w:color w:val="auto"/>
              </w:rPr>
            </w:pPr>
          </w:p>
        </w:tc>
      </w:tr>
      <w:tr>
        <w:trPr>
          <w:trHeight w:val="173"/>
        </w:trPr>
        <w:tc>
          <w:tcPr>
            <w:tcW w:w="596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30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40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2"/>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97"/>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Amortization of:</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Prior service cost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Unrecognized net loss (gain)</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2"/>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periodic benefit cost (income)</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Pension Benefits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4"/>
          </w:tcPr>
          <w:p>
            <w:pPr>
              <w:jc w:val="center"/>
              <w:ind w:right="222"/>
              <w:spacing w:after="0"/>
              <w:rPr>
                <w:sz w:val="20"/>
                <w:szCs w:val="20"/>
                <w:color w:val="auto"/>
              </w:rPr>
            </w:pPr>
            <w:r>
              <w:rPr>
                <w:rFonts w:ascii="Arial" w:cs="Arial" w:eastAsia="Arial" w:hAnsi="Arial"/>
                <w:sz w:val="13"/>
                <w:szCs w:val="13"/>
                <w:b w:val="1"/>
                <w:bCs w:val="1"/>
                <w:color w:val="auto"/>
                <w:w w:val="98"/>
              </w:rPr>
              <w:t>Retiree Medical and Other</w:t>
            </w:r>
          </w:p>
        </w:tc>
        <w:tc>
          <w:tcPr>
            <w:tcW w:w="0" w:type="dxa"/>
            <w:vAlign w:val="bottom"/>
          </w:tcPr>
          <w:p>
            <w:pPr>
              <w:spacing w:after="0"/>
              <w:rPr>
                <w:sz w:val="1"/>
                <w:szCs w:val="1"/>
                <w:color w:val="auto"/>
              </w:rPr>
            </w:pPr>
          </w:p>
        </w:tc>
      </w:tr>
      <w:tr>
        <w:trPr>
          <w:trHeight w:val="164"/>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222"/>
              <w:spacing w:after="0"/>
              <w:rPr>
                <w:sz w:val="20"/>
                <w:szCs w:val="20"/>
                <w:color w:val="auto"/>
              </w:rPr>
            </w:pPr>
            <w:r>
              <w:rPr>
                <w:rFonts w:ascii="Arial" w:cs="Arial" w:eastAsia="Arial" w:hAnsi="Arial"/>
                <w:sz w:val="13"/>
                <w:szCs w:val="13"/>
                <w:b w:val="1"/>
                <w:bCs w:val="1"/>
                <w:color w:val="auto"/>
                <w:w w:val="99"/>
              </w:rPr>
              <w:t>Postretirement Benefits</w:t>
            </w:r>
          </w:p>
        </w:tc>
        <w:tc>
          <w:tcPr>
            <w:tcW w:w="0" w:type="dxa"/>
            <w:vAlign w:val="bottom"/>
          </w:tcPr>
          <w:p>
            <w:pPr>
              <w:spacing w:after="0"/>
              <w:rPr>
                <w:sz w:val="1"/>
                <w:szCs w:val="1"/>
                <w:color w:val="auto"/>
              </w:rPr>
            </w:pPr>
          </w:p>
        </w:tc>
      </w:tr>
      <w:tr>
        <w:trPr>
          <w:trHeight w:val="173"/>
        </w:trPr>
        <w:tc>
          <w:tcPr>
            <w:tcW w:w="5960" w:type="dxa"/>
            <w:vAlign w:val="bottom"/>
            <w:gridSpan w:val="2"/>
          </w:tcPr>
          <w:p>
            <w:pPr>
              <w:ind w:left="20"/>
              <w:spacing w:after="0"/>
              <w:rPr>
                <w:sz w:val="20"/>
                <w:szCs w:val="20"/>
                <w:color w:val="auto"/>
              </w:rPr>
            </w:pPr>
            <w:r>
              <w:rPr>
                <w:rFonts w:ascii="Arial" w:cs="Arial" w:eastAsia="Arial" w:hAnsi="Arial"/>
                <w:sz w:val="13"/>
                <w:szCs w:val="13"/>
                <w:b w:val="1"/>
                <w:bCs w:val="1"/>
                <w:color w:val="auto"/>
              </w:rPr>
              <w:t>Six Months Ended June 30,</w:t>
            </w:r>
          </w:p>
        </w:tc>
        <w:tc>
          <w:tcPr>
            <w:tcW w:w="30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40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2"/>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97"/>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Amortization of:</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Prior service cost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5"/>
        </w:trPr>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Unrecognized net loss (gain)</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2"/>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periodic benefit cost (income)</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24"/>
        <w:spacing w:after="0"/>
        <w:rPr>
          <w:sz w:val="20"/>
          <w:szCs w:val="20"/>
          <w:color w:val="auto"/>
        </w:rPr>
      </w:pPr>
      <w:r>
        <w:rPr>
          <w:rFonts w:ascii="Arial" w:cs="Arial" w:eastAsia="Arial" w:hAnsi="Arial"/>
          <w:sz w:val="16"/>
          <w:szCs w:val="16"/>
          <w:color w:val="auto"/>
        </w:rPr>
        <w:t>Effective November 1, 2012, substantially all of American’s defined benefit pension plans were frozen.</w:t>
      </w:r>
    </w:p>
    <w:p>
      <w:pPr>
        <w:spacing w:after="0" w:line="153"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9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During the first six months of 2025, American made required contributions of $221 million to its defined benefit pension plans.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9. Accumulated Other Comprehensive Loss</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components of accumulated other comprehensive loss (AOCI) are as follows (in millions):</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3"/>
          <w:szCs w:val="13"/>
          <w:b w:val="1"/>
          <w:bCs w:val="1"/>
          <w:color w:val="auto"/>
        </w:rPr>
        <w:t>Pension, Retiree</w:t>
      </w:r>
    </w:p>
    <w:p>
      <w:pPr>
        <w:jc w:val="center"/>
        <w:ind w:left="1860"/>
        <w:spacing w:after="0" w:line="212" w:lineRule="auto"/>
        <w:rPr>
          <w:sz w:val="20"/>
          <w:szCs w:val="20"/>
          <w:color w:val="auto"/>
        </w:rPr>
      </w:pPr>
      <w:r>
        <w:rPr>
          <w:rFonts w:ascii="Arial" w:cs="Arial" w:eastAsia="Arial" w:hAnsi="Arial"/>
          <w:sz w:val="13"/>
          <w:szCs w:val="13"/>
          <w:b w:val="1"/>
          <w:bCs w:val="1"/>
          <w:color w:val="auto"/>
        </w:rPr>
        <w:t>Medical and Other</w:t>
      </w:r>
    </w:p>
    <w:tbl>
      <w:tblPr>
        <w:tblLayout w:type="fixed"/>
        <w:tblInd w:w="4" w:type="dxa"/>
        <w:tblCellMar>
          <w:top w:w="0" w:type="dxa"/>
          <w:left w:w="0" w:type="dxa"/>
          <w:bottom w:w="0" w:type="dxa"/>
          <w:right w:w="0" w:type="dxa"/>
        </w:tblCellMar>
      </w:tblPr>
      <w:tr>
        <w:trPr>
          <w:trHeight w:val="121"/>
        </w:trPr>
        <w:tc>
          <w:tcPr>
            <w:tcW w:w="20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98"/>
              </w:rPr>
              <w:t>Postretirement</w:t>
            </w:r>
          </w:p>
        </w:tc>
        <w:tc>
          <w:tcPr>
            <w:tcW w:w="120" w:type="dxa"/>
            <w:vAlign w:val="bottom"/>
          </w:tcPr>
          <w:p>
            <w:pPr>
              <w:spacing w:after="0"/>
              <w:rPr>
                <w:sz w:val="10"/>
                <w:szCs w:val="10"/>
                <w:color w:val="auto"/>
              </w:rPr>
            </w:pPr>
          </w:p>
        </w:tc>
        <w:tc>
          <w:tcPr>
            <w:tcW w:w="1600" w:type="dxa"/>
            <w:vAlign w:val="bottom"/>
            <w:vMerge w:val="restart"/>
          </w:tcPr>
          <w:p>
            <w:pPr>
              <w:jc w:val="right"/>
              <w:ind w:right="63"/>
              <w:spacing w:after="0"/>
              <w:rPr>
                <w:sz w:val="20"/>
                <w:szCs w:val="20"/>
                <w:color w:val="auto"/>
              </w:rPr>
            </w:pPr>
            <w:r>
              <w:rPr>
                <w:rFonts w:ascii="Arial" w:cs="Arial" w:eastAsia="Arial" w:hAnsi="Arial"/>
                <w:sz w:val="13"/>
                <w:szCs w:val="13"/>
                <w:b w:val="1"/>
                <w:bCs w:val="1"/>
                <w:color w:val="auto"/>
                <w:w w:val="95"/>
              </w:rPr>
              <w:t xml:space="preserve">Income Tax Provision </w:t>
            </w:r>
            <w:r>
              <w:rPr>
                <w:rFonts w:ascii="Arial" w:cs="Arial" w:eastAsia="Arial" w:hAnsi="Arial"/>
                <w:sz w:val="16"/>
                <w:szCs w:val="16"/>
                <w:b w:val="1"/>
                <w:bCs w:val="1"/>
                <w:color w:val="auto"/>
                <w:w w:val="95"/>
                <w:vertAlign w:val="superscript"/>
              </w:rPr>
              <w:t>(1)</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vMerge w:val="restart"/>
          </w:tcPr>
          <w:p>
            <w:pPr>
              <w:jc w:val="right"/>
              <w:ind w:right="62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Benefits</w:t>
            </w:r>
          </w:p>
        </w:tc>
        <w:tc>
          <w:tcPr>
            <w:tcW w:w="1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05"/>
        </w:trPr>
        <w:tc>
          <w:tcPr>
            <w:tcW w:w="5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tcPr>
          <w:p>
            <w:pPr>
              <w:jc w:val="right"/>
              <w:ind w:right="72"/>
              <w:spacing w:after="0"/>
              <w:rPr>
                <w:sz w:val="20"/>
                <w:szCs w:val="20"/>
                <w:color w:val="auto"/>
              </w:rPr>
            </w:pPr>
            <w:r>
              <w:rPr>
                <w:rFonts w:ascii="Arial" w:cs="Arial" w:eastAsia="Arial" w:hAnsi="Arial"/>
                <w:sz w:val="10"/>
                <w:szCs w:val="10"/>
                <w:color w:val="auto"/>
                <w:w w:val="97"/>
              </w:rPr>
              <w:t>(2)</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7"/>
        </w:trPr>
        <w:tc>
          <w:tcPr>
            <w:tcW w:w="5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current-period other comprehensive income (loss)</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7"/>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Balance at June 30, 2025</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60" w:type="dxa"/>
            <w:vAlign w:val="bottom"/>
            <w:tcBorders>
              <w:bottom w:val="single" w:sz="8" w:color="auto"/>
            </w:tcBorders>
          </w:tcPr>
          <w:p>
            <w:pPr>
              <w:spacing w:after="0"/>
              <w:rPr>
                <w:sz w:val="11"/>
                <w:szCs w:val="11"/>
                <w:color w:val="auto"/>
              </w:rPr>
            </w:pPr>
          </w:p>
        </w:tc>
        <w:tc>
          <w:tcPr>
            <w:tcW w:w="3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4" w:right="20" w:hanging="284"/>
        <w:spacing w:after="0" w:line="227" w:lineRule="auto"/>
        <w:tabs>
          <w:tab w:leader="none" w:pos="279"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Relates principally to pension, retiree medical and other postretirement benefits obligations that will not be recognized in net income until the obligations are fully extinguished.</w:t>
      </w:r>
    </w:p>
    <w:p>
      <w:pPr>
        <w:spacing w:after="0" w:line="127" w:lineRule="exact"/>
        <w:rPr>
          <w:rFonts w:ascii="Arial" w:cs="Arial" w:eastAsia="Arial" w:hAnsi="Arial"/>
          <w:sz w:val="21"/>
          <w:szCs w:val="21"/>
          <w:color w:val="auto"/>
          <w:vertAlign w:val="superscript"/>
        </w:rPr>
      </w:pPr>
    </w:p>
    <w:p>
      <w:pPr>
        <w:ind w:left="284" w:right="20" w:hanging="284"/>
        <w:spacing w:after="0" w:line="227" w:lineRule="auto"/>
        <w:tabs>
          <w:tab w:leader="none" w:pos="279"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Relates to pension, retiree medical and other postretirement benefits obligations and is recognized within the income tax provision on the condensed consolidated statements of operations.</w:t>
      </w:r>
    </w:p>
    <w:p>
      <w:pPr>
        <w:spacing w:after="0" w:line="3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37" w:name="page38"/>
    <w:bookmarkEnd w:id="37"/>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ind w:left="224"/>
        <w:spacing w:after="0"/>
        <w:rPr>
          <w:sz w:val="20"/>
          <w:szCs w:val="20"/>
          <w:color w:val="auto"/>
        </w:rPr>
      </w:pPr>
      <w:r>
        <w:rPr>
          <w:rFonts w:ascii="Arial" w:cs="Arial" w:eastAsia="Arial" w:hAnsi="Arial"/>
          <w:sz w:val="16"/>
          <w:szCs w:val="16"/>
          <w:color w:val="auto"/>
        </w:rPr>
        <w:t>Reclassifications out of AOCI are as follows (in millions):</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Amounts reclassified from AOCI</w:t>
            </w: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2"/>
                <w:szCs w:val="12"/>
                <w:color w:val="auto"/>
              </w:rPr>
            </w:pPr>
          </w:p>
        </w:tc>
        <w:tc>
          <w:tcPr>
            <w:tcW w:w="1540" w:type="dxa"/>
            <w:vAlign w:val="bottom"/>
            <w:gridSpan w:val="3"/>
          </w:tcPr>
          <w:p>
            <w:pPr>
              <w:jc w:val="right"/>
              <w:ind w:right="105"/>
              <w:spacing w:after="0" w:line="141" w:lineRule="exact"/>
              <w:rPr>
                <w:sz w:val="20"/>
                <w:szCs w:val="20"/>
                <w:color w:val="auto"/>
              </w:rPr>
            </w:pPr>
            <w:r>
              <w:rPr>
                <w:rFonts w:ascii="Arial" w:cs="Arial" w:eastAsia="Arial" w:hAnsi="Arial"/>
                <w:sz w:val="13"/>
                <w:szCs w:val="13"/>
                <w:b w:val="1"/>
                <w:bCs w:val="1"/>
                <w:color w:val="auto"/>
              </w:rPr>
              <w:t>Six Months 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tcPr>
          <w:p>
            <w:pPr>
              <w:jc w:val="right"/>
              <w:ind w:right="405"/>
              <w:spacing w:after="0" w:line="144"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ind w:left="40"/>
              <w:spacing w:after="0"/>
              <w:rPr>
                <w:sz w:val="20"/>
                <w:szCs w:val="20"/>
                <w:color w:val="auto"/>
              </w:rPr>
            </w:pPr>
            <w:r>
              <w:rPr>
                <w:rFonts w:ascii="Arial" w:cs="Arial" w:eastAsia="Arial" w:hAnsi="Arial"/>
                <w:sz w:val="13"/>
                <w:szCs w:val="13"/>
                <w:b w:val="1"/>
                <w:bCs w:val="1"/>
                <w:color w:val="auto"/>
                <w:w w:val="98"/>
              </w:rPr>
              <w:t>Affected line items on the condensed consolidated</w:t>
            </w: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AOCI Components</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Pr>
          <w:p>
            <w:pPr>
              <w:ind w:left="820"/>
              <w:spacing w:after="0"/>
              <w:rPr>
                <w:sz w:val="20"/>
                <w:szCs w:val="20"/>
                <w:color w:val="auto"/>
              </w:rPr>
            </w:pPr>
            <w:r>
              <w:rPr>
                <w:rFonts w:ascii="Arial" w:cs="Arial" w:eastAsia="Arial" w:hAnsi="Arial"/>
                <w:sz w:val="13"/>
                <w:szCs w:val="13"/>
                <w:b w:val="1"/>
                <w:bCs w:val="1"/>
                <w:color w:val="auto"/>
              </w:rPr>
              <w:t>statements of operations</w:t>
            </w:r>
          </w:p>
        </w:tc>
        <w:tc>
          <w:tcPr>
            <w:tcW w:w="0" w:type="dxa"/>
            <w:vAlign w:val="bottom"/>
          </w:tcPr>
          <w:p>
            <w:pPr>
              <w:spacing w:after="0"/>
              <w:rPr>
                <w:sz w:val="1"/>
                <w:szCs w:val="1"/>
                <w:color w:val="auto"/>
              </w:rPr>
            </w:pPr>
          </w:p>
        </w:tc>
      </w:tr>
      <w:tr>
        <w:trPr>
          <w:trHeight w:val="149"/>
        </w:trPr>
        <w:tc>
          <w:tcPr>
            <w:tcW w:w="3660" w:type="dxa"/>
            <w:vAlign w:val="bottom"/>
            <w:tcBorders>
              <w:top w:val="single" w:sz="8" w:color="auto"/>
            </w:tcBorders>
            <w:shd w:val="clear" w:color="auto" w:fill="CCEEFF"/>
          </w:tcPr>
          <w:p>
            <w:pPr>
              <w:ind w:left="20"/>
              <w:spacing w:after="0" w:line="148" w:lineRule="exact"/>
              <w:rPr>
                <w:sz w:val="20"/>
                <w:szCs w:val="20"/>
                <w:color w:val="auto"/>
              </w:rPr>
            </w:pPr>
            <w:r>
              <w:rPr>
                <w:rFonts w:ascii="Arial" w:cs="Arial" w:eastAsia="Arial" w:hAnsi="Arial"/>
                <w:sz w:val="16"/>
                <w:szCs w:val="16"/>
                <w:color w:val="auto"/>
              </w:rPr>
              <w:t>Amortization of pension, retiree medical and other</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postretirement benefits: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60" w:type="dxa"/>
            <w:vAlign w:val="bottom"/>
            <w:gridSpan w:val="2"/>
          </w:tcPr>
          <w:p>
            <w:pPr>
              <w:ind w:left="300"/>
              <w:spacing w:after="0"/>
              <w:rPr>
                <w:sz w:val="20"/>
                <w:szCs w:val="20"/>
                <w:color w:val="auto"/>
              </w:rPr>
            </w:pPr>
            <w:r>
              <w:rPr>
                <w:rFonts w:ascii="Arial" w:cs="Arial" w:eastAsia="Arial" w:hAnsi="Arial"/>
                <w:sz w:val="16"/>
                <w:szCs w:val="16"/>
                <w:color w:val="auto"/>
              </w:rPr>
              <w:t>Prior service cost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24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8"/>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700" w:type="dxa"/>
            <w:vAlign w:val="bottom"/>
          </w:tcPr>
          <w:p>
            <w:pPr>
              <w:jc w:val="right"/>
              <w:ind w:right="505"/>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auto"/>
              </w:rPr>
              <w:t>Nonoperating other income (expense), net</w:t>
            </w:r>
          </w:p>
        </w:tc>
        <w:tc>
          <w:tcPr>
            <w:tcW w:w="0" w:type="dxa"/>
            <w:vAlign w:val="bottom"/>
          </w:tcPr>
          <w:p>
            <w:pPr>
              <w:spacing w:after="0"/>
              <w:rPr>
                <w:sz w:val="1"/>
                <w:szCs w:val="1"/>
                <w:color w:val="auto"/>
              </w:rPr>
            </w:pPr>
          </w:p>
        </w:tc>
      </w:tr>
      <w:tr>
        <w:trPr>
          <w:trHeight w:val="205"/>
        </w:trPr>
        <w:tc>
          <w:tcPr>
            <w:tcW w:w="37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Actuarial loss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7"/>
                <w:szCs w:val="17"/>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other income (expense), net</w:t>
            </w:r>
          </w:p>
        </w:tc>
        <w:tc>
          <w:tcPr>
            <w:tcW w:w="0" w:type="dxa"/>
            <w:vAlign w:val="bottom"/>
          </w:tcPr>
          <w:p>
            <w:pPr>
              <w:spacing w:after="0"/>
              <w:rPr>
                <w:sz w:val="1"/>
                <w:szCs w:val="1"/>
                <w:color w:val="auto"/>
              </w:rPr>
            </w:pPr>
          </w:p>
        </w:tc>
      </w:tr>
      <w:tr>
        <w:trPr>
          <w:trHeight w:val="197"/>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 reclassifications for the period, 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10. Regional Expenses</w:t>
      </w:r>
    </w:p>
    <w:p>
      <w:pPr>
        <w:spacing w:after="0" w:line="81"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principally in the form of capacity purchase agreements. Expenses associated with American Eagle operations are classified as regional expenses on the condensed consolidated statements of operations.</w:t>
      </w:r>
    </w:p>
    <w:p>
      <w:pPr>
        <w:spacing w:after="0" w:line="108"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Regional expenses for the three months ended June 30, 2025 and 2024 include $72 million and $69 million of depreciation and amortization, respectively, and each includes $2 million of aircraft rent. Regional expenses for the six months ended June 30, 2025 and 2024 include $141 million and $138 million of depreciation and amortization, respectively, and $5 million and $4 million of aircraft rent, respectively.</w:t>
      </w:r>
    </w:p>
    <w:p>
      <w:pPr>
        <w:spacing w:after="0" w:line="104"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During the three months ended June 30, 2025 and 2024, American recognized $174 million and $150 million, respectively, of expense under its capacity purchase agreement with Republic Airways Inc. (Republic). During the six months ended June 30, 2025 and 2024, American recognized $342 million and $299 million, respectively, of expense under its capacity purchase agreement with Republic. American holds a 25% equity interest in Republic Airways Holdings Inc., the parent company of Republic.</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11. Transactions with Related Parties</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 following represents the net receivables (payables) to related parties (in millions):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2025</w:t>
            </w:r>
          </w:p>
        </w:tc>
        <w:tc>
          <w:tcPr>
            <w:tcW w:w="220" w:type="dxa"/>
            <w:vAlign w:val="bottom"/>
          </w:tcPr>
          <w:p>
            <w:pPr>
              <w:spacing w:after="0"/>
              <w:rPr>
                <w:sz w:val="15"/>
                <w:szCs w:val="15"/>
                <w:color w:val="auto"/>
              </w:rPr>
            </w:pPr>
          </w:p>
        </w:tc>
        <w:tc>
          <w:tcPr>
            <w:tcW w:w="1600" w:type="dxa"/>
            <w:vAlign w:val="bottom"/>
          </w:tcPr>
          <w:p>
            <w:pPr>
              <w:jc w:val="right"/>
              <w:ind w:right="264"/>
              <w:spacing w:after="0"/>
              <w:rPr>
                <w:sz w:val="20"/>
                <w:szCs w:val="20"/>
                <w:color w:val="auto"/>
              </w:rPr>
            </w:pPr>
            <w:r>
              <w:rPr>
                <w:rFonts w:ascii="Arial" w:cs="Arial" w:eastAsia="Arial" w:hAnsi="Arial"/>
                <w:sz w:val="13"/>
                <w:szCs w:val="13"/>
                <w:b w:val="1"/>
                <w:bCs w:val="1"/>
                <w:color w:val="auto"/>
              </w:rPr>
              <w:t>December 31, 2024</w:t>
            </w:r>
          </w:p>
        </w:tc>
      </w:tr>
      <w:tr>
        <w:trPr>
          <w:trHeight w:val="197"/>
        </w:trPr>
        <w:tc>
          <w:tcPr>
            <w:tcW w:w="7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AAG</w:t>
            </w: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10,258</w:t>
            </w:r>
          </w:p>
        </w:tc>
      </w:tr>
      <w:tr>
        <w:trPr>
          <w:trHeight w:val="205"/>
        </w:trPr>
        <w:tc>
          <w:tcPr>
            <w:tcW w:w="7540" w:type="dxa"/>
            <w:vAlign w:val="bottom"/>
            <w:tcBorders>
              <w:bottom w:val="single" w:sz="8" w:color="CCEEFF"/>
            </w:tcBorders>
            <w:gridSpan w:val="2"/>
          </w:tcPr>
          <w:p>
            <w:pPr>
              <w:ind w:left="20"/>
              <w:spacing w:after="0" w:line="205" w:lineRule="exact"/>
              <w:rPr>
                <w:sz w:val="20"/>
                <w:szCs w:val="20"/>
                <w:color w:val="auto"/>
              </w:rPr>
            </w:pPr>
            <w:r>
              <w:rPr>
                <w:rFonts w:ascii="Arial" w:cs="Arial" w:eastAsia="Arial" w:hAnsi="Arial"/>
                <w:sz w:val="16"/>
                <w:szCs w:val="16"/>
                <w:color w:val="auto"/>
              </w:rPr>
              <w:t xml:space="preserve">AAG’s wholly-owned subsidiaries </w:t>
            </w:r>
            <w:r>
              <w:rPr>
                <w:rFonts w:ascii="Arial" w:cs="Arial" w:eastAsia="Arial" w:hAnsi="Arial"/>
                <w:sz w:val="20"/>
                <w:szCs w:val="20"/>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r>
      <w:tr>
        <w:trPr>
          <w:trHeight w:val="222"/>
        </w:trPr>
        <w:tc>
          <w:tcPr>
            <w:tcW w:w="7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8,187</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206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r>
    </w:tbl>
    <w:p>
      <w:pPr>
        <w:spacing w:after="0" w:line="67" w:lineRule="exact"/>
        <w:rPr>
          <w:sz w:val="20"/>
          <w:szCs w:val="20"/>
          <w:color w:val="auto"/>
        </w:rPr>
      </w:pPr>
    </w:p>
    <w:p>
      <w:pPr>
        <w:ind w:left="284" w:right="20" w:hanging="284"/>
        <w:spacing w:after="0" w:line="227" w:lineRule="auto"/>
        <w:tabs>
          <w:tab w:leader="none" w:pos="279"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The net payable to AAG’s wholly-owned subsidiaries consists primarily of amounts due under regional capacity purchase agreements with AAG’s wholly-owned regional airlines operating under the brand name of American Eagle.</w:t>
      </w:r>
    </w:p>
    <w:p>
      <w:pPr>
        <w:spacing w:after="0" w:line="3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Legal Proceedings</w:t>
      </w:r>
    </w:p>
    <w:p>
      <w:pPr>
        <w:spacing w:after="0" w:line="81" w:lineRule="exact"/>
        <w:rPr>
          <w:sz w:val="20"/>
          <w:szCs w:val="20"/>
          <w:color w:val="auto"/>
        </w:rPr>
      </w:pPr>
    </w:p>
    <w:p>
      <w:pPr>
        <w:jc w:val="both"/>
        <w:ind w:firstLine="217"/>
        <w:spacing w:after="0" w:line="256" w:lineRule="auto"/>
        <w:rPr>
          <w:sz w:val="20"/>
          <w:szCs w:val="20"/>
          <w:color w:val="auto"/>
        </w:rPr>
      </w:pPr>
      <w:r>
        <w:rPr>
          <w:rFonts w:ascii="Arial" w:cs="Arial" w:eastAsia="Arial" w:hAnsi="Arial"/>
          <w:sz w:val="16"/>
          <w:szCs w:val="16"/>
          <w:i w:val="1"/>
          <w:iCs w:val="1"/>
          <w:color w:val="auto"/>
        </w:rPr>
        <w:t xml:space="preserve">Government Antitrust Action Related to the Northeast Alliance. </w:t>
      </w:r>
      <w:r>
        <w:rPr>
          <w:rFonts w:ascii="Arial" w:cs="Arial" w:eastAsia="Arial" w:hAnsi="Arial"/>
          <w:sz w:val="16"/>
          <w:szCs w:val="16"/>
          <w:color w:val="auto"/>
        </w:rPr>
        <w:t>On September 21, 2021, the United States Department of Justice, joined by Attorneys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from six states and the District of Columbia, filed an antitrust complaint against AAG and JetBlue Airways Corporation (JetBlue) in the U.S. District Court for the District of Massachusetts alleging that AAG and JetBlue violated U.S. antitrust law in connection with the previously disclosed Northeast Alliance arrangement (NEA). On May 19, 2023, the U.S. District Court for the District of Massachusetts issued an order permanently enjoining AAG and JetBlue from continuing and further implementing the NEA. Following JetBlue’s notice of termination of the NEA, effective July 29, 2023, the airlines conducted a wind-down of the NEA. AAG filed a notice of appeal to the U.S. Court of Appeals for the First Circuit on September 25, 2023. The First Circuit affirmed the District Court’s decision on November 8, 2024. AAG filed a petition for writ of certiorari to the U.S. Supreme Court on February 27, 2025. On June 30, 2025, the U.S. Supreme Court denied the petition for writ of certiorari.</w:t>
      </w:r>
    </w:p>
    <w:p>
      <w:pPr>
        <w:spacing w:after="0" w:line="115" w:lineRule="exact"/>
        <w:rPr>
          <w:sz w:val="20"/>
          <w:szCs w:val="20"/>
          <w:color w:val="auto"/>
        </w:rPr>
      </w:pPr>
    </w:p>
    <w:p>
      <w:pPr>
        <w:jc w:val="both"/>
        <w:ind w:firstLine="217"/>
        <w:spacing w:after="0" w:line="254" w:lineRule="auto"/>
        <w:rPr>
          <w:sz w:val="20"/>
          <w:szCs w:val="20"/>
          <w:color w:val="auto"/>
        </w:rPr>
      </w:pPr>
      <w:r>
        <w:rPr>
          <w:rFonts w:ascii="Arial" w:cs="Arial" w:eastAsia="Arial" w:hAnsi="Arial"/>
          <w:sz w:val="16"/>
          <w:szCs w:val="16"/>
          <w:i w:val="1"/>
          <w:iCs w:val="1"/>
          <w:color w:val="auto"/>
        </w:rPr>
        <w:t xml:space="preserve">Private Party Antitrust Actions Related to the Northeast Alliance. </w:t>
      </w:r>
      <w:r>
        <w:rPr>
          <w:rFonts w:ascii="Arial" w:cs="Arial" w:eastAsia="Arial" w:hAnsi="Arial"/>
          <w:sz w:val="16"/>
          <w:szCs w:val="16"/>
          <w:color w:val="auto"/>
        </w:rPr>
        <w:t>On December 5, 2022 and December 7, 2022, two private party plaintiffs filed putative</w:t>
      </w:r>
      <w:r>
        <w:rPr>
          <w:rFonts w:ascii="Arial" w:cs="Arial" w:eastAsia="Arial" w:hAnsi="Arial"/>
          <w:sz w:val="16"/>
          <w:szCs w:val="16"/>
          <w:i w:val="1"/>
          <w:iCs w:val="1"/>
          <w:color w:val="auto"/>
        </w:rPr>
        <w:t xml:space="preserve"> </w:t>
      </w:r>
      <w:r>
        <w:rPr>
          <w:rFonts w:ascii="Arial" w:cs="Arial" w:eastAsia="Arial" w:hAnsi="Arial"/>
          <w:sz w:val="16"/>
          <w:szCs w:val="16"/>
          <w:color w:val="auto"/>
        </w:rPr>
        <w:t>class action antitrust complaints against AAG and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and the parties are now engaged in discovery. AAG believes these lawsuits are without merit and is defending against them vigorously.</w:t>
      </w:r>
    </w:p>
    <w:p>
      <w:pPr>
        <w:spacing w:after="0" w:line="119" w:lineRule="exact"/>
        <w:rPr>
          <w:sz w:val="20"/>
          <w:szCs w:val="20"/>
          <w:color w:val="auto"/>
        </w:rPr>
      </w:pPr>
    </w:p>
    <w:p>
      <w:pPr>
        <w:jc w:val="both"/>
        <w:ind w:firstLine="217"/>
        <w:spacing w:after="0" w:line="254" w:lineRule="auto"/>
        <w:rPr>
          <w:sz w:val="20"/>
          <w:szCs w:val="20"/>
          <w:color w:val="auto"/>
        </w:rPr>
      </w:pPr>
      <w:r>
        <w:rPr>
          <w:rFonts w:ascii="Arial" w:cs="Arial" w:eastAsia="Arial" w:hAnsi="Arial"/>
          <w:sz w:val="16"/>
          <w:szCs w:val="16"/>
          <w:i w:val="1"/>
          <w:iCs w:val="1"/>
          <w:color w:val="auto"/>
        </w:rPr>
        <w:t xml:space="preserve">Securities and Stockholder Derivative Litigation. </w:t>
      </w:r>
      <w:r>
        <w:rPr>
          <w:rFonts w:ascii="Arial" w:cs="Arial" w:eastAsia="Arial" w:hAnsi="Arial"/>
          <w:sz w:val="16"/>
          <w:szCs w:val="16"/>
          <w:color w:val="auto"/>
        </w:rPr>
        <w:t>On July 18, 2024, AAG and certain of its current and former officers were named as defendants 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putative class action lawsuit filed in the U.S. District Court for the Northern District of Texas, captioned </w:t>
      </w:r>
      <w:r>
        <w:rPr>
          <w:rFonts w:ascii="Arial" w:cs="Arial" w:eastAsia="Arial" w:hAnsi="Arial"/>
          <w:sz w:val="16"/>
          <w:szCs w:val="16"/>
          <w:i w:val="1"/>
          <w:iCs w:val="1"/>
          <w:color w:val="auto"/>
        </w:rPr>
        <w:t>Qawasmi v. American Airlines Group Inc., et al</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Qawasmi </w:t>
      </w:r>
      <w:r>
        <w:rPr>
          <w:rFonts w:ascii="Arial" w:cs="Arial" w:eastAsia="Arial" w:hAnsi="Arial"/>
          <w:sz w:val="16"/>
          <w:szCs w:val="16"/>
          <w:color w:val="auto"/>
        </w:rPr>
        <w:t>plaintiff purports to represent investors who acquired AAG securities between January 25, 2024 and May 28, 2024. On August 28, 2024, AAG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certain of its current and former officers were named as defendants in a second putative class action lawsuit filed in the same court, captioned </w:t>
      </w:r>
      <w:r>
        <w:rPr>
          <w:rFonts w:ascii="Arial" w:cs="Arial" w:eastAsia="Arial" w:hAnsi="Arial"/>
          <w:sz w:val="16"/>
          <w:szCs w:val="16"/>
          <w:i w:val="1"/>
          <w:iCs w:val="1"/>
          <w:color w:val="auto"/>
        </w:rPr>
        <w:t>Thornburg v.</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Airlines Group Inc., et al</w:t>
      </w:r>
      <w:r>
        <w:rPr>
          <w:rFonts w:ascii="Arial" w:cs="Arial" w:eastAsia="Arial" w:hAnsi="Arial"/>
          <w:sz w:val="16"/>
          <w:szCs w:val="16"/>
          <w:color w:val="auto"/>
        </w:rPr>
        <w:t>. The</w:t>
      </w:r>
      <w:r>
        <w:rPr>
          <w:rFonts w:ascii="Arial" w:cs="Arial" w:eastAsia="Arial" w:hAnsi="Arial"/>
          <w:sz w:val="16"/>
          <w:szCs w:val="16"/>
          <w:i w:val="1"/>
          <w:iCs w:val="1"/>
          <w:color w:val="auto"/>
        </w:rPr>
        <w:t xml:space="preserve"> Thornburg </w:t>
      </w:r>
      <w:r>
        <w:rPr>
          <w:rFonts w:ascii="Arial" w:cs="Arial" w:eastAsia="Arial" w:hAnsi="Arial"/>
          <w:sz w:val="16"/>
          <w:szCs w:val="16"/>
          <w:color w:val="auto"/>
        </w:rPr>
        <w:t>plaintiff purports to represent investors who acquired AAG securities between July 20, 2023 and May 28,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2024. Both the </w:t>
      </w:r>
      <w:r>
        <w:rPr>
          <w:rFonts w:ascii="Arial" w:cs="Arial" w:eastAsia="Arial" w:hAnsi="Arial"/>
          <w:sz w:val="16"/>
          <w:szCs w:val="16"/>
          <w:i w:val="1"/>
          <w:iCs w:val="1"/>
          <w:color w:val="auto"/>
        </w:rPr>
        <w:t>Qawasmi</w:t>
      </w:r>
      <w:r>
        <w:rPr>
          <w:rFonts w:ascii="Arial" w:cs="Arial" w:eastAsia="Arial" w:hAnsi="Arial"/>
          <w:sz w:val="16"/>
          <w:szCs w:val="16"/>
          <w:color w:val="auto"/>
        </w:rPr>
        <w:t xml:space="preserve"> and </w:t>
      </w:r>
      <w:r>
        <w:rPr>
          <w:rFonts w:ascii="Arial" w:cs="Arial" w:eastAsia="Arial" w:hAnsi="Arial"/>
          <w:sz w:val="16"/>
          <w:szCs w:val="16"/>
          <w:i w:val="1"/>
          <w:iCs w:val="1"/>
          <w:color w:val="auto"/>
        </w:rPr>
        <w:t>Thornburg</w:t>
      </w:r>
      <w:r>
        <w:rPr>
          <w:rFonts w:ascii="Arial" w:cs="Arial" w:eastAsia="Arial" w:hAnsi="Arial"/>
          <w:sz w:val="16"/>
          <w:szCs w:val="16"/>
          <w:color w:val="auto"/>
        </w:rPr>
        <w:t xml:space="preserve"> complaints assert violations of Sections 10(b) and 20(a) of the Exchange Act based on allegations that, during the relevant periods, AAG misrepresented and/or omitted material facts related to its financial outlook and certain commercial initiatives. On September 16, 2024, certain purported AAG investors moved for consolidation of the </w:t>
      </w:r>
      <w:r>
        <w:rPr>
          <w:rFonts w:ascii="Arial" w:cs="Arial" w:eastAsia="Arial" w:hAnsi="Arial"/>
          <w:sz w:val="16"/>
          <w:szCs w:val="16"/>
          <w:i w:val="1"/>
          <w:iCs w:val="1"/>
          <w:color w:val="auto"/>
        </w:rPr>
        <w:t>Qawasmi</w:t>
      </w:r>
      <w:r>
        <w:rPr>
          <w:rFonts w:ascii="Arial" w:cs="Arial" w:eastAsia="Arial" w:hAnsi="Arial"/>
          <w:sz w:val="16"/>
          <w:szCs w:val="16"/>
          <w:color w:val="auto"/>
        </w:rPr>
        <w:t xml:space="preserve"> and </w:t>
      </w:r>
      <w:r>
        <w:rPr>
          <w:rFonts w:ascii="Arial" w:cs="Arial" w:eastAsia="Arial" w:hAnsi="Arial"/>
          <w:sz w:val="16"/>
          <w:szCs w:val="16"/>
          <w:i w:val="1"/>
          <w:iCs w:val="1"/>
          <w:color w:val="auto"/>
        </w:rPr>
        <w:t>Thornburg</w:t>
      </w:r>
      <w:r>
        <w:rPr>
          <w:rFonts w:ascii="Arial" w:cs="Arial" w:eastAsia="Arial" w:hAnsi="Arial"/>
          <w:sz w:val="16"/>
          <w:szCs w:val="16"/>
          <w:color w:val="auto"/>
        </w:rPr>
        <w:t xml:space="preserve"> actions as well as appointment as lead plaintiff. On November 22, 2024, the </w:t>
      </w:r>
      <w:r>
        <w:rPr>
          <w:rFonts w:ascii="Arial" w:cs="Arial" w:eastAsia="Arial" w:hAnsi="Arial"/>
          <w:sz w:val="16"/>
          <w:szCs w:val="16"/>
          <w:i w:val="1"/>
          <w:iCs w:val="1"/>
          <w:color w:val="auto"/>
        </w:rPr>
        <w:t>Qawasmi</w:t>
      </w:r>
      <w:r>
        <w:rPr>
          <w:rFonts w:ascii="Arial" w:cs="Arial" w:eastAsia="Arial" w:hAnsi="Arial"/>
          <w:sz w:val="16"/>
          <w:szCs w:val="16"/>
          <w:color w:val="auto"/>
        </w:rPr>
        <w:t xml:space="preserve"> and </w:t>
      </w:r>
      <w:r>
        <w:rPr>
          <w:rFonts w:ascii="Arial" w:cs="Arial" w:eastAsia="Arial" w:hAnsi="Arial"/>
          <w:sz w:val="16"/>
          <w:szCs w:val="16"/>
          <w:i w:val="1"/>
          <w:iCs w:val="1"/>
          <w:color w:val="auto"/>
        </w:rPr>
        <w:t>Thornburg</w:t>
      </w:r>
      <w:r>
        <w:rPr>
          <w:rFonts w:ascii="Arial" w:cs="Arial" w:eastAsia="Arial" w:hAnsi="Arial"/>
          <w:sz w:val="16"/>
          <w:szCs w:val="16"/>
          <w:color w:val="auto"/>
        </w:rPr>
        <w:t xml:space="preserve"> complaints were consolidated into a single action bearing the caption </w:t>
      </w:r>
      <w:r>
        <w:rPr>
          <w:rFonts w:ascii="Arial" w:cs="Arial" w:eastAsia="Arial" w:hAnsi="Arial"/>
          <w:sz w:val="16"/>
          <w:szCs w:val="16"/>
          <w:i w:val="1"/>
          <w:iCs w:val="1"/>
          <w:color w:val="auto"/>
        </w:rPr>
        <w:t>In re American Airlines Group Inc.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Litigation</w:t>
      </w:r>
      <w:r>
        <w:rPr>
          <w:rFonts w:ascii="Arial" w:cs="Arial" w:eastAsia="Arial" w:hAnsi="Arial"/>
          <w:sz w:val="16"/>
          <w:szCs w:val="16"/>
          <w:color w:val="auto"/>
        </w:rPr>
        <w:t>. The court also appointed co-lead plaintiffs and lead counsel to represent the putative class in the consolidated action. Plaintiffs filed a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on January 21, 2025, and an amended consolidated complaint on March 19, 2025. The consolidated complaint makes similar factual allegations to the prior complaints regarding AAG’s financial outlook and certain commercial initiatives. AAG and the individual defendants filed a joint motion to dismiss on March 21, 2025 that was fully submitted on May 23, 2025. That motion is currently pending.</w:t>
      </w:r>
    </w:p>
    <w:p>
      <w:pPr>
        <w:spacing w:after="0" w:line="117" w:lineRule="exact"/>
        <w:rPr>
          <w:sz w:val="20"/>
          <w:szCs w:val="20"/>
          <w:color w:val="auto"/>
        </w:rPr>
      </w:pPr>
    </w:p>
    <w:p>
      <w:pPr>
        <w:jc w:val="both"/>
        <w:ind w:firstLine="217"/>
        <w:spacing w:after="0" w:line="255" w:lineRule="auto"/>
        <w:rPr>
          <w:sz w:val="20"/>
          <w:szCs w:val="20"/>
          <w:color w:val="auto"/>
        </w:rPr>
      </w:pPr>
      <w:r>
        <w:rPr>
          <w:rFonts w:ascii="Arial" w:cs="Arial" w:eastAsia="Arial" w:hAnsi="Arial"/>
          <w:sz w:val="16"/>
          <w:szCs w:val="16"/>
          <w:color w:val="auto"/>
        </w:rPr>
        <w:t xml:space="preserve">Additionally, on September 19, 2024, certain of AAG’s current and former directors and officers were named as defendants in a shareholder derivative lawsuit (in which AAG is a nominal defendant) filed in the U.S. District Court for the Northern District of Texas, captioned </w:t>
      </w:r>
      <w:r>
        <w:rPr>
          <w:rFonts w:ascii="Arial" w:cs="Arial" w:eastAsia="Arial" w:hAnsi="Arial"/>
          <w:sz w:val="16"/>
          <w:szCs w:val="16"/>
          <w:i w:val="1"/>
          <w:iCs w:val="1"/>
          <w:color w:val="auto"/>
        </w:rPr>
        <w:t>Hollin v. Isom, et al.</w:t>
      </w:r>
      <w:r>
        <w:rPr>
          <w:rFonts w:ascii="Arial" w:cs="Arial" w:eastAsia="Arial" w:hAnsi="Arial"/>
          <w:sz w:val="16"/>
          <w:szCs w:val="16"/>
          <w:color w:val="auto"/>
        </w:rPr>
        <w:t xml:space="preserve"> The </w:t>
      </w:r>
      <w:r>
        <w:rPr>
          <w:rFonts w:ascii="Arial" w:cs="Arial" w:eastAsia="Arial" w:hAnsi="Arial"/>
          <w:sz w:val="16"/>
          <w:szCs w:val="16"/>
          <w:i w:val="1"/>
          <w:iCs w:val="1"/>
          <w:color w:val="auto"/>
        </w:rPr>
        <w:t>Hollin</w:t>
      </w:r>
      <w:r>
        <w:rPr>
          <w:rFonts w:ascii="Arial" w:cs="Arial" w:eastAsia="Arial" w:hAnsi="Arial"/>
          <w:sz w:val="16"/>
          <w:szCs w:val="16"/>
          <w:color w:val="auto"/>
        </w:rPr>
        <w:t xml:space="preserve"> complaint asserts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16"/>
          <w:szCs w:val="16"/>
          <w:i w:val="1"/>
          <w:iCs w:val="1"/>
          <w:color w:val="auto"/>
        </w:rPr>
        <w:t>Leon v. Isom, et al</w:t>
      </w:r>
      <w:r>
        <w:rPr>
          <w:rFonts w:ascii="Arial" w:cs="Arial" w:eastAsia="Arial" w:hAnsi="Arial"/>
          <w:sz w:val="16"/>
          <w:szCs w:val="16"/>
          <w:color w:val="auto"/>
        </w:rPr>
        <w:t xml:space="preserve">. The </w:t>
      </w:r>
      <w:r>
        <w:rPr>
          <w:rFonts w:ascii="Arial" w:cs="Arial" w:eastAsia="Arial" w:hAnsi="Arial"/>
          <w:sz w:val="16"/>
          <w:szCs w:val="16"/>
          <w:i w:val="1"/>
          <w:iCs w:val="1"/>
          <w:color w:val="auto"/>
        </w:rPr>
        <w:t>Leon</w:t>
      </w:r>
      <w:r>
        <w:rPr>
          <w:rFonts w:ascii="Arial" w:cs="Arial" w:eastAsia="Arial" w:hAnsi="Arial"/>
          <w:sz w:val="16"/>
          <w:szCs w:val="16"/>
          <w:color w:val="auto"/>
        </w:rPr>
        <w:t xml:space="preserve"> complaint asserts violations of Section 14(a) of the Exchange Act, breaches of fiduciary duty, claims of unjust enrichment, abuse of control, gross mismanagement, waste of corporate assets, and a claim for contribution. The </w:t>
      </w:r>
      <w:r>
        <w:rPr>
          <w:rFonts w:ascii="Arial" w:cs="Arial" w:eastAsia="Arial" w:hAnsi="Arial"/>
          <w:sz w:val="16"/>
          <w:szCs w:val="16"/>
          <w:i w:val="1"/>
          <w:iCs w:val="1"/>
          <w:color w:val="auto"/>
        </w:rPr>
        <w:t>Hollin</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Leon </w:t>
      </w:r>
      <w:r>
        <w:rPr>
          <w:rFonts w:ascii="Arial" w:cs="Arial" w:eastAsia="Arial" w:hAnsi="Arial"/>
          <w:sz w:val="16"/>
          <w:szCs w:val="16"/>
          <w:color w:val="auto"/>
        </w:rPr>
        <w:t>complaints generally allege the same purported misconduct as alleged in the securities class actions. On November 25, 2024, the</w:t>
      </w:r>
      <w:r>
        <w:rPr>
          <w:rFonts w:ascii="Arial" w:cs="Arial" w:eastAsia="Arial" w:hAnsi="Arial"/>
          <w:sz w:val="16"/>
          <w:szCs w:val="16"/>
          <w:i w:val="1"/>
          <w:iCs w:val="1"/>
          <w:color w:val="auto"/>
        </w:rPr>
        <w:t xml:space="preserve"> Hollin </w:t>
      </w:r>
      <w:r>
        <w:rPr>
          <w:rFonts w:ascii="Arial" w:cs="Arial" w:eastAsia="Arial" w:hAnsi="Arial"/>
          <w:sz w:val="16"/>
          <w:szCs w:val="16"/>
          <w:color w:val="auto"/>
        </w:rPr>
        <w:t>and</w:t>
      </w:r>
      <w:r>
        <w:rPr>
          <w:rFonts w:ascii="Arial" w:cs="Arial" w:eastAsia="Arial" w:hAnsi="Arial"/>
          <w:sz w:val="16"/>
          <w:szCs w:val="16"/>
          <w:i w:val="1"/>
          <w:iCs w:val="1"/>
          <w:color w:val="auto"/>
        </w:rPr>
        <w:t xml:space="preserve"> Leon </w:t>
      </w:r>
      <w:r>
        <w:rPr>
          <w:rFonts w:ascii="Arial" w:cs="Arial" w:eastAsia="Arial" w:hAnsi="Arial"/>
          <w:sz w:val="16"/>
          <w:szCs w:val="16"/>
          <w:color w:val="auto"/>
        </w:rPr>
        <w:t xml:space="preserve">complaints were consolidated into a single action bearing the caption </w:t>
      </w:r>
      <w:r>
        <w:rPr>
          <w:rFonts w:ascii="Arial" w:cs="Arial" w:eastAsia="Arial" w:hAnsi="Arial"/>
          <w:sz w:val="16"/>
          <w:szCs w:val="16"/>
          <w:i w:val="1"/>
          <w:iCs w:val="1"/>
          <w:color w:val="auto"/>
        </w:rPr>
        <w:t>In re American Airlines Group Inc. Stockholder Derivative Action</w:t>
      </w:r>
      <w:r>
        <w:rPr>
          <w:rFonts w:ascii="Arial" w:cs="Arial" w:eastAsia="Arial" w:hAnsi="Arial"/>
          <w:sz w:val="16"/>
          <w:szCs w:val="16"/>
          <w:color w:val="auto"/>
        </w:rPr>
        <w:t>. The derivative actions are currently stayed pending resolution of the securities class action. AAG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believes both the securities class action and shareholder derivative lawsuit are without merit and intends to defend against them vigorously.</w:t>
      </w:r>
    </w:p>
    <w:p>
      <w:pPr>
        <w:spacing w:after="0" w:line="153" w:lineRule="exact"/>
        <w:rPr>
          <w:sz w:val="20"/>
          <w:szCs w:val="20"/>
          <w:color w:val="auto"/>
        </w:rPr>
      </w:pPr>
    </w:p>
    <w:p>
      <w:pPr>
        <w:jc w:val="both"/>
        <w:ind w:firstLine="217"/>
        <w:spacing w:after="0" w:line="263"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In addition to the specifically identified legal proceedings, American and its subsidiaries are also engaged in other legal proceedings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0" w:name="page41"/>
    <w:bookmarkEnd w:id="40"/>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81"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Part I, Item 2 of this report should be read in conjunction with Part II, Item 7 of AAG’s and American’s Annual Report on Form 10-K for the year ended December 31, 2024 (the 2024 Form 10-K). The information contained herein is not a comprehensive discussion and analysis of the financial condition and results of operations of AAG and American, but rather updates disclosures made in the 2024 Form 10-K.</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Financial Overview</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Business and Macroeconomic Conditions</w:t>
      </w:r>
    </w:p>
    <w:p>
      <w:pPr>
        <w:spacing w:after="0" w:line="79"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Starting in the first quarter of 2025, the U.S. Government has promoted and implemented plans to place additional tariffs on goods imported into the U.S. from numerous countries and has pursued other trade policies intended to restrict imports and, in response, multiple nations have countered with reciprocal tariffs and other actions.</w:t>
      </w:r>
    </w:p>
    <w:p>
      <w:pPr>
        <w:spacing w:after="0" w:line="104"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These or additional changes in U.S. or international trade policies, along with continued uncertainty surrounding such policies, could lead to further weakened business conditions for the transportation industry, which may adversely impact our operations through increased supply chain challenges, commodity price volatility and a decline in discretionary spending and consumer confidence, among others. We continue to monitor the situation.</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AAG’s Second Quarter 2025 Results</w:t>
      </w:r>
    </w:p>
    <w:p>
      <w:pPr>
        <w:spacing w:after="0" w:line="79"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55"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640" w:type="dxa"/>
            <w:vAlign w:val="bottom"/>
            <w:gridSpan w:val="4"/>
            <w:vMerge w:val="restart"/>
          </w:tcPr>
          <w:p>
            <w:pPr>
              <w:jc w:val="right"/>
              <w:ind w:right="40"/>
              <w:spacing w:after="0"/>
              <w:rPr>
                <w:sz w:val="20"/>
                <w:szCs w:val="20"/>
                <w:color w:val="auto"/>
              </w:rPr>
            </w:pPr>
            <w:r>
              <w:rPr>
                <w:rFonts w:ascii="Arial" w:cs="Arial" w:eastAsia="Arial" w:hAnsi="Arial"/>
                <w:sz w:val="13"/>
                <w:szCs w:val="13"/>
                <w:b w:val="1"/>
                <w:bCs w:val="1"/>
                <w:color w:val="auto"/>
              </w:rPr>
              <w:t>Three Months Ended June 30,</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jc w:val="center"/>
              <w:ind w:left="5"/>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640" w:type="dxa"/>
            <w:vAlign w:val="bottom"/>
            <w:tcBorders>
              <w:bottom w:val="single" w:sz="8" w:color="auto"/>
            </w:tcBorders>
            <w:gridSpan w:val="4"/>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ind w:right="242"/>
              <w:spacing w:after="0" w:line="109" w:lineRule="exact"/>
              <w:rPr>
                <w:sz w:val="20"/>
                <w:szCs w:val="20"/>
                <w:color w:val="auto"/>
              </w:rPr>
            </w:pPr>
            <w:r>
              <w:rPr>
                <w:rFonts w:ascii="Arial" w:cs="Arial" w:eastAsia="Arial" w:hAnsi="Arial"/>
                <w:sz w:val="12"/>
                <w:szCs w:val="12"/>
                <w:b w:val="1"/>
                <w:bCs w:val="1"/>
                <w:color w:val="auto"/>
              </w:rPr>
              <w:t>Increase</w:t>
            </w:r>
          </w:p>
        </w:tc>
        <w:tc>
          <w:tcPr>
            <w:tcW w:w="1240" w:type="dxa"/>
            <w:vAlign w:val="bottom"/>
          </w:tcPr>
          <w:p>
            <w:pPr>
              <w:jc w:val="center"/>
              <w:ind w:left="5"/>
              <w:spacing w:after="0" w:line="10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(Decrease)</w:t>
            </w:r>
          </w:p>
        </w:tc>
        <w:tc>
          <w:tcPr>
            <w:tcW w:w="1240" w:type="dxa"/>
            <w:vAlign w:val="bottom"/>
            <w:tcBorders>
              <w:bottom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00" w:type="dxa"/>
            <w:vAlign w:val="bottom"/>
            <w:gridSpan w:val="6"/>
          </w:tcPr>
          <w:p>
            <w:pPr>
              <w:jc w:val="right"/>
              <w:ind w:right="302"/>
              <w:spacing w:after="0"/>
              <w:rPr>
                <w:sz w:val="20"/>
                <w:szCs w:val="20"/>
                <w:color w:val="auto"/>
              </w:rPr>
            </w:pPr>
            <w:r>
              <w:rPr>
                <w:rFonts w:ascii="Arial" w:cs="Arial" w:eastAsia="Arial" w:hAnsi="Arial"/>
                <w:sz w:val="13"/>
                <w:szCs w:val="13"/>
                <w:b w:val="1"/>
                <w:bCs w:val="1"/>
                <w:color w:val="auto"/>
                <w:w w:val="99"/>
              </w:rPr>
              <w:t>(In millions, except percentage changes)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980" w:type="dxa"/>
            <w:vAlign w:val="bottom"/>
            <w:shd w:val="clear" w:color="auto" w:fill="CCEEFF"/>
          </w:tcPr>
          <w:p>
            <w:pPr>
              <w:jc w:val="right"/>
              <w:ind w:right="786"/>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0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7"/>
              </w:rPr>
              <w:t>(0.6)</w:t>
            </w:r>
          </w:p>
        </w:tc>
        <w:tc>
          <w:tcPr>
            <w:tcW w:w="0" w:type="dxa"/>
            <w:vAlign w:val="bottom"/>
          </w:tcPr>
          <w:p>
            <w:pPr>
              <w:spacing w:after="0"/>
              <w:rPr>
                <w:sz w:val="1"/>
                <w:szCs w:val="1"/>
                <w:color w:val="auto"/>
              </w:rPr>
            </w:pPr>
          </w:p>
        </w:tc>
      </w:tr>
      <w:tr>
        <w:trPr>
          <w:trHeight w:val="205"/>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Cargo revenue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1240" w:type="dxa"/>
            <w:vAlign w:val="bottom"/>
          </w:tcPr>
          <w:p>
            <w:pPr>
              <w:jc w:val="center"/>
              <w:ind w:left="5"/>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5"/>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Total operating revenues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14,392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14,334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58</w:t>
            </w:r>
          </w:p>
        </w:tc>
        <w:tc>
          <w:tcPr>
            <w:tcW w:w="1240" w:type="dxa"/>
            <w:vAlign w:val="bottom"/>
          </w:tcPr>
          <w:p>
            <w:pPr>
              <w:jc w:val="center"/>
              <w:ind w:left="5"/>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5"/>
              </w:rPr>
              <w:t>(13.0)</w:t>
            </w:r>
          </w:p>
        </w:tc>
        <w:tc>
          <w:tcPr>
            <w:tcW w:w="0" w:type="dxa"/>
            <w:vAlign w:val="bottom"/>
          </w:tcPr>
          <w:p>
            <w:pPr>
              <w:spacing w:after="0"/>
              <w:rPr>
                <w:sz w:val="1"/>
                <w:szCs w:val="1"/>
                <w:color w:val="auto"/>
              </w:rPr>
            </w:pPr>
          </w:p>
        </w:tc>
      </w:tr>
      <w:tr>
        <w:trPr>
          <w:trHeight w:val="205"/>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Salaries, wages and benefits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4,382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429</w:t>
            </w:r>
          </w:p>
        </w:tc>
        <w:tc>
          <w:tcPr>
            <w:tcW w:w="1240" w:type="dxa"/>
            <w:vAlign w:val="bottom"/>
          </w:tcPr>
          <w:p>
            <w:pPr>
              <w:jc w:val="center"/>
              <w:ind w:left="5"/>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13,257</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307</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5"/>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1,135</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(249)</w:t>
            </w:r>
          </w:p>
        </w:tc>
        <w:tc>
          <w:tcPr>
            <w:tcW w:w="1240" w:type="dxa"/>
            <w:vAlign w:val="bottom"/>
          </w:tcPr>
          <w:p>
            <w:pPr>
              <w:jc w:val="center"/>
              <w:ind w:left="5"/>
              <w:spacing w:after="0"/>
              <w:rPr>
                <w:sz w:val="20"/>
                <w:szCs w:val="20"/>
                <w:color w:val="auto"/>
              </w:rPr>
            </w:pPr>
            <w:r>
              <w:rPr>
                <w:rFonts w:ascii="Arial" w:cs="Arial" w:eastAsia="Arial" w:hAnsi="Arial"/>
                <w:sz w:val="16"/>
                <w:szCs w:val="16"/>
                <w:color w:val="auto"/>
                <w:w w:val="95"/>
              </w:rPr>
              <w:t>(18.0)</w:t>
            </w: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Pre-tax income</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5"/>
              </w:rPr>
              <w:t>(18.5)</w:t>
            </w:r>
          </w:p>
        </w:tc>
        <w:tc>
          <w:tcPr>
            <w:tcW w:w="0" w:type="dxa"/>
            <w:vAlign w:val="bottom"/>
          </w:tcPr>
          <w:p>
            <w:pPr>
              <w:spacing w:after="0"/>
              <w:rPr>
                <w:sz w:val="1"/>
                <w:szCs w:val="1"/>
                <w:color w:val="auto"/>
              </w:rPr>
            </w:pPr>
          </w:p>
        </w:tc>
      </w:tr>
      <w:tr>
        <w:trPr>
          <w:trHeight w:val="205"/>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Income tax provision</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1240" w:type="dxa"/>
            <w:vAlign w:val="bottom"/>
          </w:tcPr>
          <w:p>
            <w:pPr>
              <w:jc w:val="center"/>
              <w:ind w:left="5"/>
              <w:spacing w:after="0"/>
              <w:rPr>
                <w:sz w:val="20"/>
                <w:szCs w:val="20"/>
                <w:color w:val="auto"/>
              </w:rPr>
            </w:pPr>
            <w:r>
              <w:rPr>
                <w:rFonts w:ascii="Arial" w:cs="Arial" w:eastAsia="Arial" w:hAnsi="Arial"/>
                <w:sz w:val="16"/>
                <w:szCs w:val="16"/>
                <w:color w:val="auto"/>
                <w:w w:val="95"/>
              </w:rPr>
              <w:t>(23.4)</w:t>
            </w: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5"/>
              </w:rPr>
              <w:t>(16.4)</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Pre-tax income – GAAP</w:t>
            </w:r>
          </w:p>
        </w:tc>
        <w:tc>
          <w:tcPr>
            <w:tcW w:w="980" w:type="dxa"/>
            <w:vAlign w:val="bottom"/>
            <w:shd w:val="clear" w:color="auto" w:fill="CCEEFF"/>
          </w:tcPr>
          <w:p>
            <w:pPr>
              <w:jc w:val="right"/>
              <w:ind w:right="786"/>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5"/>
              </w:rPr>
              <w:t>(18.5)</w:t>
            </w:r>
          </w:p>
        </w:tc>
        <w:tc>
          <w:tcPr>
            <w:tcW w:w="0" w:type="dxa"/>
            <w:vAlign w:val="bottom"/>
          </w:tcPr>
          <w:p>
            <w:pPr>
              <w:spacing w:after="0"/>
              <w:rPr>
                <w:sz w:val="1"/>
                <w:szCs w:val="1"/>
                <w:color w:val="auto"/>
              </w:rPr>
            </w:pPr>
          </w:p>
        </w:tc>
      </w:tr>
      <w:tr>
        <w:trPr>
          <w:trHeight w:val="205"/>
        </w:trPr>
        <w:tc>
          <w:tcPr>
            <w:tcW w:w="5540" w:type="dxa"/>
            <w:vAlign w:val="bottom"/>
            <w:tcBorders>
              <w:bottom w:val="single" w:sz="8" w:color="CCEEFF"/>
            </w:tcBorders>
            <w:gridSpan w:val="2"/>
          </w:tcPr>
          <w:p>
            <w:pPr>
              <w:ind w:left="160"/>
              <w:spacing w:after="0" w:line="205" w:lineRule="exact"/>
              <w:rPr>
                <w:sz w:val="20"/>
                <w:szCs w:val="20"/>
                <w:color w:val="auto"/>
              </w:rPr>
            </w:pPr>
            <w:r>
              <w:rPr>
                <w:rFonts w:ascii="Arial" w:cs="Arial" w:eastAsia="Arial" w:hAnsi="Arial"/>
                <w:sz w:val="16"/>
                <w:szCs w:val="16"/>
                <w:color w:val="auto"/>
              </w:rPr>
              <w:t xml:space="preserve">Adjusted for: pre-tax net special items </w:t>
            </w:r>
            <w:r>
              <w:rPr>
                <w:rFonts w:ascii="Arial" w:cs="Arial" w:eastAsia="Arial" w:hAnsi="Arial"/>
                <w:sz w:val="20"/>
                <w:szCs w:val="20"/>
                <w:color w:val="auto"/>
                <w:vertAlign w:val="superscript"/>
              </w:rPr>
              <w:t>(1)</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w:t>
            </w:r>
          </w:p>
        </w:tc>
        <w:tc>
          <w:tcPr>
            <w:tcW w:w="1240" w:type="dxa"/>
            <w:vAlign w:val="bottom"/>
            <w:tcBorders>
              <w:bottom w:val="single" w:sz="8" w:color="CCEEFF"/>
            </w:tcBorders>
          </w:tcPr>
          <w:p>
            <w:pPr>
              <w:jc w:val="center"/>
              <w:ind w:left="45"/>
              <w:spacing w:after="0" w:line="204" w:lineRule="exact"/>
              <w:rPr>
                <w:sz w:val="20"/>
                <w:szCs w:val="20"/>
                <w:color w:val="auto"/>
              </w:rPr>
            </w:pPr>
            <w:r>
              <w:rPr>
                <w:rFonts w:ascii="Arial" w:cs="Arial" w:eastAsia="Arial" w:hAnsi="Arial"/>
                <w:sz w:val="23"/>
                <w:szCs w:val="23"/>
                <w:color w:val="auto"/>
                <w:vertAlign w:val="subscript"/>
              </w:rPr>
              <w:t>nm</w:t>
            </w:r>
            <w:r>
              <w:rPr>
                <w:rFonts w:ascii="Arial" w:cs="Arial" w:eastAsia="Arial" w:hAnsi="Arial"/>
                <w:sz w:val="9"/>
                <w:szCs w:val="9"/>
                <w:color w:val="auto"/>
              </w:rPr>
              <w:t xml:space="preserve"> (2)</w:t>
            </w:r>
          </w:p>
        </w:tc>
        <w:tc>
          <w:tcPr>
            <w:tcW w:w="0" w:type="dxa"/>
            <w:vAlign w:val="bottom"/>
          </w:tcPr>
          <w:p>
            <w:pPr>
              <w:spacing w:after="0"/>
              <w:rPr>
                <w:sz w:val="1"/>
                <w:szCs w:val="1"/>
                <w:color w:val="auto"/>
              </w:rPr>
            </w:pPr>
          </w:p>
        </w:tc>
      </w:tr>
      <w:tr>
        <w:trPr>
          <w:trHeight w:val="222"/>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Pre-tax income excluding net special items</w:t>
            </w:r>
          </w:p>
        </w:tc>
        <w:tc>
          <w:tcPr>
            <w:tcW w:w="98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40" w:type="dxa"/>
            <w:vAlign w:val="bottom"/>
            <w:tcBorders>
              <w:bottom w:val="single" w:sz="8" w:color="CCEEFF"/>
            </w:tcBorders>
            <w:shd w:val="clear" w:color="auto" w:fill="CCEEFF"/>
          </w:tcPr>
          <w:p>
            <w:pPr>
              <w:jc w:val="center"/>
              <w:ind w:left="5"/>
              <w:spacing w:after="0"/>
              <w:rPr>
                <w:sz w:val="20"/>
                <w:szCs w:val="20"/>
                <w:color w:val="auto"/>
              </w:rPr>
            </w:pPr>
            <w:r>
              <w:rPr>
                <w:rFonts w:ascii="Arial" w:cs="Arial" w:eastAsia="Arial" w:hAnsi="Arial"/>
                <w:sz w:val="16"/>
                <w:szCs w:val="16"/>
                <w:color w:val="auto"/>
                <w:w w:val="95"/>
              </w:rPr>
              <w:t>(16.4)</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-2200910</wp:posOffset>
            </wp:positionV>
            <wp:extent cx="609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-2200910</wp:posOffset>
            </wp:positionV>
            <wp:extent cx="609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-2200910</wp:posOffset>
            </wp:positionV>
            <wp:extent cx="609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47" w:lineRule="exact"/>
        <w:rPr>
          <w:sz w:val="20"/>
          <w:szCs w:val="20"/>
          <w:color w:val="auto"/>
        </w:rPr>
      </w:pPr>
    </w:p>
    <w:p>
      <w:pPr>
        <w:ind w:left="284" w:right="20" w:hanging="284"/>
        <w:spacing w:after="0" w:line="227" w:lineRule="auto"/>
        <w:tabs>
          <w:tab w:leader="none" w:pos="279"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“Reconciliation of GAAP to Non-GAAP Financial Measures”</w:t>
      </w:r>
      <w:r>
        <w:rPr>
          <w:rFonts w:ascii="Arial" w:cs="Arial" w:eastAsia="Arial" w:hAnsi="Arial"/>
          <w:sz w:val="16"/>
          <w:szCs w:val="16"/>
          <w:color w:val="auto"/>
        </w:rPr>
        <w:t xml:space="preserve"> below and Note 2 to AAG’s Condensed Consolidated Financial Statements in Part I, Item 1A for details on the components of net special items.</w:t>
      </w:r>
    </w:p>
    <w:p>
      <w:pPr>
        <w:spacing w:after="0" w:line="96"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Not meaningful or greater than 100% change.</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Pre-Tax Income and Net Income</w:t>
      </w:r>
    </w:p>
    <w:p>
      <w:pPr>
        <w:spacing w:after="0" w:line="79"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Pre-tax income and net income were $838 million and $599 million, respectively, in the second quarter of 2025. This compares to second quarter of 2024 pre-tax income and net income of $1.0 billion and $ 717 million, respectively. Excluding the effects of pre-tax net special items, pre-tax income was $869 million and $1.0 billion in the second quarters of 2025 and 2024, respectively.</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17"/>
        <w:spacing w:after="0" w:line="286" w:lineRule="auto"/>
        <w:rPr>
          <w:sz w:val="20"/>
          <w:szCs w:val="20"/>
          <w:color w:val="auto"/>
        </w:rPr>
      </w:pPr>
      <w:r>
        <w:rPr>
          <w:rFonts w:ascii="Arial" w:cs="Arial" w:eastAsia="Arial" w:hAnsi="Arial"/>
          <w:sz w:val="16"/>
          <w:szCs w:val="16"/>
          <w:color w:val="auto"/>
        </w:rPr>
        <w:t>The period-over-period decrease in our pre-tax income on both a GAAP basis and excluding pre-tax net special items was principally driven by increases in operating expenses including salaries, wages and benefits and selling expenses, offset in part by lower costs for aircraft fuel and related taxes.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Revenue</w:t>
      </w:r>
    </w:p>
    <w:p>
      <w:pPr>
        <w:spacing w:after="0" w:line="79" w:lineRule="exact"/>
        <w:rPr>
          <w:sz w:val="20"/>
          <w:szCs w:val="20"/>
          <w:color w:val="auto"/>
        </w:rPr>
      </w:pPr>
    </w:p>
    <w:p>
      <w:pPr>
        <w:jc w:val="both"/>
        <w:ind w:firstLine="217"/>
        <w:spacing w:after="0" w:line="263" w:lineRule="auto"/>
        <w:rPr>
          <w:sz w:val="20"/>
          <w:szCs w:val="20"/>
          <w:color w:val="auto"/>
        </w:rPr>
      </w:pPr>
      <w:r>
        <w:rPr>
          <w:rFonts w:ascii="Arial" w:cs="Arial" w:eastAsia="Arial" w:hAnsi="Arial"/>
          <w:sz w:val="16"/>
          <w:szCs w:val="16"/>
          <w:color w:val="auto"/>
        </w:rPr>
        <w:t>In the second quarter of 2025, we reported total operating revenues of $ 14.4 billion, an increase of $58 million, or 0.4%, from the second quarter of 2024. Passenger revenue was $13.1 billion, a decrease of $79 million, or 0.6%, in the second quarter of 2025 from the second quarter of 2024. Our passenger revenue in the second quarter of 2025 was impacted by softness in domestic demand for air travel, offset in part by continued strength in international air travel, particularly in the Atlantic region. Atlantic PRASM increased 5.0% in the second quarter of 2025 as compared to the second quarter of 2024.</w:t>
      </w:r>
    </w:p>
    <w:p>
      <w:pPr>
        <w:spacing w:after="0" w:line="108"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Cargo revenue increased $16 million, or 8.2%, in the second quarter of 2025 from the second quarter of 2024, primarily due to a 6.9% increase in cargo yield and a 1.2% increase in cargo ton miles.</w:t>
      </w:r>
    </w:p>
    <w:p>
      <w:pPr>
        <w:spacing w:after="0" w:line="91"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Other operating revenue increased $121 million, or 13.0%, in the second quarter of 2025 from the second quarter of 2024, driven primarily by higher revenue associated with our loyalty program. During the three months ended June 30, 2025 and 2024, cash payments from co-branded credit card and other partners were $1.41 billion and $1.36 billion, respectively.</w:t>
      </w:r>
    </w:p>
    <w:p>
      <w:pPr>
        <w:spacing w:after="0" w:line="104"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Our total revenue per available seat mile (TRASM) was 18.54 cents in the second quarter of 2025, a 2.7% decrease as compared to 19.05 cents in the second quarter of 2024.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Fuel</w:t>
      </w:r>
    </w:p>
    <w:p>
      <w:pPr>
        <w:spacing w:after="0" w:line="79"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Aircraft fuel and related taxes was $2.7 billion in the second quarter of 2025, which was $ 398 million, or 13.0%, lower as compared to the second quarter of 2024. This was primarily due to a 15.3% decrease in the average price per gallon of aircraft fuel including related taxes to $2.29 in the second quarter of 2025 from $2.70 in the second quarter of 2024, offset in part by a 2.7% increase in gallons of fuel consumed due to increased capacity.</w:t>
      </w:r>
    </w:p>
    <w:p>
      <w:pPr>
        <w:spacing w:after="0" w:line="104" w:lineRule="exact"/>
        <w:rPr>
          <w:sz w:val="20"/>
          <w:szCs w:val="20"/>
          <w:color w:val="auto"/>
        </w:rPr>
      </w:pPr>
    </w:p>
    <w:p>
      <w:pPr>
        <w:jc w:val="both"/>
        <w:ind w:right="20" w:firstLine="217"/>
        <w:spacing w:after="0" w:line="258" w:lineRule="auto"/>
        <w:rPr>
          <w:sz w:val="20"/>
          <w:szCs w:val="20"/>
          <w:color w:val="auto"/>
        </w:rPr>
      </w:pPr>
      <w:r>
        <w:rPr>
          <w:rFonts w:ascii="Arial" w:cs="Arial" w:eastAsia="Arial" w:hAnsi="Arial"/>
          <w:sz w:val="16"/>
          <w:szCs w:val="16"/>
          <w:color w:val="auto"/>
        </w:rPr>
        <w:t xml:space="preserve">As of June 30,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See Part I, Item 1A. Risk Factors – </w:t>
      </w:r>
      <w:r>
        <w:rPr>
          <w:rFonts w:ascii="Arial" w:cs="Arial" w:eastAsia="Arial" w:hAnsi="Arial"/>
          <w:sz w:val="16"/>
          <w:szCs w:val="16"/>
          <w:i w:val="1"/>
          <w:iCs w:val="1"/>
          <w:color w:val="auto"/>
        </w:rPr>
        <w:t>“Our business is very dependent on the price and availability of aircraft fuel. Continued periods of high volatility in fuel costs,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increased fuel prices or significant disruptions in the supply of aircraft fuel could have a significant negative impact on consumer demand, our operating results and liquidity” </w:t>
      </w:r>
      <w:r>
        <w:rPr>
          <w:rFonts w:ascii="Arial" w:cs="Arial" w:eastAsia="Arial" w:hAnsi="Arial"/>
          <w:sz w:val="16"/>
          <w:szCs w:val="16"/>
          <w:color w:val="auto"/>
        </w:rPr>
        <w:t>in our 2024 Form 10-K.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Costs</w:t>
      </w:r>
    </w:p>
    <w:p>
      <w:pPr>
        <w:spacing w:after="0" w:line="79" w:lineRule="exact"/>
        <w:rPr>
          <w:sz w:val="20"/>
          <w:szCs w:val="20"/>
          <w:color w:val="auto"/>
        </w:rPr>
      </w:pPr>
    </w:p>
    <w:p>
      <w:pPr>
        <w:jc w:val="both"/>
        <w:ind w:right="20" w:firstLine="217"/>
        <w:spacing w:after="0" w:line="260" w:lineRule="auto"/>
        <w:rPr>
          <w:sz w:val="20"/>
          <w:szCs w:val="20"/>
          <w:color w:val="auto"/>
        </w:rPr>
      </w:pPr>
      <w:r>
        <w:rPr>
          <w:rFonts w:ascii="Arial" w:cs="Arial" w:eastAsia="Arial" w:hAnsi="Arial"/>
          <w:sz w:val="16"/>
          <w:szCs w:val="16"/>
          <w:color w:val="auto"/>
        </w:rPr>
        <w:t>We remain committed to actively managing our cost structure, which we believe is necessary in an industry whose economic prospects are heavily dependent upon two variables we cannot control: general economic conditions and the price of fuel. Additionally, we continue to focus on initiatives to reengineer our business through the use of digital solutions, process enhancements and procurement transformation and we intend to continue to invest in reengineering our business through the remainder of 2025 and beyond to build an even more efficient airline and continue to manage costs while delivering a better experience for our customers and team.</w:t>
      </w:r>
    </w:p>
    <w:p>
      <w:pPr>
        <w:spacing w:after="0" w:line="111"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Our 2025 second quarter total operating cost per available seat mile (CASM) was 17.08 cents, a decrease of 0.8% from 17.21 cents in the second quarter of 2024. The decrease in CASM was primarily driven by lower aircraft fuel costs, offset in part by higher costs for salaries, wages and benefits and selling expenses.</w:t>
      </w:r>
    </w:p>
    <w:p>
      <w:pPr>
        <w:spacing w:after="0" w:line="104"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Our 2025 second quarter CASM excluding net special items and fuel was 13.59 cents, an increase of 3.4% from 13.14 cents in the second quarter of 2024, which was primarily driven by higher costs for salaries, wages and benefits and selling expenses.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For a reconciliation of CASM to CASM excluding net special items and fuel, see </w:t>
      </w:r>
      <w:r>
        <w:rPr>
          <w:rFonts w:ascii="Arial" w:cs="Arial" w:eastAsia="Arial" w:hAnsi="Arial"/>
          <w:sz w:val="16"/>
          <w:szCs w:val="16"/>
          <w:i w:val="1"/>
          <w:iCs w:val="1"/>
          <w:color w:val="auto"/>
        </w:rPr>
        <w:t>“Reconciliation of GAAP to Non-GAAP Financial Measures”</w:t>
      </w:r>
      <w:r>
        <w:rPr>
          <w:rFonts w:ascii="Arial" w:cs="Arial" w:eastAsia="Arial" w:hAnsi="Arial"/>
          <w:sz w:val="16"/>
          <w:szCs w:val="16"/>
          <w:color w:val="auto"/>
        </w:rPr>
        <w:t xml:space="preserve">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Liquidity</w:t>
      </w:r>
    </w:p>
    <w:p>
      <w:pPr>
        <w:spacing w:after="0" w:line="79" w:lineRule="exact"/>
        <w:rPr>
          <w:sz w:val="20"/>
          <w:szCs w:val="20"/>
          <w:color w:val="auto"/>
        </w:rPr>
      </w:pPr>
    </w:p>
    <w:p>
      <w:pPr>
        <w:ind w:firstLine="217"/>
        <w:spacing w:after="0" w:line="286" w:lineRule="auto"/>
        <w:rPr>
          <w:sz w:val="20"/>
          <w:szCs w:val="20"/>
          <w:color w:val="auto"/>
        </w:rPr>
      </w:pPr>
      <w:r>
        <w:rPr>
          <w:rFonts w:ascii="Arial" w:cs="Arial" w:eastAsia="Arial" w:hAnsi="Arial"/>
          <w:sz w:val="16"/>
          <w:szCs w:val="16"/>
          <w:color w:val="auto"/>
        </w:rPr>
        <w:t>As of June 30, 2025, we had $12.0 billion in total available liquidity, consisting of $8.6 billion in unrestricted cash and short-term investments, and $3.4 billion in total undrawn capacity under revolving credit and other facilities.</w:t>
      </w:r>
    </w:p>
    <w:p>
      <w:pPr>
        <w:spacing w:after="0" w:line="91" w:lineRule="exact"/>
        <w:rPr>
          <w:sz w:val="20"/>
          <w:szCs w:val="20"/>
          <w:color w:val="auto"/>
        </w:rPr>
      </w:pPr>
    </w:p>
    <w:p>
      <w:pPr>
        <w:ind w:right="20" w:firstLine="217"/>
        <w:spacing w:after="0" w:line="286" w:lineRule="auto"/>
        <w:rPr>
          <w:sz w:val="20"/>
          <w:szCs w:val="20"/>
          <w:color w:val="auto"/>
        </w:rPr>
      </w:pPr>
      <w:r>
        <w:rPr>
          <w:rFonts w:ascii="Arial" w:cs="Arial" w:eastAsia="Arial" w:hAnsi="Arial"/>
          <w:sz w:val="16"/>
          <w:szCs w:val="16"/>
          <w:color w:val="auto"/>
        </w:rPr>
        <w:t>During the first six months of 2025, we completed the following financing transactions (see Note 1 and Note 5 to AAG’s Condensed Consolidated Financial Statements in Part I, Item 1A for further information on 2025 financing activities):</w:t>
      </w:r>
    </w:p>
    <w:p>
      <w:pPr>
        <w:spacing w:after="0" w:line="91" w:lineRule="exact"/>
        <w:rPr>
          <w:sz w:val="20"/>
          <w:szCs w:val="20"/>
          <w:color w:val="auto"/>
        </w:rPr>
      </w:pPr>
    </w:p>
    <w:p>
      <w:pPr>
        <w:ind w:left="580" w:right="20" w:hanging="295"/>
        <w:spacing w:after="0" w:line="286"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amended the AAdvantage term loan credit and guaranty agreement to reduce the applicable interest rate margin and reduce the scheduled quarterly principal amortization amount;</w:t>
      </w:r>
    </w:p>
    <w:p>
      <w:pPr>
        <w:spacing w:after="0" w:line="91" w:lineRule="exact"/>
        <w:rPr>
          <w:rFonts w:ascii="Arial" w:cs="Arial" w:eastAsia="Arial" w:hAnsi="Arial"/>
          <w:sz w:val="16"/>
          <w:szCs w:val="16"/>
          <w:color w:val="auto"/>
        </w:rPr>
      </w:pPr>
    </w:p>
    <w:p>
      <w:pPr>
        <w:ind w:left="580" w:right="20" w:hanging="295"/>
        <w:spacing w:after="0" w:line="286"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issued $1.0 billion of incremental term loans pursuant to the AAdvantage term loan credit guaranty agreement (2025 AAdvantage Term Loan Facility), as amended;</w:t>
      </w:r>
    </w:p>
    <w:p>
      <w:pPr>
        <w:spacing w:after="0" w:line="91" w:lineRule="exact"/>
        <w:rPr>
          <w:rFonts w:ascii="Arial" w:cs="Arial" w:eastAsia="Arial" w:hAnsi="Arial"/>
          <w:sz w:val="16"/>
          <w:szCs w:val="16"/>
          <w:color w:val="auto"/>
        </w:rPr>
      </w:pPr>
    </w:p>
    <w:p>
      <w:pPr>
        <w:ind w:left="580" w:hanging="295"/>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prepaid $487 million of the outstanding principal amounts of certain equipment notes issued under enhanced equipment trust certificates (EETCs);</w:t>
      </w:r>
    </w:p>
    <w:p>
      <w:pPr>
        <w:spacing w:after="0" w:line="153" w:lineRule="exact"/>
        <w:rPr>
          <w:rFonts w:ascii="Arial" w:cs="Arial" w:eastAsia="Arial" w:hAnsi="Arial"/>
          <w:sz w:val="16"/>
          <w:szCs w:val="16"/>
          <w:color w:val="auto"/>
        </w:rPr>
      </w:pPr>
    </w:p>
    <w:p>
      <w:pPr>
        <w:jc w:val="both"/>
        <w:ind w:left="580" w:right="20" w:hanging="295"/>
        <w:spacing w:after="0" w:line="269"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received $432 million of gross proceeds pursuant to special facility revenue bonds issued by the Tulsa Municipal Airport Trust (TMAT), of which a portion was used to fund the redemption of other bonds related to TMAT and the remaining amount will be used to finance the cost of improvements at American’s overhaul and maintenance base at Tulsa International Airport;</w:t>
      </w:r>
    </w:p>
    <w:p>
      <w:pPr>
        <w:spacing w:after="0" w:line="103" w:lineRule="exact"/>
        <w:rPr>
          <w:rFonts w:ascii="Arial" w:cs="Arial" w:eastAsia="Arial" w:hAnsi="Arial"/>
          <w:sz w:val="16"/>
          <w:szCs w:val="16"/>
          <w:color w:val="auto"/>
        </w:rPr>
      </w:pPr>
    </w:p>
    <w:p>
      <w:pPr>
        <w:ind w:left="580" w:right="20" w:hanging="295"/>
        <w:spacing w:after="0" w:line="286"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prepaid $308 million toward portions of the outstanding principal amounts of the 10.75% senior secured IP notes (the IP Notes) and the 10.75% senior secured LGA/DCA notes (LGA/DCA Notes); and</w:t>
      </w:r>
    </w:p>
    <w:p>
      <w:pPr>
        <w:spacing w:after="0" w:line="91" w:lineRule="exact"/>
        <w:rPr>
          <w:rFonts w:ascii="Arial" w:cs="Arial" w:eastAsia="Arial" w:hAnsi="Arial"/>
          <w:sz w:val="16"/>
          <w:szCs w:val="16"/>
          <w:color w:val="auto"/>
        </w:rPr>
      </w:pPr>
    </w:p>
    <w:p>
      <w:pPr>
        <w:ind w:left="580" w:hanging="295"/>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issued $712 million of equipment loans and other notes payable in connection with the financing of certain aircraft.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American Eagle Flight 5342</w:t>
      </w:r>
    </w:p>
    <w:p>
      <w:pPr>
        <w:spacing w:after="0" w:line="79" w:lineRule="exact"/>
        <w:rPr>
          <w:sz w:val="20"/>
          <w:szCs w:val="20"/>
          <w:color w:val="auto"/>
        </w:rPr>
      </w:pPr>
    </w:p>
    <w:p>
      <w:pPr>
        <w:jc w:val="both"/>
        <w:ind w:right="20" w:firstLine="217"/>
        <w:spacing w:after="0" w:line="260" w:lineRule="auto"/>
        <w:rPr>
          <w:sz w:val="20"/>
          <w:szCs w:val="20"/>
          <w:color w:val="auto"/>
        </w:rPr>
      </w:pPr>
      <w:r>
        <w:rPr>
          <w:rFonts w:ascii="Arial" w:cs="Arial" w:eastAsia="Arial" w:hAnsi="Arial"/>
          <w:sz w:val="16"/>
          <w:szCs w:val="16"/>
          <w:color w:val="auto"/>
        </w:rPr>
        <w:t>On January 29, 2025, American Eagle flight 5342 was involved in a fatal accident in Washington, D.C. The Bombardier CRJ 700 aircraft operated by PSA Airlines, Inc. was en route to Washington, D.C. from Wichita, Kansas when it was involved in a midair collision near Ronald Reagan Washington National Airport. We estimate that the accident reduced first quarter 2025 total operating revenues by approximately $ 200 million, of which the impacted revenue is not covered by insurance. American has industry standard insurance coverage for this incident and is continuing to assess the full impact on its business resulting from the accident.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3" w:name="page44"/>
    <w:bookmarkEnd w:id="43"/>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Reconciliation of GAAP to Non-GAAP Financial Measures</w:t>
      </w:r>
    </w:p>
    <w:p>
      <w:pPr>
        <w:spacing w:after="0" w:line="79" w:lineRule="exact"/>
        <w:rPr>
          <w:sz w:val="20"/>
          <w:szCs w:val="20"/>
          <w:color w:val="auto"/>
        </w:rPr>
      </w:pPr>
    </w:p>
    <w:p>
      <w:pPr>
        <w:jc w:val="both"/>
        <w:ind w:left="4" w:right="20" w:firstLine="217"/>
        <w:spacing w:after="0" w:line="258" w:lineRule="auto"/>
        <w:rPr>
          <w:sz w:val="20"/>
          <w:szCs w:val="20"/>
          <w:color w:val="auto"/>
        </w:rPr>
      </w:pPr>
      <w:r>
        <w:rPr>
          <w:rFonts w:ascii="Arial" w:cs="Arial" w:eastAsia="Arial" w:hAnsi="Arial"/>
          <w:sz w:val="16"/>
          <w:szCs w:val="16"/>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 -GAAP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13"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The following table presents the reconciliation of pre-tax income (GAAP measure) to pre-tax income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provides management with an additional tool to understand our core operating performance.</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0" w:type="dxa"/>
            <w:vAlign w:val="bottom"/>
            <w:gridSpan w:val="6"/>
          </w:tcPr>
          <w:p>
            <w:pPr>
              <w:ind w:left="340"/>
              <w:spacing w:after="0"/>
              <w:rPr>
                <w:sz w:val="20"/>
                <w:szCs w:val="20"/>
                <w:color w:val="auto"/>
              </w:rPr>
            </w:pPr>
            <w:r>
              <w:rPr>
                <w:rFonts w:ascii="Arial" w:cs="Arial" w:eastAsia="Arial" w:hAnsi="Arial"/>
                <w:sz w:val="13"/>
                <w:szCs w:val="13"/>
                <w:b w:val="1"/>
                <w:bCs w:val="1"/>
                <w:color w:val="auto"/>
              </w:rPr>
              <w:t>Three Months Ended June 30,</w:t>
            </w:r>
          </w:p>
        </w:tc>
        <w:tc>
          <w:tcPr>
            <w:tcW w:w="380" w:type="dxa"/>
            <w:vAlign w:val="bottom"/>
          </w:tcPr>
          <w:p>
            <w:pPr>
              <w:spacing w:after="0"/>
              <w:rPr>
                <w:sz w:val="15"/>
                <w:szCs w:val="15"/>
                <w:color w:val="auto"/>
              </w:rPr>
            </w:pPr>
          </w:p>
        </w:tc>
        <w:tc>
          <w:tcPr>
            <w:tcW w:w="2120" w:type="dxa"/>
            <w:vAlign w:val="bottom"/>
            <w:gridSpan w:val="4"/>
          </w:tcPr>
          <w:p>
            <w:pPr>
              <w:jc w:val="right"/>
              <w:ind w:right="342"/>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73"/>
        </w:trPr>
        <w:tc>
          <w:tcPr>
            <w:tcW w:w="20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2024</w:t>
            </w:r>
          </w:p>
        </w:tc>
      </w:tr>
      <w:tr>
        <w:trPr>
          <w:trHeight w:val="173"/>
        </w:trPr>
        <w:tc>
          <w:tcPr>
            <w:tcW w:w="20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5"/>
        </w:trPr>
        <w:tc>
          <w:tcPr>
            <w:tcW w:w="6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Pre-Tax Income Excluding Net Special Items:</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Pre-tax income – GAAP</w:t>
            </w:r>
          </w:p>
        </w:tc>
        <w:tc>
          <w:tcPr>
            <w:tcW w:w="800" w:type="dxa"/>
            <w:vAlign w:val="bottom"/>
          </w:tcPr>
          <w:p>
            <w:pPr>
              <w:jc w:val="right"/>
              <w:ind w:right="628"/>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7"/>
                <w:szCs w:val="17"/>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05"/>
        </w:trPr>
        <w:tc>
          <w:tcPr>
            <w:tcW w:w="61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Pre-tax net special items </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5"/>
        </w:trPr>
        <w:tc>
          <w:tcPr>
            <w:tcW w:w="6120" w:type="dxa"/>
            <w:vAlign w:val="bottom"/>
            <w:gridSpan w:val="2"/>
          </w:tcPr>
          <w:p>
            <w:pPr>
              <w:ind w:left="300"/>
              <w:spacing w:after="0"/>
              <w:rPr>
                <w:sz w:val="20"/>
                <w:szCs w:val="20"/>
                <w:color w:val="auto"/>
              </w:rPr>
            </w:pPr>
            <w:r>
              <w:rPr>
                <w:rFonts w:ascii="Arial" w:cs="Arial" w:eastAsia="Arial" w:hAnsi="Arial"/>
                <w:sz w:val="16"/>
                <w:szCs w:val="16"/>
                <w:color w:val="auto"/>
              </w:rPr>
              <w:t>Mainline operating special items, net</w:t>
            </w:r>
          </w:p>
        </w:tc>
        <w:tc>
          <w:tcPr>
            <w:tcW w:w="8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5"/>
        </w:trPr>
        <w:tc>
          <w:tcPr>
            <w:tcW w:w="61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Nonoperating special items, net</w:t>
            </w:r>
          </w:p>
        </w:tc>
        <w:tc>
          <w:tcPr>
            <w:tcW w:w="8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197"/>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pre-tax net special items</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22"/>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Pre-tax income excluding net special items</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25"/>
        </w:trPr>
        <w:tc>
          <w:tcPr>
            <w:tcW w:w="2060" w:type="dxa"/>
            <w:vAlign w:val="bottom"/>
            <w:tcBorders>
              <w:bottom w:val="single" w:sz="8" w:color="auto"/>
            </w:tcBorders>
          </w:tcPr>
          <w:p>
            <w:pPr>
              <w:spacing w:after="0"/>
              <w:rPr>
                <w:sz w:val="10"/>
                <w:szCs w:val="10"/>
                <w:color w:val="auto"/>
              </w:rPr>
            </w:pPr>
          </w:p>
        </w:tc>
        <w:tc>
          <w:tcPr>
            <w:tcW w:w="4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-1191895</wp:posOffset>
            </wp:positionV>
            <wp:extent cx="609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-1191895</wp:posOffset>
            </wp:positionV>
            <wp:extent cx="6096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35" w:lineRule="exact"/>
        <w:rPr>
          <w:sz w:val="20"/>
          <w:szCs w:val="20"/>
          <w:color w:val="auto"/>
        </w:rPr>
      </w:pPr>
    </w:p>
    <w:p>
      <w:pPr>
        <w:ind w:left="5544" w:right="1780" w:hanging="5544"/>
        <w:spacing w:after="0" w:line="714" w:lineRule="auto"/>
        <w:tabs>
          <w:tab w:leader="none" w:pos="289"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See Note 2 to AAG’s Condensed Consolidated Financial Statements in Part I, Item 1A for further information on net special items.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-254635</wp:posOffset>
            </wp:positionV>
            <wp:extent cx="717232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44" w:name="page45"/>
    <w:bookmarkEnd w:id="44"/>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 w:firstLine="217"/>
        <w:spacing w:after="0" w:line="258" w:lineRule="auto"/>
        <w:rPr>
          <w:sz w:val="20"/>
          <w:szCs w:val="20"/>
          <w:color w:val="auto"/>
        </w:rPr>
      </w:pPr>
      <w:r>
        <w:rPr>
          <w:rFonts w:ascii="Arial" w:cs="Arial" w:eastAsia="Arial" w:hAnsi="Arial"/>
          <w:sz w:val="16"/>
          <w:szCs w:val="16"/>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provides management with an additional tool to understand and analyze our non-fuel costs and core operating performance. Amounts may not recalculate due to rounding.</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ind w:left="120"/>
              <w:spacing w:after="0"/>
              <w:rPr>
                <w:sz w:val="20"/>
                <w:szCs w:val="20"/>
                <w:color w:val="auto"/>
              </w:rPr>
            </w:pPr>
            <w:r>
              <w:rPr>
                <w:rFonts w:ascii="Arial" w:cs="Arial" w:eastAsia="Arial" w:hAnsi="Arial"/>
                <w:sz w:val="13"/>
                <w:szCs w:val="13"/>
                <w:b w:val="1"/>
                <w:bCs w:val="1"/>
                <w:color w:val="auto"/>
              </w:rPr>
              <w:t>Three Months Ended June 30,</w:t>
            </w:r>
          </w:p>
        </w:tc>
        <w:tc>
          <w:tcPr>
            <w:tcW w:w="260" w:type="dxa"/>
            <w:vAlign w:val="bottom"/>
          </w:tcPr>
          <w:p>
            <w:pPr>
              <w:spacing w:after="0"/>
              <w:rPr>
                <w:sz w:val="15"/>
                <w:szCs w:val="15"/>
                <w:color w:val="auto"/>
              </w:rPr>
            </w:pPr>
          </w:p>
        </w:tc>
        <w:tc>
          <w:tcPr>
            <w:tcW w:w="2240" w:type="dxa"/>
            <w:vAlign w:val="bottom"/>
            <w:gridSpan w:val="4"/>
          </w:tcPr>
          <w:p>
            <w:pPr>
              <w:jc w:val="right"/>
              <w:ind w:right="341"/>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2060" w:type="dxa"/>
            <w:vAlign w:val="bottom"/>
            <w:tcBorders>
              <w:bottom w:val="single" w:sz="8" w:color="CCEEFF"/>
            </w:tcBorders>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2024</w:t>
            </w:r>
          </w:p>
        </w:tc>
      </w:tr>
      <w:tr>
        <w:trPr>
          <w:trHeight w:val="185"/>
        </w:trPr>
        <w:tc>
          <w:tcPr>
            <w:tcW w:w="6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CASM Excluding Net Special Items and Fuel:</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3"/>
        </w:trPr>
        <w:tc>
          <w:tcPr>
            <w:tcW w:w="61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5"/>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expenses – GAAP</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25,513</w:t>
            </w:r>
          </w:p>
        </w:tc>
      </w:tr>
      <w:tr>
        <w:trPr>
          <w:trHeight w:val="205"/>
        </w:trPr>
        <w:tc>
          <w:tcPr>
            <w:tcW w:w="6120" w:type="dxa"/>
            <w:vAlign w:val="bottom"/>
            <w:gridSpan w:val="2"/>
          </w:tcPr>
          <w:p>
            <w:pPr>
              <w:ind w:left="20"/>
              <w:spacing w:after="0" w:line="205" w:lineRule="exact"/>
              <w:rPr>
                <w:sz w:val="20"/>
                <w:szCs w:val="20"/>
                <w:color w:val="auto"/>
              </w:rPr>
            </w:pPr>
            <w:r>
              <w:rPr>
                <w:rFonts w:ascii="Arial" w:cs="Arial" w:eastAsia="Arial" w:hAnsi="Arial"/>
                <w:sz w:val="16"/>
                <w:szCs w:val="16"/>
                <w:color w:val="auto"/>
              </w:rPr>
              <w:t xml:space="preserve">Operating net special items </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Mainline operating special items, net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5"/>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Aircraft fuel and related taxes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(6,042)</w:t>
            </w:r>
          </w:p>
        </w:tc>
      </w:tr>
      <w:tr>
        <w:trPr>
          <w:trHeight w:val="222"/>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expenses, excluding net special items and fuel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19,401</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20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available seat miles (ASM)</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145,779</w:t>
            </w:r>
          </w:p>
        </w:tc>
      </w:tr>
      <w:tr>
        <w:trPr>
          <w:trHeight w:val="180"/>
        </w:trPr>
        <w:tc>
          <w:tcPr>
            <w:tcW w:w="61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cents)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5"/>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CASM</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05"/>
        </w:trPr>
        <w:tc>
          <w:tcPr>
            <w:tcW w:w="6120" w:type="dxa"/>
            <w:vAlign w:val="bottom"/>
            <w:gridSpan w:val="2"/>
          </w:tcPr>
          <w:p>
            <w:pPr>
              <w:ind w:left="20"/>
              <w:spacing w:after="0" w:line="205" w:lineRule="exact"/>
              <w:rPr>
                <w:sz w:val="20"/>
                <w:szCs w:val="20"/>
                <w:color w:val="auto"/>
              </w:rPr>
            </w:pPr>
            <w:r>
              <w:rPr>
                <w:rFonts w:ascii="Arial" w:cs="Arial" w:eastAsia="Arial" w:hAnsi="Arial"/>
                <w:sz w:val="16"/>
                <w:szCs w:val="16"/>
                <w:color w:val="auto"/>
              </w:rPr>
              <w:t xml:space="preserve">Operating net special items per ASM </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61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Mainline operating special items, net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05"/>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Aircraft fuel and related taxes per ASM</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r>
      <w:tr>
        <w:trPr>
          <w:trHeight w:val="222"/>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CASM, excluding net special items and fuel</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206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-2108835</wp:posOffset>
            </wp:positionV>
            <wp:extent cx="609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47" w:lineRule="exact"/>
        <w:rPr>
          <w:sz w:val="20"/>
          <w:szCs w:val="20"/>
          <w:color w:val="auto"/>
        </w:rPr>
      </w:pPr>
    </w:p>
    <w:p>
      <w:pPr>
        <w:ind w:left="5544" w:right="1760" w:hanging="5544"/>
        <w:spacing w:after="0" w:line="714" w:lineRule="auto"/>
        <w:tabs>
          <w:tab w:leader="none" w:pos="289"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See Note 2 to AAG’s Condensed Consolidated Financial Statements in Part I, Item 1A for further information on net special items.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-254635</wp:posOffset>
            </wp:positionV>
            <wp:extent cx="717232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4"/>
          </w:cols>
          <w:pgMar w:left="316" w:top="124" w:right="339" w:bottom="1440" w:gutter="0" w:footer="0" w:header="0"/>
        </w:sectPr>
      </w:pPr>
    </w:p>
    <w:bookmarkStart w:id="45" w:name="page46"/>
    <w:bookmarkEnd w:id="45"/>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AAG’s Results of Operations</w:t>
      </w:r>
    </w:p>
    <w:p>
      <w:pPr>
        <w:spacing w:after="0" w:line="83"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color w:val="auto"/>
        </w:rPr>
        <w:t>Operating Statistics</w:t>
      </w:r>
    </w:p>
    <w:p>
      <w:pPr>
        <w:spacing w:after="0" w:line="79" w:lineRule="exact"/>
        <w:rPr>
          <w:sz w:val="20"/>
          <w:szCs w:val="20"/>
          <w:color w:val="auto"/>
        </w:rPr>
      </w:pPr>
    </w:p>
    <w:p>
      <w:pPr>
        <w:ind w:left="4" w:firstLine="217"/>
        <w:spacing w:after="0" w:line="286" w:lineRule="auto"/>
        <w:rPr>
          <w:sz w:val="20"/>
          <w:szCs w:val="20"/>
          <w:color w:val="auto"/>
        </w:rPr>
      </w:pPr>
      <w:r>
        <w:rPr>
          <w:rFonts w:ascii="Arial" w:cs="Arial" w:eastAsia="Arial" w:hAnsi="Arial"/>
          <w:sz w:val="16"/>
          <w:szCs w:val="16"/>
          <w:color w:val="auto"/>
        </w:rPr>
        <w:t>The table below sets forth selected operating data for the three and six months ended June 30, 2025 and 2024. Amounts may not recalculate due to rounding.</w:t>
      </w:r>
    </w:p>
    <w:p>
      <w:pPr>
        <w:spacing w:after="0" w:line="14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2100" w:type="dxa"/>
            <w:vAlign w:val="bottom"/>
            <w:gridSpan w:val="3"/>
            <w:vMerge w:val="restart"/>
          </w:tcPr>
          <w:p>
            <w:pPr>
              <w:jc w:val="right"/>
              <w:ind w:right="61"/>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9"/>
              </w:rPr>
              <w:t>Six Months Ended</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760" w:type="dxa"/>
            <w:vAlign w:val="bottom"/>
          </w:tcPr>
          <w:p>
            <w:pPr>
              <w:spacing w:after="0"/>
              <w:rPr>
                <w:sz w:val="14"/>
                <w:szCs w:val="14"/>
                <w:color w:val="auto"/>
              </w:rPr>
            </w:pPr>
          </w:p>
        </w:tc>
        <w:tc>
          <w:tcPr>
            <w:tcW w:w="210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Increase</w:t>
            </w:r>
          </w:p>
        </w:tc>
        <w:tc>
          <w:tcPr>
            <w:tcW w:w="1380" w:type="dxa"/>
            <w:vAlign w:val="bottom"/>
            <w:tcBorders>
              <w:bottom w:val="single" w:sz="8" w:color="auto"/>
            </w:tcBorders>
            <w:gridSpan w:val="3"/>
          </w:tcPr>
          <w:p>
            <w:pPr>
              <w:jc w:val="center"/>
              <w:ind w:left="623"/>
              <w:spacing w:after="0" w:line="144" w:lineRule="exact"/>
              <w:rPr>
                <w:sz w:val="20"/>
                <w:szCs w:val="20"/>
                <w:color w:val="auto"/>
              </w:rPr>
            </w:pPr>
            <w:r>
              <w:rPr>
                <w:rFonts w:ascii="Arial" w:cs="Arial" w:eastAsia="Arial" w:hAnsi="Arial"/>
                <w:sz w:val="13"/>
                <w:szCs w:val="13"/>
                <w:b w:val="1"/>
                <w:bCs w:val="1"/>
                <w:color w:val="auto"/>
                <w:w w:val="99"/>
              </w:rPr>
              <w:t>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00" w:type="dxa"/>
            <w:vAlign w:val="bottom"/>
          </w:tcPr>
          <w:p>
            <w:pPr>
              <w:jc w:val="right"/>
              <w:ind w:right="282"/>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1000" w:type="dxa"/>
            <w:vAlign w:val="bottom"/>
          </w:tcPr>
          <w:p>
            <w:pPr>
              <w:jc w:val="right"/>
              <w:ind w:right="28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(Decrease)</w:t>
            </w:r>
          </w:p>
        </w:tc>
        <w:tc>
          <w:tcPr>
            <w:tcW w:w="1000" w:type="dxa"/>
            <w:vAlign w:val="bottom"/>
          </w:tcPr>
          <w:p>
            <w:pPr>
              <w:jc w:val="right"/>
              <w:ind w:right="283"/>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81"/>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(Decrease)</w:t>
            </w:r>
          </w:p>
        </w:tc>
        <w:tc>
          <w:tcPr>
            <w:tcW w:w="0" w:type="dxa"/>
            <w:vAlign w:val="bottom"/>
          </w:tcPr>
          <w:p>
            <w:pPr>
              <w:spacing w:after="0"/>
              <w:rPr>
                <w:sz w:val="1"/>
                <w:szCs w:val="1"/>
                <w:color w:val="auto"/>
              </w:rPr>
            </w:pPr>
          </w:p>
        </w:tc>
      </w:tr>
      <w:tr>
        <w:trPr>
          <w:trHeight w:val="197"/>
        </w:trPr>
        <w:tc>
          <w:tcPr>
            <w:tcW w:w="4760" w:type="dxa"/>
            <w:vAlign w:val="bottom"/>
            <w:tcBorders>
              <w:top w:val="single" w:sz="8" w:color="CCEEFF"/>
            </w:tcBorders>
            <w:shd w:val="clear" w:color="auto" w:fill="CCEEFF"/>
          </w:tcPr>
          <w:p>
            <w:pPr>
              <w:ind w:left="160"/>
              <w:spacing w:after="0" w:line="197" w:lineRule="exact"/>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0"/>
                <w:szCs w:val="20"/>
                <w:color w:val="auto"/>
                <w:vertAlign w:val="superscript"/>
              </w:rPr>
              <w:t>(a)</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65,762</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65,144</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122,118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122,617</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5"/>
        </w:trPr>
        <w:tc>
          <w:tcPr>
            <w:tcW w:w="4760" w:type="dxa"/>
            <w:vAlign w:val="bottom"/>
          </w:tcPr>
          <w:p>
            <w:pPr>
              <w:ind w:left="160"/>
              <w:spacing w:after="0" w:line="205" w:lineRule="exact"/>
              <w:rPr>
                <w:sz w:val="20"/>
                <w:szCs w:val="20"/>
                <w:color w:val="auto"/>
              </w:rPr>
            </w:pPr>
            <w:r>
              <w:rPr>
                <w:rFonts w:ascii="Arial" w:cs="Arial" w:eastAsia="Arial" w:hAnsi="Arial"/>
                <w:sz w:val="16"/>
                <w:szCs w:val="16"/>
                <w:color w:val="auto"/>
              </w:rPr>
              <w:t xml:space="preserve">Available seat miles (millions) </w:t>
            </w:r>
            <w:r>
              <w:rPr>
                <w:rFonts w:ascii="Arial" w:cs="Arial" w:eastAsia="Arial" w:hAnsi="Arial"/>
                <w:sz w:val="20"/>
                <w:szCs w:val="20"/>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6"/>
                <w:szCs w:val="16"/>
                <w:color w:val="auto"/>
              </w:rPr>
              <w:t>77,636</w:t>
            </w:r>
          </w:p>
        </w:tc>
        <w:tc>
          <w:tcPr>
            <w:tcW w:w="1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75,263</w:t>
            </w:r>
          </w:p>
        </w:tc>
        <w:tc>
          <w:tcPr>
            <w:tcW w:w="1080" w:type="dxa"/>
            <w:vAlign w:val="bottom"/>
            <w:gridSpan w:val="2"/>
          </w:tcPr>
          <w:p>
            <w:pPr>
              <w:jc w:val="cente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147,539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145,779</w:t>
            </w: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1.2%</w:t>
            </w:r>
          </w:p>
        </w:tc>
        <w:tc>
          <w:tcPr>
            <w:tcW w:w="0" w:type="dxa"/>
            <w:vAlign w:val="bottom"/>
          </w:tcPr>
          <w:p>
            <w:pPr>
              <w:spacing w:after="0"/>
              <w:rPr>
                <w:sz w:val="1"/>
                <w:szCs w:val="1"/>
                <w:color w:val="auto"/>
              </w:rPr>
            </w:pPr>
          </w:p>
        </w:tc>
      </w:tr>
      <w:tr>
        <w:trPr>
          <w:trHeight w:val="205"/>
        </w:trPr>
        <w:tc>
          <w:tcPr>
            <w:tcW w:w="4760" w:type="dxa"/>
            <w:vAlign w:val="bottom"/>
            <w:shd w:val="clear" w:color="auto" w:fill="CCEEFF"/>
          </w:tcPr>
          <w:p>
            <w:pPr>
              <w:ind w:left="160"/>
              <w:spacing w:after="0" w:line="205" w:lineRule="exact"/>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0"/>
                <w:szCs w:val="20"/>
                <w:color w:val="auto"/>
                <w:vertAlign w:val="superscript"/>
              </w:rPr>
              <w:t>(c)</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(1.9)pts</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(1.3)pts</w:t>
            </w:r>
          </w:p>
        </w:tc>
        <w:tc>
          <w:tcPr>
            <w:tcW w:w="0" w:type="dxa"/>
            <w:vAlign w:val="bottom"/>
          </w:tcPr>
          <w:p>
            <w:pPr>
              <w:spacing w:after="0"/>
              <w:rPr>
                <w:sz w:val="1"/>
                <w:szCs w:val="1"/>
                <w:color w:val="auto"/>
              </w:rPr>
            </w:pPr>
          </w:p>
        </w:tc>
      </w:tr>
      <w:tr>
        <w:trPr>
          <w:trHeight w:val="205"/>
        </w:trPr>
        <w:tc>
          <w:tcPr>
            <w:tcW w:w="4760" w:type="dxa"/>
            <w:vAlign w:val="bottom"/>
          </w:tcPr>
          <w:p>
            <w:pPr>
              <w:ind w:left="160"/>
              <w:spacing w:after="0" w:line="205" w:lineRule="exact"/>
              <w:rPr>
                <w:sz w:val="20"/>
                <w:szCs w:val="20"/>
                <w:color w:val="auto"/>
              </w:rPr>
            </w:pPr>
            <w:r>
              <w:rPr>
                <w:rFonts w:ascii="Arial" w:cs="Arial" w:eastAsia="Arial" w:hAnsi="Arial"/>
                <w:sz w:val="16"/>
                <w:szCs w:val="16"/>
                <w:color w:val="auto"/>
              </w:rPr>
              <w:t xml:space="preserve">Yield (cents) </w:t>
            </w:r>
            <w:r>
              <w:rPr>
                <w:rFonts w:ascii="Arial" w:cs="Arial" w:eastAsia="Arial" w:hAnsi="Arial"/>
                <w:sz w:val="20"/>
                <w:szCs w:val="20"/>
                <w:color w:val="auto"/>
                <w:vertAlign w:val="superscript"/>
              </w:rPr>
              <w:t>(d)</w:t>
            </w:r>
          </w:p>
        </w:tc>
        <w:tc>
          <w:tcPr>
            <w:tcW w:w="1000" w:type="dxa"/>
            <w:vAlign w:val="bottom"/>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20.27</w:t>
            </w:r>
          </w:p>
        </w:tc>
        <w:tc>
          <w:tcPr>
            <w:tcW w:w="1080" w:type="dxa"/>
            <w:vAlign w:val="bottom"/>
            <w:gridSpan w:val="2"/>
          </w:tcPr>
          <w:p>
            <w:pPr>
              <w:jc w:val="center"/>
              <w:ind w:left="20"/>
              <w:spacing w:after="0"/>
              <w:rPr>
                <w:sz w:val="20"/>
                <w:szCs w:val="20"/>
                <w:color w:val="auto"/>
              </w:rPr>
            </w:pPr>
            <w:r>
              <w:rPr>
                <w:rFonts w:ascii="Arial" w:cs="Arial" w:eastAsia="Arial" w:hAnsi="Arial"/>
                <w:sz w:val="16"/>
                <w:szCs w:val="16"/>
                <w:color w:val="auto"/>
                <w:w w:val="97"/>
              </w:rPr>
              <w:t>(1.5)%</w:t>
            </w:r>
          </w:p>
        </w:tc>
        <w:tc>
          <w:tcPr>
            <w:tcW w:w="1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20.11</w:t>
            </w: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5"/>
        </w:trPr>
        <w:tc>
          <w:tcPr>
            <w:tcW w:w="4760" w:type="dxa"/>
            <w:vAlign w:val="bottom"/>
            <w:shd w:val="clear" w:color="auto" w:fill="CCEEFF"/>
          </w:tcPr>
          <w:p>
            <w:pPr>
              <w:ind w:left="160"/>
              <w:spacing w:after="0" w:line="205" w:lineRule="exact"/>
              <w:rPr>
                <w:sz w:val="20"/>
                <w:szCs w:val="20"/>
                <w:color w:val="auto"/>
              </w:rPr>
            </w:pPr>
            <w:r>
              <w:rPr>
                <w:rFonts w:ascii="Arial" w:cs="Arial" w:eastAsia="Arial" w:hAnsi="Arial"/>
                <w:sz w:val="16"/>
                <w:szCs w:val="16"/>
                <w:color w:val="auto"/>
              </w:rPr>
              <w:t xml:space="preserve">Passenger revenue per available seat mile (cents) </w:t>
            </w:r>
            <w:r>
              <w:rPr>
                <w:rFonts w:ascii="Arial" w:cs="Arial" w:eastAsia="Arial" w:hAnsi="Arial"/>
                <w:sz w:val="20"/>
                <w:szCs w:val="20"/>
                <w:color w:val="auto"/>
                <w:vertAlign w:val="superscript"/>
              </w:rPr>
              <w:t>(e)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17.54</w:t>
            </w:r>
          </w:p>
        </w:tc>
        <w:tc>
          <w:tcPr>
            <w:tcW w:w="108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7"/>
              </w:rPr>
              <w:t>(3.6)%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16.92</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5"/>
        </w:trPr>
        <w:tc>
          <w:tcPr>
            <w:tcW w:w="4760" w:type="dxa"/>
            <w:vAlign w:val="bottom"/>
          </w:tcPr>
          <w:p>
            <w:pPr>
              <w:ind w:left="160"/>
              <w:spacing w:after="0" w:line="205" w:lineRule="exact"/>
              <w:rPr>
                <w:sz w:val="20"/>
                <w:szCs w:val="20"/>
                <w:color w:val="auto"/>
              </w:rPr>
            </w:pPr>
            <w:r>
              <w:rPr>
                <w:rFonts w:ascii="Arial" w:cs="Arial" w:eastAsia="Arial" w:hAnsi="Arial"/>
                <w:sz w:val="16"/>
                <w:szCs w:val="16"/>
                <w:color w:val="auto"/>
              </w:rPr>
              <w:t xml:space="preserve">Total revenue per available seat mile (cents) </w:t>
            </w:r>
            <w:r>
              <w:rPr>
                <w:rFonts w:ascii="Arial" w:cs="Arial" w:eastAsia="Arial" w:hAnsi="Arial"/>
                <w:sz w:val="20"/>
                <w:szCs w:val="20"/>
                <w:color w:val="auto"/>
                <w:vertAlign w:val="superscript"/>
              </w:rPr>
              <w:t>(f)</w:t>
            </w:r>
          </w:p>
        </w:tc>
        <w:tc>
          <w:tcPr>
            <w:tcW w:w="1000" w:type="dxa"/>
            <w:vAlign w:val="bottom"/>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19.05</w:t>
            </w:r>
          </w:p>
        </w:tc>
        <w:tc>
          <w:tcPr>
            <w:tcW w:w="1080" w:type="dxa"/>
            <w:vAlign w:val="bottom"/>
            <w:gridSpan w:val="2"/>
          </w:tcPr>
          <w:p>
            <w:pPr>
              <w:jc w:val="center"/>
              <w:ind w:left="20"/>
              <w:spacing w:after="0"/>
              <w:rPr>
                <w:sz w:val="20"/>
                <w:szCs w:val="20"/>
                <w:color w:val="auto"/>
              </w:rPr>
            </w:pPr>
            <w:r>
              <w:rPr>
                <w:rFonts w:ascii="Arial" w:cs="Arial" w:eastAsia="Arial" w:hAnsi="Arial"/>
                <w:sz w:val="16"/>
                <w:szCs w:val="16"/>
                <w:color w:val="auto"/>
                <w:w w:val="97"/>
              </w:rPr>
              <w:t>(2.7)%</w:t>
            </w:r>
          </w:p>
        </w:tc>
        <w:tc>
          <w:tcPr>
            <w:tcW w:w="1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18.46</w:t>
            </w: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Fuel consumption (gallons in millions)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1,132</w:t>
            </w:r>
          </w:p>
        </w:tc>
        <w:tc>
          <w:tcPr>
            <w:tcW w:w="108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2,174</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156"/>
        </w:trPr>
        <w:tc>
          <w:tcPr>
            <w:tcW w:w="4760" w:type="dxa"/>
            <w:vAlign w:val="bottom"/>
          </w:tcPr>
          <w:p>
            <w:pPr>
              <w:ind w:left="160"/>
              <w:spacing w:after="0" w:line="157" w:lineRule="exact"/>
              <w:rPr>
                <w:sz w:val="20"/>
                <w:szCs w:val="20"/>
                <w:color w:val="auto"/>
              </w:rPr>
            </w:pPr>
            <w:r>
              <w:rPr>
                <w:rFonts w:ascii="Arial" w:cs="Arial" w:eastAsia="Arial" w:hAnsi="Arial"/>
                <w:sz w:val="16"/>
                <w:szCs w:val="16"/>
                <w:color w:val="auto"/>
              </w:rPr>
              <w:t>Average aircraft fuel price including related taxes (dollars per</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3"/>
                <w:szCs w:val="13"/>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2.70</w:t>
            </w: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(15.3)%</w:t>
            </w:r>
          </w:p>
        </w:tc>
        <w:tc>
          <w:tcPr>
            <w:tcW w:w="10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color w:val="auto"/>
              </w:rPr>
              <w:t>2.78</w:t>
            </w: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(14.3)%</w:t>
            </w:r>
          </w:p>
        </w:tc>
        <w:tc>
          <w:tcPr>
            <w:tcW w:w="0" w:type="dxa"/>
            <w:vAlign w:val="bottom"/>
          </w:tcPr>
          <w:p>
            <w:pPr>
              <w:spacing w:after="0"/>
              <w:rPr>
                <w:sz w:val="1"/>
                <w:szCs w:val="1"/>
                <w:color w:val="auto"/>
              </w:rPr>
            </w:pPr>
          </w:p>
        </w:tc>
      </w:tr>
      <w:tr>
        <w:trPr>
          <w:trHeight w:val="217"/>
        </w:trPr>
        <w:tc>
          <w:tcPr>
            <w:tcW w:w="4760" w:type="dxa"/>
            <w:vAlign w:val="bottom"/>
          </w:tcPr>
          <w:p>
            <w:pPr>
              <w:ind w:left="300"/>
              <w:spacing w:after="0"/>
              <w:rPr>
                <w:sz w:val="20"/>
                <w:szCs w:val="20"/>
                <w:color w:val="auto"/>
              </w:rPr>
            </w:pPr>
            <w:r>
              <w:rPr>
                <w:rFonts w:ascii="Arial" w:cs="Arial" w:eastAsia="Arial" w:hAnsi="Arial"/>
                <w:sz w:val="16"/>
                <w:szCs w:val="16"/>
                <w:color w:val="auto"/>
              </w:rPr>
              <w:t>gallon)</w:t>
            </w: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60" w:type="dxa"/>
            <w:vAlign w:val="bottom"/>
            <w:shd w:val="clear" w:color="auto" w:fill="CCEEFF"/>
          </w:tcPr>
          <w:p>
            <w:pPr>
              <w:ind w:left="160"/>
              <w:spacing w:after="0" w:line="205" w:lineRule="exact"/>
              <w:rPr>
                <w:sz w:val="20"/>
                <w:szCs w:val="20"/>
                <w:color w:val="auto"/>
              </w:rPr>
            </w:pPr>
            <w:r>
              <w:rPr>
                <w:rFonts w:ascii="Arial" w:cs="Arial" w:eastAsia="Arial" w:hAnsi="Arial"/>
                <w:sz w:val="16"/>
                <w:szCs w:val="16"/>
                <w:color w:val="auto"/>
              </w:rPr>
              <w:t xml:space="preserve">Total operating cost per available seat mile (cents) </w:t>
            </w:r>
            <w:r>
              <w:rPr>
                <w:rFonts w:ascii="Arial" w:cs="Arial" w:eastAsia="Arial" w:hAnsi="Arial"/>
                <w:sz w:val="20"/>
                <w:szCs w:val="20"/>
                <w:color w:val="auto"/>
                <w:vertAlign w:val="superscript"/>
              </w:rPr>
              <w:t>(g)</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17.21</w:t>
            </w:r>
          </w:p>
        </w:tc>
        <w:tc>
          <w:tcPr>
            <w:tcW w:w="108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7"/>
              </w:rPr>
              <w:t>(0.8)%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17.50</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205"/>
        </w:trPr>
        <w:tc>
          <w:tcPr>
            <w:tcW w:w="4760" w:type="dxa"/>
            <w:vAlign w:val="bottom"/>
          </w:tcPr>
          <w:p>
            <w:pPr>
              <w:ind w:left="160"/>
              <w:spacing w:after="0" w:line="205" w:lineRule="exact"/>
              <w:rPr>
                <w:sz w:val="20"/>
                <w:szCs w:val="20"/>
                <w:color w:val="auto"/>
              </w:rPr>
            </w:pPr>
            <w:r>
              <w:rPr>
                <w:rFonts w:ascii="Arial" w:cs="Arial" w:eastAsia="Arial" w:hAnsi="Arial"/>
                <w:sz w:val="16"/>
                <w:szCs w:val="16"/>
                <w:color w:val="auto"/>
              </w:rPr>
              <w:t xml:space="preserve">Aircraft at end of period </w:t>
            </w:r>
            <w:r>
              <w:rPr>
                <w:rFonts w:ascii="Arial" w:cs="Arial" w:eastAsia="Arial" w:hAnsi="Arial"/>
                <w:sz w:val="20"/>
                <w:szCs w:val="20"/>
                <w:color w:val="auto"/>
                <w:vertAlign w:val="superscript"/>
              </w:rPr>
              <w:t>(h)</w:t>
            </w:r>
          </w:p>
        </w:tc>
        <w:tc>
          <w:tcPr>
            <w:tcW w:w="1000" w:type="dxa"/>
            <w:vAlign w:val="bottom"/>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1,529</w:t>
            </w:r>
          </w:p>
        </w:tc>
        <w:tc>
          <w:tcPr>
            <w:tcW w:w="1080" w:type="dxa"/>
            <w:vAlign w:val="bottom"/>
            <w:gridSpan w:val="2"/>
          </w:tcPr>
          <w:p>
            <w:pPr>
              <w:jc w:val="center"/>
              <w:ind w:left="2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1,529</w:t>
            </w: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0.7%</w:t>
            </w:r>
          </w:p>
        </w:tc>
        <w:tc>
          <w:tcPr>
            <w:tcW w:w="0" w:type="dxa"/>
            <w:vAlign w:val="bottom"/>
          </w:tcPr>
          <w:p>
            <w:pPr>
              <w:spacing w:after="0"/>
              <w:rPr>
                <w:sz w:val="1"/>
                <w:szCs w:val="1"/>
                <w:color w:val="auto"/>
              </w:rPr>
            </w:pPr>
          </w:p>
        </w:tc>
      </w:tr>
      <w:tr>
        <w:trPr>
          <w:trHeight w:val="205"/>
        </w:trPr>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Full-time equivalent employees at end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137,400</w:t>
            </w:r>
          </w:p>
        </w:tc>
        <w:tc>
          <w:tcPr>
            <w:tcW w:w="108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138,100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137,400</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31508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174" w:lineRule="exact"/>
        <w:rPr>
          <w:sz w:val="20"/>
          <w:szCs w:val="20"/>
          <w:color w:val="auto"/>
        </w:rPr>
      </w:pPr>
    </w:p>
    <w:p>
      <w:pPr>
        <w:ind w:left="284" w:hanging="284"/>
        <w:spacing w:after="0"/>
        <w:tabs>
          <w:tab w:leader="none" w:pos="284"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Revenue passenger mile (RPM) – A basic measure of sales volume. One RPM represents one passenger flown one mile.</w:t>
      </w:r>
    </w:p>
    <w:p>
      <w:pPr>
        <w:spacing w:after="0" w:line="95"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Available seat mile (ASM) – A basic measure of production. One ASM represents one seat flown one mile.</w:t>
      </w:r>
    </w:p>
    <w:p>
      <w:pPr>
        <w:spacing w:after="0" w:line="95"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Passenger load factor – The percentage of available seats that are filled with revenue passengers.</w:t>
      </w:r>
    </w:p>
    <w:p>
      <w:pPr>
        <w:spacing w:after="0" w:line="95"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Yield – A measure of airline revenue derived by dividing passenger revenue by RPMs.</w:t>
      </w:r>
    </w:p>
    <w:p>
      <w:pPr>
        <w:spacing w:after="0" w:line="95"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Passenger revenue per available seat mile (PRASM) – Passenger revenue divided by ASMs.</w:t>
      </w:r>
    </w:p>
    <w:p>
      <w:pPr>
        <w:spacing w:after="0" w:line="95"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Total revenue per available seat mile (TRASM) – Total revenues divided by ASMs.</w:t>
      </w:r>
    </w:p>
    <w:p>
      <w:pPr>
        <w:spacing w:after="0" w:line="95"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Total operating cost per available seat mile (CASM) – Total operating expenses divided by ASMs.</w:t>
      </w:r>
    </w:p>
    <w:p>
      <w:pPr>
        <w:spacing w:after="0" w:line="125" w:lineRule="exact"/>
        <w:rPr>
          <w:rFonts w:ascii="Arial" w:cs="Arial" w:eastAsia="Arial" w:hAnsi="Arial"/>
          <w:sz w:val="21"/>
          <w:szCs w:val="21"/>
          <w:color w:val="auto"/>
          <w:vertAlign w:val="superscript"/>
        </w:rPr>
      </w:pPr>
    </w:p>
    <w:p>
      <w:pPr>
        <w:jc w:val="both"/>
        <w:ind w:left="284" w:hanging="284"/>
        <w:spacing w:after="0"/>
        <w:tabs>
          <w:tab w:leader="none" w:pos="279"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Includes aircraft owned and leased by American as well as aircraft operated by third-party regional carriers under capacity purchase agreements. Excluded from the aircraft count above are six regional aircraft in temporary storage as of June 30, 2025 as follows: four Bombardier CRJ 900 and two Embraer 145.</w:t>
      </w:r>
    </w:p>
    <w:p>
      <w:pPr>
        <w:spacing w:after="0" w:line="200" w:lineRule="exact"/>
        <w:rPr>
          <w:sz w:val="20"/>
          <w:szCs w:val="20"/>
          <w:color w:val="auto"/>
        </w:rPr>
      </w:pP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4"/>
          </w:cols>
          <w:pgMar w:left="316" w:top="124"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2025 Compared to Three Months Ended June 30, 2024</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Operating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jc w:val="center"/>
              <w:ind w:left="8"/>
              <w:spacing w:after="0"/>
              <w:rPr>
                <w:sz w:val="20"/>
                <w:szCs w:val="20"/>
                <w:color w:val="auto"/>
              </w:rPr>
            </w:pPr>
            <w:r>
              <w:rPr>
                <w:rFonts w:ascii="Arial" w:cs="Arial" w:eastAsia="Arial" w:hAnsi="Arial"/>
                <w:sz w:val="13"/>
                <w:szCs w:val="13"/>
                <w:b w:val="1"/>
                <w:bCs w:val="1"/>
                <w:color w:val="auto"/>
                <w:w w:val="96"/>
              </w:rPr>
              <w:t>Percent</w:t>
            </w:r>
          </w:p>
        </w:tc>
        <w:tc>
          <w:tcPr>
            <w:tcW w:w="0" w:type="dxa"/>
            <w:vAlign w:val="bottom"/>
          </w:tcPr>
          <w:p>
            <w:pPr>
              <w:spacing w:after="0"/>
              <w:rPr>
                <w:sz w:val="1"/>
                <w:szCs w:val="1"/>
                <w:color w:val="auto"/>
              </w:rPr>
            </w:pPr>
          </w:p>
        </w:tc>
      </w:tr>
      <w:tr>
        <w:trPr>
          <w:trHeight w:val="48"/>
        </w:trPr>
        <w:tc>
          <w:tcPr>
            <w:tcW w:w="53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restart"/>
          </w:tcPr>
          <w:p>
            <w:pPr>
              <w:jc w:val="right"/>
              <w:ind w:right="367"/>
              <w:spacing w:after="0" w:line="96" w:lineRule="exact"/>
              <w:rPr>
                <w:sz w:val="20"/>
                <w:szCs w:val="20"/>
                <w:color w:val="auto"/>
              </w:rPr>
            </w:pPr>
            <w:r>
              <w:rPr>
                <w:rFonts w:ascii="Arial" w:cs="Arial" w:eastAsia="Arial" w:hAnsi="Arial"/>
                <w:sz w:val="11"/>
                <w:szCs w:val="11"/>
                <w:b w:val="1"/>
                <w:bCs w:val="1"/>
                <w:color w:val="auto"/>
              </w:rPr>
              <w:t>Increase</w:t>
            </w:r>
          </w:p>
        </w:tc>
        <w:tc>
          <w:tcPr>
            <w:tcW w:w="1500" w:type="dxa"/>
            <w:vAlign w:val="bottom"/>
            <w:vMerge w:val="restart"/>
          </w:tcPr>
          <w:p>
            <w:pPr>
              <w:jc w:val="center"/>
              <w:ind w:left="28"/>
              <w:spacing w:after="0" w:line="96"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85"/>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vMerge w:val="restart"/>
          </w:tcPr>
          <w:p>
            <w:pPr>
              <w:jc w:val="right"/>
              <w:ind w:right="465"/>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b w:val="1"/>
                <w:bCs w:val="1"/>
                <w:color w:val="auto"/>
              </w:rPr>
              <w:t>(Decrease)</w:t>
            </w:r>
          </w:p>
        </w:tc>
        <w:tc>
          <w:tcPr>
            <w:tcW w:w="1500" w:type="dxa"/>
            <w:vAlign w:val="bottom"/>
            <w:tcBorders>
              <w:bottom w:val="single" w:sz="8" w:color="auto"/>
            </w:tcBorders>
          </w:tcPr>
          <w:p>
            <w:pPr>
              <w:jc w:val="center"/>
              <w:ind w:left="8"/>
              <w:spacing w:after="0"/>
              <w:rPr>
                <w:sz w:val="20"/>
                <w:szCs w:val="20"/>
                <w:color w:val="auto"/>
              </w:rPr>
            </w:pPr>
            <w:r>
              <w:rPr>
                <w:rFonts w:ascii="Arial" w:cs="Arial" w:eastAsia="Arial" w:hAnsi="Arial"/>
                <w:sz w:val="13"/>
                <w:szCs w:val="13"/>
                <w:b w:val="1"/>
                <w:bCs w:val="1"/>
                <w:color w:val="auto"/>
                <w:w w:val="99"/>
              </w:rPr>
              <w:t>(Decrease)</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jc w:val="right"/>
              <w:ind w:right="127"/>
              <w:spacing w:after="0"/>
              <w:rPr>
                <w:sz w:val="20"/>
                <w:szCs w:val="20"/>
                <w:color w:val="auto"/>
              </w:rPr>
            </w:pPr>
            <w:r>
              <w:rPr>
                <w:rFonts w:ascii="Arial" w:cs="Arial" w:eastAsia="Arial" w:hAnsi="Arial"/>
                <w:sz w:val="13"/>
                <w:szCs w:val="13"/>
                <w:b w:val="1"/>
                <w:bCs w:val="1"/>
                <w:color w:val="auto"/>
              </w:rPr>
              <w:t>(In millions, except percentage changes)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13,123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50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5"/>
        </w:trPr>
        <w:tc>
          <w:tcPr>
            <w:tcW w:w="5380" w:type="dxa"/>
            <w:vAlign w:val="bottom"/>
          </w:tcPr>
          <w:p>
            <w:pPr>
              <w:ind w:left="20"/>
              <w:spacing w:after="0"/>
              <w:rPr>
                <w:sz w:val="20"/>
                <w:szCs w:val="20"/>
                <w:color w:val="auto"/>
              </w:rPr>
            </w:pPr>
            <w:r>
              <w:rPr>
                <w:rFonts w:ascii="Arial" w:cs="Arial" w:eastAsia="Arial" w:hAnsi="Arial"/>
                <w:sz w:val="16"/>
                <w:szCs w:val="16"/>
                <w:color w:val="auto"/>
              </w:rPr>
              <w:t>Cargo</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500" w:type="dxa"/>
            <w:vAlign w:val="bottom"/>
          </w:tcPr>
          <w:p>
            <w:pPr>
              <w:jc w:val="center"/>
              <w:ind w:left="8"/>
              <w:spacing w:after="0"/>
              <w:rPr>
                <w:sz w:val="20"/>
                <w:szCs w:val="20"/>
                <w:color w:val="auto"/>
              </w:rPr>
            </w:pPr>
            <w:r>
              <w:rPr>
                <w:rFonts w:ascii="Arial" w:cs="Arial" w:eastAsia="Arial" w:hAnsi="Arial"/>
                <w:sz w:val="16"/>
                <w:szCs w:val="16"/>
                <w:color w:val="auto"/>
                <w:w w:val="98"/>
              </w:rPr>
              <w:t>8.2</w:t>
            </w: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1,058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50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w w:val="96"/>
              </w:rPr>
              <w:t>13.0</w:t>
            </w:r>
          </w:p>
        </w:tc>
        <w:tc>
          <w:tcPr>
            <w:tcW w:w="0" w:type="dxa"/>
            <w:vAlign w:val="bottom"/>
          </w:tcPr>
          <w:p>
            <w:pPr>
              <w:spacing w:after="0"/>
              <w:rPr>
                <w:sz w:val="1"/>
                <w:szCs w:val="1"/>
                <w:color w:val="auto"/>
              </w:rPr>
            </w:pPr>
          </w:p>
        </w:tc>
      </w:tr>
      <w:tr>
        <w:trPr>
          <w:trHeight w:val="197"/>
        </w:trPr>
        <w:tc>
          <w:tcPr>
            <w:tcW w:w="5380" w:type="dxa"/>
            <w:vAlign w:val="bottom"/>
          </w:tcPr>
          <w:p>
            <w:pPr>
              <w:ind w:left="120"/>
              <w:spacing w:after="0"/>
              <w:rPr>
                <w:sz w:val="20"/>
                <w:szCs w:val="20"/>
                <w:color w:val="auto"/>
              </w:rPr>
            </w:pPr>
            <w:r>
              <w:rPr>
                <w:rFonts w:ascii="Arial" w:cs="Arial" w:eastAsia="Arial" w:hAnsi="Arial"/>
                <w:sz w:val="16"/>
                <w:szCs w:val="16"/>
                <w:color w:val="auto"/>
              </w:rPr>
              <w:t>Total operating revenues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14,392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500" w:type="dxa"/>
            <w:vAlign w:val="bottom"/>
          </w:tcPr>
          <w:p>
            <w:pPr>
              <w:jc w:val="center"/>
              <w:ind w:left="8"/>
              <w:spacing w:after="0"/>
              <w:rPr>
                <w:sz w:val="20"/>
                <w:szCs w:val="20"/>
                <w:color w:val="auto"/>
              </w:rPr>
            </w:pPr>
            <w:r>
              <w:rPr>
                <w:rFonts w:ascii="Arial" w:cs="Arial" w:eastAsia="Arial" w:hAnsi="Arial"/>
                <w:sz w:val="16"/>
                <w:szCs w:val="16"/>
                <w:color w:val="auto"/>
                <w:w w:val="98"/>
              </w:rPr>
              <w:t>0.4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-679450</wp:posOffset>
            </wp:positionV>
            <wp:extent cx="609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-679450</wp:posOffset>
            </wp:positionV>
            <wp:extent cx="6096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-679450</wp:posOffset>
            </wp:positionV>
            <wp:extent cx="609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table presents our passenger revenue and the period-over-period change in certain operating statistics: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9"/>
              </w:rPr>
              <w:t>Increase (Decrease)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3"/>
                <w:szCs w:val="13"/>
                <w:b w:val="1"/>
                <w:bCs w:val="1"/>
                <w:color w:val="auto"/>
                <w:w w:val="98"/>
              </w:rPr>
              <w:t>vs. Three Months Ended June 30, 2024</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7"/>
              </w:rPr>
              <w:t>Three Months Ended</w:t>
            </w:r>
          </w:p>
        </w:tc>
        <w:tc>
          <w:tcPr>
            <w:tcW w:w="90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RPMs</w:t>
            </w:r>
          </w:p>
        </w:tc>
        <w:tc>
          <w:tcPr>
            <w:tcW w:w="100" w:type="dxa"/>
            <w:vAlign w:val="bottom"/>
            <w:vMerge w:val="restart"/>
          </w:tcPr>
          <w:p>
            <w:pPr>
              <w:spacing w:after="0"/>
              <w:rPr>
                <w:sz w:val="10"/>
                <w:szCs w:val="10"/>
                <w:color w:val="auto"/>
              </w:rPr>
            </w:pPr>
          </w:p>
        </w:tc>
        <w:tc>
          <w:tcPr>
            <w:tcW w:w="88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ASMs</w:t>
            </w:r>
          </w:p>
        </w:tc>
        <w:tc>
          <w:tcPr>
            <w:tcW w:w="100" w:type="dxa"/>
            <w:vAlign w:val="bottom"/>
          </w:tcPr>
          <w:p>
            <w:pPr>
              <w:spacing w:after="0"/>
              <w:rPr>
                <w:sz w:val="10"/>
                <w:szCs w:val="10"/>
                <w:color w:val="auto"/>
              </w:rPr>
            </w:pPr>
          </w:p>
        </w:tc>
        <w:tc>
          <w:tcPr>
            <w:tcW w:w="1240" w:type="dxa"/>
            <w:vAlign w:val="bottom"/>
            <w:gridSpan w:val="3"/>
          </w:tcPr>
          <w:p>
            <w:pPr>
              <w:jc w:val="center"/>
              <w:ind w:right="240"/>
              <w:spacing w:after="0" w:line="124" w:lineRule="exact"/>
              <w:rPr>
                <w:sz w:val="20"/>
                <w:szCs w:val="20"/>
                <w:color w:val="auto"/>
              </w:rPr>
            </w:pPr>
            <w:r>
              <w:rPr>
                <w:rFonts w:ascii="Arial" w:cs="Arial" w:eastAsia="Arial" w:hAnsi="Arial"/>
                <w:sz w:val="13"/>
                <w:szCs w:val="13"/>
                <w:b w:val="1"/>
                <w:bCs w:val="1"/>
                <w:color w:val="auto"/>
              </w:rPr>
              <w:t>Load</w:t>
            </w:r>
          </w:p>
        </w:tc>
        <w:tc>
          <w:tcPr>
            <w:tcW w:w="10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rPr>
              <w:t>Passenger</w:t>
            </w:r>
          </w:p>
        </w:tc>
        <w:tc>
          <w:tcPr>
            <w:tcW w:w="90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PRASM</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w w:val="99"/>
              </w:rPr>
              <w:t>June 30, 2025</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Factor</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Yield</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(In millions)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w w:val="99"/>
              </w:rPr>
              <w:t>(1.9)pts</w:t>
            </w:r>
          </w:p>
        </w:tc>
        <w:tc>
          <w:tcPr>
            <w:tcW w:w="920" w:type="dxa"/>
            <w:vAlign w:val="bottom"/>
            <w:shd w:val="clear" w:color="auto" w:fill="CCEEFF"/>
          </w:tcPr>
          <w:p>
            <w:pPr>
              <w:jc w:val="center"/>
              <w:ind w:right="70"/>
              <w:spacing w:after="0"/>
              <w:rPr>
                <w:sz w:val="20"/>
                <w:szCs w:val="20"/>
                <w:color w:val="auto"/>
              </w:rPr>
            </w:pPr>
            <w:r>
              <w:rPr>
                <w:rFonts w:ascii="Arial" w:cs="Arial" w:eastAsia="Arial" w:hAnsi="Arial"/>
                <w:sz w:val="16"/>
                <w:szCs w:val="16"/>
                <w:color w:val="auto"/>
                <w:w w:val="97"/>
              </w:rPr>
              <w:t>(1.5)%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Passenger revenue decreased $79 million, or 0.6%, in the second quarter of 2025 from the second quarter of 2024. Our passenger revenue in the second quarter of 2025 was impacted by softness in domestic demand for air travel, offset in part by continued strength in international air travel, particularly in the Atlantic region. Atlantic PRASM increased 5.0% in the second quarter of 2025 as compared to the second quarter of 2024.</w:t>
      </w:r>
    </w:p>
    <w:p>
      <w:pPr>
        <w:spacing w:after="0" w:line="104"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Cargo revenue increased $16 million, or 8.2%, in the second quarter of 2025 from the second quarter of 2024, primarily due to a 6.9% increase in cargo yield and a 1.2% increase in cargo ton miles.</w:t>
      </w:r>
    </w:p>
    <w:p>
      <w:pPr>
        <w:spacing w:after="0" w:line="91"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Other operating revenue increased $121 million, or 13.0%, in the second quarter of 2025 from the second quarter of 2024, driven primarily by higher revenue associated with our loyalty program. During the three months ended June 30, 2025 and 2024, cash payments from co-branded credit card and other partners were $1.41 billion and $1.36 billion, respectively.</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Operating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ind w:left="4"/>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54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vMerge w:val="restart"/>
          </w:tcPr>
          <w:p>
            <w:pPr>
              <w:jc w:val="right"/>
              <w:ind w:right="363"/>
              <w:spacing w:after="0" w:line="101" w:lineRule="exact"/>
              <w:rPr>
                <w:sz w:val="20"/>
                <w:szCs w:val="20"/>
                <w:color w:val="auto"/>
              </w:rPr>
            </w:pPr>
            <w:r>
              <w:rPr>
                <w:rFonts w:ascii="Arial" w:cs="Arial" w:eastAsia="Arial" w:hAnsi="Arial"/>
                <w:sz w:val="11"/>
                <w:szCs w:val="11"/>
                <w:b w:val="1"/>
                <w:bCs w:val="1"/>
                <w:color w:val="auto"/>
              </w:rPr>
              <w:t>Increase</w:t>
            </w:r>
          </w:p>
        </w:tc>
        <w:tc>
          <w:tcPr>
            <w:tcW w:w="1480" w:type="dxa"/>
            <w:vAlign w:val="bottom"/>
            <w:vMerge w:val="restart"/>
          </w:tcPr>
          <w:p>
            <w:pPr>
              <w:jc w:val="center"/>
              <w:ind w:left="4"/>
              <w:spacing w:after="0" w:line="101"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32"/>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5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(Decrease)</w:t>
            </w:r>
          </w:p>
        </w:tc>
        <w:tc>
          <w:tcPr>
            <w:tcW w:w="1480" w:type="dxa"/>
            <w:vAlign w:val="bottom"/>
            <w:tcBorders>
              <w:bottom w:val="single" w:sz="8" w:color="auto"/>
            </w:tcBorders>
          </w:tcPr>
          <w:p>
            <w:pPr>
              <w:jc w:val="center"/>
              <w:ind w:left="4"/>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4"/>
          </w:tcPr>
          <w:p>
            <w:pPr>
              <w:jc w:val="right"/>
              <w:ind w:right="103"/>
              <w:spacing w:after="0"/>
              <w:rPr>
                <w:sz w:val="20"/>
                <w:szCs w:val="20"/>
                <w:color w:val="auto"/>
              </w:rPr>
            </w:pPr>
            <w:r>
              <w:rPr>
                <w:rFonts w:ascii="Arial" w:cs="Arial" w:eastAsia="Arial" w:hAnsi="Arial"/>
                <w:sz w:val="13"/>
                <w:szCs w:val="13"/>
                <w:b w:val="1"/>
                <w:bCs w:val="1"/>
                <w:color w:val="auto"/>
                <w:w w:val="99"/>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w w:val="95"/>
              </w:rPr>
              <w:t>(13.0)</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3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4,382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429</w:t>
            </w:r>
          </w:p>
        </w:tc>
        <w:tc>
          <w:tcPr>
            <w:tcW w:w="1480" w:type="dxa"/>
            <w:vAlign w:val="bottom"/>
          </w:tcPr>
          <w:p>
            <w:pPr>
              <w:jc w:val="center"/>
              <w:ind w:left="4"/>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Regional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6"/>
                <w:szCs w:val="16"/>
                <w:color w:val="auto"/>
              </w:rPr>
              <w:t>Maintenance, materials and repairs</w:t>
            </w:r>
          </w:p>
        </w:tc>
        <w:tc>
          <w:tcPr>
            <w:tcW w:w="3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480" w:type="dxa"/>
            <w:vAlign w:val="bottom"/>
          </w:tcPr>
          <w:p>
            <w:pPr>
              <w:jc w:val="center"/>
              <w:ind w:left="4"/>
              <w:spacing w:after="0"/>
              <w:rPr>
                <w:sz w:val="20"/>
                <w:szCs w:val="20"/>
                <w:color w:val="auto"/>
              </w:rPr>
            </w:pPr>
            <w:r>
              <w:rPr>
                <w:rFonts w:ascii="Arial" w:cs="Arial" w:eastAsia="Arial" w:hAnsi="Arial"/>
                <w:sz w:val="16"/>
                <w:szCs w:val="16"/>
                <w:color w:val="auto"/>
                <w:w w:val="97"/>
              </w:rPr>
              <w:t>(2.5)</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rent and landing fees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6"/>
                <w:szCs w:val="16"/>
                <w:color w:val="auto"/>
              </w:rPr>
              <w:t>Aircraft rent</w:t>
            </w:r>
          </w:p>
        </w:tc>
        <w:tc>
          <w:tcPr>
            <w:tcW w:w="3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480" w:type="dxa"/>
            <w:vAlign w:val="bottom"/>
          </w:tcPr>
          <w:p>
            <w:pPr>
              <w:jc w:val="center"/>
              <w:ind w:left="4"/>
              <w:spacing w:after="0"/>
              <w:rPr>
                <w:sz w:val="20"/>
                <w:szCs w:val="20"/>
                <w:color w:val="auto"/>
              </w:rPr>
            </w:pPr>
            <w:r>
              <w:rPr>
                <w:rFonts w:ascii="Arial" w:cs="Arial" w:eastAsia="Arial" w:hAnsi="Arial"/>
                <w:sz w:val="16"/>
                <w:szCs w:val="16"/>
                <w:color w:val="auto"/>
                <w:w w:val="97"/>
              </w:rPr>
              <w:t>(3.8)</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480" w:type="dxa"/>
            <w:vAlign w:val="bottom"/>
          </w:tcPr>
          <w:p>
            <w:pPr>
              <w:jc w:val="center"/>
              <w:ind w:left="4"/>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Mainline operating special items, net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w:t>
            </w:r>
          </w:p>
        </w:tc>
        <w:tc>
          <w:tcPr>
            <w:tcW w:w="1480" w:type="dxa"/>
            <w:vAlign w:val="bottom"/>
            <w:shd w:val="clear" w:color="auto" w:fill="CCEEFF"/>
          </w:tcPr>
          <w:p>
            <w:pPr>
              <w:jc w:val="center"/>
              <w:ind w:left="64"/>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20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59</w:t>
            </w:r>
          </w:p>
        </w:tc>
        <w:tc>
          <w:tcPr>
            <w:tcW w:w="1480" w:type="dxa"/>
            <w:vAlign w:val="bottom"/>
            <w:tcBorders>
              <w:bottom w:val="single" w:sz="8" w:color="CCEEFF"/>
            </w:tcBorders>
          </w:tcPr>
          <w:p>
            <w:pPr>
              <w:jc w:val="center"/>
              <w:ind w:left="4"/>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13,257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307</w:t>
            </w:r>
          </w:p>
        </w:tc>
        <w:tc>
          <w:tcPr>
            <w:tcW w:w="148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-1589405</wp:posOffset>
            </wp:positionV>
            <wp:extent cx="609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-1589405</wp:posOffset>
            </wp:positionV>
            <wp:extent cx="609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6204585</wp:posOffset>
            </wp:positionH>
            <wp:positionV relativeFrom="paragraph">
              <wp:posOffset>-1589405</wp:posOffset>
            </wp:positionV>
            <wp:extent cx="609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Aircraft fuel and related taxes decreased $398 million, or 13.0%, in the second quarter of 2025 from the second quarter of 2024, primarily due to a 15.3% decrease in the average price per gallon of aircraft fuel including related taxes to $2.29 in the second quarter of 2025 from $2.70 in the second quarter of 2024, offset in part by a 2.7% increase in gallons of fuel consumed due to increased capacity.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Salaries, wages and benefits increased $429 million, or 10.9%, in the second quarter of 2025 from the second quarter of 2024, primarily due to contractual wage rate increases and higher costs for benefit-related items associated with newly ratified and extended labor agreements reached in 2024, as well as annual contractual wage rate increases in our other labor agreements.</w:t>
      </w:r>
    </w:p>
    <w:p>
      <w:pPr>
        <w:spacing w:after="0" w:line="104"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Regional expenses increased $63 million, or 5.0%, in the second quarter of 2025 from the second quarter of 2024, primarily due to an increase in regional flight operations as regional capacity, as measured by ASMs, increased 11.7% in the second quarter of 2025 from the second quarter of 2024.</w:t>
      </w:r>
    </w:p>
    <w:p>
      <w:pPr>
        <w:spacing w:after="0" w:line="91"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Maintenance, materials and repairs decreased $23 million, or 2.5%, in the second quarter of 2025 from the second quarter of 2024, primarily due to a decrease in the volume of engine overhauls, offset in part by increased costs for component part repairs and airframe heavy checks driven by higher volume.</w:t>
      </w:r>
    </w:p>
    <w:p>
      <w:pPr>
        <w:spacing w:after="0" w:line="91" w:lineRule="exact"/>
        <w:rPr>
          <w:sz w:val="20"/>
          <w:szCs w:val="20"/>
          <w:color w:val="auto"/>
        </w:rPr>
      </w:pPr>
    </w:p>
    <w:p>
      <w:pPr>
        <w:jc w:val="both"/>
        <w:ind w:firstLine="217"/>
        <w:spacing w:after="0" w:line="286" w:lineRule="auto"/>
        <w:rPr>
          <w:sz w:val="20"/>
          <w:szCs w:val="20"/>
          <w:color w:val="auto"/>
        </w:rPr>
      </w:pPr>
      <w:r>
        <w:rPr>
          <w:rFonts w:ascii="Arial" w:cs="Arial" w:eastAsia="Arial" w:hAnsi="Arial"/>
          <w:sz w:val="16"/>
          <w:szCs w:val="16"/>
          <w:color w:val="auto"/>
        </w:rPr>
        <w:t>Other rent and landing fees increased $60 million, or 7.2%, in the second quarter of 2025 from the second quarter of 2024, primarily due to rate increases at certain airports, offset in part by a decrease in leased engines.</w:t>
      </w:r>
    </w:p>
    <w:p>
      <w:pPr>
        <w:spacing w:after="0" w:line="91"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Selling expenses increased $79 million, or 17.5%, in the second quarter of 2025 from the second quarter of 2024, primarily due to an increase in commissions expense, driven by higher costs resulting from renegotiated agency contracts, as well as an increase in credit card fees driven by higher rates. Higher advertising expenses also contributed to the increase in selling expenses.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Operating Special Items, Net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center"/>
              <w:ind w:right="548"/>
              <w:spacing w:after="0"/>
              <w:rPr>
                <w:sz w:val="20"/>
                <w:szCs w:val="20"/>
                <w:color w:val="auto"/>
              </w:rPr>
            </w:pPr>
            <w:r>
              <w:rPr>
                <w:rFonts w:ascii="Arial" w:cs="Arial" w:eastAsia="Arial" w:hAnsi="Arial"/>
                <w:sz w:val="13"/>
                <w:szCs w:val="13"/>
                <w:b w:val="1"/>
                <w:bCs w:val="1"/>
                <w:color w:val="auto"/>
                <w:w w:val="98"/>
              </w:rPr>
              <w:t>Three Months Ended June 30,</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3"/>
                <w:szCs w:val="13"/>
                <w:b w:val="1"/>
                <w:bCs w:val="1"/>
                <w:color w:val="auto"/>
              </w:rPr>
              <w:t>2025</w:t>
            </w: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28"/>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left="531"/>
              <w:spacing w:after="0"/>
              <w:rPr>
                <w:sz w:val="20"/>
                <w:szCs w:val="20"/>
                <w:color w:val="auto"/>
              </w:rPr>
            </w:pPr>
            <w:r>
              <w:rPr>
                <w:rFonts w:ascii="Arial" w:cs="Arial" w:eastAsia="Arial" w:hAnsi="Arial"/>
                <w:sz w:val="13"/>
                <w:szCs w:val="13"/>
                <w:b w:val="1"/>
                <w:bCs w:val="1"/>
                <w:color w:val="auto"/>
                <w:w w:val="98"/>
              </w:rPr>
              <w:t>(In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Litigation reserve adjustments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7"/>
        </w:trPr>
        <w:tc>
          <w:tcPr>
            <w:tcW w:w="2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6"/>
                <w:szCs w:val="16"/>
                <w:i w:val="1"/>
                <w:iCs w:val="1"/>
                <w:color w:val="auto"/>
              </w:rPr>
              <w:t>Nonoperating Results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26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Three Months Ended June 30,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right="128"/>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right"/>
              <w:ind w:right="11"/>
              <w:spacing w:after="0" w:line="96" w:lineRule="exact"/>
              <w:rPr>
                <w:sz w:val="20"/>
                <w:szCs w:val="20"/>
                <w:color w:val="auto"/>
              </w:rPr>
            </w:pPr>
            <w:r>
              <w:rPr>
                <w:rFonts w:ascii="Arial" w:cs="Arial" w:eastAsia="Arial" w:hAnsi="Arial"/>
                <w:sz w:val="11"/>
                <w:szCs w:val="11"/>
                <w:b w:val="1"/>
                <w:bCs w:val="1"/>
                <w:color w:val="auto"/>
              </w:rPr>
              <w:t>Increase</w:t>
            </w: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vMerge w:val="restart"/>
          </w:tcPr>
          <w:p>
            <w:pPr>
              <w:jc w:val="center"/>
              <w:ind w:right="128"/>
              <w:spacing w:after="0" w:line="96"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2025</w:t>
            </w: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6"/>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(Decrease)</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8"/>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7"/>
          </w:tcPr>
          <w:p>
            <w:pPr>
              <w:ind w:left="180"/>
              <w:spacing w:after="0"/>
              <w:rPr>
                <w:sz w:val="20"/>
                <w:szCs w:val="20"/>
                <w:color w:val="auto"/>
              </w:rPr>
            </w:pPr>
            <w:r>
              <w:rPr>
                <w:rFonts w:ascii="Arial" w:cs="Arial" w:eastAsia="Arial" w:hAnsi="Arial"/>
                <w:sz w:val="13"/>
                <w:szCs w:val="13"/>
                <w:b w:val="1"/>
                <w:bCs w:val="1"/>
                <w:color w:val="auto"/>
              </w:rPr>
              <w:t>(In millions, except percentage changes)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6"/>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51"/>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28"/>
              <w:spacing w:after="0"/>
              <w:rPr>
                <w:sz w:val="20"/>
                <w:szCs w:val="20"/>
                <w:color w:val="auto"/>
              </w:rPr>
            </w:pPr>
            <w:r>
              <w:rPr>
                <w:rFonts w:ascii="Arial" w:cs="Arial" w:eastAsia="Arial" w:hAnsi="Arial"/>
                <w:sz w:val="16"/>
                <w:szCs w:val="16"/>
                <w:color w:val="auto"/>
                <w:w w:val="95"/>
              </w:rPr>
              <w:t>(21.5)</w:t>
            </w:r>
          </w:p>
        </w:tc>
        <w:tc>
          <w:tcPr>
            <w:tcW w:w="0" w:type="dxa"/>
            <w:vAlign w:val="bottom"/>
          </w:tcPr>
          <w:p>
            <w:pPr>
              <w:spacing w:after="0"/>
              <w:rPr>
                <w:sz w:val="1"/>
                <w:szCs w:val="1"/>
                <w:color w:val="auto"/>
              </w:rPr>
            </w:pPr>
          </w:p>
        </w:tc>
      </w:tr>
      <w:tr>
        <w:trPr>
          <w:trHeight w:val="205"/>
        </w:trPr>
        <w:tc>
          <w:tcPr>
            <w:tcW w:w="5320" w:type="dxa"/>
            <w:vAlign w:val="bottom"/>
            <w:gridSpan w:val="3"/>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(486)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53</w:t>
            </w:r>
          </w:p>
        </w:tc>
        <w:tc>
          <w:tcPr>
            <w:tcW w:w="280" w:type="dxa"/>
            <w:vAlign w:val="bottom"/>
          </w:tcPr>
          <w:p>
            <w:pPr>
              <w:spacing w:after="0"/>
              <w:rPr>
                <w:sz w:val="17"/>
                <w:szCs w:val="17"/>
                <w:color w:val="auto"/>
              </w:rPr>
            </w:pPr>
          </w:p>
        </w:tc>
        <w:tc>
          <w:tcPr>
            <w:tcW w:w="1200" w:type="dxa"/>
            <w:vAlign w:val="bottom"/>
          </w:tcPr>
          <w:p>
            <w:pPr>
              <w:jc w:val="center"/>
              <w:ind w:right="128"/>
              <w:spacing w:after="0"/>
              <w:rPr>
                <w:sz w:val="20"/>
                <w:szCs w:val="20"/>
                <w:color w:val="auto"/>
              </w:rPr>
            </w:pPr>
            <w:r>
              <w:rPr>
                <w:rFonts w:ascii="Arial" w:cs="Arial" w:eastAsia="Arial" w:hAnsi="Arial"/>
                <w:sz w:val="16"/>
                <w:szCs w:val="16"/>
                <w:color w:val="auto"/>
                <w:w w:val="95"/>
              </w:rPr>
              <w:t>(10.9)</w:t>
            </w:r>
          </w:p>
        </w:tc>
        <w:tc>
          <w:tcPr>
            <w:tcW w:w="0" w:type="dxa"/>
            <w:vAlign w:val="bottom"/>
          </w:tcPr>
          <w:p>
            <w:pPr>
              <w:spacing w:after="0"/>
              <w:rPr>
                <w:sz w:val="1"/>
                <w:szCs w:val="1"/>
                <w:color w:val="auto"/>
              </w:rPr>
            </w:pPr>
          </w:p>
        </w:tc>
      </w:tr>
      <w:tr>
        <w:trPr>
          <w:trHeight w:val="205"/>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7"/>
        </w:trPr>
        <w:tc>
          <w:tcPr>
            <w:tcW w:w="5320" w:type="dxa"/>
            <w:vAlign w:val="bottom"/>
            <w:gridSpan w:val="3"/>
          </w:tcPr>
          <w:p>
            <w:pPr>
              <w:ind w:left="120"/>
              <w:spacing w:after="0"/>
              <w:rPr>
                <w:sz w:val="20"/>
                <w:szCs w:val="20"/>
                <w:color w:val="auto"/>
              </w:rPr>
            </w:pPr>
            <w:r>
              <w:rPr>
                <w:rFonts w:ascii="Arial" w:cs="Arial" w:eastAsia="Arial" w:hAnsi="Arial"/>
                <w:sz w:val="16"/>
                <w:szCs w:val="16"/>
                <w:color w:val="auto"/>
              </w:rPr>
              <w:t>Total nonoperating expense, net</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(356)</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7"/>
                <w:szCs w:val="17"/>
                <w:color w:val="auto"/>
              </w:rPr>
            </w:pPr>
          </w:p>
        </w:tc>
        <w:tc>
          <w:tcPr>
            <w:tcW w:w="1200" w:type="dxa"/>
            <w:vAlign w:val="bottom"/>
          </w:tcPr>
          <w:p>
            <w:pPr>
              <w:jc w:val="center"/>
              <w:ind w:right="128"/>
              <w:spacing w:after="0"/>
              <w:rPr>
                <w:sz w:val="20"/>
                <w:szCs w:val="20"/>
                <w:color w:val="auto"/>
              </w:rPr>
            </w:pPr>
            <w:r>
              <w:rPr>
                <w:rFonts w:ascii="Arial" w:cs="Arial" w:eastAsia="Arial" w:hAnsi="Arial"/>
                <w:sz w:val="16"/>
                <w:szCs w:val="16"/>
                <w:color w:val="auto"/>
                <w:w w:val="95"/>
              </w:rPr>
              <w:t>(16.6)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-679450</wp:posOffset>
            </wp:positionV>
            <wp:extent cx="609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-679450</wp:posOffset>
            </wp:positionV>
            <wp:extent cx="609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6204585</wp:posOffset>
            </wp:positionH>
            <wp:positionV relativeFrom="paragraph">
              <wp:posOffset>-679450</wp:posOffset>
            </wp:positionV>
            <wp:extent cx="609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80" w:lineRule="exact"/>
        <w:rPr>
          <w:sz w:val="20"/>
          <w:szCs w:val="20"/>
          <w:color w:val="auto"/>
        </w:rPr>
      </w:pPr>
    </w:p>
    <w:p>
      <w:pPr>
        <w:jc w:val="both"/>
        <w:ind w:right="20" w:firstLine="217"/>
        <w:spacing w:after="0" w:line="263" w:lineRule="auto"/>
        <w:rPr>
          <w:sz w:val="20"/>
          <w:szCs w:val="20"/>
          <w:color w:val="auto"/>
        </w:rPr>
      </w:pPr>
      <w:r>
        <w:rPr>
          <w:rFonts w:ascii="Arial" w:cs="Arial" w:eastAsia="Arial" w:hAnsi="Arial"/>
          <w:sz w:val="16"/>
          <w:szCs w:val="16"/>
          <w:color w:val="auto"/>
        </w:rPr>
        <w:t>Interest income decreased $28 million, or 21.5%, in the second quarter of 2025 from the second quarter of 2024, primarily due to lower interest rates that reduced returns on our short-term investments. Interest expense, net decreased $53 million, or 10.9%, in the second quarter of 2025 from the second quarter of 2024, primarily due to lower interest rates on our variable-rate debt instruments and lower outstanding debt subsequent to the second quarter of 2024, as we continue our efforts to strengthen the balance sheet.</w:t>
      </w:r>
    </w:p>
    <w:p>
      <w:pPr>
        <w:spacing w:after="0" w:line="108"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In the second quarter of 2025, other nonoperating income, net primarily included $16 million of net special credits and $11 million of non-service related pension and other postretirement benefit plan income.</w:t>
      </w:r>
    </w:p>
    <w:p>
      <w:pPr>
        <w:spacing w:after="0" w:line="91"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In the second quarter of 2024, other nonoperating income, net primarily included $24 million of non-service related pension and other postretirement benefit plan income, offset in part by $12 million of net special charges.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79"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In the second quarter of 2025, we recorded an income tax provision of $239 million. Substantially all of our income before income taxes is attributable to the United States.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See Note 6 to AAG’s Condensed Consolidated Financial Statements in Part I, Item 1A for additional information on income taxes.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2025 Compared to Six Months Ended June 30, 2024</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Operating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40" w:type="dxa"/>
            <w:vAlign w:val="bottom"/>
            <w:gridSpan w:val="10"/>
          </w:tcPr>
          <w:p>
            <w:pPr>
              <w:jc w:val="right"/>
              <w:ind w:right="640"/>
              <w:spacing w:after="0"/>
              <w:rPr>
                <w:sz w:val="20"/>
                <w:szCs w:val="20"/>
                <w:color w:val="auto"/>
              </w:rPr>
            </w:pPr>
            <w:r>
              <w:rPr>
                <w:rFonts w:ascii="Arial" w:cs="Arial" w:eastAsia="Arial" w:hAnsi="Arial"/>
                <w:sz w:val="13"/>
                <w:szCs w:val="13"/>
                <w:b w:val="1"/>
                <w:bCs w:val="1"/>
                <w:color w:val="auto"/>
              </w:rPr>
              <w:t>Six Months Ended June 30,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36"/>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4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restart"/>
          </w:tcPr>
          <w:p>
            <w:pPr>
              <w:jc w:val="center"/>
              <w:ind w:left="355"/>
              <w:spacing w:after="0" w:line="96" w:lineRule="exact"/>
              <w:rPr>
                <w:sz w:val="20"/>
                <w:szCs w:val="20"/>
                <w:color w:val="auto"/>
              </w:rPr>
            </w:pPr>
            <w:r>
              <w:rPr>
                <w:rFonts w:ascii="Arial" w:cs="Arial" w:eastAsia="Arial" w:hAnsi="Arial"/>
                <w:sz w:val="11"/>
                <w:szCs w:val="11"/>
                <w:b w:val="1"/>
                <w:bCs w:val="1"/>
                <w:color w:val="auto"/>
              </w:rPr>
              <w:t>Increase</w:t>
            </w: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00" w:type="dxa"/>
            <w:vAlign w:val="bottom"/>
            <w:gridSpan w:val="2"/>
            <w:vMerge w:val="restart"/>
          </w:tcPr>
          <w:p>
            <w:pPr>
              <w:jc w:val="center"/>
              <w:ind w:right="336"/>
              <w:spacing w:after="0" w:line="96"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gridSpan w:val="4"/>
            <w:vMerge w:val="restart"/>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(Decrease)</w:t>
            </w:r>
          </w:p>
        </w:tc>
        <w:tc>
          <w:tcPr>
            <w:tcW w:w="1120" w:type="dxa"/>
            <w:vAlign w:val="bottom"/>
            <w:gridSpan w:val="3"/>
          </w:tcPr>
          <w:p>
            <w:pPr>
              <w:jc w:val="center"/>
              <w:ind w:right="216"/>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(In millions, except percentage changes)</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24,514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24,661</w:t>
            </w:r>
          </w:p>
        </w:tc>
        <w:tc>
          <w:tcPr>
            <w:tcW w:w="840" w:type="dxa"/>
            <w:vAlign w:val="bottom"/>
            <w:gridSpan w:val="2"/>
            <w:shd w:val="clear" w:color="auto" w:fill="CCEEFF"/>
          </w:tcPr>
          <w:p>
            <w:pPr>
              <w:jc w:val="right"/>
              <w:ind w:right="57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3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76"/>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5"/>
        </w:trPr>
        <w:tc>
          <w:tcPr>
            <w:tcW w:w="4220" w:type="dxa"/>
            <w:vAlign w:val="bottom"/>
          </w:tcPr>
          <w:p>
            <w:pPr>
              <w:ind w:left="20"/>
              <w:spacing w:after="0"/>
              <w:rPr>
                <w:sz w:val="20"/>
                <w:szCs w:val="20"/>
                <w:color w:val="auto"/>
              </w:rPr>
            </w:pPr>
            <w:r>
              <w:rPr>
                <w:rFonts w:ascii="Arial" w:cs="Arial" w:eastAsia="Arial" w:hAnsi="Arial"/>
                <w:sz w:val="16"/>
                <w:szCs w:val="16"/>
                <w:color w:val="auto"/>
              </w:rPr>
              <w:t>Cargo</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ind w:right="4"/>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7"/>
                <w:szCs w:val="17"/>
                <w:color w:val="auto"/>
              </w:rPr>
            </w:pPr>
          </w:p>
        </w:tc>
        <w:tc>
          <w:tcPr>
            <w:tcW w:w="1120" w:type="dxa"/>
            <w:vAlign w:val="bottom"/>
            <w:gridSpan w:val="3"/>
          </w:tcPr>
          <w:p>
            <w:pPr>
              <w:jc w:val="right"/>
              <w:ind w:right="516"/>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5"/>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1,861</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168</w:t>
            </w:r>
          </w:p>
        </w:tc>
        <w:tc>
          <w:tcPr>
            <w:tcW w:w="3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516"/>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7"/>
        </w:trPr>
        <w:tc>
          <w:tcPr>
            <w:tcW w:w="4220" w:type="dxa"/>
            <w:vAlign w:val="bottom"/>
          </w:tcPr>
          <w:p>
            <w:pPr>
              <w:ind w:left="120"/>
              <w:spacing w:after="0"/>
              <w:rPr>
                <w:sz w:val="20"/>
                <w:szCs w:val="20"/>
                <w:color w:val="auto"/>
              </w:rPr>
            </w:pPr>
            <w:r>
              <w:rPr>
                <w:rFonts w:ascii="Arial" w:cs="Arial" w:eastAsia="Arial" w:hAnsi="Arial"/>
                <w:sz w:val="16"/>
                <w:szCs w:val="16"/>
                <w:color w:val="auto"/>
              </w:rPr>
              <w:t>Total operating revenues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3"/>
              </w:rPr>
              <w:t>26,943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26,904</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39</w:t>
            </w:r>
          </w:p>
        </w:tc>
        <w:tc>
          <w:tcPr>
            <w:tcW w:w="360" w:type="dxa"/>
            <w:vAlign w:val="bottom"/>
          </w:tcPr>
          <w:p>
            <w:pPr>
              <w:spacing w:after="0"/>
              <w:rPr>
                <w:sz w:val="17"/>
                <w:szCs w:val="17"/>
                <w:color w:val="auto"/>
              </w:rPr>
            </w:pPr>
          </w:p>
        </w:tc>
        <w:tc>
          <w:tcPr>
            <w:tcW w:w="1120" w:type="dxa"/>
            <w:vAlign w:val="bottom"/>
            <w:gridSpan w:val="3"/>
          </w:tcPr>
          <w:p>
            <w:pPr>
              <w:jc w:val="right"/>
              <w:ind w:right="516"/>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532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260" w:type="dxa"/>
            <w:vAlign w:val="bottom"/>
            <w:gridSpan w:val="13"/>
          </w:tcPr>
          <w:p>
            <w:pPr>
              <w:ind w:left="180"/>
              <w:spacing w:after="0"/>
              <w:rPr>
                <w:sz w:val="20"/>
                <w:szCs w:val="20"/>
                <w:color w:val="auto"/>
              </w:rPr>
            </w:pPr>
            <w:r>
              <w:rPr>
                <w:rFonts w:ascii="Arial" w:cs="Arial" w:eastAsia="Arial" w:hAnsi="Arial"/>
                <w:sz w:val="16"/>
                <w:szCs w:val="16"/>
                <w:color w:val="auto"/>
              </w:rPr>
              <w:t>This table presents our passenger revenue and the period-over-period change in certain operating statistics: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gridSpan w:val="6"/>
          </w:tcPr>
          <w:p>
            <w:pPr>
              <w:jc w:val="center"/>
              <w:spacing w:after="0"/>
              <w:rPr>
                <w:sz w:val="20"/>
                <w:szCs w:val="20"/>
                <w:color w:val="auto"/>
              </w:rPr>
            </w:pPr>
            <w:r>
              <w:rPr>
                <w:rFonts w:ascii="Arial" w:cs="Arial" w:eastAsia="Arial" w:hAnsi="Arial"/>
                <w:sz w:val="13"/>
                <w:szCs w:val="13"/>
                <w:b w:val="1"/>
                <w:bCs w:val="1"/>
                <w:color w:val="auto"/>
                <w:w w:val="99"/>
              </w:rPr>
              <w:t>Increase (Decrease)</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center"/>
              <w:ind w:left="36"/>
              <w:spacing w:after="0"/>
              <w:rPr>
                <w:sz w:val="20"/>
                <w:szCs w:val="20"/>
                <w:color w:val="auto"/>
              </w:rPr>
            </w:pPr>
            <w:r>
              <w:rPr>
                <w:rFonts w:ascii="Arial" w:cs="Arial" w:eastAsia="Arial" w:hAnsi="Arial"/>
                <w:sz w:val="13"/>
                <w:szCs w:val="13"/>
                <w:b w:val="1"/>
                <w:bCs w:val="1"/>
                <w:color w:val="auto"/>
                <w:w w:val="98"/>
              </w:rPr>
              <w:t>vs. Six Months Ended June 30, 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gridSpan w:val="4"/>
          </w:tcPr>
          <w:p>
            <w:pPr>
              <w:jc w:val="center"/>
              <w:ind w:right="380"/>
              <w:spacing w:after="0" w:line="124" w:lineRule="exact"/>
              <w:rPr>
                <w:sz w:val="20"/>
                <w:szCs w:val="20"/>
                <w:color w:val="auto"/>
              </w:rPr>
            </w:pPr>
            <w:r>
              <w:rPr>
                <w:rFonts w:ascii="Arial" w:cs="Arial" w:eastAsia="Arial" w:hAnsi="Arial"/>
                <w:sz w:val="13"/>
                <w:szCs w:val="13"/>
                <w:b w:val="1"/>
                <w:bCs w:val="1"/>
                <w:color w:val="auto"/>
                <w:w w:val="99"/>
              </w:rPr>
              <w:t>Six Months Ended</w:t>
            </w:r>
          </w:p>
        </w:tc>
        <w:tc>
          <w:tcPr>
            <w:tcW w:w="660" w:type="dxa"/>
            <w:vAlign w:val="bottom"/>
            <w:gridSpan w:val="2"/>
            <w:vMerge w:val="restart"/>
          </w:tcPr>
          <w:p>
            <w:pPr>
              <w:jc w:val="center"/>
              <w:ind w:left="42"/>
              <w:spacing w:after="0"/>
              <w:rPr>
                <w:sz w:val="20"/>
                <w:szCs w:val="20"/>
                <w:color w:val="auto"/>
              </w:rPr>
            </w:pPr>
            <w:r>
              <w:rPr>
                <w:rFonts w:ascii="Arial" w:cs="Arial" w:eastAsia="Arial" w:hAnsi="Arial"/>
                <w:sz w:val="13"/>
                <w:szCs w:val="13"/>
                <w:b w:val="1"/>
                <w:bCs w:val="1"/>
                <w:color w:val="auto"/>
                <w:w w:val="94"/>
              </w:rPr>
              <w:t>RPMs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ASMs</w:t>
            </w: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500"/>
              <w:spacing w:after="0" w:line="124" w:lineRule="exact"/>
              <w:rPr>
                <w:sz w:val="20"/>
                <w:szCs w:val="20"/>
                <w:color w:val="auto"/>
              </w:rPr>
            </w:pPr>
            <w:r>
              <w:rPr>
                <w:rFonts w:ascii="Arial" w:cs="Arial" w:eastAsia="Arial" w:hAnsi="Arial"/>
                <w:sz w:val="13"/>
                <w:szCs w:val="13"/>
                <w:b w:val="1"/>
                <w:bCs w:val="1"/>
                <w:color w:val="auto"/>
              </w:rPr>
              <w:t>Load</w:t>
            </w:r>
          </w:p>
        </w:tc>
        <w:tc>
          <w:tcPr>
            <w:tcW w:w="800" w:type="dxa"/>
            <w:vAlign w:val="bottom"/>
            <w:gridSpan w:val="2"/>
          </w:tcPr>
          <w:p>
            <w:pPr>
              <w:jc w:val="center"/>
              <w:ind w:right="20"/>
              <w:spacing w:after="0" w:line="124" w:lineRule="exact"/>
              <w:rPr>
                <w:sz w:val="20"/>
                <w:szCs w:val="20"/>
                <w:color w:val="auto"/>
              </w:rPr>
            </w:pPr>
            <w:r>
              <w:rPr>
                <w:rFonts w:ascii="Arial" w:cs="Arial" w:eastAsia="Arial" w:hAnsi="Arial"/>
                <w:sz w:val="13"/>
                <w:szCs w:val="13"/>
                <w:b w:val="1"/>
                <w:bCs w:val="1"/>
                <w:color w:val="auto"/>
              </w:rPr>
              <w:t>Passenger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PRASM</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3"/>
                <w:szCs w:val="13"/>
                <w:b w:val="1"/>
                <w:bCs w:val="1"/>
                <w:color w:val="auto"/>
                <w:w w:val="99"/>
              </w:rPr>
              <w:t>June 30, 2025</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b w:val="1"/>
                <w:bCs w:val="1"/>
                <w:color w:val="auto"/>
              </w:rPr>
              <w:t>Factor</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6"/>
              </w:rPr>
              <w:t>Yield</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8"/>
              </w:rPr>
              <w:t>(In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24,514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24"/>
              <w:spacing w:after="0"/>
              <w:rPr>
                <w:sz w:val="20"/>
                <w:szCs w:val="20"/>
                <w:color w:val="auto"/>
              </w:rPr>
            </w:pPr>
            <w:r>
              <w:rPr>
                <w:rFonts w:ascii="Arial" w:cs="Arial" w:eastAsia="Arial" w:hAnsi="Arial"/>
                <w:sz w:val="16"/>
                <w:szCs w:val="16"/>
                <w:color w:val="auto"/>
                <w:w w:val="98"/>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center"/>
              <w:ind w:right="420"/>
              <w:spacing w:after="0"/>
              <w:rPr>
                <w:sz w:val="20"/>
                <w:szCs w:val="20"/>
                <w:color w:val="auto"/>
              </w:rPr>
            </w:pPr>
            <w:r>
              <w:rPr>
                <w:rFonts w:ascii="Arial" w:cs="Arial" w:eastAsia="Arial" w:hAnsi="Arial"/>
                <w:sz w:val="16"/>
                <w:szCs w:val="16"/>
                <w:color w:val="auto"/>
                <w:w w:val="99"/>
              </w:rPr>
              <w:t>(1.3)pts</w:t>
            </w:r>
          </w:p>
        </w:tc>
        <w:tc>
          <w:tcPr>
            <w:tcW w:w="80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(0.2)%</w:t>
            </w:r>
          </w:p>
        </w:tc>
        <w:tc>
          <w:tcPr>
            <w:tcW w:w="1120" w:type="dxa"/>
            <w:vAlign w:val="bottom"/>
            <w:gridSpan w:val="3"/>
            <w:shd w:val="clear" w:color="auto" w:fill="CCEEFF"/>
          </w:tcPr>
          <w:p>
            <w:pPr>
              <w:jc w:val="right"/>
              <w:ind w:right="156"/>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5241290</wp:posOffset>
            </wp:positionH>
            <wp:positionV relativeFrom="paragraph">
              <wp:posOffset>-1703705</wp:posOffset>
            </wp:positionV>
            <wp:extent cx="609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-1703705</wp:posOffset>
            </wp:positionV>
            <wp:extent cx="609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6204585</wp:posOffset>
            </wp:positionH>
            <wp:positionV relativeFrom="paragraph">
              <wp:posOffset>-1703705</wp:posOffset>
            </wp:positionV>
            <wp:extent cx="609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80" w:lineRule="exact"/>
        <w:rPr>
          <w:sz w:val="20"/>
          <w:szCs w:val="20"/>
          <w:color w:val="auto"/>
        </w:rPr>
      </w:pPr>
    </w:p>
    <w:p>
      <w:pPr>
        <w:jc w:val="both"/>
        <w:ind w:right="20" w:firstLine="180"/>
        <w:spacing w:after="0" w:line="263" w:lineRule="auto"/>
        <w:rPr>
          <w:sz w:val="20"/>
          <w:szCs w:val="20"/>
          <w:color w:val="auto"/>
        </w:rPr>
      </w:pPr>
      <w:r>
        <w:rPr>
          <w:rFonts w:ascii="Arial" w:cs="Arial" w:eastAsia="Arial" w:hAnsi="Arial"/>
          <w:sz w:val="16"/>
          <w:szCs w:val="16"/>
          <w:color w:val="auto"/>
        </w:rPr>
        <w:t>Passenger revenue decreased $147 million, or 0.6%, in the first six months of 2025 from the first six months of 2024. Our passenger revenue in the first six months of 2025 was impacted by softness in domestic demand for air travel and the American Eagle Flight 5342 accident, offset in part by continued strength in international air travel, particularly in the Atlantic and Pacific regions. Atlantic and Pacific PRASM increased 7.5% and 2.7%, respectively, in the first six months of 2025 as compared to the first six months of 2024.</w:t>
      </w:r>
    </w:p>
    <w:p>
      <w:pPr>
        <w:spacing w:after="0" w:line="108"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Cargo revenue increased $18 million, or 4.7%, in the first six months of 2025 from the first six months of 2024, primarily due to a 4.2% increase in cargo yield.</w:t>
      </w:r>
    </w:p>
    <w:p>
      <w:pPr>
        <w:spacing w:after="0" w:line="91" w:lineRule="exact"/>
        <w:rPr>
          <w:sz w:val="20"/>
          <w:szCs w:val="20"/>
          <w:color w:val="auto"/>
        </w:rPr>
      </w:pPr>
    </w:p>
    <w:p>
      <w:pPr>
        <w:jc w:val="both"/>
        <w:ind w:right="20" w:firstLine="180"/>
        <w:spacing w:after="0" w:line="269" w:lineRule="auto"/>
        <w:rPr>
          <w:sz w:val="20"/>
          <w:szCs w:val="20"/>
          <w:color w:val="auto"/>
        </w:rPr>
      </w:pPr>
      <w:r>
        <w:rPr>
          <w:rFonts w:ascii="Arial" w:cs="Arial" w:eastAsia="Arial" w:hAnsi="Arial"/>
          <w:sz w:val="16"/>
          <w:szCs w:val="16"/>
          <w:color w:val="auto"/>
        </w:rPr>
        <w:t>Other operating revenue increased $168 million, or 9.0%, in the first six months of 2025 from the first six months of 2024, driven primarily by higher revenue associated with our loyalty program. During the six months ended June 30, 2025 and 2024, cash payments from co-branded credit card and other partners were $3.2 billion and $3.0 billion, respectively.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Operating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280"/>
              <w:spacing w:after="0"/>
              <w:rPr>
                <w:sz w:val="20"/>
                <w:szCs w:val="20"/>
                <w:color w:val="auto"/>
              </w:rPr>
            </w:pPr>
            <w:r>
              <w:rPr>
                <w:rFonts w:ascii="Arial" w:cs="Arial" w:eastAsia="Arial" w:hAnsi="Arial"/>
                <w:sz w:val="13"/>
                <w:szCs w:val="13"/>
                <w:b w:val="1"/>
                <w:bCs w:val="1"/>
                <w:color w:val="auto"/>
              </w:rPr>
              <w:t>Six Months Ended June 30,</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ind w:left="4"/>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54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vMerge w:val="restart"/>
          </w:tcPr>
          <w:p>
            <w:pPr>
              <w:jc w:val="right"/>
              <w:ind w:right="363"/>
              <w:spacing w:after="0" w:line="101" w:lineRule="exact"/>
              <w:rPr>
                <w:sz w:val="20"/>
                <w:szCs w:val="20"/>
                <w:color w:val="auto"/>
              </w:rPr>
            </w:pPr>
            <w:r>
              <w:rPr>
                <w:rFonts w:ascii="Arial" w:cs="Arial" w:eastAsia="Arial" w:hAnsi="Arial"/>
                <w:sz w:val="11"/>
                <w:szCs w:val="11"/>
                <w:b w:val="1"/>
                <w:bCs w:val="1"/>
                <w:color w:val="auto"/>
              </w:rPr>
              <w:t>Increase</w:t>
            </w:r>
          </w:p>
        </w:tc>
        <w:tc>
          <w:tcPr>
            <w:tcW w:w="1480" w:type="dxa"/>
            <w:vAlign w:val="bottom"/>
            <w:vMerge w:val="restart"/>
          </w:tcPr>
          <w:p>
            <w:pPr>
              <w:jc w:val="center"/>
              <w:ind w:left="4"/>
              <w:spacing w:after="0" w:line="101"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32"/>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5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(Decrease)</w:t>
            </w:r>
          </w:p>
        </w:tc>
        <w:tc>
          <w:tcPr>
            <w:tcW w:w="1480" w:type="dxa"/>
            <w:vAlign w:val="bottom"/>
            <w:tcBorders>
              <w:bottom w:val="single" w:sz="8" w:color="auto"/>
            </w:tcBorders>
          </w:tcPr>
          <w:p>
            <w:pPr>
              <w:jc w:val="center"/>
              <w:ind w:left="4"/>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4"/>
          </w:tcPr>
          <w:p>
            <w:pPr>
              <w:jc w:val="right"/>
              <w:ind w:right="103"/>
              <w:spacing w:after="0"/>
              <w:rPr>
                <w:sz w:val="20"/>
                <w:szCs w:val="20"/>
                <w:color w:val="auto"/>
              </w:rPr>
            </w:pPr>
            <w:r>
              <w:rPr>
                <w:rFonts w:ascii="Arial" w:cs="Arial" w:eastAsia="Arial" w:hAnsi="Arial"/>
                <w:sz w:val="13"/>
                <w:szCs w:val="13"/>
                <w:b w:val="1"/>
                <w:bCs w:val="1"/>
                <w:color w:val="auto"/>
                <w:w w:val="99"/>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w w:val="95"/>
              </w:rPr>
              <w:t>(13.1)</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3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8,604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784</w:t>
            </w:r>
          </w:p>
        </w:tc>
        <w:tc>
          <w:tcPr>
            <w:tcW w:w="1480" w:type="dxa"/>
            <w:vAlign w:val="bottom"/>
          </w:tcPr>
          <w:p>
            <w:pPr>
              <w:jc w:val="center"/>
              <w:ind w:left="4"/>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Regional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214</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6"/>
                <w:szCs w:val="16"/>
                <w:color w:val="auto"/>
              </w:rPr>
              <w:t>Maintenance, materials and repairs</w:t>
            </w:r>
          </w:p>
        </w:tc>
        <w:tc>
          <w:tcPr>
            <w:tcW w:w="3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14</w:t>
            </w:r>
          </w:p>
        </w:tc>
        <w:tc>
          <w:tcPr>
            <w:tcW w:w="1480" w:type="dxa"/>
            <w:vAlign w:val="bottom"/>
          </w:tcPr>
          <w:p>
            <w:pPr>
              <w:jc w:val="center"/>
              <w:ind w:left="4"/>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rent and landing fees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6"/>
                <w:szCs w:val="16"/>
                <w:color w:val="auto"/>
              </w:rPr>
              <w:t>Aircraft rent</w:t>
            </w:r>
          </w:p>
        </w:tc>
        <w:tc>
          <w:tcPr>
            <w:tcW w:w="3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480" w:type="dxa"/>
            <w:vAlign w:val="bottom"/>
          </w:tcPr>
          <w:p>
            <w:pPr>
              <w:jc w:val="center"/>
              <w:ind w:left="4"/>
              <w:spacing w:after="0"/>
              <w:rPr>
                <w:sz w:val="20"/>
                <w:szCs w:val="20"/>
                <w:color w:val="auto"/>
              </w:rPr>
            </w:pPr>
            <w:r>
              <w:rPr>
                <w:rFonts w:ascii="Arial" w:cs="Arial" w:eastAsia="Arial" w:hAnsi="Arial"/>
                <w:sz w:val="16"/>
                <w:szCs w:val="16"/>
                <w:color w:val="auto"/>
                <w:w w:val="97"/>
              </w:rPr>
              <w:t>(6.6)</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480" w:type="dxa"/>
            <w:vAlign w:val="bottom"/>
          </w:tcPr>
          <w:p>
            <w:pPr>
              <w:jc w:val="center"/>
              <w:ind w:left="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Mainline operating special items,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w:t>
            </w:r>
          </w:p>
        </w:tc>
        <w:tc>
          <w:tcPr>
            <w:tcW w:w="148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0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152</w:t>
            </w:r>
          </w:p>
        </w:tc>
        <w:tc>
          <w:tcPr>
            <w:tcW w:w="1480" w:type="dxa"/>
            <w:vAlign w:val="bottom"/>
            <w:tcBorders>
              <w:bottom w:val="single" w:sz="8" w:color="CCEEFF"/>
            </w:tcBorders>
          </w:tcPr>
          <w:p>
            <w:pPr>
              <w:jc w:val="center"/>
              <w:ind w:left="4"/>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26,079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566</w:t>
            </w:r>
          </w:p>
        </w:tc>
        <w:tc>
          <w:tcPr>
            <w:tcW w:w="148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-1589405</wp:posOffset>
            </wp:positionV>
            <wp:extent cx="609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-1589405</wp:posOffset>
            </wp:positionV>
            <wp:extent cx="609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6204585</wp:posOffset>
            </wp:positionH>
            <wp:positionV relativeFrom="paragraph">
              <wp:posOffset>-1589405</wp:posOffset>
            </wp:positionV>
            <wp:extent cx="609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jc w:val="both"/>
        <w:ind w:right="20" w:firstLine="180"/>
        <w:spacing w:after="0" w:line="269" w:lineRule="auto"/>
        <w:rPr>
          <w:sz w:val="20"/>
          <w:szCs w:val="20"/>
          <w:color w:val="auto"/>
        </w:rPr>
      </w:pPr>
      <w:r>
        <w:rPr>
          <w:rFonts w:ascii="Arial" w:cs="Arial" w:eastAsia="Arial" w:hAnsi="Arial"/>
          <w:sz w:val="16"/>
          <w:szCs w:val="16"/>
          <w:color w:val="auto"/>
        </w:rPr>
        <w:t>Aircraft fuel and related taxes decreased $792 million, or 13.1%, in the first six months of 2025 from the first six months of 2024, primarily due to a 14.3% decrease in the average price per gallon of aircraft fuel including related taxes to $2.38 in the first six months of 2025 from $2.78 in the first six months of 2024, offset in part by a 1.4% increase in gallons of fuel consumed due to increased capacity.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9" w:name="page50"/>
    <w:bookmarkEnd w:id="49"/>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 w:firstLine="217"/>
        <w:spacing w:after="0" w:line="269" w:lineRule="auto"/>
        <w:rPr>
          <w:sz w:val="20"/>
          <w:szCs w:val="20"/>
          <w:color w:val="auto"/>
        </w:rPr>
      </w:pPr>
      <w:r>
        <w:rPr>
          <w:rFonts w:ascii="Arial" w:cs="Arial" w:eastAsia="Arial" w:hAnsi="Arial"/>
          <w:sz w:val="16"/>
          <w:szCs w:val="16"/>
          <w:color w:val="auto"/>
        </w:rPr>
        <w:t>Salaries, wages and benefits increased $784 million, or 10.0%, in the first six months of 2025 from the first six months of 2024, primarily due to contractual wage rate increases and higher costs for benefit-related items associated with newly ratified and extended labor agreements reached in 2024, as well as annual contractual wage rate increases in our other labor agreements.</w:t>
      </w:r>
    </w:p>
    <w:p>
      <w:pPr>
        <w:spacing w:after="0" w:line="104"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Regional expenses increased $214 million, or 8.7%, in the first six months of 2025 from the first six months of 2024, primarily due to an increase in regional flight operations as regional capacity, as measured by ASMs, increased 13.4% in the first six months of 2025 from the first six months of 2024. In addition, higher maintenance, materials and repair costs driven by an increase in the volume of airframe heavy checks and engine overhauls also contributed to the increase in regional expenses.</w:t>
      </w:r>
    </w:p>
    <w:p>
      <w:pPr>
        <w:spacing w:after="0" w:line="108" w:lineRule="exact"/>
        <w:rPr>
          <w:sz w:val="20"/>
          <w:szCs w:val="20"/>
          <w:color w:val="auto"/>
        </w:rPr>
      </w:pPr>
    </w:p>
    <w:p>
      <w:pPr>
        <w:jc w:val="both"/>
        <w:ind w:left="4" w:right="20" w:firstLine="217"/>
        <w:spacing w:after="0" w:line="278" w:lineRule="auto"/>
        <w:rPr>
          <w:sz w:val="20"/>
          <w:szCs w:val="20"/>
          <w:color w:val="auto"/>
        </w:rPr>
      </w:pPr>
      <w:r>
        <w:rPr>
          <w:rFonts w:ascii="Arial" w:cs="Arial" w:eastAsia="Arial" w:hAnsi="Arial"/>
          <w:sz w:val="16"/>
          <w:szCs w:val="16"/>
          <w:color w:val="auto"/>
        </w:rPr>
        <w:t>Maintenance, materials and repairs increased $14 million, or 0.8%, in the first six months of 2025 from the first six months of 2024, primarily due to increased costs for component part repairs and airframe heavy checks driven by higher volume, offset in part by a decrease in the volume of engine overhauls.</w:t>
      </w:r>
    </w:p>
    <w:p>
      <w:pPr>
        <w:spacing w:after="0" w:line="296"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Other rent and landing fees increased $67 million, or 4.1%, in the first six months of 2025 from the first six months of 2024, primarily due to rate increases at certain airports, offset in part by a decrease in leased engines.</w:t>
      </w:r>
    </w:p>
    <w:p>
      <w:pPr>
        <w:spacing w:after="0" w:line="91"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Aircraft rent decreased $42 million, or 6.6%, in the first six months of 2025 from the first six months of 2024, primarily due to decreased rental payments associated with aircraft lease extensions.</w:t>
      </w:r>
    </w:p>
    <w:p>
      <w:pPr>
        <w:spacing w:after="0" w:line="91" w:lineRule="exact"/>
        <w:rPr>
          <w:sz w:val="20"/>
          <w:szCs w:val="20"/>
          <w:color w:val="auto"/>
        </w:rPr>
      </w:pPr>
    </w:p>
    <w:p>
      <w:pPr>
        <w:jc w:val="both"/>
        <w:ind w:left="4" w:firstLine="180"/>
        <w:spacing w:after="0" w:line="269" w:lineRule="auto"/>
        <w:rPr>
          <w:sz w:val="20"/>
          <w:szCs w:val="20"/>
          <w:color w:val="auto"/>
        </w:rPr>
      </w:pPr>
      <w:r>
        <w:rPr>
          <w:rFonts w:ascii="Arial" w:cs="Arial" w:eastAsia="Arial" w:hAnsi="Arial"/>
          <w:sz w:val="16"/>
          <w:szCs w:val="16"/>
          <w:color w:val="auto"/>
        </w:rPr>
        <w:t>Selling expenses increased $ 121 million, or 14.0%, in the first six months of 2025 from the first six months of 2024, primarily due to an increase in commissions expense, driven by higher costs resulting from renegotiated agency contracts, as well as an increase in advertising expenses. Higher credit card fees driven by higher rates also contributed to the increase in selling expenses.</w:t>
      </w:r>
    </w:p>
    <w:p>
      <w:pPr>
        <w:spacing w:after="0" w:line="178" w:lineRule="exact"/>
        <w:rPr>
          <w:sz w:val="20"/>
          <w:szCs w:val="20"/>
          <w:color w:val="auto"/>
        </w:rPr>
      </w:pPr>
    </w:p>
    <w:p>
      <w:pPr>
        <w:ind w:left="184"/>
        <w:spacing w:after="0"/>
        <w:rPr>
          <w:sz w:val="20"/>
          <w:szCs w:val="20"/>
          <w:color w:val="auto"/>
        </w:rPr>
      </w:pPr>
      <w:r>
        <w:rPr>
          <w:rFonts w:ascii="Arial" w:cs="Arial" w:eastAsia="Arial" w:hAnsi="Arial"/>
          <w:sz w:val="16"/>
          <w:szCs w:val="16"/>
          <w:i w:val="1"/>
          <w:iCs w:val="1"/>
          <w:u w:val="single" w:color="auto"/>
          <w:color w:val="auto"/>
        </w:rPr>
        <w:t>Operating Special Items, Net</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0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3"/>
                <w:szCs w:val="13"/>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2025</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bottom w:val="single" w:sz="8" w:color="auto"/>
            </w:tcBorders>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80" w:type="dxa"/>
            <w:vAlign w:val="bottom"/>
            <w:gridSpan w:val="3"/>
          </w:tcPr>
          <w:p>
            <w:pPr>
              <w:jc w:val="right"/>
              <w:ind w:right="865"/>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Pr>
          <w:p>
            <w:pPr>
              <w:spacing w:after="0"/>
              <w:rPr>
                <w:sz w:val="15"/>
                <w:szCs w:val="15"/>
                <w:color w:val="auto"/>
              </w:rPr>
            </w:pPr>
          </w:p>
        </w:tc>
      </w:tr>
      <w:tr>
        <w:trPr>
          <w:trHeight w:val="205"/>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Litigation reserve adjustments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660" w:type="dxa"/>
            <w:vAlign w:val="bottom"/>
            <w:gridSpan w:val="2"/>
          </w:tcPr>
          <w:p>
            <w:pPr>
              <w:ind w:left="20"/>
              <w:spacing w:after="0" w:line="205" w:lineRule="exact"/>
              <w:rPr>
                <w:sz w:val="20"/>
                <w:szCs w:val="20"/>
                <w:color w:val="auto"/>
              </w:rPr>
            </w:pPr>
            <w:r>
              <w:rPr>
                <w:rFonts w:ascii="Arial" w:cs="Arial" w:eastAsia="Arial" w:hAnsi="Arial"/>
                <w:sz w:val="16"/>
                <w:szCs w:val="16"/>
                <w:color w:val="auto"/>
              </w:rPr>
              <w:t xml:space="preserve">Labor contract expenses </w:t>
            </w:r>
            <w:r>
              <w:rPr>
                <w:rFonts w:ascii="Arial" w:cs="Arial" w:eastAsia="Arial" w:hAnsi="Arial"/>
                <w:sz w:val="20"/>
                <w:szCs w:val="20"/>
                <w:color w:val="auto"/>
                <w:vertAlign w:val="superscript"/>
              </w:rPr>
              <w:t>(1)</w:t>
            </w:r>
          </w:p>
        </w:tc>
        <w:tc>
          <w:tcPr>
            <w:tcW w:w="122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5"/>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Severance expenses</w:t>
            </w: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5"/>
        </w:trPr>
        <w:tc>
          <w:tcPr>
            <w:tcW w:w="7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operating special items, net</w:t>
            </w:r>
          </w:p>
        </w:tc>
        <w:tc>
          <w:tcPr>
            <w:tcW w:w="1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7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Mainline operating special items, net</w:t>
            </w: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8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2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5969635</wp:posOffset>
            </wp:positionH>
            <wp:positionV relativeFrom="paragraph">
              <wp:posOffset>-901065</wp:posOffset>
            </wp:positionV>
            <wp:extent cx="609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35" w:lineRule="exact"/>
        <w:rPr>
          <w:sz w:val="20"/>
          <w:szCs w:val="20"/>
          <w:color w:val="auto"/>
        </w:rPr>
      </w:pPr>
    </w:p>
    <w:p>
      <w:pPr>
        <w:jc w:val="both"/>
        <w:ind w:left="284" w:hanging="284"/>
        <w:spacing w:after="0" w:line="234" w:lineRule="auto"/>
        <w:tabs>
          <w:tab w:leader="none" w:pos="279"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Labor contract expenses for the six months ended June 30, 2025 included a one-time charge for adjustments to vacation accruals resulting from pay rate increases effective January 1, 2025, related to the ratification of the contract extension in the fourth quarter of 2024 with our mainline maintenance and fleet service team members.</w:t>
      </w:r>
    </w:p>
    <w:p>
      <w:pPr>
        <w:spacing w:after="0" w:line="128" w:lineRule="exact"/>
        <w:rPr>
          <w:rFonts w:ascii="Arial" w:cs="Arial" w:eastAsia="Arial" w:hAnsi="Arial"/>
          <w:sz w:val="21"/>
          <w:szCs w:val="21"/>
          <w:color w:val="auto"/>
          <w:vertAlign w:val="superscript"/>
        </w:rPr>
      </w:pPr>
    </w:p>
    <w:p>
      <w:pPr>
        <w:ind w:left="284" w:right="20"/>
        <w:spacing w:after="0" w:line="286" w:lineRule="auto"/>
        <w:rPr>
          <w:rFonts w:ascii="Arial" w:cs="Arial" w:eastAsia="Arial" w:hAnsi="Arial"/>
          <w:sz w:val="21"/>
          <w:szCs w:val="21"/>
          <w:color w:val="auto"/>
          <w:vertAlign w:val="superscript"/>
        </w:rPr>
      </w:pPr>
      <w:r>
        <w:rPr>
          <w:rFonts w:ascii="Arial" w:cs="Arial" w:eastAsia="Arial" w:hAnsi="Arial"/>
          <w:sz w:val="16"/>
          <w:szCs w:val="16"/>
          <w:color w:val="auto"/>
        </w:rPr>
        <w:t>Labor contract expenses for the six months ended June 30, 2024 included one-time charges resulting from the ratification of a new collective bargaining agreement with our mainline passenger service team members, including a one-time signing bonus.</w:t>
      </w:r>
    </w:p>
    <w:p>
      <w:pPr>
        <w:spacing w:after="0" w:line="165" w:lineRule="exact"/>
        <w:rPr>
          <w:sz w:val="20"/>
          <w:szCs w:val="20"/>
          <w:color w:val="auto"/>
        </w:rPr>
      </w:pPr>
    </w:p>
    <w:p>
      <w:pPr>
        <w:ind w:left="184"/>
        <w:spacing w:after="0"/>
        <w:rPr>
          <w:sz w:val="20"/>
          <w:szCs w:val="20"/>
          <w:color w:val="auto"/>
        </w:rPr>
      </w:pPr>
      <w:r>
        <w:rPr>
          <w:rFonts w:ascii="Arial" w:cs="Arial" w:eastAsia="Arial" w:hAnsi="Arial"/>
          <w:sz w:val="16"/>
          <w:szCs w:val="16"/>
          <w:i w:val="1"/>
          <w:iCs w:val="1"/>
          <w:u w:val="single" w:color="auto"/>
          <w:color w:val="auto"/>
        </w:rPr>
        <w:t>Nonoperating Results</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3"/>
                <w:szCs w:val="13"/>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45"/>
              <w:spacing w:after="0"/>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5"/>
              <w:spacing w:after="0"/>
              <w:rPr>
                <w:sz w:val="20"/>
                <w:szCs w:val="20"/>
                <w:color w:val="auto"/>
              </w:rPr>
            </w:pPr>
            <w:r>
              <w:rPr>
                <w:rFonts w:ascii="Arial" w:cs="Arial" w:eastAsia="Arial" w:hAnsi="Arial"/>
                <w:sz w:val="13"/>
                <w:szCs w:val="13"/>
                <w:b w:val="1"/>
                <w:bCs w:val="1"/>
                <w:color w:val="auto"/>
              </w:rPr>
              <w:t>Percent</w:t>
            </w:r>
          </w:p>
        </w:tc>
      </w:tr>
      <w:tr>
        <w:trPr>
          <w:trHeight w:val="173"/>
        </w:trPr>
        <w:tc>
          <w:tcPr>
            <w:tcW w:w="5320" w:type="dxa"/>
            <w:vAlign w:val="bottom"/>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2025</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(Decrease)</w:t>
            </w:r>
          </w:p>
        </w:tc>
        <w:tc>
          <w:tcPr>
            <w:tcW w:w="1480" w:type="dxa"/>
            <w:vAlign w:val="bottom"/>
            <w:tcBorders>
              <w:bottom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96"/>
              </w:rPr>
              <w:t>Decrease</w:t>
            </w:r>
          </w:p>
        </w:tc>
      </w:tr>
      <w:tr>
        <w:trPr>
          <w:trHeight w:val="173"/>
        </w:trPr>
        <w:tc>
          <w:tcPr>
            <w:tcW w:w="5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jc w:val="right"/>
              <w:ind w:right="185"/>
              <w:spacing w:after="0"/>
              <w:rPr>
                <w:sz w:val="20"/>
                <w:szCs w:val="20"/>
                <w:color w:val="auto"/>
              </w:rPr>
            </w:pPr>
            <w:r>
              <w:rPr>
                <w:rFonts w:ascii="Arial" w:cs="Arial" w:eastAsia="Arial" w:hAnsi="Arial"/>
                <w:sz w:val="13"/>
                <w:szCs w:val="13"/>
                <w:b w:val="1"/>
                <w:bCs w:val="1"/>
                <w:color w:val="auto"/>
              </w:rPr>
              <w:t>(In millions, except percentage changes)</w:t>
            </w:r>
          </w:p>
        </w:tc>
        <w:tc>
          <w:tcPr>
            <w:tcW w:w="1480" w:type="dxa"/>
            <w:vAlign w:val="bottom"/>
          </w:tcPr>
          <w:p>
            <w:pPr>
              <w:spacing w:after="0"/>
              <w:rPr>
                <w:sz w:val="15"/>
                <w:szCs w:val="15"/>
                <w:color w:val="auto"/>
              </w:rPr>
            </w:pPr>
          </w:p>
        </w:tc>
      </w:tr>
      <w:tr>
        <w:trPr>
          <w:trHeight w:val="205"/>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8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5"/>
              </w:rPr>
              <w:t>(20.9)</w:t>
            </w:r>
          </w:p>
        </w:tc>
      </w:tr>
      <w:tr>
        <w:trPr>
          <w:trHeight w:val="205"/>
        </w:trPr>
        <w:tc>
          <w:tcPr>
            <w:tcW w:w="5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123</w:t>
            </w:r>
          </w:p>
        </w:tc>
        <w:tc>
          <w:tcPr>
            <w:tcW w:w="1480" w:type="dxa"/>
            <w:vAlign w:val="bottom"/>
          </w:tcPr>
          <w:p>
            <w:pPr>
              <w:jc w:val="center"/>
              <w:ind w:left="5"/>
              <w:spacing w:after="0"/>
              <w:rPr>
                <w:sz w:val="20"/>
                <w:szCs w:val="20"/>
                <w:color w:val="auto"/>
              </w:rPr>
            </w:pPr>
            <w:r>
              <w:rPr>
                <w:rFonts w:ascii="Arial" w:cs="Arial" w:eastAsia="Arial" w:hAnsi="Arial"/>
                <w:sz w:val="16"/>
                <w:szCs w:val="16"/>
                <w:color w:val="auto"/>
                <w:w w:val="95"/>
              </w:rPr>
              <w:t>(12.4)</w:t>
            </w:r>
          </w:p>
        </w:tc>
      </w:tr>
      <w:tr>
        <w:trPr>
          <w:trHeight w:val="205"/>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w:t>
            </w:r>
          </w:p>
        </w:tc>
        <w:tc>
          <w:tcPr>
            <w:tcW w:w="148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5"/>
              </w:rPr>
              <w:t>(80.0)</w:t>
            </w:r>
          </w:p>
        </w:tc>
      </w:tr>
      <w:tr>
        <w:trPr>
          <w:trHeight w:val="197"/>
        </w:trPr>
        <w:tc>
          <w:tcPr>
            <w:tcW w:w="5320" w:type="dxa"/>
            <w:vAlign w:val="bottom"/>
          </w:tcPr>
          <w:p>
            <w:pPr>
              <w:ind w:left="120"/>
              <w:spacing w:after="0"/>
              <w:rPr>
                <w:sz w:val="20"/>
                <w:szCs w:val="20"/>
                <w:color w:val="auto"/>
              </w:rPr>
            </w:pPr>
            <w:r>
              <w:rPr>
                <w:rFonts w:ascii="Arial" w:cs="Arial" w:eastAsia="Arial" w:hAnsi="Arial"/>
                <w:sz w:val="16"/>
                <w:szCs w:val="16"/>
                <w:color w:val="auto"/>
              </w:rPr>
              <w:t>Total nonoperating expense, net</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ind w:left="5"/>
              <w:spacing w:after="0"/>
              <w:rPr>
                <w:sz w:val="20"/>
                <w:szCs w:val="20"/>
                <w:color w:val="auto"/>
              </w:rPr>
            </w:pPr>
            <w:r>
              <w:rPr>
                <w:rFonts w:ascii="Arial" w:cs="Arial" w:eastAsia="Arial" w:hAnsi="Arial"/>
                <w:sz w:val="16"/>
                <w:szCs w:val="16"/>
                <w:color w:val="auto"/>
                <w:w w:val="95"/>
              </w:rPr>
              <w:t>(13.0)</w:t>
            </w:r>
          </w:p>
        </w:tc>
      </w:tr>
      <w:tr>
        <w:trPr>
          <w:trHeight w:val="20"/>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5281930</wp:posOffset>
            </wp:positionH>
            <wp:positionV relativeFrom="paragraph">
              <wp:posOffset>-679450</wp:posOffset>
            </wp:positionV>
            <wp:extent cx="609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-679450</wp:posOffset>
            </wp:positionV>
            <wp:extent cx="609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-679450</wp:posOffset>
            </wp:positionV>
            <wp:extent cx="609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jc w:val="both"/>
        <w:ind w:left="4" w:right="20" w:firstLine="180"/>
        <w:spacing w:after="0" w:line="286" w:lineRule="auto"/>
        <w:rPr>
          <w:sz w:val="20"/>
          <w:szCs w:val="20"/>
          <w:color w:val="auto"/>
        </w:rPr>
      </w:pPr>
      <w:r>
        <w:rPr>
          <w:rFonts w:ascii="Arial" w:cs="Arial" w:eastAsia="Arial" w:hAnsi="Arial"/>
          <w:sz w:val="16"/>
          <w:szCs w:val="16"/>
          <w:color w:val="auto"/>
        </w:rPr>
        <w:t>Interest income decreased $52 million, or 20.9%, in the first six months of 2025 from the first six months of 2024, primarily due to lower interest rates that reduced returns on our short-term investments. Interest expense, net decreased</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$123 million, or 12.4%, in the first six months of 2025 from the first six months of 2024, primarily due to lower interest rates on our variable-rate debt instruments and lower outstanding debt subsequent to the second quarter of 2024, as we continue our efforts to strengthen the balance sheet.</w:t>
      </w:r>
    </w:p>
    <w:p>
      <w:pPr>
        <w:spacing w:after="0" w:line="91" w:lineRule="exact"/>
        <w:rPr>
          <w:sz w:val="20"/>
          <w:szCs w:val="20"/>
          <w:color w:val="auto"/>
        </w:rPr>
      </w:pPr>
    </w:p>
    <w:p>
      <w:pPr>
        <w:jc w:val="both"/>
        <w:ind w:firstLine="180"/>
        <w:spacing w:after="0" w:line="269" w:lineRule="auto"/>
        <w:rPr>
          <w:sz w:val="20"/>
          <w:szCs w:val="20"/>
          <w:color w:val="auto"/>
        </w:rPr>
      </w:pPr>
      <w:r>
        <w:rPr>
          <w:rFonts w:ascii="Arial" w:cs="Arial" w:eastAsia="Arial" w:hAnsi="Arial"/>
          <w:sz w:val="16"/>
          <w:szCs w:val="16"/>
          <w:color w:val="auto"/>
        </w:rPr>
        <w:t>In the first six months of 2025, other nonoperating expense, net included $ 32 million of net special charges primarily for debt refinancings and extinguishments and mark-to-market net unrealized losses associated with certain equity investments, offset in part by $22 million of non-service related pension and other postretirement benefit plan income.</w:t>
      </w:r>
    </w:p>
    <w:p>
      <w:pPr>
        <w:spacing w:after="0" w:line="104" w:lineRule="exact"/>
        <w:rPr>
          <w:sz w:val="20"/>
          <w:szCs w:val="20"/>
          <w:color w:val="auto"/>
        </w:rPr>
      </w:pPr>
    </w:p>
    <w:p>
      <w:pPr>
        <w:jc w:val="both"/>
        <w:ind w:right="20" w:firstLine="180"/>
        <w:spacing w:after="0" w:line="269" w:lineRule="auto"/>
        <w:rPr>
          <w:sz w:val="20"/>
          <w:szCs w:val="20"/>
          <w:color w:val="auto"/>
        </w:rPr>
      </w:pPr>
      <w:r>
        <w:rPr>
          <w:rFonts w:ascii="Arial" w:cs="Arial" w:eastAsia="Arial" w:hAnsi="Arial"/>
          <w:sz w:val="16"/>
          <w:szCs w:val="16"/>
          <w:color w:val="auto"/>
        </w:rPr>
        <w:t>In the first six months of 2024, other nonoperating expense, net included $58 million of net special charges primarily for mark-to-market net unrealized losses associated with certain equity investments and $10 million of foreign currency losses, offset in part by $50 million of non-service related pension and other postretirement benefit plan income.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79"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In the first six months of 2025, we recorded an income tax provision of $63 million. Substantially all of our income before income taxes is attributable to the United States.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6 to AAG’s Condensed Consolidated Financial Statements in Part I, Item 1A for additional information on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American’s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2025 Compared to Three Months Ended June 30, 2024</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Operating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jc w:val="center"/>
              <w:ind w:left="8"/>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5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vMerge w:val="restart"/>
          </w:tcPr>
          <w:p>
            <w:pPr>
              <w:jc w:val="right"/>
              <w:ind w:right="387"/>
              <w:spacing w:after="0" w:line="96" w:lineRule="exact"/>
              <w:rPr>
                <w:sz w:val="20"/>
                <w:szCs w:val="20"/>
                <w:color w:val="auto"/>
              </w:rPr>
            </w:pPr>
            <w:r>
              <w:rPr>
                <w:rFonts w:ascii="Arial" w:cs="Arial" w:eastAsia="Arial" w:hAnsi="Arial"/>
                <w:sz w:val="11"/>
                <w:szCs w:val="11"/>
                <w:b w:val="1"/>
                <w:bCs w:val="1"/>
                <w:color w:val="auto"/>
              </w:rPr>
              <w:t>Increase</w:t>
            </w:r>
          </w:p>
        </w:tc>
        <w:tc>
          <w:tcPr>
            <w:tcW w:w="1520" w:type="dxa"/>
            <w:vAlign w:val="bottom"/>
            <w:vMerge w:val="restart"/>
          </w:tcPr>
          <w:p>
            <w:pPr>
              <w:jc w:val="center"/>
              <w:ind w:left="8"/>
              <w:spacing w:after="0" w:line="96"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8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vMerge w:val="restart"/>
          </w:tcPr>
          <w:p>
            <w:pPr>
              <w:jc w:val="right"/>
              <w:ind w:right="485"/>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b w:val="1"/>
                <w:bCs w:val="1"/>
                <w:color w:val="auto"/>
              </w:rPr>
              <w:t>(Decrease)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4"/>
          </w:tcPr>
          <w:p>
            <w:pPr>
              <w:jc w:val="right"/>
              <w:ind w:right="147"/>
              <w:spacing w:after="0"/>
              <w:rPr>
                <w:sz w:val="20"/>
                <w:szCs w:val="20"/>
                <w:color w:val="auto"/>
              </w:rPr>
            </w:pPr>
            <w:r>
              <w:rPr>
                <w:rFonts w:ascii="Arial" w:cs="Arial" w:eastAsia="Arial" w:hAnsi="Arial"/>
                <w:sz w:val="13"/>
                <w:szCs w:val="13"/>
                <w:b w:val="1"/>
                <w:bCs w:val="1"/>
                <w:color w:val="auto"/>
              </w:rPr>
              <w:t>(In millions, except percentage changes)</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13,202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52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w w:val="97"/>
              </w:rPr>
              <w:t>(0.6)</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Cargo</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6"/>
                <w:szCs w:val="16"/>
                <w:color w:val="auto"/>
              </w:rPr>
              <w:t>16</w:t>
            </w:r>
          </w:p>
        </w:tc>
        <w:tc>
          <w:tcPr>
            <w:tcW w:w="1520" w:type="dxa"/>
            <w:vAlign w:val="bottom"/>
          </w:tcPr>
          <w:p>
            <w:pPr>
              <w:jc w:val="center"/>
              <w:ind w:left="28"/>
              <w:spacing w:after="0"/>
              <w:rPr>
                <w:sz w:val="20"/>
                <w:szCs w:val="20"/>
                <w:color w:val="auto"/>
              </w:rPr>
            </w:pPr>
            <w:r>
              <w:rPr>
                <w:rFonts w:ascii="Arial" w:cs="Arial" w:eastAsia="Arial" w:hAnsi="Arial"/>
                <w:sz w:val="16"/>
                <w:szCs w:val="16"/>
                <w:color w:val="auto"/>
                <w:w w:val="98"/>
              </w:rPr>
              <w:t>8.2</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120</w:t>
            </w:r>
          </w:p>
        </w:tc>
        <w:tc>
          <w:tcPr>
            <w:tcW w:w="152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7"/>
        </w:trPr>
        <w:tc>
          <w:tcPr>
            <w:tcW w:w="5300" w:type="dxa"/>
            <w:vAlign w:val="bottom"/>
          </w:tcPr>
          <w:p>
            <w:pPr>
              <w:ind w:left="120"/>
              <w:spacing w:after="0"/>
              <w:rPr>
                <w:sz w:val="20"/>
                <w:szCs w:val="20"/>
                <w:color w:val="auto"/>
              </w:rPr>
            </w:pPr>
            <w:r>
              <w:rPr>
                <w:rFonts w:ascii="Arial" w:cs="Arial" w:eastAsia="Arial" w:hAnsi="Arial"/>
                <w:sz w:val="16"/>
                <w:szCs w:val="16"/>
                <w:color w:val="auto"/>
              </w:rPr>
              <w:t>Total operating revenues</w:t>
            </w: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14,333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57</w:t>
            </w:r>
          </w:p>
        </w:tc>
        <w:tc>
          <w:tcPr>
            <w:tcW w:w="1520" w:type="dxa"/>
            <w:vAlign w:val="bottom"/>
          </w:tcPr>
          <w:p>
            <w:pPr>
              <w:jc w:val="center"/>
              <w:ind w:left="28"/>
              <w:spacing w:after="0"/>
              <w:rPr>
                <w:sz w:val="20"/>
                <w:szCs w:val="20"/>
                <w:color w:val="auto"/>
              </w:rPr>
            </w:pPr>
            <w:r>
              <w:rPr>
                <w:rFonts w:ascii="Arial" w:cs="Arial" w:eastAsia="Arial" w:hAnsi="Arial"/>
                <w:sz w:val="16"/>
                <w:szCs w:val="16"/>
                <w:color w:val="auto"/>
                <w:w w:val="98"/>
              </w:rPr>
              <w:t>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-679450</wp:posOffset>
            </wp:positionV>
            <wp:extent cx="609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-679450</wp:posOffset>
            </wp:positionV>
            <wp:extent cx="609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-679450</wp:posOffset>
            </wp:positionV>
            <wp:extent cx="609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Passenger revenue decreased $79 million, or 0.6%, in the second quarter of 2025 from the second quarter of 2024. American’s passenger revenue in the second quarter of 2025 was impacted by softness in domestic demand for air travel, offset in part by continued strength in international air travel, particularly in the Atlantic region.</w:t>
      </w:r>
    </w:p>
    <w:p>
      <w:pPr>
        <w:spacing w:after="0" w:line="104" w:lineRule="exact"/>
        <w:rPr>
          <w:sz w:val="20"/>
          <w:szCs w:val="20"/>
          <w:color w:val="auto"/>
        </w:rPr>
      </w:pPr>
    </w:p>
    <w:p>
      <w:pPr>
        <w:jc w:val="both"/>
        <w:ind w:firstLine="217"/>
        <w:spacing w:after="0" w:line="286" w:lineRule="auto"/>
        <w:rPr>
          <w:sz w:val="20"/>
          <w:szCs w:val="20"/>
          <w:color w:val="auto"/>
        </w:rPr>
      </w:pPr>
      <w:r>
        <w:rPr>
          <w:rFonts w:ascii="Arial" w:cs="Arial" w:eastAsia="Arial" w:hAnsi="Arial"/>
          <w:sz w:val="16"/>
          <w:szCs w:val="16"/>
          <w:color w:val="auto"/>
        </w:rPr>
        <w:t>Cargo revenue increased $16 million, or 8.2%, in the second quarter of 2025 from the second quarter of 2024, primarily due to an increase in cargo yield and an increase in cargo ton miles.</w:t>
      </w:r>
    </w:p>
    <w:p>
      <w:pPr>
        <w:spacing w:after="0" w:line="91"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Other operating revenue increased $120 million, or 12.9%, in the second quarter of 2025 from the second quarter of 2024, driven primarily by higher revenue associated with American’s loyalty program. During the three months ended June 30, 2025 and 2024, cash payments from co-branded credit card and other partners were $1.41 billion and $1.36 billion,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Operating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jc w:val="center"/>
              <w:ind w:left="4"/>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5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vMerge w:val="restart"/>
          </w:tcPr>
          <w:p>
            <w:pPr>
              <w:jc w:val="right"/>
              <w:ind w:right="383"/>
              <w:spacing w:after="0" w:line="96" w:lineRule="exact"/>
              <w:rPr>
                <w:sz w:val="20"/>
                <w:szCs w:val="20"/>
                <w:color w:val="auto"/>
              </w:rPr>
            </w:pPr>
            <w:r>
              <w:rPr>
                <w:rFonts w:ascii="Arial" w:cs="Arial" w:eastAsia="Arial" w:hAnsi="Arial"/>
                <w:sz w:val="11"/>
                <w:szCs w:val="11"/>
                <w:b w:val="1"/>
                <w:bCs w:val="1"/>
                <w:color w:val="auto"/>
              </w:rPr>
              <w:t>Increase</w:t>
            </w:r>
          </w:p>
        </w:tc>
        <w:tc>
          <w:tcPr>
            <w:tcW w:w="1520" w:type="dxa"/>
            <w:vAlign w:val="bottom"/>
            <w:vMerge w:val="restart"/>
          </w:tcPr>
          <w:p>
            <w:pPr>
              <w:jc w:val="center"/>
              <w:ind w:left="4"/>
              <w:spacing w:after="0" w:line="96"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82"/>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(Decrease)</w:t>
            </w:r>
          </w:p>
        </w:tc>
        <w:tc>
          <w:tcPr>
            <w:tcW w:w="1520" w:type="dxa"/>
            <w:vAlign w:val="bottom"/>
            <w:tcBorders>
              <w:bottom w:val="single" w:sz="8" w:color="auto"/>
            </w:tcBorders>
          </w:tcPr>
          <w:p>
            <w:pPr>
              <w:jc w:val="center"/>
              <w:ind w:left="4"/>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4"/>
          </w:tcPr>
          <w:p>
            <w:pPr>
              <w:jc w:val="right"/>
              <w:ind w:right="143"/>
              <w:spacing w:after="0"/>
              <w:rPr>
                <w:sz w:val="20"/>
                <w:szCs w:val="20"/>
                <w:color w:val="auto"/>
              </w:rPr>
            </w:pPr>
            <w:r>
              <w:rPr>
                <w:rFonts w:ascii="Arial" w:cs="Arial" w:eastAsia="Arial" w:hAnsi="Arial"/>
                <w:sz w:val="13"/>
                <w:szCs w:val="13"/>
                <w:b w:val="1"/>
                <w:bCs w:val="1"/>
                <w:color w:val="auto"/>
              </w:rPr>
              <w:t>(In millions, except percentage changes)</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520" w:type="dxa"/>
            <w:vAlign w:val="bottom"/>
            <w:shd w:val="clear" w:color="auto" w:fill="CCEEFF"/>
          </w:tcPr>
          <w:p>
            <w:pPr>
              <w:jc w:val="center"/>
              <w:ind w:left="24"/>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429</w:t>
            </w:r>
          </w:p>
        </w:tc>
        <w:tc>
          <w:tcPr>
            <w:tcW w:w="1520" w:type="dxa"/>
            <w:vAlign w:val="bottom"/>
          </w:tcPr>
          <w:p>
            <w:pPr>
              <w:jc w:val="center"/>
              <w:ind w:left="4"/>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Regional expenses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w:t>
            </w:r>
          </w:p>
        </w:tc>
        <w:tc>
          <w:tcPr>
            <w:tcW w:w="1520" w:type="dxa"/>
            <w:vAlign w:val="bottom"/>
            <w:shd w:val="clear" w:color="auto" w:fill="CCEEFF"/>
          </w:tcPr>
          <w:p>
            <w:pPr>
              <w:jc w:val="center"/>
              <w:ind w:left="24"/>
              <w:spacing w:after="0"/>
              <w:rPr>
                <w:sz w:val="20"/>
                <w:szCs w:val="20"/>
                <w:color w:val="auto"/>
              </w:rPr>
            </w:pPr>
            <w:r>
              <w:rPr>
                <w:rFonts w:ascii="Arial" w:cs="Arial" w:eastAsia="Arial" w:hAnsi="Arial"/>
                <w:sz w:val="16"/>
                <w:szCs w:val="16"/>
                <w:color w:val="auto"/>
                <w:w w:val="98"/>
              </w:rPr>
              <w:t>5.2</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Maintenance, materials and repairs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520" w:type="dxa"/>
            <w:vAlign w:val="bottom"/>
          </w:tcPr>
          <w:p>
            <w:pPr>
              <w:jc w:val="center"/>
              <w:ind w:left="4"/>
              <w:spacing w:after="0"/>
              <w:rPr>
                <w:sz w:val="20"/>
                <w:szCs w:val="20"/>
                <w:color w:val="auto"/>
              </w:rPr>
            </w:pPr>
            <w:r>
              <w:rPr>
                <w:rFonts w:ascii="Arial" w:cs="Arial" w:eastAsia="Arial" w:hAnsi="Arial"/>
                <w:sz w:val="16"/>
                <w:szCs w:val="16"/>
                <w:color w:val="auto"/>
                <w:w w:val="97"/>
              </w:rPr>
              <w:t>(2.5)</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rent and landing fees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w:t>
            </w:r>
          </w:p>
        </w:tc>
        <w:tc>
          <w:tcPr>
            <w:tcW w:w="1520" w:type="dxa"/>
            <w:vAlign w:val="bottom"/>
            <w:shd w:val="clear" w:color="auto" w:fill="CCEEFF"/>
          </w:tcPr>
          <w:p>
            <w:pPr>
              <w:jc w:val="center"/>
              <w:ind w:left="24"/>
              <w:spacing w:after="0"/>
              <w:rPr>
                <w:sz w:val="20"/>
                <w:szCs w:val="20"/>
                <w:color w:val="auto"/>
              </w:rPr>
            </w:pPr>
            <w:r>
              <w:rPr>
                <w:rFonts w:ascii="Arial" w:cs="Arial" w:eastAsia="Arial" w:hAnsi="Arial"/>
                <w:sz w:val="16"/>
                <w:szCs w:val="16"/>
                <w:color w:val="auto"/>
                <w:w w:val="98"/>
              </w:rPr>
              <w:t>7.2</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Aircraft rent</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520" w:type="dxa"/>
            <w:vAlign w:val="bottom"/>
          </w:tcPr>
          <w:p>
            <w:pPr>
              <w:jc w:val="center"/>
              <w:ind w:left="4"/>
              <w:spacing w:after="0"/>
              <w:rPr>
                <w:sz w:val="20"/>
                <w:szCs w:val="20"/>
                <w:color w:val="auto"/>
              </w:rPr>
            </w:pPr>
            <w:r>
              <w:rPr>
                <w:rFonts w:ascii="Arial" w:cs="Arial" w:eastAsia="Arial" w:hAnsi="Arial"/>
                <w:sz w:val="16"/>
                <w:szCs w:val="16"/>
                <w:color w:val="auto"/>
                <w:w w:val="97"/>
              </w:rPr>
              <w:t>(3.8)</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expenses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w:t>
            </w:r>
          </w:p>
        </w:tc>
        <w:tc>
          <w:tcPr>
            <w:tcW w:w="152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1520" w:type="dxa"/>
            <w:vAlign w:val="bottom"/>
          </w:tcPr>
          <w:p>
            <w:pPr>
              <w:jc w:val="center"/>
              <w:ind w:left="24"/>
              <w:spacing w:after="0"/>
              <w:rPr>
                <w:sz w:val="20"/>
                <w:szCs w:val="20"/>
                <w:color w:val="auto"/>
              </w:rPr>
            </w:pPr>
            <w:r>
              <w:rPr>
                <w:rFonts w:ascii="Arial" w:cs="Arial" w:eastAsia="Arial" w:hAnsi="Arial"/>
                <w:sz w:val="16"/>
                <w:szCs w:val="16"/>
                <w:color w:val="auto"/>
                <w:w w:val="98"/>
              </w:rPr>
              <w:t>0.7</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Mainline operating special items, net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w:t>
            </w:r>
          </w:p>
        </w:tc>
        <w:tc>
          <w:tcPr>
            <w:tcW w:w="1520" w:type="dxa"/>
            <w:vAlign w:val="bottom"/>
            <w:shd w:val="clear" w:color="auto" w:fill="CCEEFF"/>
          </w:tcPr>
          <w:p>
            <w:pPr>
              <w:jc w:val="center"/>
              <w:ind w:left="24"/>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20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58</w:t>
            </w:r>
          </w:p>
        </w:tc>
        <w:tc>
          <w:tcPr>
            <w:tcW w:w="1520" w:type="dxa"/>
            <w:vAlign w:val="bottom"/>
            <w:tcBorders>
              <w:bottom w:val="single" w:sz="8" w:color="CCEEFF"/>
            </w:tcBorders>
          </w:tcPr>
          <w:p>
            <w:pPr>
              <w:jc w:val="center"/>
              <w:ind w:left="24"/>
              <w:spacing w:after="0"/>
              <w:rPr>
                <w:sz w:val="20"/>
                <w:szCs w:val="20"/>
                <w:color w:val="auto"/>
              </w:rPr>
            </w:pPr>
            <w:r>
              <w:rPr>
                <w:rFonts w:ascii="Arial" w:cs="Arial" w:eastAsia="Arial" w:hAnsi="Arial"/>
                <w:sz w:val="16"/>
                <w:szCs w:val="16"/>
                <w:color w:val="auto"/>
                <w:w w:val="98"/>
              </w:rPr>
              <w:t>3.6</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12,939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309</w:t>
            </w:r>
          </w:p>
        </w:tc>
        <w:tc>
          <w:tcPr>
            <w:tcW w:w="1520" w:type="dxa"/>
            <w:vAlign w:val="bottom"/>
            <w:tcBorders>
              <w:bottom w:val="single" w:sz="8" w:color="CCEEFF"/>
            </w:tcBorders>
            <w:shd w:val="clear" w:color="auto" w:fill="CCEEFF"/>
          </w:tcPr>
          <w:p>
            <w:pPr>
              <w:jc w:val="center"/>
              <w:ind w:left="24"/>
              <w:spacing w:after="0"/>
              <w:rPr>
                <w:sz w:val="20"/>
                <w:szCs w:val="20"/>
                <w:color w:val="auto"/>
              </w:rPr>
            </w:pPr>
            <w:r>
              <w:rPr>
                <w:rFonts w:ascii="Arial" w:cs="Arial" w:eastAsia="Arial" w:hAnsi="Arial"/>
                <w:sz w:val="16"/>
                <w:szCs w:val="16"/>
                <w:color w:val="auto"/>
                <w:w w:val="98"/>
              </w:rPr>
              <w:t>2.4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-1589405</wp:posOffset>
            </wp:positionV>
            <wp:extent cx="609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-1589405</wp:posOffset>
            </wp:positionV>
            <wp:extent cx="609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-1589405</wp:posOffset>
            </wp:positionV>
            <wp:extent cx="609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Aircraft fuel and related taxes decreased $398 million, or 13.0%, in the second quarter of 2025 from the second quarter of 2024, primarily due to a 15.3% decrease in the average price per gallon of aircraft fuel including related taxes to $2.29 in the second quarter of 2025 from $2.70 in the second quarter of 2024, offset in part by a 2.7% increase in gallons of fuel consumed due to increased capacity.</w:t>
      </w:r>
    </w:p>
    <w:p>
      <w:pPr>
        <w:spacing w:after="0" w:line="104"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Salaries, wages and benefits increased $429 million, or 10.9%, in the second quarter of 2025 from the second quarter of 2024, primarily due to contractual wage rate increases and higher costs for benefit-related items associated with newly ratified and extended labor agreements reached in 2024, as well as annual contractual wage rate increases in American’s other labor agreements.</w:t>
      </w:r>
    </w:p>
    <w:p>
      <w:pPr>
        <w:spacing w:after="0" w:line="104"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Regional expenses increased $65 million, or 5.2%, in the second quarter of 2025 from the second quarter of 2024, primarily due to an increase in regional flight operations and costs at American’s regional carriers.</w:t>
      </w:r>
    </w:p>
    <w:p>
      <w:pPr>
        <w:spacing w:after="0" w:line="91"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Maintenance, materials and repairs decreased $23 million, or 2.5%, in the second quarter of 2025 from the second quarter of 2024, primarily due to a decrease in the volume of engine overhauls, offset in part by increased costs for component part repairs and airframe heavy checks driven by higher volume.</w:t>
      </w:r>
    </w:p>
    <w:p>
      <w:pPr>
        <w:spacing w:after="0" w:line="91" w:lineRule="exact"/>
        <w:rPr>
          <w:sz w:val="20"/>
          <w:szCs w:val="20"/>
          <w:color w:val="auto"/>
        </w:rPr>
      </w:pPr>
    </w:p>
    <w:p>
      <w:pPr>
        <w:jc w:val="both"/>
        <w:ind w:firstLine="217"/>
        <w:spacing w:after="0" w:line="286" w:lineRule="auto"/>
        <w:rPr>
          <w:sz w:val="20"/>
          <w:szCs w:val="20"/>
          <w:color w:val="auto"/>
        </w:rPr>
      </w:pPr>
      <w:r>
        <w:rPr>
          <w:rFonts w:ascii="Arial" w:cs="Arial" w:eastAsia="Arial" w:hAnsi="Arial"/>
          <w:sz w:val="16"/>
          <w:szCs w:val="16"/>
          <w:color w:val="auto"/>
        </w:rPr>
        <w:t>Other rent and landing fees increased $60 million, or 7.2%, in the second quarter of 2025 from the second quarter of 2024, primarily due to rate increases at certain airports, offset in part by a decrease in leased engines.</w:t>
      </w:r>
    </w:p>
    <w:p>
      <w:pPr>
        <w:spacing w:after="0" w:line="91"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Selling expenses increased $79 million, or 17.5%, in the second quarter of 2025 from the second quarter of 2024, primarily due to an increase in commissions expense, driven by higher costs resulting from renegotiated agency contracts, as well as an increase in credit card fees driven by higher rates. Higher advertising expenses also contributed to the increase in selling expenses.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Operating Special Items, Net</w:t>
      </w:r>
    </w:p>
    <w:p>
      <w:pPr>
        <w:spacing w:after="0" w:line="124" w:lineRule="exact"/>
        <w:rPr>
          <w:sz w:val="20"/>
          <w:szCs w:val="20"/>
          <w:color w:val="auto"/>
        </w:rPr>
      </w:pPr>
    </w:p>
    <w:p>
      <w:pPr>
        <w:jc w:val="center"/>
        <w:ind w:left="7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4958715</wp:posOffset>
            </wp:positionH>
            <wp:positionV relativeFrom="paragraph">
              <wp:posOffset>17145</wp:posOffset>
            </wp:positionV>
            <wp:extent cx="21863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86305" cy="7620"/>
                    </a:xfrm>
                    <a:prstGeom prst="rect">
                      <a:avLst/>
                    </a:prstGeom>
                    <a:noFill/>
                  </pic:spPr>
                </pic:pic>
              </a:graphicData>
            </a:graphic>
          </wp:anchor>
        </w:drawing>
      </w:r>
    </w:p>
    <w:p>
      <w:pPr>
        <w:spacing w:after="0" w:line="23" w:lineRule="exact"/>
        <w:rPr>
          <w:sz w:val="20"/>
          <w:szCs w:val="20"/>
          <w:color w:val="auto"/>
        </w:rPr>
      </w:pPr>
    </w:p>
    <w:p>
      <w:pPr>
        <w:ind w:left="8500"/>
        <w:spacing w:after="0"/>
        <w:tabs>
          <w:tab w:leader="none" w:pos="10260" w:val="left"/>
        </w:tabs>
        <w:rPr>
          <w:sz w:val="20"/>
          <w:szCs w:val="20"/>
          <w:color w:val="auto"/>
        </w:rPr>
      </w:pPr>
      <w:r>
        <w:rPr>
          <w:rFonts w:ascii="Arial" w:cs="Arial" w:eastAsia="Arial" w:hAnsi="Arial"/>
          <w:sz w:val="13"/>
          <w:szCs w:val="13"/>
          <w:b w:val="1"/>
          <w:bCs w:val="1"/>
          <w:color w:val="auto"/>
        </w:rPr>
        <w:t>2025</w:t>
      </w:r>
      <w:r>
        <w:rPr>
          <w:sz w:val="20"/>
          <w:szCs w:val="20"/>
          <w:color w:val="auto"/>
        </w:rPr>
        <w:tab/>
      </w:r>
      <w:r>
        <w:rPr>
          <w:rFonts w:ascii="Arial" w:cs="Arial" w:eastAsia="Arial" w:hAnsi="Arial"/>
          <w:sz w:val="13"/>
          <w:szCs w:val="13"/>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4958715</wp:posOffset>
            </wp:positionH>
            <wp:positionV relativeFrom="paragraph">
              <wp:posOffset>17145</wp:posOffset>
            </wp:positionV>
            <wp:extent cx="21863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86305" cy="7620"/>
                    </a:xfrm>
                    <a:prstGeom prst="rect">
                      <a:avLst/>
                    </a:prstGeom>
                    <a:noFill/>
                  </pic:spPr>
                </pic:pic>
              </a:graphicData>
            </a:graphic>
          </wp:anchor>
        </w:drawing>
      </w:r>
    </w:p>
    <w:p>
      <w:pPr>
        <w:spacing w:after="0" w:line="23" w:lineRule="exact"/>
        <w:rPr>
          <w:sz w:val="20"/>
          <w:szCs w:val="20"/>
          <w:color w:val="auto"/>
        </w:rPr>
      </w:pPr>
    </w:p>
    <w:p>
      <w:pPr>
        <w:ind w:left="9180"/>
        <w:spacing w:after="0"/>
        <w:rPr>
          <w:sz w:val="20"/>
          <w:szCs w:val="20"/>
          <w:color w:val="auto"/>
        </w:rPr>
      </w:pPr>
      <w:r>
        <w:rPr>
          <w:rFonts w:ascii="Arial" w:cs="Arial" w:eastAsia="Arial" w:hAnsi="Arial"/>
          <w:sz w:val="13"/>
          <w:szCs w:val="13"/>
          <w:b w:val="1"/>
          <w:bCs w:val="1"/>
          <w:color w:val="auto"/>
        </w:rPr>
        <w:t>(In millions)</w:t>
      </w:r>
    </w:p>
    <w:p>
      <w:pPr>
        <w:spacing w:after="0" w:line="27" w:lineRule="exact"/>
        <w:rPr>
          <w:sz w:val="20"/>
          <w:szCs w:val="20"/>
          <w:color w:val="auto"/>
        </w:rPr>
      </w:pPr>
    </w:p>
    <w:p>
      <w:pPr>
        <w:ind w:left="20"/>
        <w:spacing w:after="0"/>
        <w:tabs>
          <w:tab w:leader="none" w:pos="7800" w:val="left"/>
          <w:tab w:leader="none" w:pos="9220" w:val="left"/>
          <w:tab w:leader="none" w:pos="9580" w:val="left"/>
          <w:tab w:leader="none" w:pos="11000" w:val="left"/>
        </w:tabs>
        <w:rPr>
          <w:sz w:val="20"/>
          <w:szCs w:val="20"/>
          <w:color w:val="auto"/>
        </w:rPr>
      </w:pPr>
      <w:r>
        <w:rPr>
          <w:rFonts w:ascii="Arial" w:cs="Arial" w:eastAsia="Arial" w:hAnsi="Arial"/>
          <w:sz w:val="16"/>
          <w:szCs w:val="16"/>
          <w:color w:val="auto"/>
        </w:rPr>
        <w:t>Litigation reserve adjustments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46925" cy="130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6925" cy="13017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Nonoperating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00" w:type="dxa"/>
            <w:vAlign w:val="bottom"/>
          </w:tcPr>
          <w:p>
            <w:pPr>
              <w:spacing w:after="0"/>
              <w:rPr>
                <w:sz w:val="14"/>
                <w:szCs w:val="14"/>
                <w:color w:val="auto"/>
              </w:rPr>
            </w:pPr>
          </w:p>
        </w:tc>
        <w:tc>
          <w:tcPr>
            <w:tcW w:w="2520" w:type="dxa"/>
            <w:vAlign w:val="bottom"/>
            <w:gridSpan w:val="4"/>
          </w:tcPr>
          <w:p>
            <w:pPr>
              <w:jc w:val="right"/>
              <w:ind w:right="48"/>
              <w:spacing w:after="0"/>
              <w:rPr>
                <w:sz w:val="20"/>
                <w:szCs w:val="20"/>
                <w:color w:val="auto"/>
              </w:rPr>
            </w:pPr>
            <w:r>
              <w:rPr>
                <w:rFonts w:ascii="Arial" w:cs="Arial" w:eastAsia="Arial" w:hAnsi="Arial"/>
                <w:sz w:val="13"/>
                <w:szCs w:val="13"/>
                <w:b w:val="1"/>
                <w:bCs w:val="1"/>
                <w:color w:val="auto"/>
              </w:rPr>
              <w:t>Three Months Ended 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left="28"/>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53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center"/>
              <w:ind w:right="147"/>
              <w:spacing w:after="0" w:line="96" w:lineRule="exact"/>
              <w:rPr>
                <w:sz w:val="20"/>
                <w:szCs w:val="20"/>
                <w:color w:val="auto"/>
              </w:rPr>
            </w:pPr>
            <w:r>
              <w:rPr>
                <w:rFonts w:ascii="Arial" w:cs="Arial" w:eastAsia="Arial" w:hAnsi="Arial"/>
                <w:sz w:val="11"/>
                <w:szCs w:val="11"/>
                <w:b w:val="1"/>
                <w:bCs w:val="1"/>
                <w:color w:val="auto"/>
              </w:rPr>
              <w:t>Increase</w:t>
            </w:r>
          </w:p>
        </w:tc>
        <w:tc>
          <w:tcPr>
            <w:tcW w:w="1460" w:type="dxa"/>
            <w:vAlign w:val="bottom"/>
            <w:vMerge w:val="restart"/>
          </w:tcPr>
          <w:p>
            <w:pPr>
              <w:jc w:val="center"/>
              <w:ind w:left="28"/>
              <w:spacing w:after="0" w:line="96"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2025</w:t>
            </w: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30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auto"/>
                <w:w w:val="96"/>
              </w:rPr>
              <w:t>(Decrease)</w:t>
            </w:r>
          </w:p>
        </w:tc>
        <w:tc>
          <w:tcPr>
            <w:tcW w:w="1460" w:type="dxa"/>
            <w:vAlign w:val="bottom"/>
            <w:tcBorders>
              <w:bottom w:val="single" w:sz="8" w:color="auto"/>
            </w:tcBorders>
          </w:tcPr>
          <w:p>
            <w:pPr>
              <w:jc w:val="center"/>
              <w:ind w:left="28"/>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ind w:left="180"/>
              <w:spacing w:after="0"/>
              <w:rPr>
                <w:sz w:val="20"/>
                <w:szCs w:val="20"/>
                <w:color w:val="auto"/>
              </w:rPr>
            </w:pPr>
            <w:r>
              <w:rPr>
                <w:rFonts w:ascii="Arial" w:cs="Arial" w:eastAsia="Arial" w:hAnsi="Arial"/>
                <w:sz w:val="13"/>
                <w:szCs w:val="13"/>
                <w:b w:val="1"/>
                <w:bCs w:val="1"/>
                <w:color w:val="auto"/>
              </w:rPr>
              <w:t>(In millions, except percentage changes)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727"/>
              <w:spacing w:after="0"/>
              <w:rPr>
                <w:sz w:val="20"/>
                <w:szCs w:val="20"/>
                <w:color w:val="auto"/>
              </w:rPr>
            </w:pPr>
            <w:r>
              <w:rPr>
                <w:rFonts w:ascii="Arial" w:cs="Arial" w:eastAsia="Arial" w:hAnsi="Arial"/>
                <w:sz w:val="16"/>
                <w:szCs w:val="16"/>
                <w:color w:val="auto"/>
              </w:rPr>
              <w:t>(28)</w:t>
            </w:r>
          </w:p>
        </w:tc>
        <w:tc>
          <w:tcPr>
            <w:tcW w:w="1460" w:type="dxa"/>
            <w:vAlign w:val="bottom"/>
            <w:shd w:val="clear" w:color="auto" w:fill="CCEEFF"/>
          </w:tcPr>
          <w:p>
            <w:pPr>
              <w:jc w:val="center"/>
              <w:ind w:left="48"/>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41"/>
        </w:trPr>
        <w:tc>
          <w:tcPr>
            <w:tcW w:w="53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left="767"/>
              <w:spacing w:after="0"/>
              <w:rPr>
                <w:sz w:val="20"/>
                <w:szCs w:val="20"/>
                <w:color w:val="auto"/>
              </w:rPr>
            </w:pPr>
            <w:r>
              <w:rPr>
                <w:rFonts w:ascii="Arial" w:cs="Arial" w:eastAsia="Arial" w:hAnsi="Arial"/>
                <w:sz w:val="16"/>
                <w:szCs w:val="16"/>
                <w:color w:val="auto"/>
              </w:rPr>
              <w:t>71</w:t>
            </w:r>
          </w:p>
        </w:tc>
        <w:tc>
          <w:tcPr>
            <w:tcW w:w="1460" w:type="dxa"/>
            <w:vAlign w:val="bottom"/>
          </w:tcPr>
          <w:p>
            <w:pPr>
              <w:jc w:val="center"/>
              <w:ind w:left="48"/>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center"/>
              <w:ind w:left="767"/>
              <w:spacing w:after="0"/>
              <w:rPr>
                <w:sz w:val="20"/>
                <w:szCs w:val="20"/>
                <w:color w:val="auto"/>
              </w:rPr>
            </w:pPr>
            <w:r>
              <w:rPr>
                <w:rFonts w:ascii="Arial" w:cs="Arial" w:eastAsia="Arial" w:hAnsi="Arial"/>
                <w:sz w:val="16"/>
                <w:szCs w:val="16"/>
                <w:color w:val="auto"/>
              </w:rPr>
              <w:t>34</w:t>
            </w:r>
          </w:p>
        </w:tc>
        <w:tc>
          <w:tcPr>
            <w:tcW w:w="1460" w:type="dxa"/>
            <w:vAlign w:val="bottom"/>
            <w:shd w:val="clear" w:color="auto" w:fill="CCEEFF"/>
          </w:tcPr>
          <w:p>
            <w:pPr>
              <w:jc w:val="center"/>
              <w:ind w:left="48"/>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197"/>
        </w:trPr>
        <w:tc>
          <w:tcPr>
            <w:tcW w:w="5300" w:type="dxa"/>
            <w:vAlign w:val="bottom"/>
          </w:tcPr>
          <w:p>
            <w:pPr>
              <w:ind w:left="120"/>
              <w:spacing w:after="0"/>
              <w:rPr>
                <w:sz w:val="20"/>
                <w:szCs w:val="20"/>
                <w:color w:val="auto"/>
              </w:rPr>
            </w:pPr>
            <w:r>
              <w:rPr>
                <w:rFonts w:ascii="Arial" w:cs="Arial" w:eastAsia="Arial" w:hAnsi="Arial"/>
                <w:sz w:val="16"/>
                <w:szCs w:val="16"/>
                <w:color w:val="auto"/>
              </w:rPr>
              <w:t>Total nonoperating expense, net</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center"/>
              <w:ind w:left="767"/>
              <w:spacing w:after="0"/>
              <w:rPr>
                <w:sz w:val="20"/>
                <w:szCs w:val="20"/>
                <w:color w:val="auto"/>
              </w:rPr>
            </w:pPr>
            <w:r>
              <w:rPr>
                <w:rFonts w:ascii="Arial" w:cs="Arial" w:eastAsia="Arial" w:hAnsi="Arial"/>
                <w:sz w:val="16"/>
                <w:szCs w:val="16"/>
                <w:color w:val="auto"/>
              </w:rPr>
              <w:t>77</w:t>
            </w:r>
          </w:p>
        </w:tc>
        <w:tc>
          <w:tcPr>
            <w:tcW w:w="1460" w:type="dxa"/>
            <w:vAlign w:val="bottom"/>
          </w:tcPr>
          <w:p>
            <w:pPr>
              <w:jc w:val="center"/>
              <w:ind w:left="48"/>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-702310</wp:posOffset>
            </wp:positionV>
            <wp:extent cx="6096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-702310</wp:posOffset>
            </wp:positionV>
            <wp:extent cx="609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-702310</wp:posOffset>
            </wp:positionV>
            <wp:extent cx="609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jc w:val="both"/>
        <w:ind w:right="20" w:firstLine="217"/>
        <w:spacing w:after="0" w:line="263" w:lineRule="auto"/>
        <w:rPr>
          <w:sz w:val="20"/>
          <w:szCs w:val="20"/>
          <w:color w:val="auto"/>
        </w:rPr>
      </w:pPr>
      <w:r>
        <w:rPr>
          <w:rFonts w:ascii="Arial" w:cs="Arial" w:eastAsia="Arial" w:hAnsi="Arial"/>
          <w:sz w:val="16"/>
          <w:szCs w:val="16"/>
          <w:color w:val="auto"/>
        </w:rPr>
        <w:t>Interest income decreased $28 million, or 10.1%, in the second quarter of 2025 from the second quarter of 2024, primarily due to lower interest rates that reduced returns on American’s short-term investments. Interest expense, net decreased $71 million, or 13.7%, in the second quarter of 2025 from the second quarter of 2024, primarily due to lower interest rates on its variable-rate debt instruments and lower outstanding debt subsequent to the second quarter of 2024, as American continues its efforts to strengthen the balance sheet.</w:t>
      </w:r>
    </w:p>
    <w:p>
      <w:pPr>
        <w:spacing w:after="0" w:line="108"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In the second quarter of 2025, other nonoperating income, net primarily included $16 million of net special credits and $11 million of non-service related pension and other postretirement benefit plan income.</w:t>
      </w:r>
    </w:p>
    <w:p>
      <w:pPr>
        <w:spacing w:after="0" w:line="91"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In the second quarter of 2024, other nonoperating income, net primarily included $24 million of non-service related pension and other postretirement benefit plan income, offset in part by $12 million of net special charges.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American is a member of AAG’s consolidated federal and certain state income tax returns.</w:t>
      </w:r>
    </w:p>
    <w:p>
      <w:pPr>
        <w:spacing w:after="0" w:line="153"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In the second quarter of 2025, American recorded an income tax provision of $267 million. Substantially all of American’s income before income taxes is attributable to the United States.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See Note 5 to American’s Condensed Consolidated Financial Statements in Part I, Item 1B for additional information on income taxes.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2025 Compared to Six Months Ended June 30, 2024</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Operating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260"/>
              <w:spacing w:after="0"/>
              <w:rPr>
                <w:sz w:val="20"/>
                <w:szCs w:val="20"/>
                <w:color w:val="auto"/>
              </w:rPr>
            </w:pPr>
            <w:r>
              <w:rPr>
                <w:rFonts w:ascii="Arial" w:cs="Arial" w:eastAsia="Arial" w:hAnsi="Arial"/>
                <w:sz w:val="13"/>
                <w:szCs w:val="13"/>
                <w:b w:val="1"/>
                <w:bCs w:val="1"/>
                <w:color w:val="auto"/>
              </w:rPr>
              <w:t>Six Months Ended June 30,</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ind w:left="8"/>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55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47"/>
              <w:spacing w:after="0" w:line="96" w:lineRule="exact"/>
              <w:rPr>
                <w:sz w:val="20"/>
                <w:szCs w:val="20"/>
                <w:color w:val="auto"/>
              </w:rPr>
            </w:pPr>
            <w:r>
              <w:rPr>
                <w:rFonts w:ascii="Arial" w:cs="Arial" w:eastAsia="Arial" w:hAnsi="Arial"/>
                <w:sz w:val="11"/>
                <w:szCs w:val="11"/>
                <w:b w:val="1"/>
                <w:bCs w:val="1"/>
                <w:color w:val="auto"/>
              </w:rPr>
              <w:t>Increase</w:t>
            </w:r>
          </w:p>
        </w:tc>
        <w:tc>
          <w:tcPr>
            <w:tcW w:w="1480" w:type="dxa"/>
            <w:vAlign w:val="bottom"/>
            <w:vMerge w:val="restart"/>
          </w:tcPr>
          <w:p>
            <w:pPr>
              <w:jc w:val="center"/>
              <w:ind w:left="8"/>
              <w:spacing w:after="0" w:line="96"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8"/>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6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right"/>
              <w:ind w:right="465"/>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b w:val="1"/>
                <w:bCs w:val="1"/>
                <w:color w:val="auto"/>
              </w:rPr>
              <w:t>(Decrease)</w:t>
            </w:r>
          </w:p>
        </w:tc>
        <w:tc>
          <w:tcPr>
            <w:tcW w:w="1480" w:type="dxa"/>
            <w:vAlign w:val="bottom"/>
            <w:tcBorders>
              <w:bottom w:val="single" w:sz="8" w:color="auto"/>
            </w:tcBorders>
          </w:tcPr>
          <w:p>
            <w:pPr>
              <w:jc w:val="center"/>
              <w:ind w:left="8"/>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4"/>
          </w:tcPr>
          <w:p>
            <w:pPr>
              <w:jc w:val="right"/>
              <w:ind w:right="87"/>
              <w:spacing w:after="0"/>
              <w:rPr>
                <w:sz w:val="20"/>
                <w:szCs w:val="20"/>
                <w:color w:val="auto"/>
              </w:rPr>
            </w:pPr>
            <w:r>
              <w:rPr>
                <w:rFonts w:ascii="Arial" w:cs="Arial" w:eastAsia="Arial" w:hAnsi="Arial"/>
                <w:sz w:val="13"/>
                <w:szCs w:val="13"/>
                <w:b w:val="1"/>
                <w:bCs w:val="1"/>
                <w:color w:val="auto"/>
                <w:w w:val="99"/>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24,514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24,661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480" w:type="dxa"/>
            <w:vAlign w:val="bottom"/>
            <w:shd w:val="clear" w:color="auto" w:fill="CCEEFF"/>
          </w:tcPr>
          <w:p>
            <w:pPr>
              <w:jc w:val="right"/>
              <w:ind w:right="468"/>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5"/>
        </w:trPr>
        <w:tc>
          <w:tcPr>
            <w:tcW w:w="5500" w:type="dxa"/>
            <w:vAlign w:val="bottom"/>
          </w:tcPr>
          <w:p>
            <w:pPr>
              <w:ind w:left="20"/>
              <w:spacing w:after="0"/>
              <w:rPr>
                <w:sz w:val="20"/>
                <w:szCs w:val="20"/>
                <w:color w:val="auto"/>
              </w:rPr>
            </w:pPr>
            <w:r>
              <w:rPr>
                <w:rFonts w:ascii="Arial" w:cs="Arial" w:eastAsia="Arial" w:hAnsi="Arial"/>
                <w:sz w:val="16"/>
                <w:szCs w:val="16"/>
                <w:color w:val="auto"/>
              </w:rPr>
              <w:t>Cargo</w:t>
            </w:r>
          </w:p>
        </w:tc>
        <w:tc>
          <w:tcPr>
            <w:tcW w:w="320" w:type="dxa"/>
            <w:vAlign w:val="bottom"/>
          </w:tcPr>
          <w:p>
            <w:pPr>
              <w:spacing w:after="0"/>
              <w:rPr>
                <w:sz w:val="17"/>
                <w:szCs w:val="17"/>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7"/>
              <w:spacing w:after="0"/>
              <w:rPr>
                <w:sz w:val="20"/>
                <w:szCs w:val="20"/>
                <w:color w:val="auto"/>
              </w:rPr>
            </w:pPr>
            <w:r>
              <w:rPr>
                <w:rFonts w:ascii="Arial" w:cs="Arial" w:eastAsia="Arial" w:hAnsi="Arial"/>
                <w:sz w:val="16"/>
                <w:szCs w:val="16"/>
                <w:color w:val="auto"/>
              </w:rPr>
              <w:t>18</w:t>
            </w:r>
          </w:p>
        </w:tc>
        <w:tc>
          <w:tcPr>
            <w:tcW w:w="1480" w:type="dxa"/>
            <w:vAlign w:val="bottom"/>
          </w:tcPr>
          <w:p>
            <w:pPr>
              <w:jc w:val="right"/>
              <w:ind w:right="508"/>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167</w:t>
            </w:r>
          </w:p>
        </w:tc>
        <w:tc>
          <w:tcPr>
            <w:tcW w:w="1480" w:type="dxa"/>
            <w:vAlign w:val="bottom"/>
            <w:shd w:val="clear" w:color="auto" w:fill="CCEEFF"/>
          </w:tcPr>
          <w:p>
            <w:pPr>
              <w:jc w:val="right"/>
              <w:ind w:right="508"/>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7"/>
        </w:trPr>
        <w:tc>
          <w:tcPr>
            <w:tcW w:w="5500" w:type="dxa"/>
            <w:vAlign w:val="bottom"/>
          </w:tcPr>
          <w:p>
            <w:pPr>
              <w:ind w:left="120"/>
              <w:spacing w:after="0"/>
              <w:rPr>
                <w:sz w:val="20"/>
                <w:szCs w:val="20"/>
                <w:color w:val="auto"/>
              </w:rPr>
            </w:pPr>
            <w:r>
              <w:rPr>
                <w:rFonts w:ascii="Arial" w:cs="Arial" w:eastAsia="Arial" w:hAnsi="Arial"/>
                <w:sz w:val="16"/>
                <w:szCs w:val="16"/>
                <w:color w:val="auto"/>
              </w:rPr>
              <w:t>Total operating revenues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26,940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26,902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38</w:t>
            </w:r>
          </w:p>
        </w:tc>
        <w:tc>
          <w:tcPr>
            <w:tcW w:w="1480" w:type="dxa"/>
            <w:vAlign w:val="bottom"/>
          </w:tcPr>
          <w:p>
            <w:pPr>
              <w:jc w:val="right"/>
              <w:ind w:right="508"/>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-679450</wp:posOffset>
            </wp:positionV>
            <wp:extent cx="609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-679450</wp:posOffset>
            </wp:positionV>
            <wp:extent cx="609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6204585</wp:posOffset>
            </wp:positionH>
            <wp:positionV relativeFrom="paragraph">
              <wp:posOffset>-679450</wp:posOffset>
            </wp:positionV>
            <wp:extent cx="609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80" w:lineRule="exact"/>
        <w:rPr>
          <w:sz w:val="20"/>
          <w:szCs w:val="20"/>
          <w:color w:val="auto"/>
        </w:rPr>
      </w:pPr>
    </w:p>
    <w:p>
      <w:pPr>
        <w:jc w:val="both"/>
        <w:ind w:firstLine="180"/>
        <w:spacing w:after="0" w:line="269" w:lineRule="auto"/>
        <w:rPr>
          <w:sz w:val="20"/>
          <w:szCs w:val="20"/>
          <w:color w:val="auto"/>
        </w:rPr>
      </w:pPr>
      <w:r>
        <w:rPr>
          <w:rFonts w:ascii="Arial" w:cs="Arial" w:eastAsia="Arial" w:hAnsi="Arial"/>
          <w:sz w:val="16"/>
          <w:szCs w:val="16"/>
          <w:color w:val="auto"/>
        </w:rPr>
        <w:t>Passenger revenue decreased $147 million, or 0.6%, in the first six months of 2025 from the first six months of 2024. American’s passenger revenue in the first six months of 2025 was impacted by softness in domestic demand for air travel and the American Eagle Flight 5342 accident, offset in part by continued strength in international air travel, particularly in the Atlantic and Pacific regions.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Cargo revenue increased $18 million, or 4.7%, in the first six months of 2025 from the first six months of 2024, primarily due to an increase in cargo yield.</w:t>
      </w:r>
    </w:p>
    <w:p>
      <w:pPr>
        <w:spacing w:after="0" w:line="153" w:lineRule="exact"/>
        <w:rPr>
          <w:sz w:val="20"/>
          <w:szCs w:val="20"/>
          <w:color w:val="auto"/>
        </w:rPr>
      </w:pPr>
    </w:p>
    <w:p>
      <w:pPr>
        <w:jc w:val="both"/>
        <w:ind w:right="20" w:firstLine="180"/>
        <w:spacing w:after="0" w:line="269" w:lineRule="auto"/>
        <w:rPr>
          <w:sz w:val="20"/>
          <w:szCs w:val="20"/>
          <w:color w:val="auto"/>
        </w:rPr>
      </w:pPr>
      <w:r>
        <w:rPr>
          <w:rFonts w:ascii="Arial" w:cs="Arial" w:eastAsia="Arial" w:hAnsi="Arial"/>
          <w:sz w:val="16"/>
          <w:szCs w:val="16"/>
          <w:color w:val="auto"/>
        </w:rPr>
        <w:t>Other operating revenue increased $167 million, or 8.9%, in the first six months of 2025 from the first six months of 2024, driven primarily by higher revenue associated with American’s loyalty program. During the six months ended June 30, 2025 and 2024, cash payments from co-branded credit card and other partners were $3.2 billion and $3.0 billion,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Operating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300"/>
              <w:spacing w:after="0"/>
              <w:rPr>
                <w:sz w:val="20"/>
                <w:szCs w:val="20"/>
                <w:color w:val="auto"/>
              </w:rPr>
            </w:pPr>
            <w:r>
              <w:rPr>
                <w:rFonts w:ascii="Arial" w:cs="Arial" w:eastAsia="Arial" w:hAnsi="Arial"/>
                <w:sz w:val="13"/>
                <w:szCs w:val="13"/>
                <w:b w:val="1"/>
                <w:bCs w:val="1"/>
                <w:color w:val="auto"/>
              </w:rPr>
              <w:t>Six Months Ended June 30,</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jc w:val="center"/>
              <w:ind w:left="4"/>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48"/>
        </w:trPr>
        <w:tc>
          <w:tcPr>
            <w:tcW w:w="5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vMerge w:val="restart"/>
          </w:tcPr>
          <w:p>
            <w:pPr>
              <w:jc w:val="right"/>
              <w:ind w:right="383"/>
              <w:spacing w:after="0" w:line="96" w:lineRule="exact"/>
              <w:rPr>
                <w:sz w:val="20"/>
                <w:szCs w:val="20"/>
                <w:color w:val="auto"/>
              </w:rPr>
            </w:pPr>
            <w:r>
              <w:rPr>
                <w:rFonts w:ascii="Arial" w:cs="Arial" w:eastAsia="Arial" w:hAnsi="Arial"/>
                <w:sz w:val="11"/>
                <w:szCs w:val="11"/>
                <w:b w:val="1"/>
                <w:bCs w:val="1"/>
                <w:color w:val="auto"/>
              </w:rPr>
              <w:t>Increase</w:t>
            </w:r>
          </w:p>
        </w:tc>
        <w:tc>
          <w:tcPr>
            <w:tcW w:w="1520" w:type="dxa"/>
            <w:vAlign w:val="bottom"/>
            <w:vMerge w:val="restart"/>
          </w:tcPr>
          <w:p>
            <w:pPr>
              <w:jc w:val="center"/>
              <w:ind w:left="4"/>
              <w:spacing w:after="0" w:line="96"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82"/>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(Decrease)</w:t>
            </w:r>
          </w:p>
        </w:tc>
        <w:tc>
          <w:tcPr>
            <w:tcW w:w="1520" w:type="dxa"/>
            <w:vAlign w:val="bottom"/>
            <w:tcBorders>
              <w:bottom w:val="single" w:sz="8" w:color="auto"/>
            </w:tcBorders>
          </w:tcPr>
          <w:p>
            <w:pPr>
              <w:jc w:val="center"/>
              <w:ind w:left="4"/>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4"/>
          </w:tcPr>
          <w:p>
            <w:pPr>
              <w:jc w:val="right"/>
              <w:ind w:right="143"/>
              <w:spacing w:after="0"/>
              <w:rPr>
                <w:sz w:val="20"/>
                <w:szCs w:val="20"/>
                <w:color w:val="auto"/>
              </w:rPr>
            </w:pPr>
            <w:r>
              <w:rPr>
                <w:rFonts w:ascii="Arial" w:cs="Arial" w:eastAsia="Arial" w:hAnsi="Arial"/>
                <w:sz w:val="13"/>
                <w:szCs w:val="13"/>
                <w:b w:val="1"/>
                <w:bCs w:val="1"/>
                <w:color w:val="auto"/>
              </w:rPr>
              <w:t>(In millions, except percentage changes)</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520" w:type="dxa"/>
            <w:vAlign w:val="bottom"/>
            <w:shd w:val="clear" w:color="auto" w:fill="CCEEFF"/>
          </w:tcPr>
          <w:p>
            <w:pPr>
              <w:jc w:val="center"/>
              <w:ind w:left="24"/>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7,816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783</w:t>
            </w:r>
          </w:p>
        </w:tc>
        <w:tc>
          <w:tcPr>
            <w:tcW w:w="1520" w:type="dxa"/>
            <w:vAlign w:val="bottom"/>
          </w:tcPr>
          <w:p>
            <w:pPr>
              <w:jc w:val="center"/>
              <w:ind w:left="4"/>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Regional expenses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217</w:t>
            </w:r>
          </w:p>
        </w:tc>
        <w:tc>
          <w:tcPr>
            <w:tcW w:w="1520" w:type="dxa"/>
            <w:vAlign w:val="bottom"/>
            <w:shd w:val="clear" w:color="auto" w:fill="CCEEFF"/>
          </w:tcPr>
          <w:p>
            <w:pPr>
              <w:jc w:val="center"/>
              <w:ind w:left="24"/>
              <w:spacing w:after="0"/>
              <w:rPr>
                <w:sz w:val="20"/>
                <w:szCs w:val="20"/>
                <w:color w:val="auto"/>
              </w:rPr>
            </w:pPr>
            <w:r>
              <w:rPr>
                <w:rFonts w:ascii="Arial" w:cs="Arial" w:eastAsia="Arial" w:hAnsi="Arial"/>
                <w:sz w:val="16"/>
                <w:szCs w:val="16"/>
                <w:color w:val="auto"/>
                <w:w w:val="98"/>
              </w:rPr>
              <w:t>8.8</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Maintenance, materials and repairs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14</w:t>
            </w:r>
          </w:p>
        </w:tc>
        <w:tc>
          <w:tcPr>
            <w:tcW w:w="1520" w:type="dxa"/>
            <w:vAlign w:val="bottom"/>
          </w:tcPr>
          <w:p>
            <w:pPr>
              <w:jc w:val="center"/>
              <w:ind w:left="24"/>
              <w:spacing w:after="0"/>
              <w:rPr>
                <w:sz w:val="20"/>
                <w:szCs w:val="20"/>
                <w:color w:val="auto"/>
              </w:rPr>
            </w:pPr>
            <w:r>
              <w:rPr>
                <w:rFonts w:ascii="Arial" w:cs="Arial" w:eastAsia="Arial" w:hAnsi="Arial"/>
                <w:sz w:val="16"/>
                <w:szCs w:val="16"/>
                <w:color w:val="auto"/>
                <w:w w:val="98"/>
              </w:rPr>
              <w:t>0.8</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rent and landing fees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w:t>
            </w:r>
          </w:p>
        </w:tc>
        <w:tc>
          <w:tcPr>
            <w:tcW w:w="1520" w:type="dxa"/>
            <w:vAlign w:val="bottom"/>
            <w:shd w:val="clear" w:color="auto" w:fill="CCEEFF"/>
          </w:tcPr>
          <w:p>
            <w:pPr>
              <w:jc w:val="center"/>
              <w:ind w:left="24"/>
              <w:spacing w:after="0"/>
              <w:rPr>
                <w:sz w:val="20"/>
                <w:szCs w:val="20"/>
                <w:color w:val="auto"/>
              </w:rPr>
            </w:pPr>
            <w:r>
              <w:rPr>
                <w:rFonts w:ascii="Arial" w:cs="Arial" w:eastAsia="Arial" w:hAnsi="Arial"/>
                <w:sz w:val="16"/>
                <w:szCs w:val="16"/>
                <w:color w:val="auto"/>
                <w:w w:val="98"/>
              </w:rPr>
              <w:t>4.1</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Aircraft rent</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1520" w:type="dxa"/>
            <w:vAlign w:val="bottom"/>
          </w:tcPr>
          <w:p>
            <w:pPr>
              <w:jc w:val="center"/>
              <w:ind w:left="4"/>
              <w:spacing w:after="0"/>
              <w:rPr>
                <w:sz w:val="20"/>
                <w:szCs w:val="20"/>
                <w:color w:val="auto"/>
              </w:rPr>
            </w:pPr>
            <w:r>
              <w:rPr>
                <w:rFonts w:ascii="Arial" w:cs="Arial" w:eastAsia="Arial" w:hAnsi="Arial"/>
                <w:sz w:val="16"/>
                <w:szCs w:val="16"/>
                <w:color w:val="auto"/>
                <w:w w:val="97"/>
              </w:rPr>
              <w:t>(6.6)</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expenses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w:t>
            </w:r>
          </w:p>
        </w:tc>
        <w:tc>
          <w:tcPr>
            <w:tcW w:w="152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520" w:type="dxa"/>
            <w:vAlign w:val="bottom"/>
          </w:tcPr>
          <w:p>
            <w:pPr>
              <w:jc w:val="center"/>
              <w:ind w:left="24"/>
              <w:spacing w:after="0"/>
              <w:rPr>
                <w:sz w:val="20"/>
                <w:szCs w:val="20"/>
                <w:color w:val="auto"/>
              </w:rPr>
            </w:pPr>
            <w:r>
              <w:rPr>
                <w:rFonts w:ascii="Arial" w:cs="Arial" w:eastAsia="Arial" w:hAnsi="Arial"/>
                <w:sz w:val="16"/>
                <w:szCs w:val="16"/>
                <w:color w:val="auto"/>
                <w:w w:val="98"/>
              </w:rPr>
              <w:t>0.2</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Mainline operating special items, net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w:t>
            </w:r>
          </w:p>
        </w:tc>
        <w:tc>
          <w:tcPr>
            <w:tcW w:w="152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0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3,178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152</w:t>
            </w:r>
          </w:p>
        </w:tc>
        <w:tc>
          <w:tcPr>
            <w:tcW w:w="1520" w:type="dxa"/>
            <w:vAlign w:val="bottom"/>
            <w:tcBorders>
              <w:bottom w:val="single" w:sz="8" w:color="CCEEFF"/>
            </w:tcBorders>
          </w:tcPr>
          <w:p>
            <w:pPr>
              <w:jc w:val="center"/>
              <w:ind w:left="24"/>
              <w:spacing w:after="0"/>
              <w:rPr>
                <w:sz w:val="20"/>
                <w:szCs w:val="20"/>
                <w:color w:val="auto"/>
              </w:rPr>
            </w:pPr>
            <w:r>
              <w:rPr>
                <w:rFonts w:ascii="Arial" w:cs="Arial" w:eastAsia="Arial" w:hAnsi="Arial"/>
                <w:sz w:val="16"/>
                <w:szCs w:val="16"/>
                <w:color w:val="auto"/>
                <w:w w:val="98"/>
              </w:rPr>
              <w:t>4.8</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25,495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570</w:t>
            </w:r>
          </w:p>
        </w:tc>
        <w:tc>
          <w:tcPr>
            <w:tcW w:w="1520" w:type="dxa"/>
            <w:vAlign w:val="bottom"/>
            <w:tcBorders>
              <w:bottom w:val="single" w:sz="8" w:color="CCEEFF"/>
            </w:tcBorders>
            <w:shd w:val="clear" w:color="auto" w:fill="CCEEFF"/>
          </w:tcPr>
          <w:p>
            <w:pPr>
              <w:jc w:val="center"/>
              <w:ind w:left="24"/>
              <w:spacing w:after="0"/>
              <w:rPr>
                <w:sz w:val="20"/>
                <w:szCs w:val="20"/>
                <w:color w:val="auto"/>
              </w:rPr>
            </w:pPr>
            <w:r>
              <w:rPr>
                <w:rFonts w:ascii="Arial" w:cs="Arial" w:eastAsia="Arial" w:hAnsi="Arial"/>
                <w:sz w:val="16"/>
                <w:szCs w:val="16"/>
                <w:color w:val="auto"/>
                <w:w w:val="98"/>
              </w:rPr>
              <w:t>2.2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-1589405</wp:posOffset>
            </wp:positionV>
            <wp:extent cx="609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-1589405</wp:posOffset>
            </wp:positionV>
            <wp:extent cx="609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-1589405</wp:posOffset>
            </wp:positionV>
            <wp:extent cx="609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92" w:lineRule="exact"/>
        <w:rPr>
          <w:sz w:val="20"/>
          <w:szCs w:val="20"/>
          <w:color w:val="auto"/>
        </w:rPr>
      </w:pPr>
    </w:p>
    <w:p>
      <w:pPr>
        <w:jc w:val="both"/>
        <w:ind w:right="20" w:firstLine="180"/>
        <w:spacing w:after="0" w:line="269" w:lineRule="auto"/>
        <w:rPr>
          <w:sz w:val="20"/>
          <w:szCs w:val="20"/>
          <w:color w:val="auto"/>
        </w:rPr>
      </w:pPr>
      <w:r>
        <w:rPr>
          <w:rFonts w:ascii="Arial" w:cs="Arial" w:eastAsia="Arial" w:hAnsi="Arial"/>
          <w:sz w:val="16"/>
          <w:szCs w:val="16"/>
          <w:color w:val="auto"/>
        </w:rPr>
        <w:t>Aircraft fuel and related taxes decreased $792 million, or 13.1%, in the first six months of 2025 from the first six months of 2024, primarily due to a 14.3% decrease in the average price per gallon of aircraft fuel including related taxes to $2.38 in the first six months of 2025 from $2.78 in the first six months of 2024, offset in part by a 1.4% increase in gallons of fuel consumed due to increased capacity.</w:t>
      </w:r>
    </w:p>
    <w:p>
      <w:pPr>
        <w:spacing w:after="0" w:line="104" w:lineRule="exact"/>
        <w:rPr>
          <w:sz w:val="20"/>
          <w:szCs w:val="20"/>
          <w:color w:val="auto"/>
        </w:rPr>
      </w:pPr>
    </w:p>
    <w:p>
      <w:pPr>
        <w:jc w:val="both"/>
        <w:ind w:firstLine="180"/>
        <w:spacing w:after="0" w:line="269" w:lineRule="auto"/>
        <w:rPr>
          <w:sz w:val="20"/>
          <w:szCs w:val="20"/>
          <w:color w:val="auto"/>
        </w:rPr>
      </w:pPr>
      <w:r>
        <w:rPr>
          <w:rFonts w:ascii="Arial" w:cs="Arial" w:eastAsia="Arial" w:hAnsi="Arial"/>
          <w:sz w:val="16"/>
          <w:szCs w:val="16"/>
          <w:color w:val="auto"/>
        </w:rPr>
        <w:t>Salaries, wages and benefits increased $783 million, or 10.0%, in the first six months of 2025 from the first six months of 2024, primarily due to contractual wage rate increases and higher costs for benefit-related items associated with newly ratified and extended labor agreements reached in 2024, as well as annual contractual wage rate increases in American’s other labor agreements.</w:t>
      </w:r>
    </w:p>
    <w:p>
      <w:pPr>
        <w:spacing w:after="0" w:line="104"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Regional expenses increased $217 million, or 8.8%, in the first six months of 2025 from the first six months of 2024, primarily due to an increase in regional flight operations and costs at American’s regional carriers.</w:t>
      </w:r>
    </w:p>
    <w:p>
      <w:pPr>
        <w:spacing w:after="0" w:line="91" w:lineRule="exact"/>
        <w:rPr>
          <w:sz w:val="20"/>
          <w:szCs w:val="20"/>
          <w:color w:val="auto"/>
        </w:rPr>
      </w:pPr>
    </w:p>
    <w:p>
      <w:pPr>
        <w:jc w:val="both"/>
        <w:ind w:right="20" w:firstLine="180"/>
        <w:spacing w:after="0" w:line="278" w:lineRule="auto"/>
        <w:rPr>
          <w:sz w:val="20"/>
          <w:szCs w:val="20"/>
          <w:color w:val="auto"/>
        </w:rPr>
      </w:pPr>
      <w:r>
        <w:rPr>
          <w:rFonts w:ascii="Arial" w:cs="Arial" w:eastAsia="Arial" w:hAnsi="Arial"/>
          <w:sz w:val="16"/>
          <w:szCs w:val="16"/>
          <w:color w:val="auto"/>
        </w:rPr>
        <w:t>Maintenance, materials and repairs increased $14 million, or 0.8%, in the first six months of 2025 from the first six months of 2024, primarily due to increased costs for component part repairs and airframe heavy checks driven by higher volume, offset in part by a decrease in the volume of engine overhauls.</w:t>
      </w:r>
    </w:p>
    <w:p>
      <w:pPr>
        <w:spacing w:after="0" w:line="296"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Other rent and landing fees increased $67 million, or 4.1%, in the first six months of 2025 from the first six months of 2024, primarily due to rate increases at certain airports, offset in part by a decrease in leased engines.</w:t>
      </w:r>
    </w:p>
    <w:p>
      <w:pPr>
        <w:spacing w:after="0" w:line="91"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Aircraft rent decreased $42 million, or 6.6%, in the first six months of 2025 from the first six months of 2024, primarily due to decreased rental payments associated with aircraft lease extensions.</w:t>
      </w:r>
    </w:p>
    <w:p>
      <w:pPr>
        <w:spacing w:after="0" w:line="91" w:lineRule="exact"/>
        <w:rPr>
          <w:sz w:val="20"/>
          <w:szCs w:val="20"/>
          <w:color w:val="auto"/>
        </w:rPr>
      </w:pPr>
    </w:p>
    <w:p>
      <w:pPr>
        <w:jc w:val="both"/>
        <w:ind w:firstLine="180"/>
        <w:spacing w:after="0" w:line="269" w:lineRule="auto"/>
        <w:rPr>
          <w:sz w:val="20"/>
          <w:szCs w:val="20"/>
          <w:color w:val="auto"/>
        </w:rPr>
      </w:pPr>
      <w:r>
        <w:rPr>
          <w:rFonts w:ascii="Arial" w:cs="Arial" w:eastAsia="Arial" w:hAnsi="Arial"/>
          <w:sz w:val="16"/>
          <w:szCs w:val="16"/>
          <w:color w:val="auto"/>
        </w:rPr>
        <w:t>Selling expenses increased $ 121 million, or 14.0%, in the first six months of 2025 from the first six months of 2024, primarily due to an increase in commissions expense, driven by higher costs resulting from renegotiated agency contracts, as well as an increase in advertising expenses. Higher credit card fees driven by higher rates also contributed to the increase in selling expenses.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Operating Special Items, Net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3"/>
                <w:szCs w:val="13"/>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474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165"/>
              <w:spacing w:after="0"/>
              <w:rPr>
                <w:sz w:val="20"/>
                <w:szCs w:val="20"/>
                <w:color w:val="auto"/>
              </w:rPr>
            </w:pPr>
            <w:r>
              <w:rPr>
                <w:rFonts w:ascii="Arial" w:cs="Arial" w:eastAsia="Arial" w:hAnsi="Arial"/>
                <w:sz w:val="13"/>
                <w:szCs w:val="13"/>
                <w:b w:val="1"/>
                <w:bCs w:val="1"/>
                <w:color w:val="auto"/>
              </w:rPr>
              <w:t>2024</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3"/>
          </w:tcPr>
          <w:p>
            <w:pPr>
              <w:jc w:val="right"/>
              <w:ind w:right="845"/>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reserve adjustments</w:t>
            </w:r>
          </w:p>
        </w:tc>
        <w:tc>
          <w:tcPr>
            <w:tcW w:w="4740" w:type="dxa"/>
            <w:vAlign w:val="bottom"/>
            <w:gridSpan w:val="2"/>
            <w:shd w:val="clear" w:color="auto" w:fill="CCEEFF"/>
          </w:tcPr>
          <w:p>
            <w:pPr>
              <w:jc w:val="right"/>
              <w:ind w:right="102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6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Labor contract expenses </w:t>
            </w:r>
            <w:r>
              <w:rPr>
                <w:rFonts w:ascii="Arial" w:cs="Arial" w:eastAsia="Arial" w:hAnsi="Arial"/>
                <w:sz w:val="20"/>
                <w:szCs w:val="20"/>
                <w:color w:val="auto"/>
                <w:vertAlign w:val="superscript"/>
              </w:rPr>
              <w:t>(1)</w:t>
            </w:r>
          </w:p>
        </w:tc>
        <w:tc>
          <w:tcPr>
            <w:tcW w:w="3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expenses</w:t>
            </w:r>
          </w:p>
        </w:tc>
        <w:tc>
          <w:tcPr>
            <w:tcW w:w="3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operating special items, net</w:t>
            </w:r>
          </w:p>
        </w:tc>
        <w:tc>
          <w:tcPr>
            <w:tcW w:w="35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Mainline operating special items, net</w:t>
            </w:r>
          </w:p>
        </w:tc>
        <w:tc>
          <w:tcPr>
            <w:tcW w:w="35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6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1885"/>
              <w:spacing w:after="0"/>
              <w:rPr>
                <w:sz w:val="20"/>
                <w:szCs w:val="20"/>
                <w:color w:val="auto"/>
              </w:rPr>
            </w:pPr>
            <w:r>
              <w:rPr>
                <w:rFonts w:ascii="Arial" w:cs="Arial" w:eastAsia="Arial" w:hAnsi="Arial"/>
                <w:sz w:val="16"/>
                <w:szCs w:val="16"/>
                <w:color w:val="auto"/>
              </w:rPr>
              <w:t>52</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1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16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-1283335</wp:posOffset>
            </wp:positionV>
            <wp:extent cx="609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4" w:name="page55"/>
    <w:bookmarkEnd w:id="54"/>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581025</wp:posOffset>
            </wp:positionV>
            <wp:extent cx="128397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39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284" w:right="20" w:hanging="284"/>
        <w:spacing w:after="0" w:line="234" w:lineRule="auto"/>
        <w:tabs>
          <w:tab w:leader="none" w:pos="279"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Labor contract expenses for the six months ended June 30, 2025 included a one-time charge for adjustments to vacation accruals resulting from pay rate increases effective January 1, 2025, related to the ratification of the contract extension in the fourth quarter of 2024 with American’s mainline maintenance and fleet service team members.</w:t>
      </w:r>
    </w:p>
    <w:p>
      <w:pPr>
        <w:spacing w:after="0" w:line="128" w:lineRule="exact"/>
        <w:rPr>
          <w:rFonts w:ascii="Arial" w:cs="Arial" w:eastAsia="Arial" w:hAnsi="Arial"/>
          <w:sz w:val="21"/>
          <w:szCs w:val="21"/>
          <w:color w:val="auto"/>
          <w:vertAlign w:val="superscript"/>
        </w:rPr>
      </w:pPr>
    </w:p>
    <w:p>
      <w:pPr>
        <w:ind w:left="284" w:right="20"/>
        <w:spacing w:after="0" w:line="286" w:lineRule="auto"/>
        <w:rPr>
          <w:rFonts w:ascii="Arial" w:cs="Arial" w:eastAsia="Arial" w:hAnsi="Arial"/>
          <w:sz w:val="21"/>
          <w:szCs w:val="21"/>
          <w:color w:val="auto"/>
          <w:vertAlign w:val="superscript"/>
        </w:rPr>
      </w:pPr>
      <w:r>
        <w:rPr>
          <w:rFonts w:ascii="Arial" w:cs="Arial" w:eastAsia="Arial" w:hAnsi="Arial"/>
          <w:sz w:val="16"/>
          <w:szCs w:val="16"/>
          <w:color w:val="auto"/>
        </w:rPr>
        <w:t>Labor contract expenses for the six months ended June 30, 2024 included one-time charges resulting from the ratification of a new collective bargaining agreement with American’s mainline passenger service team members, including a one-time signing bonus.</w:t>
      </w:r>
    </w:p>
    <w:p>
      <w:pPr>
        <w:spacing w:after="0" w:line="165" w:lineRule="exact"/>
        <w:rPr>
          <w:sz w:val="20"/>
          <w:szCs w:val="20"/>
          <w:color w:val="auto"/>
        </w:rPr>
      </w:pPr>
    </w:p>
    <w:p>
      <w:pPr>
        <w:ind w:left="184"/>
        <w:spacing w:after="0"/>
        <w:rPr>
          <w:sz w:val="20"/>
          <w:szCs w:val="20"/>
          <w:color w:val="auto"/>
        </w:rPr>
      </w:pPr>
      <w:r>
        <w:rPr>
          <w:rFonts w:ascii="Arial" w:cs="Arial" w:eastAsia="Arial" w:hAnsi="Arial"/>
          <w:sz w:val="16"/>
          <w:szCs w:val="16"/>
          <w:i w:val="1"/>
          <w:iCs w:val="1"/>
          <w:u w:val="single" w:color="auto"/>
          <w:color w:val="auto"/>
        </w:rPr>
        <w:t>Nonoperating Results</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100" w:type="dxa"/>
            <w:vAlign w:val="bottom"/>
            <w:gridSpan w:val="6"/>
          </w:tcPr>
          <w:p>
            <w:pPr>
              <w:ind w:left="660"/>
              <w:spacing w:after="0"/>
              <w:rPr>
                <w:sz w:val="20"/>
                <w:szCs w:val="20"/>
                <w:color w:val="auto"/>
              </w:rPr>
            </w:pPr>
            <w:r>
              <w:rPr>
                <w:rFonts w:ascii="Arial" w:cs="Arial" w:eastAsia="Arial" w:hAnsi="Arial"/>
                <w:sz w:val="13"/>
                <w:szCs w:val="13"/>
                <w:b w:val="1"/>
                <w:bCs w:val="1"/>
                <w:color w:val="auto"/>
              </w:rPr>
              <w:t>Six Months Ended June 30,</w:t>
            </w:r>
          </w:p>
        </w:tc>
        <w:tc>
          <w:tcPr>
            <w:tcW w:w="220" w:type="dxa"/>
            <w:vAlign w:val="bottom"/>
          </w:tcPr>
          <w:p>
            <w:pPr>
              <w:spacing w:after="0"/>
              <w:rPr>
                <w:sz w:val="15"/>
                <w:szCs w:val="15"/>
                <w:color w:val="auto"/>
              </w:rPr>
            </w:pPr>
          </w:p>
        </w:tc>
        <w:tc>
          <w:tcPr>
            <w:tcW w:w="1140" w:type="dxa"/>
            <w:vAlign w:val="bottom"/>
          </w:tcPr>
          <w:p>
            <w:pPr>
              <w:jc w:val="right"/>
              <w:ind w:right="345"/>
              <w:spacing w:after="0"/>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5"/>
              <w:spacing w:after="0"/>
              <w:rPr>
                <w:sz w:val="20"/>
                <w:szCs w:val="20"/>
                <w:color w:val="auto"/>
              </w:rPr>
            </w:pPr>
            <w:r>
              <w:rPr>
                <w:rFonts w:ascii="Arial" w:cs="Arial" w:eastAsia="Arial" w:hAnsi="Arial"/>
                <w:sz w:val="13"/>
                <w:szCs w:val="13"/>
                <w:b w:val="1"/>
                <w:bCs w:val="1"/>
                <w:color w:val="auto"/>
              </w:rPr>
              <w:t>Percent</w:t>
            </w:r>
          </w:p>
        </w:tc>
      </w:tr>
      <w:tr>
        <w:trPr>
          <w:trHeight w:val="173"/>
        </w:trPr>
        <w:tc>
          <w:tcPr>
            <w:tcW w:w="53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2025</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(Decrease)</w:t>
            </w:r>
          </w:p>
        </w:tc>
        <w:tc>
          <w:tcPr>
            <w:tcW w:w="1480" w:type="dxa"/>
            <w:vAlign w:val="bottom"/>
            <w:tcBorders>
              <w:bottom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96"/>
              </w:rPr>
              <w:t>Decrease</w:t>
            </w:r>
          </w:p>
        </w:tc>
      </w:tr>
      <w:tr>
        <w:trPr>
          <w:trHeight w:val="173"/>
        </w:trPr>
        <w:tc>
          <w:tcPr>
            <w:tcW w:w="5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4"/>
          </w:tcPr>
          <w:p>
            <w:pPr>
              <w:jc w:val="right"/>
              <w:ind w:right="185"/>
              <w:spacing w:after="0"/>
              <w:rPr>
                <w:sz w:val="20"/>
                <w:szCs w:val="20"/>
                <w:color w:val="auto"/>
              </w:rPr>
            </w:pPr>
            <w:r>
              <w:rPr>
                <w:rFonts w:ascii="Arial" w:cs="Arial" w:eastAsia="Arial" w:hAnsi="Arial"/>
                <w:sz w:val="13"/>
                <w:szCs w:val="13"/>
                <w:b w:val="1"/>
                <w:bCs w:val="1"/>
                <w:color w:val="auto"/>
                <w:w w:val="99"/>
              </w:rPr>
              <w:t>(In millions, except percentage changes)</w:t>
            </w:r>
          </w:p>
        </w:tc>
        <w:tc>
          <w:tcPr>
            <w:tcW w:w="1480" w:type="dxa"/>
            <w:vAlign w:val="bottom"/>
          </w:tcPr>
          <w:p>
            <w:pPr>
              <w:spacing w:after="0"/>
              <w:rPr>
                <w:sz w:val="15"/>
                <w:szCs w:val="15"/>
                <w:color w:val="auto"/>
              </w:rPr>
            </w:pPr>
          </w:p>
        </w:tc>
      </w:tr>
      <w:tr>
        <w:trPr>
          <w:trHeight w:val="205"/>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48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7"/>
              </w:rPr>
              <w:t>(9.9)</w:t>
            </w:r>
          </w:p>
        </w:tc>
      </w:tr>
      <w:tr>
        <w:trPr>
          <w:trHeight w:val="205"/>
        </w:trPr>
        <w:tc>
          <w:tcPr>
            <w:tcW w:w="5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138</w:t>
            </w:r>
          </w:p>
        </w:tc>
        <w:tc>
          <w:tcPr>
            <w:tcW w:w="1480" w:type="dxa"/>
            <w:vAlign w:val="bottom"/>
          </w:tcPr>
          <w:p>
            <w:pPr>
              <w:jc w:val="center"/>
              <w:ind w:left="5"/>
              <w:spacing w:after="0"/>
              <w:rPr>
                <w:sz w:val="20"/>
                <w:szCs w:val="20"/>
                <w:color w:val="auto"/>
              </w:rPr>
            </w:pPr>
            <w:r>
              <w:rPr>
                <w:rFonts w:ascii="Arial" w:cs="Arial" w:eastAsia="Arial" w:hAnsi="Arial"/>
                <w:sz w:val="16"/>
                <w:szCs w:val="16"/>
                <w:color w:val="auto"/>
                <w:w w:val="95"/>
              </w:rPr>
              <w:t>(13.3)</w:t>
            </w:r>
          </w:p>
        </w:tc>
      </w:tr>
      <w:tr>
        <w:trPr>
          <w:trHeight w:val="205"/>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31</w:t>
            </w:r>
          </w:p>
        </w:tc>
        <w:tc>
          <w:tcPr>
            <w:tcW w:w="148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5"/>
              </w:rPr>
              <w:t>(79.3)</w:t>
            </w:r>
          </w:p>
        </w:tc>
      </w:tr>
      <w:tr>
        <w:trPr>
          <w:trHeight w:val="197"/>
        </w:trPr>
        <w:tc>
          <w:tcPr>
            <w:tcW w:w="5320" w:type="dxa"/>
            <w:vAlign w:val="bottom"/>
          </w:tcPr>
          <w:p>
            <w:pPr>
              <w:ind w:left="120"/>
              <w:spacing w:after="0"/>
              <w:rPr>
                <w:sz w:val="20"/>
                <w:szCs w:val="20"/>
                <w:color w:val="auto"/>
              </w:rPr>
            </w:pPr>
            <w:r>
              <w:rPr>
                <w:rFonts w:ascii="Arial" w:cs="Arial" w:eastAsia="Arial" w:hAnsi="Arial"/>
                <w:sz w:val="16"/>
                <w:szCs w:val="16"/>
                <w:color w:val="auto"/>
              </w:rPr>
              <w:t>Total nonoperating expense, net</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115</w:t>
            </w:r>
          </w:p>
        </w:tc>
        <w:tc>
          <w:tcPr>
            <w:tcW w:w="1480" w:type="dxa"/>
            <w:vAlign w:val="bottom"/>
          </w:tcPr>
          <w:p>
            <w:pPr>
              <w:jc w:val="center"/>
              <w:ind w:left="5"/>
              <w:spacing w:after="0"/>
              <w:rPr>
                <w:sz w:val="20"/>
                <w:szCs w:val="20"/>
                <w:color w:val="auto"/>
              </w:rPr>
            </w:pPr>
            <w:r>
              <w:rPr>
                <w:rFonts w:ascii="Arial" w:cs="Arial" w:eastAsia="Arial" w:hAnsi="Arial"/>
                <w:sz w:val="16"/>
                <w:szCs w:val="16"/>
                <w:color w:val="auto"/>
                <w:w w:val="95"/>
              </w:rPr>
              <w:t>(21.6)</w:t>
            </w:r>
          </w:p>
        </w:tc>
      </w:tr>
      <w:tr>
        <w:trPr>
          <w:trHeight w:val="20"/>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5281930</wp:posOffset>
            </wp:positionH>
            <wp:positionV relativeFrom="paragraph">
              <wp:posOffset>-679450</wp:posOffset>
            </wp:positionV>
            <wp:extent cx="609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-679450</wp:posOffset>
            </wp:positionV>
            <wp:extent cx="609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-679450</wp:posOffset>
            </wp:positionV>
            <wp:extent cx="609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80" w:lineRule="exact"/>
        <w:rPr>
          <w:sz w:val="20"/>
          <w:szCs w:val="20"/>
          <w:color w:val="auto"/>
        </w:rPr>
      </w:pPr>
    </w:p>
    <w:p>
      <w:pPr>
        <w:jc w:val="both"/>
        <w:ind w:left="4" w:firstLine="180"/>
        <w:spacing w:after="0" w:line="263" w:lineRule="auto"/>
        <w:rPr>
          <w:sz w:val="20"/>
          <w:szCs w:val="20"/>
          <w:color w:val="auto"/>
        </w:rPr>
      </w:pPr>
      <w:r>
        <w:rPr>
          <w:rFonts w:ascii="Arial" w:cs="Arial" w:eastAsia="Arial" w:hAnsi="Arial"/>
          <w:sz w:val="16"/>
          <w:szCs w:val="16"/>
          <w:color w:val="auto"/>
        </w:rPr>
        <w:t>Interest income decreased $54 million, or 9.9% in the first six months of 2025 from the first six months of 2024, primarily due to lower interest rates that reduced returns on American’s short-term investments. Interest expense, net decreased $138 million, or 13.3%, in the first six months of 2025 from the first six months of 2024, primarily due to lower interest rates on its variable-rate debt instruments and lower outstanding debt subsequent to the second quarter of 2024, as American continues its efforts to strengthen the balance sheet.</w:t>
      </w:r>
    </w:p>
    <w:p>
      <w:pPr>
        <w:spacing w:after="0" w:line="108" w:lineRule="exact"/>
        <w:rPr>
          <w:sz w:val="20"/>
          <w:szCs w:val="20"/>
          <w:color w:val="auto"/>
        </w:rPr>
      </w:pPr>
    </w:p>
    <w:p>
      <w:pPr>
        <w:jc w:val="both"/>
        <w:ind w:left="4" w:firstLine="180"/>
        <w:spacing w:after="0" w:line="269" w:lineRule="auto"/>
        <w:rPr>
          <w:sz w:val="20"/>
          <w:szCs w:val="20"/>
          <w:color w:val="auto"/>
        </w:rPr>
      </w:pPr>
      <w:r>
        <w:rPr>
          <w:rFonts w:ascii="Arial" w:cs="Arial" w:eastAsia="Arial" w:hAnsi="Arial"/>
          <w:sz w:val="16"/>
          <w:szCs w:val="16"/>
          <w:color w:val="auto"/>
        </w:rPr>
        <w:t>In the first six months of 2025, other nonoperating expense, net included $ 32 million of net special charges primarily for debt refinancings and extinguishments and mark-to-market net unrealized losses associated with certain equity investments, offset in part by $21 million of non-service related pension and other postretirement benefit plan income.</w:t>
      </w:r>
    </w:p>
    <w:p>
      <w:pPr>
        <w:spacing w:after="0" w:line="104" w:lineRule="exact"/>
        <w:rPr>
          <w:sz w:val="20"/>
          <w:szCs w:val="20"/>
          <w:color w:val="auto"/>
        </w:rPr>
      </w:pPr>
    </w:p>
    <w:p>
      <w:pPr>
        <w:jc w:val="both"/>
        <w:ind w:left="4" w:right="20" w:firstLine="180"/>
        <w:spacing w:after="0" w:line="269" w:lineRule="auto"/>
        <w:rPr>
          <w:sz w:val="20"/>
          <w:szCs w:val="20"/>
          <w:color w:val="auto"/>
        </w:rPr>
      </w:pPr>
      <w:r>
        <w:rPr>
          <w:rFonts w:ascii="Arial" w:cs="Arial" w:eastAsia="Arial" w:hAnsi="Arial"/>
          <w:sz w:val="16"/>
          <w:szCs w:val="16"/>
          <w:color w:val="auto"/>
        </w:rPr>
        <w:t>In the first six months of 2024, other nonoperating expense, net included $58 million of net special charges primarily for mark-to-market net unrealized losses associated with certain equity investments and $10 million of foreign currency losses, offset in part by $50 million of non-service related pension and other postretirement benefit plan income.</w:t>
      </w:r>
    </w:p>
    <w:p>
      <w:pPr>
        <w:spacing w:after="0" w:line="178" w:lineRule="exact"/>
        <w:rPr>
          <w:sz w:val="20"/>
          <w:szCs w:val="20"/>
          <w:color w:val="auto"/>
        </w:rPr>
      </w:pPr>
    </w:p>
    <w:p>
      <w:pPr>
        <w:ind w:left="184"/>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79" w:lineRule="exact"/>
        <w:rPr>
          <w:sz w:val="20"/>
          <w:szCs w:val="20"/>
          <w:color w:val="auto"/>
        </w:rPr>
      </w:pPr>
    </w:p>
    <w:p>
      <w:pPr>
        <w:ind w:left="184"/>
        <w:spacing w:after="0"/>
        <w:rPr>
          <w:sz w:val="20"/>
          <w:szCs w:val="20"/>
          <w:color w:val="auto"/>
        </w:rPr>
      </w:pPr>
      <w:r>
        <w:rPr>
          <w:rFonts w:ascii="Arial" w:cs="Arial" w:eastAsia="Arial" w:hAnsi="Arial"/>
          <w:sz w:val="16"/>
          <w:szCs w:val="16"/>
          <w:color w:val="auto"/>
        </w:rPr>
        <w:t>American is a member of AAG’s consolidated federal and certain state income tax returns.</w:t>
      </w:r>
    </w:p>
    <w:p>
      <w:pPr>
        <w:spacing w:after="0" w:line="153" w:lineRule="exact"/>
        <w:rPr>
          <w:sz w:val="20"/>
          <w:szCs w:val="20"/>
          <w:color w:val="auto"/>
        </w:rPr>
      </w:pPr>
    </w:p>
    <w:p>
      <w:pPr>
        <w:jc w:val="both"/>
        <w:ind w:left="4" w:right="20" w:firstLine="180"/>
        <w:spacing w:after="0" w:line="286" w:lineRule="auto"/>
        <w:rPr>
          <w:sz w:val="20"/>
          <w:szCs w:val="20"/>
          <w:color w:val="auto"/>
        </w:rPr>
      </w:pPr>
      <w:r>
        <w:rPr>
          <w:rFonts w:ascii="Arial" w:cs="Arial" w:eastAsia="Arial" w:hAnsi="Arial"/>
          <w:sz w:val="16"/>
          <w:szCs w:val="16"/>
          <w:color w:val="auto"/>
        </w:rPr>
        <w:t>In the first six months of 2025, American recorded an income tax provision of $123 million. Substantially all of American’s income before income taxes is attributable to the United States.</w:t>
      </w:r>
    </w:p>
    <w:p>
      <w:pPr>
        <w:spacing w:after="0" w:line="91" w:lineRule="exact"/>
        <w:rPr>
          <w:sz w:val="20"/>
          <w:szCs w:val="20"/>
          <w:color w:val="auto"/>
        </w:rPr>
      </w:pPr>
    </w:p>
    <w:p>
      <w:pPr>
        <w:ind w:left="184"/>
        <w:spacing w:after="0"/>
        <w:rPr>
          <w:sz w:val="20"/>
          <w:szCs w:val="20"/>
          <w:color w:val="auto"/>
        </w:rPr>
      </w:pPr>
      <w:r>
        <w:rPr>
          <w:rFonts w:ascii="Arial" w:cs="Arial" w:eastAsia="Arial" w:hAnsi="Arial"/>
          <w:sz w:val="16"/>
          <w:szCs w:val="16"/>
          <w:color w:val="auto"/>
        </w:rPr>
        <w:t>See Note 5 to American’s Condensed Consolidated Financial Statements in Part I, Item 1B for additional information on income taxes.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Liquidity and Capital Resources</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Liquidity</w:t>
      </w:r>
    </w:p>
    <w:p>
      <w:pPr>
        <w:spacing w:after="0" w:line="79"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At June 30, 2025, AAG had $12.0 billion in total available liquidity and $807 million in restricted cash and short-term investments. Additional detail regarding our available liquidity is provided in the table below (in millions):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1440"/>
              <w:spacing w:after="0"/>
              <w:rPr>
                <w:sz w:val="20"/>
                <w:szCs w:val="20"/>
                <w:color w:val="auto"/>
              </w:rPr>
            </w:pPr>
            <w:r>
              <w:rPr>
                <w:rFonts w:ascii="Arial" w:cs="Arial" w:eastAsia="Arial" w:hAnsi="Arial"/>
                <w:sz w:val="13"/>
                <w:szCs w:val="13"/>
                <w:b w:val="1"/>
                <w:bCs w:val="1"/>
                <w:color w:val="auto"/>
              </w:rPr>
              <w:t>AAG</w:t>
            </w:r>
          </w:p>
        </w:tc>
        <w:tc>
          <w:tcPr>
            <w:tcW w:w="1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American</w:t>
            </w:r>
          </w:p>
        </w:tc>
        <w:tc>
          <w:tcPr>
            <w:tcW w:w="1560" w:type="dxa"/>
            <w:vAlign w:val="bottom"/>
            <w:tcBorders>
              <w:bottom w:val="single" w:sz="8" w:color="auto"/>
            </w:tcBorders>
          </w:tcPr>
          <w:p>
            <w:pPr>
              <w:spacing w:after="0"/>
              <w:rPr>
                <w:sz w:val="15"/>
                <w:szCs w:val="15"/>
                <w:color w:val="auto"/>
              </w:rPr>
            </w:pPr>
          </w:p>
        </w:tc>
      </w:tr>
      <w:tr>
        <w:trPr>
          <w:trHeight w:val="173"/>
        </w:trPr>
        <w:tc>
          <w:tcPr>
            <w:tcW w:w="3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 2025</w:t>
            </w:r>
          </w:p>
        </w:tc>
        <w:tc>
          <w:tcPr>
            <w:tcW w:w="280" w:type="dxa"/>
            <w:vAlign w:val="bottom"/>
          </w:tcPr>
          <w:p>
            <w:pPr>
              <w:spacing w:after="0"/>
              <w:rPr>
                <w:sz w:val="15"/>
                <w:szCs w:val="15"/>
                <w:color w:val="auto"/>
              </w:rPr>
            </w:pPr>
          </w:p>
        </w:tc>
        <w:tc>
          <w:tcPr>
            <w:tcW w:w="166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2024</w:t>
            </w:r>
          </w:p>
        </w:tc>
        <w:tc>
          <w:tcPr>
            <w:tcW w:w="320" w:type="dxa"/>
            <w:vAlign w:val="bottom"/>
          </w:tcPr>
          <w:p>
            <w:pPr>
              <w:spacing w:after="0"/>
              <w:rPr>
                <w:sz w:val="15"/>
                <w:szCs w:val="15"/>
                <w:color w:val="auto"/>
              </w:rPr>
            </w:pPr>
          </w:p>
        </w:tc>
        <w:tc>
          <w:tcPr>
            <w:tcW w:w="164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 2025</w:t>
            </w:r>
          </w:p>
        </w:tc>
        <w:tc>
          <w:tcPr>
            <w:tcW w:w="300" w:type="dxa"/>
            <w:vAlign w:val="bottom"/>
          </w:tcPr>
          <w:p>
            <w:pPr>
              <w:spacing w:after="0"/>
              <w:rPr>
                <w:sz w:val="15"/>
                <w:szCs w:val="15"/>
                <w:color w:val="auto"/>
              </w:rPr>
            </w:pPr>
          </w:p>
        </w:tc>
        <w:tc>
          <w:tcPr>
            <w:tcW w:w="1560" w:type="dxa"/>
            <w:vAlign w:val="bottom"/>
          </w:tcPr>
          <w:p>
            <w:pPr>
              <w:jc w:val="right"/>
              <w:ind w:right="283"/>
              <w:spacing w:after="0"/>
              <w:rPr>
                <w:sz w:val="20"/>
                <w:szCs w:val="20"/>
                <w:color w:val="auto"/>
              </w:rPr>
            </w:pPr>
            <w:r>
              <w:rPr>
                <w:rFonts w:ascii="Arial" w:cs="Arial" w:eastAsia="Arial" w:hAnsi="Arial"/>
                <w:sz w:val="13"/>
                <w:szCs w:val="13"/>
                <w:b w:val="1"/>
                <w:bCs w:val="1"/>
                <w:color w:val="auto"/>
              </w:rPr>
              <w:t>December 31, 2024</w:t>
            </w:r>
          </w:p>
        </w:tc>
      </w:tr>
      <w:tr>
        <w:trPr>
          <w:trHeight w:val="197"/>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804</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795</w:t>
            </w:r>
          </w:p>
        </w:tc>
      </w:tr>
      <w:tr>
        <w:trPr>
          <w:trHeight w:val="205"/>
        </w:trPr>
        <w:tc>
          <w:tcPr>
            <w:tcW w:w="354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7,740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3"/>
              <w:spacing w:after="0"/>
              <w:rPr>
                <w:sz w:val="20"/>
                <w:szCs w:val="20"/>
                <w:color w:val="auto"/>
              </w:rPr>
            </w:pPr>
            <w:r>
              <w:rPr>
                <w:rFonts w:ascii="Arial" w:cs="Arial" w:eastAsia="Arial" w:hAnsi="Arial"/>
                <w:sz w:val="16"/>
                <w:szCs w:val="16"/>
                <w:color w:val="auto"/>
              </w:rPr>
              <w:t>6,180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7,737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6,177</w:t>
            </w:r>
          </w:p>
        </w:tc>
      </w:tr>
      <w:tr>
        <w:trPr>
          <w:trHeight w:val="205"/>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Undrawn facilities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3,289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3,289</w:t>
            </w:r>
          </w:p>
        </w:tc>
      </w:tr>
      <w:tr>
        <w:trPr>
          <w:trHeight w:val="197"/>
        </w:trPr>
        <w:tc>
          <w:tcPr>
            <w:tcW w:w="3540" w:type="dxa"/>
            <w:vAlign w:val="bottom"/>
          </w:tcPr>
          <w:p>
            <w:pPr>
              <w:ind w:left="200"/>
              <w:spacing w:after="0"/>
              <w:rPr>
                <w:sz w:val="20"/>
                <w:szCs w:val="20"/>
                <w:color w:val="auto"/>
              </w:rPr>
            </w:pPr>
            <w:r>
              <w:rPr>
                <w:rFonts w:ascii="Arial" w:cs="Arial" w:eastAsia="Arial" w:hAnsi="Arial"/>
                <w:sz w:val="16"/>
                <w:szCs w:val="16"/>
                <w:color w:val="auto"/>
              </w:rPr>
              <w:t>Total available liquidity</w:t>
            </w:r>
          </w:p>
        </w:tc>
        <w:tc>
          <w:tcPr>
            <w:tcW w:w="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11,973</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10,273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10,261</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52"/>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53</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99"/>
        </w:trPr>
        <w:tc>
          <w:tcPr>
            <w:tcW w:w="35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-27305</wp:posOffset>
            </wp:positionV>
            <wp:extent cx="3302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firstLine="217"/>
        <w:spacing w:after="0" w:line="263" w:lineRule="auto"/>
        <w:rPr>
          <w:sz w:val="20"/>
          <w:szCs w:val="20"/>
          <w:color w:val="auto"/>
        </w:rPr>
      </w:pPr>
      <w:r>
        <w:rPr>
          <w:rFonts w:ascii="Arial" w:cs="Arial" w:eastAsia="Arial" w:hAnsi="Arial"/>
          <w:sz w:val="16"/>
          <w:szCs w:val="16"/>
          <w:color w:val="auto"/>
        </w:rPr>
        <w:t>In the ordinary course of our business, we or our affiliates may, at any time and from time to time, seek to prepay, retire or repurchase our outstanding debt through cash purchases and/or exchanges for equity or debt, in open -market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Covenants</w:t>
      </w:r>
    </w:p>
    <w:p>
      <w:pPr>
        <w:spacing w:after="0" w:line="79" w:lineRule="exact"/>
        <w:rPr>
          <w:sz w:val="20"/>
          <w:szCs w:val="20"/>
          <w:color w:val="auto"/>
        </w:rPr>
      </w:pPr>
    </w:p>
    <w:p>
      <w:pPr>
        <w:jc w:val="both"/>
        <w:ind w:firstLine="217"/>
        <w:spacing w:after="0" w:line="254" w:lineRule="auto"/>
        <w:rPr>
          <w:sz w:val="20"/>
          <w:szCs w:val="20"/>
          <w:color w:val="auto"/>
        </w:rPr>
      </w:pPr>
      <w:r>
        <w:rPr>
          <w:rFonts w:ascii="Arial" w:cs="Arial" w:eastAsia="Arial" w:hAnsi="Arial"/>
          <w:sz w:val="16"/>
          <w:szCs w:val="16"/>
          <w:color w:val="auto"/>
        </w:rPr>
        <w:t>Our debt agreements contain customary terms and conditions as well as various affirmative, negative and financial covenants that, among other things, may restrict our ability and that of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Our 5.50% senior secured notes due 2026, 5.75% senior secured notes due 2029 and the 2021 and 2025 AAdvantage Term Loan Facilities (collectively, the AAdvantage Financing) contain a peak debt service coverage ratio, pursuant to which failure to comply with a certain threshold may result in early repayment, in whole or in part, of the AAdvantage Financing. As of the most recent applicable measurement dates, we were in compliance with each of the foregoing covenants.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and Uses of Cash</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AAG</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Operating Activities</w:t>
      </w:r>
    </w:p>
    <w:p>
      <w:pPr>
        <w:spacing w:after="0" w:line="79"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Our net cash provided by operating activities was $3.4 billion and $3.3 billion for the first six months of 2025 and 2024, respectively, a $111 million period-over-period increase driven by net working capital changes, offset in part by lower profitability in the first six months of 2025 as compared to the same period in 2024.</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Investing Activities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net cash used in investing activities was $2.5 billion and $1.9 billion for the first six months of 2025 and 2024, respectively.</w:t>
      </w:r>
    </w:p>
    <w:p>
      <w:pPr>
        <w:spacing w:after="0" w:line="153" w:lineRule="exact"/>
        <w:rPr>
          <w:sz w:val="20"/>
          <w:szCs w:val="20"/>
          <w:color w:val="auto"/>
        </w:rPr>
      </w:pPr>
    </w:p>
    <w:p>
      <w:pPr>
        <w:jc w:val="both"/>
        <w:ind w:firstLine="217"/>
        <w:spacing w:after="0" w:line="259" w:lineRule="auto"/>
        <w:rPr>
          <w:sz w:val="20"/>
          <w:szCs w:val="20"/>
          <w:color w:val="auto"/>
        </w:rPr>
      </w:pPr>
      <w:r>
        <w:rPr>
          <w:rFonts w:ascii="Arial" w:cs="Arial" w:eastAsia="Arial" w:hAnsi="Arial"/>
          <w:sz w:val="16"/>
          <w:szCs w:val="16"/>
          <w:color w:val="auto"/>
        </w:rPr>
        <w:t>Our principal investing activities in the first six months of 2025 included $1.3 billion of capital expenditures, which primarily related to the purchase of 11 Boeing 737 MAX aircraft, three Bombardier CRJ 900 aircraft, two Embraer 175 aircraft, one Airbus A321neo aircraft, one Boeing 787-9 aircraft, one Airbus A320 aircraft lease repurchase and five aircraft engines. Additionally, we had $1.6 billion in net purchases of short-term investments. These cash outflows were offset in part by $328 million in net proceeds from the issuance of the TMAT special facility revenue bonds and $200 million in proceeds from sale-leaseback transactions and sale of property and equipment, which primarily related to the modernization of Terminals 4 and 5 at Los Angeles International Airport (LAX).</w:t>
      </w:r>
    </w:p>
    <w:p>
      <w:pPr>
        <w:spacing w:after="0" w:line="307" w:lineRule="exact"/>
        <w:rPr>
          <w:sz w:val="20"/>
          <w:szCs w:val="20"/>
          <w:color w:val="auto"/>
        </w:rPr>
      </w:pPr>
    </w:p>
    <w:p>
      <w:pPr>
        <w:jc w:val="both"/>
        <w:ind w:right="20" w:firstLine="217"/>
        <w:spacing w:after="0" w:line="263" w:lineRule="auto"/>
        <w:rPr>
          <w:sz w:val="20"/>
          <w:szCs w:val="20"/>
          <w:color w:val="auto"/>
        </w:rPr>
      </w:pPr>
      <w:r>
        <w:rPr>
          <w:rFonts w:ascii="Arial" w:cs="Arial" w:eastAsia="Arial" w:hAnsi="Arial"/>
          <w:sz w:val="16"/>
          <w:szCs w:val="16"/>
          <w:color w:val="auto"/>
        </w:rPr>
        <w:t>Our principal investing activities in the first six months of 2024 included $1.5 billion of capital expenditures, which primarily related to the purchase of 12 Embraer 175 aircraft, three Boeing 737 MAX aircraft, two Airbus A321neo aircraft, 32 aircraft engines and aircraft purchase deposits. Additionally, we had $833 million in net purchases of short-term investments. These cash outflows were offset in part by $353 million of proceeds from sale-leaseback transactions and sale of property and equipment, which primarily related to the modernization of Terminals 4 and 5 at LAX.</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Financing Activities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net cash used in financing activities was $912 million and $1.4 billion for the first six months of 2025 and 2024, respectively.</w:t>
      </w:r>
    </w:p>
    <w:p>
      <w:pPr>
        <w:spacing w:after="0" w:line="153" w:lineRule="exact"/>
        <w:rPr>
          <w:sz w:val="20"/>
          <w:szCs w:val="20"/>
          <w:color w:val="auto"/>
        </w:rPr>
      </w:pPr>
    </w:p>
    <w:p>
      <w:pPr>
        <w:jc w:val="both"/>
        <w:ind w:right="20" w:firstLine="217"/>
        <w:spacing w:after="0" w:line="260" w:lineRule="auto"/>
        <w:rPr>
          <w:sz w:val="20"/>
          <w:szCs w:val="20"/>
          <w:color w:val="auto"/>
        </w:rPr>
      </w:pPr>
      <w:r>
        <w:rPr>
          <w:rFonts w:ascii="Arial" w:cs="Arial" w:eastAsia="Arial" w:hAnsi="Arial"/>
          <w:sz w:val="16"/>
          <w:szCs w:val="16"/>
          <w:color w:val="auto"/>
        </w:rPr>
        <w:t>Our principal financing activities in the first six months of 2025 primarily included $2.4 billion in debt and finance lease repayments, consisting of $ 1.6 billion in scheduled repayments, $487 million of early repayments for the outstanding principal amount of equipment notes issued under EETCs and $308 million of early repayments toward portions of the outstanding principal amounts of the IP Notes and LGA/DCA Notes. These cash outflows were offset in part by $1.7 billion of proceeds from the issuance of long-term debt, consisting of $1.0 billion from the issuance of the 2025 AAdvantage Term Loan Facility and $712 million from the issuance of equipment loans and other notes payable in connection with the financing of certain aircraft.</w:t>
      </w:r>
    </w:p>
    <w:p>
      <w:pPr>
        <w:spacing w:after="0" w:line="111"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Our principal financing activities in the first six months of 2024 included $1.8 billion in scheduled repayments of debt and finance lease obligations. These cash outflows were offset by $527 million borrowed in connection with the financing of certain aircraft.</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American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Operating Activities</w:t>
      </w:r>
    </w:p>
    <w:p>
      <w:pPr>
        <w:spacing w:after="0" w:line="79"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American’s net cash provided by operating activities was $3.3 billion for each of the first six months of 2025 and 2024. American’s operating cash flow in the first six months of 2025 was flat compared to the first six months of 2024 driven by net working capital changes, offset by lower profitability in the first six months of 2025 as compared to the same period in 2024.</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Investing Activities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American’s net cash used in investing activities was $2.4 billion and $1.9 billion for the first six months of 2025 and 2024, respectively.</w:t>
      </w:r>
    </w:p>
    <w:p>
      <w:pPr>
        <w:spacing w:after="0" w:line="153" w:lineRule="exact"/>
        <w:rPr>
          <w:sz w:val="20"/>
          <w:szCs w:val="20"/>
          <w:color w:val="auto"/>
        </w:rPr>
      </w:pPr>
    </w:p>
    <w:p>
      <w:pPr>
        <w:jc w:val="both"/>
        <w:ind w:right="20" w:firstLine="217"/>
        <w:spacing w:after="0" w:line="260" w:lineRule="auto"/>
        <w:rPr>
          <w:sz w:val="20"/>
          <w:szCs w:val="20"/>
          <w:color w:val="auto"/>
        </w:rPr>
      </w:pPr>
      <w:r>
        <w:rPr>
          <w:rFonts w:ascii="Arial" w:cs="Arial" w:eastAsia="Arial" w:hAnsi="Arial"/>
          <w:sz w:val="16"/>
          <w:szCs w:val="16"/>
          <w:color w:val="auto"/>
        </w:rPr>
        <w:t>American’s principal investing activities in the first six months of 2025 included $1.3 billion of capital expenditures, which primarily related to the purchase of 11 Boeing 737 MAX aircraft, three Bombardier CRJ 900 aircraft, two Embraer 175 aircraft, one Airbus A321neo aircraft, one Boeing 787-9 aircraft, one Airbus A320 aircraft lease repurchase and five aircraft engines. Additionally, American had $1.6 billion in net purchases of short-term investments. These cash outflows were offset in part by $ 328 million in net proceeds from the issuance of the TMAT special facility revenue bonds and $200 million in proceeds from sale-leaseback transactions and sale of property and equipment, which primarily related to the modernization of Terminals 4 and 5 at LAX.</w:t>
      </w:r>
    </w:p>
    <w:p>
      <w:pPr>
        <w:spacing w:after="0" w:line="111" w:lineRule="exact"/>
        <w:rPr>
          <w:sz w:val="20"/>
          <w:szCs w:val="20"/>
          <w:color w:val="auto"/>
        </w:rPr>
      </w:pPr>
    </w:p>
    <w:p>
      <w:pPr>
        <w:jc w:val="both"/>
        <w:ind w:firstLine="217"/>
        <w:spacing w:after="0" w:line="263" w:lineRule="auto"/>
        <w:rPr>
          <w:sz w:val="20"/>
          <w:szCs w:val="20"/>
          <w:color w:val="auto"/>
        </w:rPr>
      </w:pPr>
      <w:r>
        <w:rPr>
          <w:rFonts w:ascii="Arial" w:cs="Arial" w:eastAsia="Arial" w:hAnsi="Arial"/>
          <w:sz w:val="16"/>
          <w:szCs w:val="16"/>
          <w:color w:val="auto"/>
        </w:rPr>
        <w:t>American’s principal investing activities in the first six months of 2024 included $1.4 billion of capital expenditures, which primarily related to the purchase of 12 Embraer 175 aircraft, three Boeing 737 MAX aircraft, two Airbus A321neo aircraft, 32 aircraft engines and aircraft purchase deposits. Additionally, American had $831 million in net purchases of short-term investments. These cash outflows were offset in part by $ 353 million of proceeds from sale-leaseback transactions and sale of property and equipment, which primarily related to the modernization of Terminals 4 and 5 at LAX.</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Financing Activities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American’s net cash used in financing activities was $817 million and $1.3 billion for the first six months of 2025 and 2024, respectively.</w:t>
      </w:r>
    </w:p>
    <w:p>
      <w:pPr>
        <w:spacing w:after="0" w:line="153" w:lineRule="exact"/>
        <w:rPr>
          <w:sz w:val="20"/>
          <w:szCs w:val="20"/>
          <w:color w:val="auto"/>
        </w:rPr>
      </w:pPr>
    </w:p>
    <w:p>
      <w:pPr>
        <w:jc w:val="both"/>
        <w:ind w:right="20" w:firstLine="217"/>
        <w:spacing w:after="0" w:line="260" w:lineRule="auto"/>
        <w:rPr>
          <w:sz w:val="20"/>
          <w:szCs w:val="20"/>
          <w:color w:val="auto"/>
        </w:rPr>
      </w:pPr>
      <w:r>
        <w:rPr>
          <w:rFonts w:ascii="Arial" w:cs="Arial" w:eastAsia="Arial" w:hAnsi="Arial"/>
          <w:sz w:val="16"/>
          <w:szCs w:val="16"/>
          <w:color w:val="auto"/>
        </w:rPr>
        <w:t>American’s principal financing activities in the first six months of 2025 primarily included $2.4 billion in debt and finance lease repayments, consisting of $1.6 billion in scheduled repayments, $487 million of early repayments for the outstanding principal amount of equipment notes issued under EETCs and $308 million of early repayments toward portions of the outstanding principal amounts of the IP Notes and LGA/DCA Notes. These cash outflows were offset in part by $1.7 billion of proceeds from the issuance of long-term debt, consisting of $1.0 billion from the issuance of the 2025 AAdvantage Term Loan Facility and $712 million from the issuance of equipment loans and other notes payable in connection with the financing of certain aircraft.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American’s principal financing activities in the first six months of 2024 included $1.8 billion in scheduled repayments of debt and finance lease obligations.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These cash outflows were offset by $527 million borrowed in connection with the financing of certain aircraft.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7" w:name="page58"/>
    <w:bookmarkEnd w:id="57"/>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Commitments</w:t>
      </w:r>
    </w:p>
    <w:p>
      <w:pPr>
        <w:spacing w:after="0" w:line="81"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Significant Indebtedness</w:t>
      </w:r>
    </w:p>
    <w:p>
      <w:pPr>
        <w:spacing w:after="0" w:line="79" w:lineRule="exact"/>
        <w:rPr>
          <w:sz w:val="20"/>
          <w:szCs w:val="20"/>
          <w:color w:val="auto"/>
        </w:rPr>
      </w:pPr>
    </w:p>
    <w:p>
      <w:pPr>
        <w:jc w:val="both"/>
        <w:ind w:left="4" w:firstLine="217"/>
        <w:spacing w:after="0" w:line="263" w:lineRule="auto"/>
        <w:rPr>
          <w:sz w:val="20"/>
          <w:szCs w:val="20"/>
          <w:color w:val="auto"/>
        </w:rPr>
      </w:pPr>
      <w:r>
        <w:rPr>
          <w:rFonts w:ascii="Arial" w:cs="Arial" w:eastAsia="Arial" w:hAnsi="Arial"/>
          <w:sz w:val="16"/>
          <w:szCs w:val="16"/>
          <w:color w:val="auto"/>
        </w:rPr>
        <w:t>As of June 30, 2025, AAG had $29.6 billion in long-term debt, including current maturities of $4.5 billion. As of June 30, 2025, American had $24.8 billion in long-term debt, including current maturities of $ 3.5 billion. All material changes in our significant indebtedness since our 2024 Form 10-K are discussed in Note 5 to AAG’s Condensed Consolidated Financial Statements in Part I, Item 1A and Note 4 to American’s Condensed Consolidated Financial Statements in Part I, Item 1B.</w:t>
      </w:r>
    </w:p>
    <w:p>
      <w:pPr>
        <w:spacing w:after="0" w:line="183"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Aircraft and Engine Purchase Commitments</w:t>
      </w:r>
    </w:p>
    <w:p>
      <w:pPr>
        <w:spacing w:after="0" w:line="76" w:lineRule="exact"/>
        <w:rPr>
          <w:sz w:val="20"/>
          <w:szCs w:val="20"/>
          <w:color w:val="auto"/>
        </w:rPr>
      </w:pPr>
    </w:p>
    <w:p>
      <w:pPr>
        <w:ind w:left="224"/>
        <w:spacing w:after="0"/>
        <w:rPr>
          <w:sz w:val="20"/>
          <w:szCs w:val="20"/>
          <w:color w:val="auto"/>
        </w:rPr>
      </w:pPr>
      <w:r>
        <w:rPr>
          <w:rFonts w:ascii="Arial" w:cs="Arial" w:eastAsia="Arial" w:hAnsi="Arial"/>
          <w:sz w:val="16"/>
          <w:szCs w:val="16"/>
          <w:color w:val="auto"/>
        </w:rPr>
        <w:t xml:space="preserve">As of June 30, 2025, we had definitive purchase agreements for the acquisition of the following new aircraft </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60" w:type="dxa"/>
            <w:vAlign w:val="bottom"/>
          </w:tcPr>
          <w:p>
            <w:pPr>
              <w:jc w:val="center"/>
              <w:ind w:left="196"/>
              <w:spacing w:after="0"/>
              <w:rPr>
                <w:sz w:val="20"/>
                <w:szCs w:val="20"/>
                <w:color w:val="auto"/>
              </w:rPr>
            </w:pPr>
            <w:r>
              <w:rPr>
                <w:rFonts w:ascii="Arial" w:cs="Arial" w:eastAsia="Arial" w:hAnsi="Arial"/>
                <w:sz w:val="13"/>
                <w:szCs w:val="13"/>
                <w:b w:val="1"/>
                <w:bCs w:val="1"/>
                <w:color w:val="auto"/>
                <w:w w:val="98"/>
              </w:rPr>
              <w:t>Remainder</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restart"/>
          </w:tcPr>
          <w:p>
            <w:pPr>
              <w:jc w:val="right"/>
              <w:ind w:right="382"/>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3"/>
                <w:szCs w:val="13"/>
                <w:color w:val="auto"/>
              </w:rPr>
            </w:pPr>
          </w:p>
        </w:tc>
        <w:tc>
          <w:tcPr>
            <w:tcW w:w="1220" w:type="dxa"/>
            <w:vAlign w:val="bottom"/>
            <w:vMerge w:val="restart"/>
          </w:tcPr>
          <w:p>
            <w:pPr>
              <w:jc w:val="right"/>
              <w:ind w:right="382"/>
              <w:spacing w:after="0"/>
              <w:rPr>
                <w:sz w:val="20"/>
                <w:szCs w:val="20"/>
                <w:color w:val="auto"/>
              </w:rPr>
            </w:pPr>
            <w:r>
              <w:rPr>
                <w:rFonts w:ascii="Arial" w:cs="Arial" w:eastAsia="Arial" w:hAnsi="Arial"/>
                <w:sz w:val="13"/>
                <w:szCs w:val="13"/>
                <w:b w:val="1"/>
                <w:bCs w:val="1"/>
                <w:color w:val="auto"/>
              </w:rPr>
              <w:t>2027</w:t>
            </w:r>
          </w:p>
        </w:tc>
        <w:tc>
          <w:tcPr>
            <w:tcW w:w="8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2028 and</w:t>
            </w:r>
          </w:p>
        </w:tc>
        <w:tc>
          <w:tcPr>
            <w:tcW w:w="1220" w:type="dxa"/>
            <w:vAlign w:val="bottom"/>
            <w:vMerge w:val="restart"/>
          </w:tcPr>
          <w:p>
            <w:pPr>
              <w:jc w:val="right"/>
              <w:ind w:right="38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jc w:val="center"/>
              <w:ind w:left="196"/>
              <w:spacing w:after="0"/>
              <w:rPr>
                <w:sz w:val="20"/>
                <w:szCs w:val="20"/>
                <w:color w:val="auto"/>
              </w:rPr>
            </w:pPr>
            <w:r>
              <w:rPr>
                <w:rFonts w:ascii="Arial" w:cs="Arial" w:eastAsia="Arial" w:hAnsi="Arial"/>
                <w:sz w:val="13"/>
                <w:szCs w:val="13"/>
                <w:b w:val="1"/>
                <w:bCs w:val="1"/>
                <w:color w:val="auto"/>
              </w:rPr>
              <w:t>of 2025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Thereafter</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Borders>
              <w:top w:val="single" w:sz="8" w:color="CCEEFF"/>
            </w:tcBorders>
            <w:gridSpan w:val="4"/>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rPr>
              <w:t>Airbus</w:t>
            </w: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800" w:type="dxa"/>
            <w:vAlign w:val="bottom"/>
            <w:gridSpan w:val="5"/>
          </w:tcPr>
          <w:p>
            <w:pPr>
              <w:ind w:left="20"/>
              <w:spacing w:after="0"/>
              <w:rPr>
                <w:sz w:val="20"/>
                <w:szCs w:val="20"/>
                <w:color w:val="auto"/>
              </w:rPr>
            </w:pPr>
            <w:r>
              <w:rPr>
                <w:rFonts w:ascii="Arial" w:cs="Arial" w:eastAsia="Arial" w:hAnsi="Arial"/>
                <w:sz w:val="16"/>
                <w:szCs w:val="16"/>
                <w:color w:val="auto"/>
              </w:rPr>
              <w:t>A320neo Family</w:t>
            </w: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69"/>
        </w:trPr>
        <w:tc>
          <w:tcPr>
            <w:tcW w:w="5800" w:type="dxa"/>
            <w:vAlign w:val="bottom"/>
            <w:gridSpan w:val="5"/>
            <w:shd w:val="clear" w:color="auto" w:fill="CCEEFF"/>
          </w:tcPr>
          <w:p>
            <w:pPr>
              <w:ind w:left="20"/>
              <w:spacing w:after="0" w:line="168" w:lineRule="exact"/>
              <w:rPr>
                <w:sz w:val="20"/>
                <w:szCs w:val="20"/>
                <w:color w:val="auto"/>
              </w:rPr>
            </w:pPr>
            <w:r>
              <w:rPr>
                <w:rFonts w:ascii="Arial" w:cs="Arial" w:eastAsia="Arial" w:hAnsi="Arial"/>
                <w:sz w:val="16"/>
                <w:szCs w:val="16"/>
                <w:b w:val="1"/>
                <w:bCs w:val="1"/>
                <w:color w:val="auto"/>
              </w:rPr>
              <w:t>Boeing</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5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800" w:type="dxa"/>
            <w:vAlign w:val="bottom"/>
            <w:gridSpan w:val="5"/>
          </w:tcPr>
          <w:p>
            <w:pPr>
              <w:ind w:left="20"/>
              <w:spacing w:after="0"/>
              <w:rPr>
                <w:sz w:val="20"/>
                <w:szCs w:val="20"/>
                <w:color w:val="auto"/>
              </w:rPr>
            </w:pPr>
            <w:r>
              <w:rPr>
                <w:rFonts w:ascii="Arial" w:cs="Arial" w:eastAsia="Arial" w:hAnsi="Arial"/>
                <w:sz w:val="16"/>
                <w:szCs w:val="16"/>
                <w:color w:val="auto"/>
              </w:rPr>
              <w:t>737 MAX Family</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10</w:t>
            </w:r>
          </w:p>
        </w:tc>
        <w:tc>
          <w:tcPr>
            <w:tcW w:w="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5"/>
        </w:trPr>
        <w:tc>
          <w:tcPr>
            <w:tcW w:w="58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787 Family</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9"/>
        </w:trPr>
        <w:tc>
          <w:tcPr>
            <w:tcW w:w="5800" w:type="dxa"/>
            <w:vAlign w:val="bottom"/>
            <w:gridSpan w:val="5"/>
          </w:tcPr>
          <w:p>
            <w:pPr>
              <w:ind w:left="20"/>
              <w:spacing w:after="0" w:line="168" w:lineRule="exact"/>
              <w:rPr>
                <w:sz w:val="20"/>
                <w:szCs w:val="20"/>
                <w:color w:val="auto"/>
              </w:rPr>
            </w:pPr>
            <w:r>
              <w:rPr>
                <w:rFonts w:ascii="Arial" w:cs="Arial" w:eastAsia="Arial" w:hAnsi="Arial"/>
                <w:sz w:val="16"/>
                <w:szCs w:val="16"/>
                <w:b w:val="1"/>
                <w:bCs w:val="1"/>
                <w:color w:val="auto"/>
              </w:rPr>
              <w:t>Embraer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3"/>
          </w:tcPr>
          <w:p>
            <w:pPr>
              <w:ind w:left="100"/>
              <w:spacing w:after="0"/>
              <w:rPr>
                <w:sz w:val="20"/>
                <w:szCs w:val="20"/>
                <w:color w:val="auto"/>
              </w:rPr>
            </w:pPr>
            <w:r>
              <w:rPr>
                <w:rFonts w:ascii="Arial" w:cs="Arial" w:eastAsia="Arial" w:hAnsi="Arial"/>
                <w:sz w:val="16"/>
                <w:szCs w:val="16"/>
                <w:color w:val="auto"/>
              </w:rPr>
              <w:t>Total</w:t>
            </w: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31508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197" w:lineRule="exact"/>
        <w:rPr>
          <w:sz w:val="20"/>
          <w:szCs w:val="20"/>
          <w:color w:val="auto"/>
        </w:rPr>
      </w:pPr>
    </w:p>
    <w:p>
      <w:pPr>
        <w:jc w:val="both"/>
        <w:ind w:left="284" w:right="20" w:hanging="284"/>
        <w:spacing w:after="0" w:line="243" w:lineRule="auto"/>
        <w:tabs>
          <w:tab w:leader="none" w:pos="279"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 xml:space="preserve">Delivery schedule represents our best estimate as of the date of this report as described in footnote (d) to the </w:t>
      </w:r>
      <w:r>
        <w:rPr>
          <w:rFonts w:ascii="Arial" w:cs="Arial" w:eastAsia="Arial" w:hAnsi="Arial"/>
          <w:sz w:val="16"/>
          <w:szCs w:val="16"/>
          <w:i w:val="1"/>
          <w:iCs w:val="1"/>
          <w:color w:val="auto"/>
        </w:rPr>
        <w:t>“Contractual Obligations”</w:t>
      </w:r>
      <w:r>
        <w:rPr>
          <w:rFonts w:ascii="Arial" w:cs="Arial" w:eastAsia="Arial" w:hAnsi="Arial"/>
          <w:sz w:val="16"/>
          <w:szCs w:val="16"/>
          <w:color w:val="auto"/>
        </w:rPr>
        <w:t xml:space="preserve"> table below. Actual delivery dates are subject to change, which could be material, based on various potential factors including production delays by the manufacturer and regulatory concerns. See Part I, Item 1A. Risk Factors – </w:t>
      </w:r>
      <w:r>
        <w:rPr>
          <w:rFonts w:ascii="Arial" w:cs="Arial" w:eastAsia="Arial" w:hAnsi="Arial"/>
          <w:sz w:val="16"/>
          <w:szCs w:val="16"/>
          <w:i w:val="1"/>
          <w:iCs w:val="1"/>
          <w:color w:val="auto"/>
        </w:rPr>
        <w:t>“We depend on a limited number of suppliers for aircraft, aircraft engines and parts. Delays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t>
      </w:r>
      <w:r>
        <w:rPr>
          <w:rFonts w:ascii="Arial" w:cs="Arial" w:eastAsia="Arial" w:hAnsi="Arial"/>
          <w:sz w:val="16"/>
          <w:szCs w:val="16"/>
          <w:color w:val="auto"/>
        </w:rPr>
        <w:t>in our 2024 Form 10-K.</w:t>
      </w:r>
    </w:p>
    <w:p>
      <w:pPr>
        <w:spacing w:after="0" w:line="124"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 xml:space="preserve">In addition, we have committed to purchase nine used Bombardier CRJ 900 aircraft which are scheduled to be delivered from the third quarter of 2025 through 2026. We also have agreements for 44 spare engines to be delivered in the third quarter of 2025 and beyond. The </w:t>
      </w:r>
      <w:r>
        <w:rPr>
          <w:rFonts w:ascii="Arial" w:cs="Arial" w:eastAsia="Arial" w:hAnsi="Arial"/>
          <w:sz w:val="16"/>
          <w:szCs w:val="16"/>
          <w:i w:val="1"/>
          <w:iCs w:val="1"/>
          <w:color w:val="auto"/>
        </w:rPr>
        <w:t>“Contractual Obligations”</w:t>
      </w:r>
      <w:r>
        <w:rPr>
          <w:rFonts w:ascii="Arial" w:cs="Arial" w:eastAsia="Arial" w:hAnsi="Arial"/>
          <w:sz w:val="16"/>
          <w:szCs w:val="16"/>
          <w:color w:val="auto"/>
        </w:rPr>
        <w:t xml:space="preserve"> table below reflects these commitments.</w:t>
      </w:r>
    </w:p>
    <w:p>
      <w:pPr>
        <w:spacing w:after="0" w:line="104" w:lineRule="exact"/>
        <w:rPr>
          <w:sz w:val="20"/>
          <w:szCs w:val="20"/>
          <w:color w:val="auto"/>
        </w:rPr>
      </w:pPr>
    </w:p>
    <w:p>
      <w:pPr>
        <w:ind w:left="224"/>
        <w:spacing w:after="0"/>
        <w:rPr>
          <w:sz w:val="20"/>
          <w:szCs w:val="20"/>
          <w:color w:val="auto"/>
        </w:rPr>
      </w:pPr>
      <w:r>
        <w:rPr>
          <w:rFonts w:ascii="Arial" w:cs="Arial" w:eastAsia="Arial" w:hAnsi="Arial"/>
          <w:sz w:val="16"/>
          <w:szCs w:val="16"/>
          <w:color w:val="auto"/>
        </w:rPr>
        <w:t>We intend to finance future aircraft deliveries and option exercises using long-term debt.</w:t>
      </w:r>
    </w:p>
    <w:p>
      <w:pPr>
        <w:spacing w:after="0" w:line="227" w:lineRule="exact"/>
        <w:rPr>
          <w:sz w:val="20"/>
          <w:szCs w:val="20"/>
          <w:color w:val="auto"/>
        </w:rPr>
      </w:pPr>
    </w:p>
    <w:p>
      <w:pPr>
        <w:ind w:left="224"/>
        <w:spacing w:after="0"/>
        <w:rPr>
          <w:sz w:val="20"/>
          <w:szCs w:val="20"/>
          <w:color w:val="auto"/>
        </w:rPr>
      </w:pPr>
      <w:r>
        <w:rPr>
          <w:rFonts w:ascii="Arial" w:cs="Arial" w:eastAsia="Arial" w:hAnsi="Arial"/>
          <w:sz w:val="16"/>
          <w:szCs w:val="16"/>
          <w:b w:val="1"/>
          <w:bCs w:val="1"/>
          <w:i w:val="1"/>
          <w:iCs w:val="1"/>
          <w:u w:val="single" w:color="auto"/>
          <w:color w:val="auto"/>
        </w:rPr>
        <w:t>Off-Balance Sheet Arrangements</w:t>
      </w:r>
    </w:p>
    <w:p>
      <w:pPr>
        <w:spacing w:after="0" w:line="79"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08" w:lineRule="exact"/>
        <w:rPr>
          <w:sz w:val="20"/>
          <w:szCs w:val="20"/>
          <w:color w:val="auto"/>
        </w:rPr>
      </w:pPr>
    </w:p>
    <w:p>
      <w:pPr>
        <w:ind w:left="224"/>
        <w:spacing w:after="0"/>
        <w:rPr>
          <w:sz w:val="20"/>
          <w:szCs w:val="20"/>
          <w:color w:val="auto"/>
        </w:rPr>
      </w:pPr>
      <w:r>
        <w:rPr>
          <w:rFonts w:ascii="Arial" w:cs="Arial" w:eastAsia="Arial" w:hAnsi="Arial"/>
          <w:sz w:val="16"/>
          <w:szCs w:val="16"/>
          <w:color w:val="auto"/>
        </w:rPr>
        <w:t>There have been no material changes in our off-balance sheet arrangements as discussed in our 2024 Form 10-K.</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58" w:name="page59"/>
    <w:bookmarkEnd w:id="58"/>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79" w:lineRule="exact"/>
        <w:rPr>
          <w:sz w:val="20"/>
          <w:szCs w:val="20"/>
          <w:color w:val="auto"/>
        </w:rPr>
      </w:pPr>
    </w:p>
    <w:p>
      <w:pPr>
        <w:jc w:val="both"/>
        <w:ind w:left="4" w:firstLine="217"/>
        <w:spacing w:after="0" w:line="269" w:lineRule="auto"/>
        <w:rPr>
          <w:sz w:val="20"/>
          <w:szCs w:val="20"/>
          <w:color w:val="auto"/>
        </w:rPr>
      </w:pPr>
      <w:r>
        <w:rPr>
          <w:rFonts w:ascii="Arial" w:cs="Arial" w:eastAsia="Arial" w:hAnsi="Arial"/>
          <w:sz w:val="16"/>
          <w:szCs w:val="16"/>
          <w:color w:val="auto"/>
        </w:rPr>
        <w:t>The following table provides details of our estimated material cash requirements from contractual obligations as of June 30, 2025 (in millions). The table does not include commitments that are contingent on events or other factors that are uncertain or unknown at this time and is subject to other conventions as set forth in the applicable accompanying footnotes.</w:t>
      </w:r>
    </w:p>
    <w:p>
      <w:pPr>
        <w:spacing w:after="0" w:line="161"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Payments Due by Period</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rPr>
              <w:t>Remainder</w:t>
            </w:r>
          </w:p>
        </w:tc>
        <w:tc>
          <w:tcPr>
            <w:tcW w:w="220" w:type="dxa"/>
            <w:vAlign w:val="bottom"/>
          </w:tcPr>
          <w:p>
            <w:pPr>
              <w:spacing w:after="0"/>
              <w:rPr>
                <w:sz w:val="11"/>
                <w:szCs w:val="11"/>
                <w:color w:val="auto"/>
              </w:rPr>
            </w:pPr>
          </w:p>
        </w:tc>
        <w:tc>
          <w:tcPr>
            <w:tcW w:w="68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rPr>
              <w:t>2027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rPr>
              <w:t>2028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rPr>
              <w:t>2029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6"/>
              </w:rPr>
              <w:t>2030 and</w:t>
            </w:r>
          </w:p>
        </w:tc>
        <w:tc>
          <w:tcPr>
            <w:tcW w:w="220" w:type="dxa"/>
            <w:vAlign w:val="bottom"/>
          </w:tcPr>
          <w:p>
            <w:pPr>
              <w:spacing w:after="0"/>
              <w:rPr>
                <w:sz w:val="11"/>
                <w:szCs w:val="11"/>
                <w:color w:val="auto"/>
              </w:rPr>
            </w:pPr>
          </w:p>
        </w:tc>
        <w:tc>
          <w:tcPr>
            <w:tcW w:w="74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of 2025</w:t>
            </w: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Thereafter</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American</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120"/>
              <w:spacing w:after="0" w:line="205" w:lineRule="exact"/>
              <w:rPr>
                <w:sz w:val="20"/>
                <w:szCs w:val="20"/>
                <w:color w:val="auto"/>
              </w:rPr>
            </w:pPr>
            <w:r>
              <w:rPr>
                <w:rFonts w:ascii="Arial" w:cs="Arial" w:eastAsia="Arial" w:hAnsi="Arial"/>
                <w:sz w:val="16"/>
                <w:szCs w:val="16"/>
                <w:color w:val="auto"/>
              </w:rPr>
              <w:t xml:space="preserve">Principal amount </w:t>
            </w:r>
            <w:r>
              <w:rPr>
                <w:rFonts w:ascii="Arial" w:cs="Arial" w:eastAsia="Arial" w:hAnsi="Arial"/>
                <w:sz w:val="20"/>
                <w:szCs w:val="20"/>
                <w:color w:val="auto"/>
                <w:vertAlign w:val="superscript"/>
              </w:rPr>
              <w:t>(a), (c)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24,805</w:t>
            </w:r>
          </w:p>
        </w:tc>
        <w:tc>
          <w:tcPr>
            <w:tcW w:w="0" w:type="dxa"/>
            <w:vAlign w:val="bottom"/>
          </w:tcPr>
          <w:p>
            <w:pPr>
              <w:spacing w:after="0"/>
              <w:rPr>
                <w:sz w:val="1"/>
                <w:szCs w:val="1"/>
                <w:color w:val="auto"/>
              </w:rPr>
            </w:pPr>
          </w:p>
        </w:tc>
      </w:tr>
      <w:tr>
        <w:trPr>
          <w:trHeight w:val="205"/>
        </w:trPr>
        <w:tc>
          <w:tcPr>
            <w:tcW w:w="4180" w:type="dxa"/>
            <w:vAlign w:val="bottom"/>
          </w:tcPr>
          <w:p>
            <w:pPr>
              <w:ind w:left="120"/>
              <w:spacing w:after="0" w:line="205" w:lineRule="exact"/>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20"/>
                <w:szCs w:val="20"/>
                <w:color w:val="auto"/>
                <w:vertAlign w:val="superscript"/>
              </w:rPr>
              <w:t>(b), (c)</w:t>
            </w:r>
          </w:p>
        </w:tc>
        <w:tc>
          <w:tcPr>
            <w:tcW w:w="1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4,639</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05"/>
        </w:trPr>
        <w:tc>
          <w:tcPr>
            <w:tcW w:w="418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Aircraft and engine purchase commitments </w:t>
            </w:r>
            <w:r>
              <w:rPr>
                <w:rFonts w:ascii="Arial" w:cs="Arial" w:eastAsia="Arial" w:hAnsi="Arial"/>
                <w:sz w:val="20"/>
                <w:szCs w:val="20"/>
                <w:color w:val="auto"/>
                <w:vertAlign w:val="superscript"/>
              </w:rPr>
              <w:t>(d)</w:t>
            </w:r>
          </w:p>
        </w:tc>
        <w:tc>
          <w:tcPr>
            <w:tcW w:w="1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1,782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4,620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25,440</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commitments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9,904</w:t>
            </w:r>
          </w:p>
        </w:tc>
        <w:tc>
          <w:tcPr>
            <w:tcW w:w="0" w:type="dxa"/>
            <w:vAlign w:val="bottom"/>
          </w:tcPr>
          <w:p>
            <w:pPr>
              <w:spacing w:after="0"/>
              <w:rPr>
                <w:sz w:val="1"/>
                <w:szCs w:val="1"/>
                <w:color w:val="auto"/>
              </w:rPr>
            </w:pPr>
          </w:p>
        </w:tc>
      </w:tr>
      <w:tr>
        <w:trPr>
          <w:trHeight w:val="205"/>
        </w:trPr>
        <w:tc>
          <w:tcPr>
            <w:tcW w:w="418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Regional capacity purchase agreements </w:t>
            </w:r>
            <w:r>
              <w:rPr>
                <w:rFonts w:ascii="Arial" w:cs="Arial" w:eastAsia="Arial" w:hAnsi="Arial"/>
                <w:sz w:val="20"/>
                <w:szCs w:val="20"/>
                <w:color w:val="auto"/>
                <w:vertAlign w:val="superscript"/>
              </w:rPr>
              <w:t>(e)</w:t>
            </w:r>
          </w:p>
        </w:tc>
        <w:tc>
          <w:tcPr>
            <w:tcW w:w="1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5,268</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Minimum pension obligations </w:t>
            </w:r>
            <w:r>
              <w:rPr>
                <w:rFonts w:ascii="Arial" w:cs="Arial" w:eastAsia="Arial" w:hAnsi="Arial"/>
                <w:sz w:val="20"/>
                <w:szCs w:val="20"/>
                <w:color w:val="auto"/>
                <w:vertAlign w:val="superscript"/>
              </w:rPr>
              <w:t>(f)</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05"/>
        </w:trPr>
        <w:tc>
          <w:tcPr>
            <w:tcW w:w="418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Retiree medical and other postretirement benefits </w:t>
            </w:r>
            <w:r>
              <w:rPr>
                <w:rFonts w:ascii="Arial" w:cs="Arial" w:eastAsia="Arial" w:hAnsi="Arial"/>
                <w:sz w:val="20"/>
                <w:szCs w:val="20"/>
                <w:color w:val="auto"/>
                <w:vertAlign w:val="superscript"/>
              </w:rPr>
              <w:t>(f)</w:t>
            </w:r>
          </w:p>
        </w:tc>
        <w:tc>
          <w:tcPr>
            <w:tcW w:w="1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0"/>
                <w:szCs w:val="20"/>
                <w:color w:val="auto"/>
                <w:vertAlign w:val="superscript"/>
              </w:rPr>
              <w:t>(g)</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2,791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12,493</w:t>
            </w:r>
          </w:p>
        </w:tc>
        <w:tc>
          <w:tcPr>
            <w:tcW w:w="0" w:type="dxa"/>
            <w:vAlign w:val="bottom"/>
          </w:tcPr>
          <w:p>
            <w:pPr>
              <w:spacing w:after="0"/>
              <w:rPr>
                <w:sz w:val="1"/>
                <w:szCs w:val="1"/>
                <w:color w:val="auto"/>
              </w:rPr>
            </w:pPr>
          </w:p>
        </w:tc>
      </w:tr>
      <w:tr>
        <w:trPr>
          <w:trHeight w:val="197"/>
        </w:trPr>
        <w:tc>
          <w:tcPr>
            <w:tcW w:w="4180" w:type="dxa"/>
            <w:vAlign w:val="bottom"/>
          </w:tcPr>
          <w:p>
            <w:pPr>
              <w:ind w:left="120"/>
              <w:spacing w:after="0"/>
              <w:rPr>
                <w:sz w:val="20"/>
                <w:szCs w:val="20"/>
                <w:color w:val="auto"/>
              </w:rPr>
            </w:pPr>
            <w:r>
              <w:rPr>
                <w:rFonts w:ascii="Arial" w:cs="Arial" w:eastAsia="Arial" w:hAnsi="Arial"/>
                <w:sz w:val="16"/>
                <w:szCs w:val="16"/>
                <w:color w:val="auto"/>
              </w:rPr>
              <w:t>Total American Contractual Obligations</w:t>
            </w:r>
          </w:p>
        </w:tc>
        <w:tc>
          <w:tcPr>
            <w:tcW w:w="1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8,227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16,041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85,257</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180" w:type="dxa"/>
            <w:vAlign w:val="bottom"/>
          </w:tcPr>
          <w:p>
            <w:pPr>
              <w:ind w:left="20"/>
              <w:spacing w:after="0"/>
              <w:rPr>
                <w:sz w:val="20"/>
                <w:szCs w:val="20"/>
                <w:color w:val="auto"/>
              </w:rPr>
            </w:pPr>
            <w:r>
              <w:rPr>
                <w:rFonts w:ascii="Arial" w:cs="Arial" w:eastAsia="Arial" w:hAnsi="Arial"/>
                <w:sz w:val="16"/>
                <w:szCs w:val="16"/>
                <w:i w:val="1"/>
                <w:iCs w:val="1"/>
                <w:color w:val="auto"/>
              </w:rPr>
              <w:t>AAG Parent and Other AAG Subsidiaries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80" w:type="dxa"/>
            <w:vAlign w:val="bottom"/>
          </w:tcPr>
          <w:p>
            <w:pPr>
              <w:ind w:left="120"/>
              <w:spacing w:after="0" w:line="205" w:lineRule="exact"/>
              <w:rPr>
                <w:sz w:val="20"/>
                <w:szCs w:val="20"/>
                <w:color w:val="auto"/>
              </w:rPr>
            </w:pPr>
            <w:r>
              <w:rPr>
                <w:rFonts w:ascii="Arial" w:cs="Arial" w:eastAsia="Arial" w:hAnsi="Arial"/>
                <w:sz w:val="16"/>
                <w:szCs w:val="16"/>
                <w:color w:val="auto"/>
              </w:rPr>
              <w:t xml:space="preserve">Principal amount </w:t>
            </w:r>
            <w:r>
              <w:rPr>
                <w:rFonts w:ascii="Arial" w:cs="Arial" w:eastAsia="Arial" w:hAnsi="Arial"/>
                <w:sz w:val="20"/>
                <w:szCs w:val="20"/>
                <w:color w:val="auto"/>
                <w:vertAlign w:val="superscript"/>
              </w:rPr>
              <w:t>(a)</w:t>
            </w:r>
          </w:p>
        </w:tc>
        <w:tc>
          <w:tcPr>
            <w:tcW w:w="1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4,746</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120"/>
              <w:spacing w:after="0" w:line="205" w:lineRule="exact"/>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20"/>
                <w:szCs w:val="20"/>
                <w:color w:val="auto"/>
                <w:vertAlign w:val="superscript"/>
              </w:rPr>
              <w:t>(b)</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05"/>
        </w:trPr>
        <w:tc>
          <w:tcPr>
            <w:tcW w:w="418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1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commitments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5"/>
        </w:trPr>
        <w:tc>
          <w:tcPr>
            <w:tcW w:w="418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Minimum pension obligations </w:t>
            </w:r>
            <w:r>
              <w:rPr>
                <w:rFonts w:ascii="Arial" w:cs="Arial" w:eastAsia="Arial" w:hAnsi="Arial"/>
                <w:sz w:val="20"/>
                <w:szCs w:val="20"/>
                <w:color w:val="auto"/>
                <w:vertAlign w:val="superscript"/>
              </w:rPr>
              <w:t>(f)</w:t>
            </w:r>
          </w:p>
        </w:tc>
        <w:tc>
          <w:tcPr>
            <w:tcW w:w="1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purchase obligations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7"/>
        </w:trPr>
        <w:tc>
          <w:tcPr>
            <w:tcW w:w="4180" w:type="dxa"/>
            <w:vAlign w:val="bottom"/>
          </w:tcPr>
          <w:p>
            <w:pPr>
              <w:ind w:left="120"/>
              <w:spacing w:after="0"/>
              <w:rPr>
                <w:sz w:val="20"/>
                <w:szCs w:val="20"/>
                <w:color w:val="auto"/>
              </w:rPr>
            </w:pPr>
            <w:r>
              <w:rPr>
                <w:rFonts w:ascii="Arial" w:cs="Arial" w:eastAsia="Arial" w:hAnsi="Arial"/>
                <w:sz w:val="16"/>
                <w:szCs w:val="16"/>
                <w:color w:val="auto"/>
              </w:rPr>
              <w:t>Total AAG Contractual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9,334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12,864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16,249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10,632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27,998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91,191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31508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204" w:lineRule="exact"/>
        <w:rPr>
          <w:sz w:val="20"/>
          <w:szCs w:val="20"/>
          <w:color w:val="auto"/>
        </w:rPr>
      </w:pPr>
    </w:p>
    <w:p>
      <w:pPr>
        <w:jc w:val="both"/>
        <w:ind w:left="284" w:hanging="284"/>
        <w:spacing w:after="0" w:line="234" w:lineRule="auto"/>
        <w:tabs>
          <w:tab w:leader="none" w:pos="279"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Amounts represent contractual amounts due. Excludes $330 million and $2 million of unamortized debt discount, premium and issuance costs as of June 30, 2025 for American and AAG Parent, respectively. For additional information, see Note 5 and Note 4 to AAG’s and American’s Condensed Consolidated Financial Statements in Part I, Items 1A and 1B, respectively.</w:t>
      </w:r>
    </w:p>
    <w:p>
      <w:pPr>
        <w:spacing w:after="0" w:line="97" w:lineRule="exact"/>
        <w:rPr>
          <w:rFonts w:ascii="Arial" w:cs="Arial" w:eastAsia="Arial" w:hAnsi="Arial"/>
          <w:sz w:val="21"/>
          <w:szCs w:val="21"/>
          <w:color w:val="auto"/>
          <w:vertAlign w:val="superscript"/>
        </w:rPr>
      </w:pPr>
    </w:p>
    <w:p>
      <w:pPr>
        <w:ind w:left="284" w:hanging="284"/>
        <w:spacing w:after="0"/>
        <w:tabs>
          <w:tab w:leader="none" w:pos="284"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For variable-rate debt, future interest obligations are estimated using the current forward rates at June 30, 2025.</w:t>
      </w:r>
    </w:p>
    <w:p>
      <w:pPr>
        <w:spacing w:after="0" w:line="125" w:lineRule="exact"/>
        <w:rPr>
          <w:rFonts w:ascii="Arial" w:cs="Arial" w:eastAsia="Arial" w:hAnsi="Arial"/>
          <w:sz w:val="21"/>
          <w:szCs w:val="21"/>
          <w:color w:val="auto"/>
          <w:vertAlign w:val="superscript"/>
        </w:rPr>
      </w:pPr>
    </w:p>
    <w:p>
      <w:pPr>
        <w:ind w:left="284" w:right="20" w:hanging="284"/>
        <w:spacing w:after="0" w:line="227" w:lineRule="auto"/>
        <w:tabs>
          <w:tab w:leader="none" w:pos="273"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Includes $6.4 billion of future principal payments and $729 million of future interest payments as of June 30, 2025, related to EETCs associated with mortgage financings of certain aircraft and spare engines.</w:t>
      </w:r>
    </w:p>
    <w:p>
      <w:pPr>
        <w:spacing w:after="0" w:line="127" w:lineRule="exact"/>
        <w:rPr>
          <w:rFonts w:ascii="Arial" w:cs="Arial" w:eastAsia="Arial" w:hAnsi="Arial"/>
          <w:sz w:val="21"/>
          <w:szCs w:val="21"/>
          <w:color w:val="auto"/>
          <w:vertAlign w:val="superscript"/>
        </w:rPr>
      </w:pPr>
    </w:p>
    <w:p>
      <w:pPr>
        <w:jc w:val="both"/>
        <w:ind w:left="284" w:right="20" w:hanging="284"/>
        <w:spacing w:after="0" w:line="244" w:lineRule="auto"/>
        <w:tabs>
          <w:tab w:leader="none" w:pos="279"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See “</w:t>
      </w:r>
      <w:r>
        <w:rPr>
          <w:rFonts w:ascii="Arial" w:cs="Arial" w:eastAsia="Arial" w:hAnsi="Arial"/>
          <w:sz w:val="16"/>
          <w:szCs w:val="16"/>
          <w:i w:val="1"/>
          <w:iCs w:val="1"/>
          <w:color w:val="auto"/>
        </w:rPr>
        <w:t>Aircraft and Engine Purchase Commitments”</w:t>
      </w:r>
      <w:r>
        <w:rPr>
          <w:rFonts w:ascii="Arial" w:cs="Arial" w:eastAsia="Arial" w:hAnsi="Arial"/>
          <w:sz w:val="16"/>
          <w:szCs w:val="16"/>
          <w:color w:val="auto"/>
        </w:rPr>
        <w:t xml:space="preserve"> above for additional information about the firm commitments for the acquisition of aircraft and engines, including the anticipated aircraft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manufacturer and regulatory concerns. Additionally, the amounts in the table above exclude two Boeing 787 Family aircraft scheduled to be delivered in 2025, for which we have obtained committed lease financing. This financing is reflected in the operating lease commitments line.</w:t>
      </w:r>
    </w:p>
    <w:p>
      <w:pPr>
        <w:spacing w:after="0" w:line="36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59" w:name="page60"/>
    <w:bookmarkEnd w:id="59"/>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84" w:right="20" w:hanging="284"/>
        <w:spacing w:after="0" w:line="234" w:lineRule="auto"/>
        <w:tabs>
          <w:tab w:leader="none" w:pos="279"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28" w:lineRule="exact"/>
        <w:rPr>
          <w:rFonts w:ascii="Arial" w:cs="Arial" w:eastAsia="Arial" w:hAnsi="Arial"/>
          <w:sz w:val="21"/>
          <w:szCs w:val="21"/>
          <w:color w:val="auto"/>
          <w:vertAlign w:val="superscript"/>
        </w:rPr>
      </w:pPr>
    </w:p>
    <w:p>
      <w:pPr>
        <w:jc w:val="both"/>
        <w:ind w:left="284" w:right="20" w:hanging="284"/>
        <w:spacing w:after="0" w:line="234" w:lineRule="auto"/>
        <w:tabs>
          <w:tab w:leader="none" w:pos="273"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Represents minimum pension contributions and expected contributions to our retiree medical and other postretirement plans based on actuarially determined estimates as of December 31, 2024 and is based on estimated payments through 2034. During the first six months of 2025, we made required contributions of $223 million to our defined benefit pension plans.</w:t>
      </w:r>
    </w:p>
    <w:p>
      <w:pPr>
        <w:spacing w:after="0" w:line="128" w:lineRule="exact"/>
        <w:rPr>
          <w:rFonts w:ascii="Arial" w:cs="Arial" w:eastAsia="Arial" w:hAnsi="Arial"/>
          <w:sz w:val="21"/>
          <w:szCs w:val="21"/>
          <w:color w:val="auto"/>
          <w:vertAlign w:val="superscript"/>
        </w:rPr>
      </w:pPr>
    </w:p>
    <w:p>
      <w:pPr>
        <w:jc w:val="both"/>
        <w:ind w:left="284" w:right="20" w:hanging="284"/>
        <w:spacing w:after="0" w:line="234" w:lineRule="auto"/>
        <w:tabs>
          <w:tab w:leader="none" w:pos="279"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Capital Raising Activity and Other Possible Actions</w:t>
      </w:r>
    </w:p>
    <w:p>
      <w:pPr>
        <w:spacing w:after="0" w:line="81" w:lineRule="exact"/>
        <w:rPr>
          <w:sz w:val="20"/>
          <w:szCs w:val="20"/>
          <w:color w:val="auto"/>
        </w:rPr>
      </w:pPr>
    </w:p>
    <w:p>
      <w:pPr>
        <w:jc w:val="both"/>
        <w:ind w:left="4" w:firstLine="217"/>
        <w:spacing w:after="0" w:line="254" w:lineRule="auto"/>
        <w:rPr>
          <w:sz w:val="20"/>
          <w:szCs w:val="20"/>
          <w:color w:val="auto"/>
        </w:rPr>
      </w:pPr>
      <w:r>
        <w:rPr>
          <w:rFonts w:ascii="Arial" w:cs="Arial" w:eastAsia="Arial" w:hAnsi="Arial"/>
          <w:sz w:val="16"/>
          <w:szCs w:val="16"/>
          <w:color w:val="auto"/>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governmental actions, military actions, terrorism, disease outbreaks, natural disasters or other causes could reduce the demand for air travel, which would reduce the amount of cash generated by operations. See Part I, Item 1A. Risk Factors – </w:t>
      </w:r>
      <w:r>
        <w:rPr>
          <w:rFonts w:ascii="Arial" w:cs="Arial" w:eastAsia="Arial" w:hAnsi="Arial"/>
          <w:sz w:val="16"/>
          <w:szCs w:val="16"/>
          <w:i w:val="1"/>
          <w:iCs w:val="1"/>
          <w:color w:val="auto"/>
        </w:rPr>
        <w:t>“Downturns in economic conditions could adversely affect our business”</w:t>
      </w:r>
      <w:r>
        <w:rPr>
          <w:rFonts w:ascii="Arial" w:cs="Arial" w:eastAsia="Arial" w:hAnsi="Arial"/>
          <w:sz w:val="16"/>
          <w:szCs w:val="16"/>
          <w:color w:val="auto"/>
        </w:rPr>
        <w:t xml:space="preserve"> in our 2024 Form 10-K for additional discussion. An increase in costs, either due to an increase in borrowing costs caused by a reduction in credit ratings or a general increase in interest rates, due to an increase in the cost of fuel, maintenance, aircraft, aircraft engines or parts, or due to an increase in tariffs,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w:t>
      </w:r>
    </w:p>
    <w:p>
      <w:pPr>
        <w:spacing w:after="0" w:line="117" w:lineRule="exact"/>
        <w:rPr>
          <w:sz w:val="20"/>
          <w:szCs w:val="20"/>
          <w:color w:val="auto"/>
        </w:rPr>
      </w:pPr>
    </w:p>
    <w:p>
      <w:pPr>
        <w:jc w:val="both"/>
        <w:ind w:left="4" w:right="20" w:firstLine="217"/>
        <w:spacing w:after="0" w:line="269" w:lineRule="auto"/>
        <w:rPr>
          <w:sz w:val="20"/>
          <w:szCs w:val="20"/>
          <w:color w:val="auto"/>
        </w:rPr>
      </w:pPr>
      <w:r>
        <w:rPr>
          <w:rFonts w:ascii="Arial" w:cs="Arial" w:eastAsia="Arial" w:hAnsi="Arial"/>
          <w:sz w:val="16"/>
          <w:szCs w:val="16"/>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81"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 xml:space="preserve">For information regarding our critical accounting policies and estimates, see Part II, Item 7. Management’s Discussion and Analysis of Financial Condition and Results of Operations – </w:t>
      </w:r>
      <w:r>
        <w:rPr>
          <w:rFonts w:ascii="Arial" w:cs="Arial" w:eastAsia="Arial" w:hAnsi="Arial"/>
          <w:sz w:val="16"/>
          <w:szCs w:val="16"/>
          <w:i w:val="1"/>
          <w:iCs w:val="1"/>
          <w:color w:val="auto"/>
        </w:rPr>
        <w:t>“Critical Accounting Policies and Estimates”</w:t>
      </w:r>
      <w:r>
        <w:rPr>
          <w:rFonts w:ascii="Arial" w:cs="Arial" w:eastAsia="Arial" w:hAnsi="Arial"/>
          <w:sz w:val="16"/>
          <w:szCs w:val="16"/>
          <w:color w:val="auto"/>
        </w:rPr>
        <w:t xml:space="preserve"> in our 2024 Form 10-K.</w:t>
      </w:r>
    </w:p>
    <w:p>
      <w:pPr>
        <w:spacing w:after="0" w:line="163" w:lineRule="exact"/>
        <w:rPr>
          <w:sz w:val="20"/>
          <w:szCs w:val="20"/>
          <w:color w:val="auto"/>
        </w:rPr>
      </w:pPr>
    </w:p>
    <w:p>
      <w:pPr>
        <w:ind w:left="4" w:right="5040"/>
        <w:spacing w:after="0" w:line="345" w:lineRule="auto"/>
        <w:rPr>
          <w:sz w:val="20"/>
          <w:szCs w:val="20"/>
          <w:color w:val="auto"/>
        </w:rPr>
      </w:pPr>
      <w:r>
        <w:rPr>
          <w:rFonts w:ascii="Arial" w:cs="Arial" w:eastAsia="Arial" w:hAnsi="Arial"/>
          <w:sz w:val="16"/>
          <w:szCs w:val="16"/>
          <w:b w:val="1"/>
          <w:bCs w:val="1"/>
          <w:color w:val="auto"/>
        </w:rPr>
        <w:t>ITEM 3. QUANTITATIVE AND QUALITATIVE DISCLOSURES ABOUT MARKET RISK AAG’s and American’s Market Risk Sensitive Instruments and Positions</w:t>
      </w:r>
    </w:p>
    <w:p>
      <w:pPr>
        <w:spacing w:after="0" w:line="1" w:lineRule="exact"/>
        <w:rPr>
          <w:sz w:val="20"/>
          <w:szCs w:val="20"/>
          <w:color w:val="auto"/>
        </w:rPr>
      </w:pPr>
    </w:p>
    <w:p>
      <w:pPr>
        <w:jc w:val="both"/>
        <w:ind w:left="4" w:right="20" w:firstLine="217"/>
        <w:spacing w:after="0" w:line="286" w:lineRule="auto"/>
        <w:rPr>
          <w:sz w:val="20"/>
          <w:szCs w:val="20"/>
          <w:color w:val="auto"/>
        </w:rPr>
      </w:pPr>
      <w:r>
        <w:rPr>
          <w:rFonts w:ascii="Arial" w:cs="Arial" w:eastAsia="Arial" w:hAnsi="Arial"/>
          <w:sz w:val="16"/>
          <w:szCs w:val="16"/>
          <w:color w:val="auto"/>
        </w:rPr>
        <w:t>Our primary market risk exposures include the price of aircraft fuel, foreign currency exchange rates and interest rate risk. Our exposure to these market risks has not changed materially from our exposure discussed in our 2024 Form 10-K except as updated below.</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Aircraft Fuel</w:t>
      </w:r>
    </w:p>
    <w:p>
      <w:pPr>
        <w:spacing w:after="0" w:line="151" w:lineRule="exact"/>
        <w:rPr>
          <w:sz w:val="20"/>
          <w:szCs w:val="20"/>
          <w:color w:val="auto"/>
        </w:rPr>
      </w:pPr>
    </w:p>
    <w:p>
      <w:pPr>
        <w:jc w:val="both"/>
        <w:ind w:left="4" w:right="20" w:firstLine="217"/>
        <w:spacing w:after="0" w:line="263" w:lineRule="auto"/>
        <w:rPr>
          <w:sz w:val="20"/>
          <w:szCs w:val="20"/>
          <w:color w:val="auto"/>
        </w:rPr>
      </w:pPr>
      <w:r>
        <w:rPr>
          <w:rFonts w:ascii="Arial" w:cs="Arial" w:eastAsia="Arial" w:hAnsi="Arial"/>
          <w:sz w:val="16"/>
          <w:szCs w:val="16"/>
          <w:color w:val="auto"/>
        </w:rPr>
        <w:t>As of June 30,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2025 forecasted fuel consumption, we estimate that a one cent per gallon increase in the price of aircraft fuel would increase</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24"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our 2025 annual fuel expense by approximately $45 million. See Part I, Item 1A. Risk Factors – </w:t>
      </w:r>
      <w:r>
        <w:rPr>
          <w:rFonts w:ascii="Arial" w:cs="Arial" w:eastAsia="Arial" w:hAnsi="Arial"/>
          <w:sz w:val="16"/>
          <w:szCs w:val="16"/>
          <w:i w:val="1"/>
          <w:iCs w:val="1"/>
          <w:color w:val="auto"/>
        </w:rPr>
        <w:t>“Our business is very dependent on the price and availability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aircraft fuel. Continued periods of high volatility in fuel costs, increased fuel prices or significant disruptions in the supply of aircraft fuel could have a significant negative impact on consumer demand, our operating results and liquidity” </w:t>
      </w:r>
      <w:r>
        <w:rPr>
          <w:rFonts w:ascii="Arial" w:cs="Arial" w:eastAsia="Arial" w:hAnsi="Arial"/>
          <w:sz w:val="16"/>
          <w:szCs w:val="16"/>
          <w:color w:val="auto"/>
        </w:rPr>
        <w:t>in our 2024 Form 10-K</w:t>
      </w:r>
      <w:r>
        <w:rPr>
          <w:rFonts w:ascii="Arial" w:cs="Arial" w:eastAsia="Arial" w:hAnsi="Arial"/>
          <w:sz w:val="16"/>
          <w:szCs w:val="16"/>
          <w:i w:val="1"/>
          <w:i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w:t>
      </w:r>
    </w:p>
    <w:p>
      <w:pPr>
        <w:spacing w:after="0" w:line="79"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w:t>
      </w:r>
    </w:p>
    <w:p>
      <w:pPr>
        <w:spacing w:after="0" w:line="104" w:lineRule="exact"/>
        <w:rPr>
          <w:sz w:val="20"/>
          <w:szCs w:val="20"/>
          <w:color w:val="auto"/>
        </w:rPr>
      </w:pPr>
    </w:p>
    <w:p>
      <w:pPr>
        <w:jc w:val="both"/>
        <w:ind w:firstLine="217"/>
        <w:spacing w:after="0" w:line="260" w:lineRule="auto"/>
        <w:rPr>
          <w:sz w:val="20"/>
          <w:szCs w:val="20"/>
          <w:color w:val="auto"/>
        </w:rPr>
      </w:pPr>
      <w:r>
        <w:rPr>
          <w:rFonts w:ascii="Arial" w:cs="Arial" w:eastAsia="Arial" w:hAnsi="Arial"/>
          <w:sz w:val="16"/>
          <w:szCs w:val="16"/>
          <w:color w:val="auto"/>
        </w:rPr>
        <w:t xml:space="preserve">Generally,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 See Part I, Item 1A. Risk Factors – </w:t>
      </w:r>
      <w:r>
        <w:rPr>
          <w:rFonts w:ascii="Arial" w:cs="Arial" w:eastAsia="Arial" w:hAnsi="Arial"/>
          <w:sz w:val="16"/>
          <w:szCs w:val="16"/>
          <w:i w:val="1"/>
          <w:iCs w:val="1"/>
          <w:color w:val="auto"/>
        </w:rPr>
        <w:t>“We operate a global business with international operations that are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in our 2024 Form 10-K for additional discussion of this and other currency risks.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w:t>
      </w:r>
    </w:p>
    <w:p>
      <w:pPr>
        <w:spacing w:after="0" w:line="79" w:lineRule="exact"/>
        <w:rPr>
          <w:sz w:val="20"/>
          <w:szCs w:val="20"/>
          <w:color w:val="auto"/>
        </w:rPr>
      </w:pPr>
    </w:p>
    <w:p>
      <w:pPr>
        <w:jc w:val="both"/>
        <w:ind w:firstLine="217"/>
        <w:spacing w:after="0" w:line="263" w:lineRule="auto"/>
        <w:rPr>
          <w:sz w:val="20"/>
          <w:szCs w:val="20"/>
          <w:color w:val="auto"/>
        </w:rPr>
      </w:pPr>
      <w:r>
        <w:rPr>
          <w:rFonts w:ascii="Arial" w:cs="Arial" w:eastAsia="Arial" w:hAnsi="Arial"/>
          <w:sz w:val="16"/>
          <w:szCs w:val="16"/>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June 30, 2025 variable-rate debt and short-term investments balances, annual interest expense on variable rate debt would increase by approximately $130 million and annual interest income on short-term investments would increase by approximately $90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Evaluation of Disclosure Controls and Procedures</w:t>
      </w:r>
    </w:p>
    <w:p>
      <w:pPr>
        <w:spacing w:after="0" w:line="81" w:lineRule="exact"/>
        <w:rPr>
          <w:sz w:val="20"/>
          <w:szCs w:val="20"/>
          <w:color w:val="auto"/>
        </w:rPr>
      </w:pPr>
    </w:p>
    <w:p>
      <w:pPr>
        <w:jc w:val="both"/>
        <w:ind w:firstLine="217"/>
        <w:spacing w:after="0" w:line="255" w:lineRule="auto"/>
        <w:rPr>
          <w:sz w:val="20"/>
          <w:szCs w:val="20"/>
          <w:color w:val="auto"/>
        </w:rPr>
      </w:pPr>
      <w:r>
        <w:rPr>
          <w:rFonts w:ascii="Arial" w:cs="Arial" w:eastAsia="Arial" w:hAnsi="Arial"/>
          <w:sz w:val="16"/>
          <w:szCs w:val="16"/>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June 30, 2025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June 30, 2025 at the reasonable assurance level.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81" w:lineRule="exact"/>
        <w:rPr>
          <w:sz w:val="20"/>
          <w:szCs w:val="20"/>
          <w:color w:val="auto"/>
        </w:rPr>
      </w:pPr>
    </w:p>
    <w:p>
      <w:pPr>
        <w:jc w:val="both"/>
        <w:ind w:firstLine="217"/>
        <w:spacing w:after="0" w:line="286" w:lineRule="auto"/>
        <w:rPr>
          <w:sz w:val="20"/>
          <w:szCs w:val="20"/>
          <w:color w:val="auto"/>
        </w:rPr>
      </w:pPr>
      <w:r>
        <w:rPr>
          <w:rFonts w:ascii="Arial" w:cs="Arial" w:eastAsia="Arial" w:hAnsi="Arial"/>
          <w:sz w:val="16"/>
          <w:szCs w:val="16"/>
          <w:color w:val="auto"/>
        </w:rPr>
        <w:t>During the quarter ended June 30, 2025, there have been no changes in AAG’s or American’s internal control over financial reporting that have materially affected, or are reasonably likely to materially affect, AAG’s and American’s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the Effectiveness of Controls</w:t>
      </w:r>
    </w:p>
    <w:p>
      <w:pPr>
        <w:spacing w:after="0" w:line="81" w:lineRule="exact"/>
        <w:rPr>
          <w:sz w:val="20"/>
          <w:szCs w:val="20"/>
          <w:color w:val="auto"/>
        </w:rPr>
      </w:pPr>
    </w:p>
    <w:p>
      <w:pPr>
        <w:jc w:val="both"/>
        <w:ind w:right="20" w:firstLine="217"/>
        <w:spacing w:after="0" w:line="263"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June 30, 2025.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81" w:lineRule="exact"/>
        <w:rPr>
          <w:sz w:val="20"/>
          <w:szCs w:val="20"/>
          <w:color w:val="auto"/>
        </w:rPr>
      </w:pPr>
    </w:p>
    <w:p>
      <w:pPr>
        <w:jc w:val="both"/>
        <w:ind w:right="20" w:firstLine="217"/>
        <w:spacing w:after="0" w:line="286" w:lineRule="auto"/>
        <w:rPr>
          <w:sz w:val="20"/>
          <w:szCs w:val="20"/>
          <w:color w:val="auto"/>
        </w:rPr>
      </w:pPr>
      <w:r>
        <w:rPr>
          <w:rFonts w:ascii="Arial" w:cs="Arial" w:eastAsia="Arial" w:hAnsi="Arial"/>
          <w:sz w:val="16"/>
          <w:szCs w:val="16"/>
          <w:color w:val="auto"/>
        </w:rPr>
        <w:t>See Note 12 to each of AAG and American’s Condensed Consolidated Financial Statements in Part I, Item 1A and Part I, Item 1B, respectively, for information on legal proceedings.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81"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6"/>
          <w:szCs w:val="16"/>
          <w:color w:val="auto"/>
        </w:rPr>
        <w:t>There have been no material changes in our risk factors as previously disclosed in Part I, Item 1A in our 2024 Form 10-K. The risks in our 2024 Form 10-K are not the only risks facing AAG and American. Additional risks and uncertainties not currently known to us, or that we currently deem to be immaterial, could also materially adversely affect our business, financial condition or future results.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Securities Trading Plans of Directors and Executive Officers</w:t>
      </w:r>
    </w:p>
    <w:p>
      <w:pPr>
        <w:spacing w:after="0" w:line="79" w:lineRule="exact"/>
        <w:rPr>
          <w:sz w:val="20"/>
          <w:szCs w:val="20"/>
          <w:color w:val="auto"/>
        </w:rPr>
      </w:pPr>
    </w:p>
    <w:p>
      <w:pPr>
        <w:jc w:val="both"/>
        <w:ind w:right="20" w:firstLine="217"/>
        <w:spacing w:after="0" w:line="269" w:lineRule="auto"/>
        <w:rPr>
          <w:sz w:val="20"/>
          <w:szCs w:val="20"/>
          <w:color w:val="auto"/>
        </w:rPr>
      </w:pPr>
      <w:r>
        <w:rPr>
          <w:rFonts w:ascii="Arial" w:cs="Arial" w:eastAsia="Arial" w:hAnsi="Arial"/>
          <w:sz w:val="16"/>
          <w:szCs w:val="16"/>
          <w:color w:val="auto"/>
        </w:rPr>
        <w:t>During the quarter ended June 30, 2025, none of our directors or “officers” (as defined in Rule 16a-1(f) under the Exchange Act) adopted or terminated any contract, instruction or written plan for the purchase or sale of AAG securities that was intended to satisfy the affirmative defense conditions of Rule 10b5-1(c) or any “non-Rule 10b5-1 trading arrangement.”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2" w:name="page63"/>
    <w:bookmarkEnd w:id="62"/>
    <w:p>
      <w:pPr>
        <w:ind w:left="4"/>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6. EXHIBITS</w:t>
      </w:r>
    </w:p>
    <w:p>
      <w:pPr>
        <w:spacing w:after="0" w:line="81" w:lineRule="exact"/>
        <w:rPr>
          <w:sz w:val="20"/>
          <w:szCs w:val="20"/>
          <w:color w:val="auto"/>
        </w:rPr>
      </w:pPr>
    </w:p>
    <w:p>
      <w:pPr>
        <w:jc w:val="both"/>
        <w:ind w:left="4" w:firstLine="217"/>
        <w:spacing w:after="0" w:line="269" w:lineRule="auto"/>
        <w:rPr>
          <w:sz w:val="20"/>
          <w:szCs w:val="20"/>
          <w:color w:val="auto"/>
        </w:rPr>
      </w:pPr>
      <w:r>
        <w:rPr>
          <w:rFonts w:ascii="Arial" w:cs="Arial" w:eastAsia="Arial" w:hAnsi="Arial"/>
          <w:sz w:val="16"/>
          <w:szCs w:val="16"/>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32" w:lineRule="exact"/>
        <w:rPr>
          <w:sz w:val="20"/>
          <w:szCs w:val="20"/>
          <w:color w:val="auto"/>
        </w:rPr>
      </w:pPr>
    </w:p>
    <w:tbl>
      <w:tblPr>
        <w:tblLayout w:type="fixed"/>
        <w:tblInd w:w="124" w:type="dxa"/>
        <w:tblCellMar>
          <w:top w:w="0" w:type="dxa"/>
          <w:left w:w="0" w:type="dxa"/>
          <w:bottom w:w="0" w:type="dxa"/>
          <w:right w:w="0" w:type="dxa"/>
        </w:tblCellMar>
      </w:tblPr>
      <w:tr>
        <w:trPr>
          <w:trHeight w:val="149"/>
        </w:trPr>
        <w:tc>
          <w:tcPr>
            <w:tcW w:w="2960" w:type="dxa"/>
            <w:vAlign w:val="bottom"/>
          </w:tcPr>
          <w:p>
            <w:pPr>
              <w:jc w:val="center"/>
              <w:ind w:right="2396"/>
              <w:spacing w:after="0"/>
              <w:rPr>
                <w:sz w:val="20"/>
                <w:szCs w:val="20"/>
                <w:color w:val="auto"/>
              </w:rPr>
            </w:pPr>
            <w:r>
              <w:rPr>
                <w:rFonts w:ascii="Arial" w:cs="Arial" w:eastAsia="Arial" w:hAnsi="Arial"/>
                <w:sz w:val="13"/>
                <w:szCs w:val="13"/>
                <w:b w:val="1"/>
                <w:bCs w:val="1"/>
                <w:color w:val="auto"/>
                <w:w w:val="96"/>
              </w:rPr>
              <w:t>Exhibit</w:t>
            </w:r>
          </w:p>
        </w:tc>
        <w:tc>
          <w:tcPr>
            <w:tcW w:w="3180" w:type="dxa"/>
            <w:vAlign w:val="bottom"/>
            <w:vMerge w:val="restart"/>
          </w:tcPr>
          <w:p>
            <w:pPr>
              <w:ind w:left="2480"/>
              <w:spacing w:after="0"/>
              <w:rPr>
                <w:sz w:val="20"/>
                <w:szCs w:val="20"/>
                <w:color w:val="auto"/>
              </w:rPr>
            </w:pPr>
            <w:r>
              <w:rPr>
                <w:rFonts w:ascii="Arial" w:cs="Arial" w:eastAsia="Arial" w:hAnsi="Arial"/>
                <w:sz w:val="13"/>
                <w:szCs w:val="13"/>
                <w:b w:val="1"/>
                <w:bCs w:val="1"/>
                <w:u w:val="single" w:color="auto"/>
                <w:color w:val="auto"/>
                <w:w w:val="95"/>
              </w:rPr>
              <w:t>Description</w:t>
            </w:r>
          </w:p>
        </w:tc>
        <w:tc>
          <w:tcPr>
            <w:tcW w:w="0" w:type="dxa"/>
            <w:vAlign w:val="bottom"/>
          </w:tcPr>
          <w:p>
            <w:pPr>
              <w:spacing w:after="0"/>
              <w:rPr>
                <w:sz w:val="1"/>
                <w:szCs w:val="1"/>
                <w:color w:val="auto"/>
              </w:rPr>
            </w:pPr>
          </w:p>
        </w:tc>
      </w:tr>
      <w:tr>
        <w:trPr>
          <w:trHeight w:val="176"/>
        </w:trPr>
        <w:tc>
          <w:tcPr>
            <w:tcW w:w="2960" w:type="dxa"/>
            <w:vAlign w:val="bottom"/>
          </w:tcPr>
          <w:p>
            <w:pPr>
              <w:jc w:val="center"/>
              <w:ind w:right="2396"/>
              <w:spacing w:after="0"/>
              <w:rPr>
                <w:sz w:val="20"/>
                <w:szCs w:val="20"/>
                <w:color w:val="auto"/>
              </w:rPr>
            </w:pPr>
            <w:r>
              <w:rPr>
                <w:rFonts w:ascii="Arial" w:cs="Arial" w:eastAsia="Arial" w:hAnsi="Arial"/>
                <w:sz w:val="13"/>
                <w:szCs w:val="13"/>
                <w:b w:val="1"/>
                <w:bCs w:val="1"/>
                <w:u w:val="single" w:color="auto"/>
                <w:color w:val="auto"/>
              </w:rPr>
              <w:t>Number</w:t>
            </w:r>
          </w:p>
        </w:tc>
        <w:tc>
          <w:tcPr>
            <w:tcW w:w="3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764" w:right="180" w:hanging="745"/>
        <w:spacing w:after="0" w:line="253" w:lineRule="auto"/>
        <w:tabs>
          <w:tab w:leader="none" w:pos="743"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u w:val="single" w:color="auto"/>
          <w:color w:val="0000FF"/>
        </w:rPr>
        <w:t>Increase Joinder, dated as of April 21, 2025, amending that certain Credit and Guaranty Agreement, dated as of December 4, 2023 (as amended, restated, amended and restated, supplemented or otherwise modified from time to time), by and among American Airlines, Inc., as borrower, American Airlines Group Inc., as guarantor, the lenders from time to time party thereto and Citibank, N.A., as administrative agent.*</w:t>
      </w:r>
    </w:p>
    <w:p>
      <w:pPr>
        <w:spacing w:after="0" w:line="8" w:lineRule="exact"/>
        <w:rPr>
          <w:sz w:val="20"/>
          <w:szCs w:val="20"/>
          <w:color w:val="auto"/>
        </w:rPr>
      </w:pPr>
    </w:p>
    <w:p>
      <w:pPr>
        <w:jc w:val="both"/>
        <w:ind w:left="764" w:right="200" w:hanging="745"/>
        <w:spacing w:after="0" w:line="247" w:lineRule="auto"/>
        <w:tabs>
          <w:tab w:leader="none" w:pos="743"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u w:val="single" w:color="auto"/>
          <w:color w:val="0000FF"/>
        </w:rPr>
        <w:t>Increase Joinder, dated as of April 21, 2025, amending that certain Amended and Restated Credit and Guaranty Agreement, dated as of May 21, 2015 (as amended, restated, amended and restated, supplemented or otherwise modified from time to time), by and among American Airlines, Inc., as borrower, American Airlines Group Inc., as guarantor, the lenders from time to time party thereto and Barclays Bank PLC, as administrative agent.*</w:t>
      </w:r>
    </w:p>
    <w:p>
      <w:pPr>
        <w:spacing w:after="0" w:line="13" w:lineRule="exact"/>
        <w:rPr>
          <w:sz w:val="20"/>
          <w:szCs w:val="20"/>
          <w:color w:val="auto"/>
        </w:rPr>
      </w:pPr>
    </w:p>
    <w:p>
      <w:pPr>
        <w:jc w:val="both"/>
        <w:ind w:left="764" w:right="180" w:hanging="745"/>
        <w:spacing w:after="0" w:line="247" w:lineRule="auto"/>
        <w:tabs>
          <w:tab w:leader="none" w:pos="743"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u w:val="single" w:color="auto"/>
          <w:color w:val="0000FF"/>
        </w:rPr>
        <w:t>Increase Joinder, dated as of April 21, 2025, amending that certain Amended and Restated Credit and Guaranty Agreement, dated as of April 20, 2015 (as amended, restated, amended and restated, supplemented or otherwise modified from time to time), by and among American Airlines, Inc., as borrower, American Airlines Group Inc., as guarantor, the lenders from time to time party thereto and Citibank, N.A., as administrative agent.*</w:t>
      </w:r>
    </w:p>
    <w:p>
      <w:pPr>
        <w:spacing w:after="0" w:line="13" w:lineRule="exact"/>
        <w:rPr>
          <w:sz w:val="20"/>
          <w:szCs w:val="20"/>
          <w:color w:val="auto"/>
        </w:rPr>
      </w:pPr>
    </w:p>
    <w:p>
      <w:pPr>
        <w:jc w:val="both"/>
        <w:ind w:left="764" w:right="180" w:hanging="745"/>
        <w:spacing w:after="0" w:line="253" w:lineRule="auto"/>
        <w:tabs>
          <w:tab w:leader="none" w:pos="743" w:val="left"/>
        </w:tabs>
        <w:rPr>
          <w:rFonts w:ascii="Arial" w:cs="Arial" w:eastAsia="Arial" w:hAnsi="Arial"/>
          <w:sz w:val="16"/>
          <w:szCs w:val="16"/>
          <w:u w:val="single" w:color="auto"/>
          <w:color w:val="0000FF"/>
        </w:rPr>
      </w:pPr>
      <w:r>
        <w:rPr>
          <w:rFonts w:ascii="Arial" w:cs="Arial" w:eastAsia="Arial" w:hAnsi="Arial"/>
          <w:sz w:val="16"/>
          <w:szCs w:val="16"/>
          <w:color w:val="auto"/>
        </w:rPr>
        <w:t>10.4</w:t>
      </w:r>
      <w:r>
        <w:rPr>
          <w:sz w:val="20"/>
          <w:szCs w:val="20"/>
          <w:color w:val="auto"/>
        </w:rPr>
        <w:tab/>
      </w:r>
      <w:hyperlink r:id="rId154">
        <w:r>
          <w:rPr>
            <w:rFonts w:ascii="Arial" w:cs="Arial" w:eastAsia="Arial" w:hAnsi="Arial"/>
            <w:sz w:val="16"/>
            <w:szCs w:val="16"/>
            <w:u w:val="single" w:color="auto"/>
            <w:color w:val="0000FF"/>
          </w:rPr>
          <w:t>Third Amendment to Term Loan Credit and Guaranty Agreement, dated as of May 28, 2025, among American Airlines, Inc., AAdvantage Loyalty</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IP Ltd., Barclays Bank PLC, as administrative agent, and Citibank, N.A., as Designated 2025 Incremental Term Lender (incorporated by</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reference as Exhibit 10.1 to AAG’s Current Report on Form 8-K filed on May 29, 2025 (Commission File No. 1-8400)).**</w:t>
        </w:r>
      </w:hyperlink>
    </w:p>
    <w:p>
      <w:pPr>
        <w:spacing w:after="0" w:line="8" w:lineRule="exact"/>
        <w:rPr>
          <w:rFonts w:ascii="Arial" w:cs="Arial" w:eastAsia="Arial" w:hAnsi="Arial"/>
          <w:sz w:val="16"/>
          <w:szCs w:val="16"/>
          <w:u w:val="single" w:color="auto"/>
          <w:color w:val="0000FF"/>
        </w:rPr>
      </w:pPr>
    </w:p>
    <w:p>
      <w:pPr>
        <w:ind w:left="24"/>
        <w:spacing w:after="0"/>
        <w:tabs>
          <w:tab w:leader="none" w:pos="743"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u w:val="single" w:color="auto"/>
          <w:color w:val="0000FF"/>
        </w:rPr>
        <w:t>American Airlines Group Inc. 2023 Incentive Award Plan, as amended, dated as of April 29, 2025.</w:t>
      </w:r>
    </w:p>
    <w:p>
      <w:pPr>
        <w:spacing w:after="0" w:line="45" w:lineRule="exact"/>
        <w:rPr>
          <w:rFonts w:ascii="Arial" w:cs="Arial" w:eastAsia="Arial" w:hAnsi="Arial"/>
          <w:sz w:val="16"/>
          <w:szCs w:val="16"/>
          <w:u w:val="single" w:color="auto"/>
          <w:color w:val="0000FF"/>
        </w:rPr>
      </w:pPr>
    </w:p>
    <w:p>
      <w:pPr>
        <w:jc w:val="both"/>
        <w:ind w:left="764" w:right="180" w:hanging="745"/>
        <w:spacing w:after="0" w:line="266" w:lineRule="auto"/>
        <w:tabs>
          <w:tab w:leader="none" w:pos="743"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u w:val="single" w:color="auto"/>
          <w:color w:val="0000FF"/>
        </w:rPr>
        <w:t>Supplemental Agreement No. 35, dated as of June 30, 2025, to Purchase Agreement No. 03735 dated as of February 1, 2013, by and between American Airlines, Inc. and The Boeing Company.*</w:t>
      </w:r>
    </w:p>
    <w:p>
      <w:pPr>
        <w:spacing w:after="0" w:line="1" w:lineRule="exact"/>
        <w:rPr>
          <w:rFonts w:ascii="Arial" w:cs="Arial" w:eastAsia="Arial" w:hAnsi="Arial"/>
          <w:sz w:val="16"/>
          <w:szCs w:val="16"/>
          <w:u w:val="single" w:color="auto"/>
          <w:color w:val="0000FF"/>
        </w:rPr>
      </w:pPr>
    </w:p>
    <w:p>
      <w:pPr>
        <w:ind w:left="24"/>
        <w:spacing w:after="0"/>
        <w:tabs>
          <w:tab w:leader="none" w:pos="743"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of AAG Chief Executive Officer pursuant to Rule 13a-14(a).</w:t>
      </w:r>
    </w:p>
    <w:p>
      <w:pPr>
        <w:spacing w:after="0" w:line="45" w:lineRule="exact"/>
        <w:rPr>
          <w:rFonts w:ascii="Arial" w:cs="Arial" w:eastAsia="Arial" w:hAnsi="Arial"/>
          <w:sz w:val="16"/>
          <w:szCs w:val="16"/>
          <w:u w:val="single" w:color="auto"/>
          <w:color w:val="0000FF"/>
        </w:rPr>
      </w:pPr>
    </w:p>
    <w:p>
      <w:pPr>
        <w:ind w:left="24"/>
        <w:spacing w:after="0"/>
        <w:tabs>
          <w:tab w:leader="none" w:pos="743"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Certification of AAG Chief Financial Officer pursuant to Rule 13a-14(a).</w:t>
      </w:r>
    </w:p>
    <w:p>
      <w:pPr>
        <w:spacing w:after="0" w:line="45" w:lineRule="exact"/>
        <w:rPr>
          <w:rFonts w:ascii="Arial" w:cs="Arial" w:eastAsia="Arial" w:hAnsi="Arial"/>
          <w:sz w:val="16"/>
          <w:szCs w:val="16"/>
          <w:u w:val="single" w:color="auto"/>
          <w:color w:val="0000FF"/>
        </w:rPr>
      </w:pPr>
    </w:p>
    <w:p>
      <w:pPr>
        <w:ind w:left="24"/>
        <w:spacing w:after="0"/>
        <w:tabs>
          <w:tab w:leader="none" w:pos="743"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6"/>
          <w:szCs w:val="16"/>
          <w:u w:val="single" w:color="auto"/>
          <w:color w:val="0000FF"/>
        </w:rPr>
        <w:t>Certification of American Chief Executive Officer pursuant to Rule 13a-14(a).</w:t>
      </w:r>
    </w:p>
    <w:p>
      <w:pPr>
        <w:spacing w:after="0" w:line="45" w:lineRule="exact"/>
        <w:rPr>
          <w:rFonts w:ascii="Arial" w:cs="Arial" w:eastAsia="Arial" w:hAnsi="Arial"/>
          <w:sz w:val="16"/>
          <w:szCs w:val="16"/>
          <w:u w:val="single" w:color="auto"/>
          <w:color w:val="0000FF"/>
        </w:rPr>
      </w:pPr>
    </w:p>
    <w:p>
      <w:pPr>
        <w:ind w:left="24"/>
        <w:spacing w:after="0"/>
        <w:tabs>
          <w:tab w:leader="none" w:pos="743"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6"/>
          <w:szCs w:val="16"/>
          <w:u w:val="single" w:color="auto"/>
          <w:color w:val="0000FF"/>
        </w:rPr>
        <w:t>Certification of American Chief Financial Officer pursuant to Rule 13a-14(a).</w:t>
      </w:r>
    </w:p>
    <w:p>
      <w:pPr>
        <w:spacing w:after="0" w:line="45" w:lineRule="exact"/>
        <w:rPr>
          <w:rFonts w:ascii="Arial" w:cs="Arial" w:eastAsia="Arial" w:hAnsi="Arial"/>
          <w:sz w:val="16"/>
          <w:szCs w:val="16"/>
          <w:u w:val="single" w:color="auto"/>
          <w:color w:val="0000FF"/>
        </w:rPr>
      </w:pPr>
    </w:p>
    <w:p>
      <w:pPr>
        <w:jc w:val="both"/>
        <w:ind w:left="764" w:right="200" w:hanging="745"/>
        <w:spacing w:after="0" w:line="266" w:lineRule="auto"/>
        <w:tabs>
          <w:tab w:leader="none" w:pos="743"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AAG Certification pursuant to Rule 13a-14(b) and section 906 of the Sarbanes-Oxley Act of 2002 (subsections (a) and (b) of section 1350, chapter 63 of title 18, United States Code).</w:t>
      </w:r>
    </w:p>
    <w:p>
      <w:pPr>
        <w:spacing w:after="0" w:line="1" w:lineRule="exact"/>
        <w:rPr>
          <w:rFonts w:ascii="Arial" w:cs="Arial" w:eastAsia="Arial" w:hAnsi="Arial"/>
          <w:sz w:val="16"/>
          <w:szCs w:val="16"/>
          <w:u w:val="single" w:color="auto"/>
          <w:color w:val="0000FF"/>
        </w:rPr>
      </w:pPr>
    </w:p>
    <w:p>
      <w:pPr>
        <w:jc w:val="both"/>
        <w:ind w:left="764" w:right="200" w:hanging="745"/>
        <w:spacing w:after="0" w:line="266" w:lineRule="auto"/>
        <w:tabs>
          <w:tab w:leader="none" w:pos="743"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u w:val="single" w:color="auto"/>
          <w:color w:val="0000FF"/>
        </w:rPr>
        <w:t>American Certification pursuant to Rule 13a-14(b) and section 906 of the Sarbanes-Oxley Act of 2002 (subsections (a) and (b) of section 1350, chapter 63 of title 18, United States Code).</w:t>
      </w:r>
    </w:p>
    <w:p>
      <w:pPr>
        <w:spacing w:after="0" w:line="1" w:lineRule="exact"/>
        <w:rPr>
          <w:rFonts w:ascii="Arial" w:cs="Arial" w:eastAsia="Arial" w:hAnsi="Arial"/>
          <w:sz w:val="16"/>
          <w:szCs w:val="16"/>
          <w:u w:val="single" w:color="auto"/>
          <w:color w:val="0000FF"/>
        </w:rPr>
      </w:pPr>
    </w:p>
    <w:p>
      <w:pPr>
        <w:ind w:left="24"/>
        <w:spacing w:after="0"/>
        <w:tabs>
          <w:tab w:leader="none" w:pos="743"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Interactive data files pursuant to Rule 405 of Regulation S-T, formatted in Inline XBRL (eXtensible Business Reporting Language).</w:t>
      </w:r>
    </w:p>
    <w:p>
      <w:pPr>
        <w:spacing w:after="0" w:line="45" w:lineRule="exact"/>
        <w:rPr>
          <w:rFonts w:ascii="Arial" w:cs="Arial" w:eastAsia="Arial" w:hAnsi="Arial"/>
          <w:sz w:val="16"/>
          <w:szCs w:val="16"/>
          <w:u w:val="single" w:color="auto"/>
          <w:color w:val="0000FF"/>
        </w:rPr>
      </w:pPr>
    </w:p>
    <w:p>
      <w:pPr>
        <w:ind w:left="24"/>
        <w:spacing w:after="0"/>
        <w:tabs>
          <w:tab w:leader="none" w:pos="743" w:val="left"/>
        </w:tabs>
        <w:rPr>
          <w:sz w:val="20"/>
          <w:szCs w:val="20"/>
          <w:color w:val="auto"/>
        </w:rPr>
      </w:pPr>
      <w:r>
        <w:rPr>
          <w:rFonts w:ascii="Arial" w:cs="Arial" w:eastAsia="Arial" w:hAnsi="Arial"/>
          <w:sz w:val="16"/>
          <w:szCs w:val="16"/>
          <w:color w:val="auto"/>
        </w:rPr>
        <w:t>104.1</w:t>
      </w:r>
      <w:r>
        <w:rPr>
          <w:sz w:val="20"/>
          <w:szCs w:val="20"/>
          <w:color w:val="auto"/>
        </w:rPr>
        <w:tab/>
      </w:r>
      <w:r>
        <w:rPr>
          <w:rFonts w:ascii="Arial" w:cs="Arial" w:eastAsia="Arial" w:hAnsi="Arial"/>
          <w:sz w:val="16"/>
          <w:szCs w:val="16"/>
          <w:color w:val="auto"/>
        </w:rPr>
        <w:t>Cover page interactive data file (formatted in Inline XBRL and contained in Exhibit 101.1).</w:t>
      </w:r>
    </w:p>
    <w:p>
      <w:pPr>
        <w:spacing w:after="0" w:line="261" w:lineRule="exact"/>
        <w:rPr>
          <w:rFonts w:ascii="Arial" w:cs="Arial" w:eastAsia="Arial" w:hAnsi="Arial"/>
          <w:sz w:val="16"/>
          <w:szCs w:val="16"/>
          <w:u w:val="single" w:color="auto"/>
          <w:color w:val="0000FF"/>
        </w:rPr>
      </w:pPr>
    </w:p>
    <w:p>
      <w:pPr>
        <w:ind w:left="4" w:right="4260" w:hanging="4"/>
        <w:spacing w:after="0" w:line="475" w:lineRule="auto"/>
        <w:tabs>
          <w:tab w:leader="none" w:pos="1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Portions of this exhibit have been omitted in accordance with Item 601(b)(10) of Regulation S-K. ** Portions of this exhibit have been redacted in accordance with Item 601(a)(6) of Regulation S-K.</w:t>
      </w:r>
    </w:p>
    <w:p>
      <w:pPr>
        <w:spacing w:after="0" w:line="247" w:lineRule="exact"/>
        <w:rPr>
          <w:rFonts w:ascii="Arial" w:cs="Arial" w:eastAsia="Arial" w:hAnsi="Arial"/>
          <w:sz w:val="16"/>
          <w:szCs w:val="16"/>
          <w:u w:val="single" w:color="auto"/>
          <w:color w:val="0000FF"/>
        </w:rPr>
      </w:pPr>
    </w:p>
    <w:p>
      <w:pPr>
        <w:jc w:val="center"/>
        <w:ind w:right="-3"/>
        <w:spacing w:after="0"/>
        <w:rPr>
          <w:sz w:val="20"/>
          <w:szCs w:val="20"/>
          <w:color w:val="auto"/>
        </w:rPr>
      </w:pPr>
      <w:r>
        <w:rPr>
          <w:rFonts w:ascii="Arial" w:cs="Arial" w:eastAsia="Arial" w:hAnsi="Arial"/>
          <w:sz w:val="16"/>
          <w:szCs w:val="16"/>
          <w:color w:val="auto"/>
        </w:rPr>
        <w:t>61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4"/>
          </w:cols>
          <w:pgMar w:left="316" w:top="124"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05" w:lineRule="exact"/>
        <w:rPr>
          <w:sz w:val="20"/>
          <w:szCs w:val="20"/>
          <w:color w:val="auto"/>
        </w:rPr>
      </w:pPr>
    </w:p>
    <w:p>
      <w:pPr>
        <w:ind w:firstLine="217"/>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7"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American Airlines Group Inc.</w:t>
      </w:r>
    </w:p>
    <w:p>
      <w:pPr>
        <w:spacing w:after="0" w:line="261"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6"/>
          <w:szCs w:val="16"/>
          <w:color w:val="auto"/>
        </w:rPr>
        <w:t>Date: July 24,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15875</wp:posOffset>
            </wp:positionV>
            <wp:extent cx="348551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485515" cy="7620"/>
                    </a:xfrm>
                    <a:prstGeom prst="rect">
                      <a:avLst/>
                    </a:prstGeom>
                    <a:noFill/>
                  </pic:spPr>
                </pic:pic>
              </a:graphicData>
            </a:graphic>
          </wp:anchor>
        </w:drawing>
      </w:r>
    </w:p>
    <w:p>
      <w:pPr>
        <w:spacing w:after="0" w:line="1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Devon E. May</w:t>
      </w:r>
    </w:p>
    <w:p>
      <w:pPr>
        <w:spacing w:after="0" w:line="3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Executive Vice President and Chief Financial Officer</w:t>
      </w:r>
    </w:p>
    <w:p>
      <w:pPr>
        <w:spacing w:after="0" w:line="4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(Duly Authorized Officer and Principal Financial Officer)</w:t>
      </w:r>
    </w:p>
    <w:p>
      <w:pPr>
        <w:spacing w:after="0" w:line="310" w:lineRule="exact"/>
        <w:rPr>
          <w:sz w:val="20"/>
          <w:szCs w:val="20"/>
          <w:color w:val="auto"/>
        </w:rPr>
      </w:pPr>
    </w:p>
    <w:p>
      <w:pPr>
        <w:ind w:firstLine="217"/>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5"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American Airlines, Inc.</w:t>
      </w:r>
    </w:p>
    <w:p>
      <w:pPr>
        <w:spacing w:after="0" w:line="261"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6"/>
          <w:szCs w:val="16"/>
          <w:color w:val="auto"/>
        </w:rPr>
        <w:t>Date: July 24,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15875</wp:posOffset>
            </wp:positionV>
            <wp:extent cx="348551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485515" cy="7620"/>
                    </a:xfrm>
                    <a:prstGeom prst="rect">
                      <a:avLst/>
                    </a:prstGeom>
                    <a:noFill/>
                  </pic:spPr>
                </pic:pic>
              </a:graphicData>
            </a:graphic>
          </wp:anchor>
        </w:drawing>
      </w:r>
    </w:p>
    <w:p>
      <w:pPr>
        <w:spacing w:after="0" w:line="1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Devon E. May</w:t>
      </w:r>
    </w:p>
    <w:p>
      <w:pPr>
        <w:spacing w:after="0" w:line="3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Executive Vice President and Chief Financial Officer</w:t>
      </w:r>
    </w:p>
    <w:p>
      <w:pPr>
        <w:spacing w:after="0" w:line="4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2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9"/>
          <w:szCs w:val="19"/>
          <w:b w:val="1"/>
          <w:bCs w:val="1"/>
          <w:color w:val="auto"/>
        </w:rPr>
        <w:t>Certain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-287655</wp:posOffset>
            </wp:positionV>
            <wp:extent cx="7101205" cy="290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01205" cy="29019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INCREASE JOINDER</w:t>
      </w:r>
    </w:p>
    <w:p>
      <w:pPr>
        <w:spacing w:after="0" w:line="207"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This INCREASE JOINDER, dated as of April 21, 2025 (the “</w:t>
      </w:r>
      <w:r>
        <w:rPr>
          <w:rFonts w:ascii="Times New Roman" w:cs="Times New Roman" w:eastAsia="Times New Roman" w:hAnsi="Times New Roman"/>
          <w:sz w:val="19"/>
          <w:szCs w:val="19"/>
          <w:u w:val="single" w:color="auto"/>
          <w:color w:val="auto"/>
        </w:rPr>
        <w:t>Increase Joinder</w:t>
      </w:r>
      <w:r>
        <w:rPr>
          <w:rFonts w:ascii="Times New Roman" w:cs="Times New Roman" w:eastAsia="Times New Roman" w:hAnsi="Times New Roman"/>
          <w:sz w:val="19"/>
          <w:szCs w:val="19"/>
          <w:color w:val="auto"/>
        </w:rPr>
        <w:t>”) amends the Credit and Guaranty Agreement, dated as of December 4, 2023 (as amended, restated, amended and restated, supplemented or otherwise modified from time to time, the “</w:t>
      </w:r>
      <w:r>
        <w:rPr>
          <w:rFonts w:ascii="Times New Roman" w:cs="Times New Roman" w:eastAsia="Times New Roman" w:hAnsi="Times New Roman"/>
          <w:sz w:val="19"/>
          <w:szCs w:val="19"/>
          <w:u w:val="single" w:color="auto"/>
          <w:color w:val="auto"/>
        </w:rPr>
        <w:t>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by and among American Airlines,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 American Airlines Group Inc., a Delaware corporation, as guarantor, the Lenders party thereto and Citibank, N.A., as administrative agent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Capitalized terms used but not defined herein shall have the meanings given to such terms in the Credit Agreement.</w:t>
      </w:r>
    </w:p>
    <w:p>
      <w:pPr>
        <w:spacing w:after="0" w:line="151"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 xml:space="preserve">WHEREAS, the Borrower wishes to increase the Revolving Commitments available pursuant to the Credit Agreement by an amount equal to the Revolving Commitment set forth on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hereto.</w:t>
      </w:r>
    </w:p>
    <w:p>
      <w:pPr>
        <w:spacing w:after="0" w:line="128"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NOW THEREFORE, [****], as increasing Revolving Lender (the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the Borrower and the Administrative Agent hereby agree as follows:</w:t>
      </w:r>
    </w:p>
    <w:p>
      <w:pPr>
        <w:spacing w:after="0" w:line="140"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9"/>
          <w:szCs w:val="19"/>
          <w:u w:val="single" w:color="auto"/>
          <w:color w:val="auto"/>
        </w:rPr>
        <w:t>Increased Commitments; Increase Effective Date</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jc w:val="both"/>
        <w:ind w:firstLine="574"/>
        <w:spacing w:after="0" w:line="269" w:lineRule="auto"/>
        <w:tabs>
          <w:tab w:leader="none" w:pos="1053"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hereof and of the Credit Agreement, the Increasing Lender agrees to provide new Revolving Commitments in the amount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of this Increase Joinder (the “</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of the Credit Agreement, which shall be effective April 21, 2025 (the “</w:t>
      </w:r>
      <w:r>
        <w:rPr>
          <w:rFonts w:ascii="Times New Roman" w:cs="Times New Roman" w:eastAsia="Times New Roman" w:hAnsi="Times New Roman"/>
          <w:sz w:val="19"/>
          <w:szCs w:val="19"/>
          <w:u w:val="single" w:color="auto"/>
          <w:color w:val="auto"/>
        </w:rPr>
        <w:t>Increase Effective Date</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ind w:right="20" w:firstLine="574"/>
        <w:spacing w:after="0" w:line="287" w:lineRule="auto"/>
        <w:tabs>
          <w:tab w:leader="none" w:pos="102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confirms that it has received written notice pursuant to the requirements of Section 2.27(a) of the Credit Agreement in connection with the Commitment Increase.</w:t>
      </w:r>
    </w:p>
    <w:p>
      <w:pPr>
        <w:spacing w:after="0" w:line="140"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Amendments to Credit Agreement and Loan Documents</w:t>
      </w:r>
      <w:r>
        <w:rPr>
          <w:rFonts w:ascii="Times New Roman" w:cs="Times New Roman" w:eastAsia="Times New Roman" w:hAnsi="Times New Roman"/>
          <w:sz w:val="19"/>
          <w:szCs w:val="19"/>
          <w:color w:val="auto"/>
        </w:rPr>
        <w:t xml:space="preserve">. Effective as of the Increase Effective Date, (1) the Revolving Commitment Increase shall be a “Commitment” and a “Revolving Commitment” under the Loan Documents on identical terms and conditions of the existing Revolving Commitments, and (2)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of the Credit Agreement shall be amended to reflect the Increasing Lender’s Revolving Commitment and the total Revolving Commitments as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580"/>
        <w:spacing w:after="0"/>
        <w:tabs>
          <w:tab w:leader="none" w:pos="182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9"/>
          <w:szCs w:val="19"/>
          <w:u w:val="single" w:color="auto"/>
          <w:color w:val="auto"/>
        </w:rPr>
        <w:t>Representations and Warranties of the Borrower</w:t>
      </w:r>
      <w:r>
        <w:rPr>
          <w:rFonts w:ascii="Times New Roman" w:cs="Times New Roman" w:eastAsia="Times New Roman" w:hAnsi="Times New Roman"/>
          <w:sz w:val="19"/>
          <w:szCs w:val="19"/>
          <w:color w:val="auto"/>
        </w:rPr>
        <w:t>. The Borrower hereby certifies by its signature to this Increase Joinder</w:t>
      </w:r>
    </w:p>
    <w:p>
      <w:pPr>
        <w:spacing w:after="0" w:line="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 xml:space="preserve">that: (A) each of the conditions set forth in </w:t>
      </w:r>
      <w:r>
        <w:rPr>
          <w:rFonts w:ascii="Times New Roman" w:cs="Times New Roman" w:eastAsia="Times New Roman" w:hAnsi="Times New Roman"/>
          <w:sz w:val="19"/>
          <w:szCs w:val="19"/>
          <w:u w:val="single" w:color="auto"/>
          <w:color w:val="auto"/>
        </w:rPr>
        <w:t>Section 2.27(b)</w:t>
      </w:r>
      <w:r>
        <w:rPr>
          <w:rFonts w:ascii="Times New Roman" w:cs="Times New Roman" w:eastAsia="Times New Roman" w:hAnsi="Times New Roman"/>
          <w:sz w:val="19"/>
          <w:szCs w:val="19"/>
          <w:color w:val="auto"/>
        </w:rPr>
        <w:t xml:space="preserve"> of the Credit Agreement applicable to the Commitment Increase, including but not limited to the satisfaction of the conditions required under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of the Credit Agreement, have been satisfied on or prior to the Increase Effective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22" w:right="319" w:bottom="1440" w:gutter="0" w:footer="0" w:header="0"/>
        </w:sectPr>
      </w:pPr>
    </w:p>
    <w:bookmarkStart w:id="65" w:name="page66"/>
    <w:bookmarkEnd w:id="65"/>
    <w:p>
      <w:pPr>
        <w:spacing w:after="0" w:line="3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auto"/>
        </w:rPr>
        <w:t xml:space="preserve">purposes of satisfaction of the conditions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of the Credit Agreement, references therein to the making of a Loan or Borrowing or issuance of a Letter of Credit shall be deemed instead to be references to the effectiveness of the Commitment Increase and the notice of Commitment Increase delivered pursuant to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 xml:space="preserve"> shall be deemed to satisfy the notice requirement under </w:t>
      </w:r>
      <w:r>
        <w:rPr>
          <w:rFonts w:ascii="Times New Roman" w:cs="Times New Roman" w:eastAsia="Times New Roman" w:hAnsi="Times New Roman"/>
          <w:sz w:val="19"/>
          <w:szCs w:val="19"/>
          <w:u w:val="single" w:color="auto"/>
          <w:color w:val="auto"/>
        </w:rPr>
        <w:t>Section 4.02(a)</w:t>
      </w:r>
      <w:r>
        <w:rPr>
          <w:rFonts w:ascii="Times New Roman" w:cs="Times New Roman" w:eastAsia="Times New Roman" w:hAnsi="Times New Roman"/>
          <w:sz w:val="19"/>
          <w:szCs w:val="19"/>
          <w:color w:val="auto"/>
        </w:rPr>
        <w:t xml:space="preserve">), and (B) the Borrower has delivered to the Administrative Agent the notice in respect of the Commitment Increase required pursuant to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w:t>
      </w:r>
    </w:p>
    <w:p>
      <w:pPr>
        <w:spacing w:after="0" w:line="147"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Limited Amendments; Confirmation</w:t>
      </w:r>
      <w:r>
        <w:rPr>
          <w:rFonts w:ascii="Times New Roman" w:cs="Times New Roman" w:eastAsia="Times New Roman" w:hAnsi="Times New Roman"/>
          <w:sz w:val="19"/>
          <w:szCs w:val="19"/>
          <w:color w:val="auto"/>
        </w:rPr>
        <w:t xml:space="preserve">. Other than as expressly set forth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herein, the agreements contained herein shall not constitute, and are not intended to be, an amendment to the Credit Agreement, and all provisions of the Credit Agreement are and shall remain in full force and effect in accordance with the terms thereof. The Increasing Lender agrees that from and after the Increase Effective Date, its New Commitments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hereto shall be included in its Commitment and be governed for all purposes by the Credit Agreement and the other Loan Documents.</w:t>
      </w:r>
    </w:p>
    <w:p>
      <w:pPr>
        <w:spacing w:after="0" w:line="15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Increase Joinder shall be governed by, and construed in accordance with, the law of the State of New York. Each party hereto consents to the exclusive jurisdiction of the Supreme Court of the State of New York sitting in New York County and of the United States District Court of the Southern District of New York, and any appellate court from any thereof and irrevocably and unconditionally waives, to the fullest extent permitted by law, any objection to the laying of venue of any such suit, action or proceeding brought in any such court and any claim that any such suit, action or proceeding has been brought in an inconvenient forum. EACH PARTY HERETO IRREVOCABLY WAIVES, TO THE FULLEST EXTENT PERMITTED BY APPLICABLE LAW, ANY RIGHT IT MAY HAVE TO A TRIAL BY JURY IN ANY SUIT, ACTION OR PROCEEDING ARISING OUT OF OR RELATING TO THIS INCREASE JOINDER OR THE TRANSACTIONS CONTEMPLATED HEREBY (WHETHER BASED ON CONTRACT, TORT OR ANY OTHER THEORY).</w:t>
      </w:r>
    </w:p>
    <w:p>
      <w:pPr>
        <w:spacing w:after="0" w:line="156"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9"/>
          <w:szCs w:val="19"/>
          <w:u w:val="single" w:color="auto"/>
          <w:color w:val="auto"/>
        </w:rPr>
        <w:t>Loan Document</w:t>
      </w:r>
      <w:r>
        <w:rPr>
          <w:rFonts w:ascii="Times New Roman" w:cs="Times New Roman" w:eastAsia="Times New Roman" w:hAnsi="Times New Roman"/>
          <w:sz w:val="19"/>
          <w:szCs w:val="19"/>
          <w:color w:val="auto"/>
        </w:rPr>
        <w:t>. This Increase Joinder shall be a Loan Document.</w:t>
      </w:r>
    </w:p>
    <w:p>
      <w:pPr>
        <w:spacing w:after="0" w:line="203"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Execution in Counterparts; Integration; Effectiveness</w:t>
      </w:r>
      <w:r>
        <w:rPr>
          <w:rFonts w:ascii="Times New Roman" w:cs="Times New Roman" w:eastAsia="Times New Roman" w:hAnsi="Times New Roman"/>
          <w:sz w:val="19"/>
          <w:szCs w:val="19"/>
          <w:color w:val="auto"/>
        </w:rPr>
        <w:t xml:space="preserve">. This Increase Joinder may be executed in any number of counterparts, each of which shall be an original, and all of which, when taken together, shall constitute one agreement. This Increase Joinder constitutes the entire contract among the parties relating to the subject matter hereof and supersedes any and all previous agreements and understandings, oral or written, relating to the subject matter hereof. Subject to the conditions of </w:t>
      </w:r>
      <w:r>
        <w:rPr>
          <w:rFonts w:ascii="Times New Roman" w:cs="Times New Roman" w:eastAsia="Times New Roman" w:hAnsi="Times New Roman"/>
          <w:sz w:val="19"/>
          <w:szCs w:val="19"/>
          <w:u w:val="single" w:color="auto"/>
          <w:color w:val="auto"/>
        </w:rPr>
        <w:t>Section 2.27(b)</w:t>
      </w:r>
      <w:r>
        <w:rPr>
          <w:rFonts w:ascii="Times New Roman" w:cs="Times New Roman" w:eastAsia="Times New Roman" w:hAnsi="Times New Roman"/>
          <w:sz w:val="19"/>
          <w:szCs w:val="19"/>
          <w:color w:val="auto"/>
        </w:rPr>
        <w:t xml:space="preserve"> of the Credit Agreement, this Increase Joinder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signature page of this Increase Joinder by electronic transmission shall be effective as delivery of a manually executed counterpart hereof. The words “execution,” “signed,” “signature,” and words of like import in this Increase Joinder shall be deemed to include electronic signatures or the keeping of records in electronic form,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440" w:right="319" w:bottom="1440" w:gutter="0" w:footer="0" w:header="0"/>
        </w:sectPr>
      </w:pPr>
    </w:p>
    <w:bookmarkStart w:id="66" w:name="page67"/>
    <w:bookmarkEnd w:id="66"/>
    <w:p>
      <w:pPr>
        <w:spacing w:after="0" w:line="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7" w:lineRule="exact"/>
        <w:rPr>
          <w:sz w:val="20"/>
          <w:szCs w:val="20"/>
          <w:color w:val="auto"/>
        </w:rPr>
      </w:pPr>
    </w:p>
    <w:p>
      <w:pPr>
        <w:jc w:val="both"/>
        <w:ind w:firstLine="578"/>
        <w:spacing w:after="0" w:line="287" w:lineRule="auto"/>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Section headings used herein are for convenience only and are not to affect the construction of or be taken into consideration in interpreting this Increase Joinder.</w:t>
      </w:r>
    </w:p>
    <w:p>
      <w:pPr>
        <w:spacing w:after="0" w:line="128" w:lineRule="exact"/>
        <w:rPr>
          <w:sz w:val="20"/>
          <w:szCs w:val="20"/>
          <w:color w:val="auto"/>
        </w:rPr>
      </w:pPr>
    </w:p>
    <w:p>
      <w:pPr>
        <w:jc w:val="both"/>
        <w:ind w:firstLine="578"/>
        <w:spacing w:after="0" w:line="287" w:lineRule="auto"/>
        <w:rPr>
          <w:sz w:val="20"/>
          <w:szCs w:val="20"/>
          <w:color w:val="auto"/>
        </w:rPr>
      </w:pPr>
      <w:r>
        <w:rPr>
          <w:rFonts w:ascii="Times New Roman" w:cs="Times New Roman" w:eastAsia="Times New Roman" w:hAnsi="Times New Roman"/>
          <w:sz w:val="19"/>
          <w:szCs w:val="19"/>
          <w:color w:val="auto"/>
        </w:rPr>
        <w:t xml:space="preserve">SECTION 9. </w:t>
      </w:r>
      <w:r>
        <w:rPr>
          <w:rFonts w:ascii="Times New Roman" w:cs="Times New Roman" w:eastAsia="Times New Roman" w:hAnsi="Times New Roman"/>
          <w:sz w:val="19"/>
          <w:szCs w:val="19"/>
          <w:u w:val="single" w:color="auto"/>
          <w:color w:val="auto"/>
        </w:rPr>
        <w:t>Additional Provisions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Sections 10.05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10.15</w:t>
      </w:r>
      <w:r>
        <w:rPr>
          <w:rFonts w:ascii="Times New Roman" w:cs="Times New Roman" w:eastAsia="Times New Roman" w:hAnsi="Times New Roman"/>
          <w:sz w:val="19"/>
          <w:szCs w:val="19"/>
          <w:color w:val="auto"/>
        </w:rPr>
        <w:t xml:space="preserve"> of the Credit Agreement are incorporated herein by reference as if the same were repeated herein in full,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5" w:lineRule="exact"/>
        <w:rPr>
          <w:sz w:val="20"/>
          <w:szCs w:val="20"/>
          <w:color w:val="auto"/>
        </w:rPr>
      </w:pPr>
    </w:p>
    <w:p>
      <w:pPr>
        <w:ind w:firstLine="578"/>
        <w:spacing w:after="0" w:line="287" w:lineRule="auto"/>
        <w:rPr>
          <w:sz w:val="20"/>
          <w:szCs w:val="20"/>
          <w:color w:val="auto"/>
        </w:rPr>
      </w:pPr>
      <w:r>
        <w:rPr>
          <w:rFonts w:ascii="Times New Roman" w:cs="Times New Roman" w:eastAsia="Times New Roman" w:hAnsi="Times New Roman"/>
          <w:sz w:val="19"/>
          <w:szCs w:val="19"/>
          <w:color w:val="auto"/>
        </w:rPr>
        <w:t>IN WITNESS WHEREOF, the undersigned has caused this Increase Joinder to be duly executed and delivered by its duly authorized officer as of the date first above written.</w:t>
      </w:r>
    </w:p>
    <w:p>
      <w:pPr>
        <w:spacing w:after="0" w:line="3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AMERICAN AIRLINES, INC.</w:t>
      </w:r>
    </w:p>
    <w:p>
      <w:pPr>
        <w:spacing w:after="0" w:line="200" w:lineRule="exact"/>
        <w:rPr>
          <w:sz w:val="20"/>
          <w:szCs w:val="20"/>
          <w:color w:val="auto"/>
        </w:rPr>
      </w:pPr>
    </w:p>
    <w:p>
      <w:pPr>
        <w:spacing w:after="0" w:line="211" w:lineRule="exact"/>
        <w:rPr>
          <w:sz w:val="20"/>
          <w:szCs w:val="20"/>
          <w:color w:val="auto"/>
        </w:rPr>
      </w:pPr>
    </w:p>
    <w:p>
      <w:pPr>
        <w:ind w:left="3460"/>
        <w:spacing w:after="0"/>
        <w:tabs>
          <w:tab w:leader="none" w:pos="39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Clemens Metz</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Name: Clemens Metz</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10820"/>
          </w:cols>
          <w:pgMar w:left="320" w:top="1440" w:right="759" w:bottom="1440" w:gutter="0" w:footer="0" w:header="0"/>
        </w:sectPr>
      </w:pPr>
    </w:p>
    <w:bookmarkStart w:id="68" w:name="page69"/>
    <w:bookmarkEnd w:id="68"/>
    <w:p>
      <w:pPr>
        <w:spacing w:after="0" w:line="5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Increasing Lender</w:t>
      </w: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Name:</w:t>
      </w:r>
    </w:p>
    <w:p>
      <w:pPr>
        <w:spacing w:after="0" w:line="3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Name:</w:t>
      </w:r>
    </w:p>
    <w:p>
      <w:pPr>
        <w:spacing w:after="0" w:line="3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9959"/>
          </w:cols>
          <w:pgMar w:left="500" w:top="1440" w:right="1440" w:bottom="1440" w:gutter="0" w:footer="0" w:header="0"/>
        </w:sectPr>
      </w:pPr>
    </w:p>
    <w:bookmarkStart w:id="69" w:name="page70"/>
    <w:bookmarkEnd w:id="69"/>
    <w:p>
      <w:pPr>
        <w:spacing w:after="0" w:line="22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b w:val="1"/>
          <w:bCs w:val="1"/>
          <w:color w:val="auto"/>
        </w:rPr>
        <w:t>CITIBANK, N.A.</w:t>
      </w:r>
      <w:r>
        <w:rPr>
          <w:rFonts w:ascii="Times New Roman" w:cs="Times New Roman" w:eastAsia="Times New Roman" w:hAnsi="Times New Roman"/>
          <w:sz w:val="19"/>
          <w:szCs w:val="19"/>
          <w:color w:val="auto"/>
        </w:rPr>
        <w:t>, as Administrative Agent</w:t>
      </w:r>
    </w:p>
    <w:p>
      <w:pPr>
        <w:spacing w:after="0" w:line="399" w:lineRule="exact"/>
        <w:rPr>
          <w:sz w:val="20"/>
          <w:szCs w:val="20"/>
          <w:color w:val="auto"/>
        </w:rPr>
      </w:pPr>
    </w:p>
    <w:p>
      <w:pPr>
        <w:ind w:left="2340"/>
        <w:spacing w:after="0"/>
        <w:tabs>
          <w:tab w:leader="none" w:pos="28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Sara A. Lopez</w:t>
      </w:r>
    </w:p>
    <w:p>
      <w:pPr>
        <w:spacing w:after="0" w:line="3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auto"/>
        </w:rPr>
        <w:t>Name: Sara A. Lopez</w:t>
      </w:r>
    </w:p>
    <w:p>
      <w:pPr>
        <w:spacing w:after="0" w:line="1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9019"/>
          </w:cols>
          <w:pgMar w:left="1440" w:top="1440" w:right="1440" w:bottom="1440" w:gutter="0" w:footer="0" w:header="0"/>
        </w:sectPr>
      </w:pPr>
    </w:p>
    <w:bookmarkStart w:id="70" w:name="page71"/>
    <w:bookmarkEnd w:id="70"/>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Schedule I</w:t>
      </w:r>
    </w:p>
    <w:p>
      <w:pPr>
        <w:spacing w:after="0" w:line="19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b w:val="1"/>
          <w:bCs w:val="1"/>
          <w:u w:val="single" w:color="auto"/>
          <w:color w:val="auto"/>
        </w:rPr>
        <w:t>Increasing Lender’s New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50" w:type="dxa"/>
        <w:tblCellMar>
          <w:top w:w="0" w:type="dxa"/>
          <w:left w:w="0" w:type="dxa"/>
          <w:bottom w:w="0" w:type="dxa"/>
          <w:right w:w="0" w:type="dxa"/>
        </w:tblCellMar>
      </w:tblPr>
      <w:tr>
        <w:trPr>
          <w:trHeight w:val="182"/>
        </w:trPr>
        <w:tc>
          <w:tcPr>
            <w:tcW w:w="2660" w:type="dxa"/>
            <w:vAlign w:val="bottom"/>
            <w:tcBorders>
              <w:top w:val="single" w:sz="8" w:color="auto"/>
              <w:left w:val="single" w:sz="8" w:color="auto"/>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w:t>
            </w:r>
          </w:p>
        </w:tc>
        <w:tc>
          <w:tcPr>
            <w:tcW w:w="2820" w:type="dxa"/>
            <w:vAlign w:val="bottom"/>
            <w:tcBorders>
              <w:top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Lender’s Revolving</w:t>
            </w:r>
          </w:p>
        </w:tc>
        <w:tc>
          <w:tcPr>
            <w:tcW w:w="3720" w:type="dxa"/>
            <w:vAlign w:val="bottom"/>
            <w:tcBorders>
              <w:top w:val="single" w:sz="8" w:color="auto"/>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Lender’s Total Revolving</w:t>
            </w:r>
          </w:p>
        </w:tc>
      </w:tr>
      <w:tr>
        <w:trPr>
          <w:trHeight w:val="227"/>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 Increase</w:t>
            </w:r>
          </w:p>
        </w:tc>
        <w:tc>
          <w:tcPr>
            <w:tcW w:w="3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 as of the Increase Effective Date</w:t>
            </w:r>
          </w:p>
        </w:tc>
      </w:tr>
      <w:tr>
        <w:trPr>
          <w:trHeight w:val="221"/>
        </w:trPr>
        <w:tc>
          <w:tcPr>
            <w:tcW w:w="2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440"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9"/>
          <w:szCs w:val="19"/>
          <w:b w:val="1"/>
          <w:bCs w:val="1"/>
          <w:color w:val="auto"/>
        </w:rPr>
        <w:t>Certain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-287655</wp:posOffset>
            </wp:positionV>
            <wp:extent cx="7101205" cy="290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01205" cy="29019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INCREASE JOINDER</w:t>
      </w:r>
    </w:p>
    <w:p>
      <w:pPr>
        <w:spacing w:after="0" w:line="207"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This INCREASE JOINDER, dated as of April 21, 2025 (the “</w:t>
      </w:r>
      <w:r>
        <w:rPr>
          <w:rFonts w:ascii="Times New Roman" w:cs="Times New Roman" w:eastAsia="Times New Roman" w:hAnsi="Times New Roman"/>
          <w:sz w:val="19"/>
          <w:szCs w:val="19"/>
          <w:u w:val="single" w:color="auto"/>
          <w:color w:val="auto"/>
        </w:rPr>
        <w:t>Increase Joinder</w:t>
      </w:r>
      <w:r>
        <w:rPr>
          <w:rFonts w:ascii="Times New Roman" w:cs="Times New Roman" w:eastAsia="Times New Roman" w:hAnsi="Times New Roman"/>
          <w:sz w:val="19"/>
          <w:szCs w:val="19"/>
          <w:color w:val="auto"/>
        </w:rPr>
        <w:t>”) amends the Amended and Restated Credit and Guaranty Agreement, dated as of May 21, 2015 (as amended, restated, amended and restated,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and among American Airlines,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American Airlines Group Inc., a Delaware corporation, as guarantor, the Lenders party thereto and Barclays Bank PLC, as administrative agent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Capitalized terms used but not defined herein shall have the meanings given to such terms in the Credit Agreement.</w:t>
      </w:r>
    </w:p>
    <w:p>
      <w:pPr>
        <w:spacing w:after="0" w:line="151"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 xml:space="preserve">WHEREAS, the Borrower wishes to increase the Revolving Commitments available pursuant to the Credit Agreement by an amount equal to the Revolving Commitment set forth on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hereto.</w:t>
      </w:r>
    </w:p>
    <w:p>
      <w:pPr>
        <w:spacing w:after="0" w:line="128"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NOW THEREFORE, [****], as increasing Revolving Lender (the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the Borrower and the Administrative Agent hereby agree as follows:</w:t>
      </w:r>
    </w:p>
    <w:p>
      <w:pPr>
        <w:spacing w:after="0" w:line="140"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9"/>
          <w:szCs w:val="19"/>
          <w:u w:val="single" w:color="auto"/>
          <w:color w:val="auto"/>
        </w:rPr>
        <w:t>Increased Commitments; Increase Effective Date</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jc w:val="both"/>
        <w:ind w:firstLine="574"/>
        <w:spacing w:after="0" w:line="269" w:lineRule="auto"/>
        <w:tabs>
          <w:tab w:leader="none" w:pos="1053"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hereof and of the Credit Agreement, the Increasing Lender agrees to provide new Revolving Commitments in the amount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of this Increase Joinder (the “</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of the Credit Agreement, which shall be effective April 21, 2025 (the “</w:t>
      </w:r>
      <w:r>
        <w:rPr>
          <w:rFonts w:ascii="Times New Roman" w:cs="Times New Roman" w:eastAsia="Times New Roman" w:hAnsi="Times New Roman"/>
          <w:sz w:val="19"/>
          <w:szCs w:val="19"/>
          <w:u w:val="single" w:color="auto"/>
          <w:color w:val="auto"/>
        </w:rPr>
        <w:t>Increase Effective Date</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ind w:right="20" w:firstLine="574"/>
        <w:spacing w:after="0" w:line="287" w:lineRule="auto"/>
        <w:tabs>
          <w:tab w:leader="none" w:pos="994"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confirms that it has received sufficient notice pursuant to the requirements of Section 2.27(a) of the Credit Agreement in connection with the Commitment Increase.</w:t>
      </w:r>
    </w:p>
    <w:p>
      <w:pPr>
        <w:spacing w:after="0" w:line="140"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Amendments to Credit Agreement and Loan Documents</w:t>
      </w:r>
      <w:r>
        <w:rPr>
          <w:rFonts w:ascii="Times New Roman" w:cs="Times New Roman" w:eastAsia="Times New Roman" w:hAnsi="Times New Roman"/>
          <w:sz w:val="19"/>
          <w:szCs w:val="19"/>
          <w:color w:val="auto"/>
        </w:rPr>
        <w:t xml:space="preserve">. Effective as of the Increase Effective Date, (1) the Revolving Commitment Increase shall be a “Commitment” and a “Revolving Commitment” under the Loan Documents on identical terms and conditions of the existing Revolving Commitments, and (2)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of the Credit Agreement shall be amended to reflect the Increasing Lender’s Revolving Commitment and the total Revolving Commitments as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580"/>
        <w:spacing w:after="0"/>
        <w:tabs>
          <w:tab w:leader="none" w:pos="182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9"/>
          <w:szCs w:val="19"/>
          <w:u w:val="single" w:color="auto"/>
          <w:color w:val="auto"/>
        </w:rPr>
        <w:t>Representations and Warranties of the Borrower</w:t>
      </w:r>
      <w:r>
        <w:rPr>
          <w:rFonts w:ascii="Times New Roman" w:cs="Times New Roman" w:eastAsia="Times New Roman" w:hAnsi="Times New Roman"/>
          <w:sz w:val="19"/>
          <w:szCs w:val="19"/>
          <w:color w:val="auto"/>
        </w:rPr>
        <w:t>. The Borrower hereby certifies by its signature to this Increase Joinder</w:t>
      </w:r>
    </w:p>
    <w:p>
      <w:pPr>
        <w:spacing w:after="0" w:line="3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 xml:space="preserve">that: (A) each of the conditions set forth in </w:t>
      </w:r>
      <w:r>
        <w:rPr>
          <w:rFonts w:ascii="Times New Roman" w:cs="Times New Roman" w:eastAsia="Times New Roman" w:hAnsi="Times New Roman"/>
          <w:sz w:val="19"/>
          <w:szCs w:val="19"/>
          <w:u w:val="single" w:color="auto"/>
          <w:color w:val="auto"/>
        </w:rPr>
        <w:t>Section 2.27(b)</w:t>
      </w:r>
      <w:r>
        <w:rPr>
          <w:rFonts w:ascii="Times New Roman" w:cs="Times New Roman" w:eastAsia="Times New Roman" w:hAnsi="Times New Roman"/>
          <w:sz w:val="19"/>
          <w:szCs w:val="19"/>
          <w:color w:val="auto"/>
        </w:rPr>
        <w:t xml:space="preserve"> of the Credit Agreement applicable to the Commitment Increase, including but not limited to the satisfaction of the conditions required under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of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22" w:right="319" w:bottom="1440" w:gutter="0" w:footer="0" w:header="0"/>
        </w:sectPr>
      </w:pPr>
    </w:p>
    <w:bookmarkStart w:id="72" w:name="page73"/>
    <w:bookmarkEnd w:id="72"/>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Agreement, have been satisfied on or prior to the Increase Effective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purposes of satisfaction of the conditions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4.02</w:t>
      </w:r>
      <w:r>
        <w:rPr>
          <w:rFonts w:ascii="Times New Roman" w:cs="Times New Roman" w:eastAsia="Times New Roman" w:hAnsi="Times New Roman"/>
          <w:sz w:val="19"/>
          <w:szCs w:val="19"/>
          <w:color w:val="auto"/>
        </w:rPr>
        <w:t xml:space="preserve"> of the Credit Agreement, references therein to the making of a Loan or Borrowing or issuance of a Letter of Credit shall be deemed instead to be references to the effectiveness of the Commitment Increase and the notice of Commitment Increase delivered pursuant to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 xml:space="preserve"> shall be deemed to satisfy the notice requirement under </w:t>
      </w:r>
      <w:r>
        <w:rPr>
          <w:rFonts w:ascii="Times New Roman" w:cs="Times New Roman" w:eastAsia="Times New Roman" w:hAnsi="Times New Roman"/>
          <w:sz w:val="19"/>
          <w:szCs w:val="19"/>
          <w:u w:val="single" w:color="auto"/>
          <w:color w:val="auto"/>
        </w:rPr>
        <w:t>Section 4.02(a)</w:t>
      </w:r>
      <w:r>
        <w:rPr>
          <w:rFonts w:ascii="Times New Roman" w:cs="Times New Roman" w:eastAsia="Times New Roman" w:hAnsi="Times New Roman"/>
          <w:sz w:val="19"/>
          <w:szCs w:val="19"/>
          <w:color w:val="auto"/>
        </w:rPr>
        <w:t xml:space="preserve">), (B) this Increase Joinder has been duly executed and delivered by the Borrower and constitutes the Borrower’s legal, valid and binding obligation, enforceable against the Borrower in accordance with its terms, subject to applicable bankruptcy, insolvency, reorganization, moratorium or other similar laws affecting creditors’ rights generally and subject to general principles of equity, regardless of whether considered in a proceeding in equity or at law and (C) the Borrower has delivered to the Administrative Agent the notice in respect of the Commitment Increase required pursuant to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Limited Amendments; Confirmation</w:t>
      </w:r>
      <w:r>
        <w:rPr>
          <w:rFonts w:ascii="Times New Roman" w:cs="Times New Roman" w:eastAsia="Times New Roman" w:hAnsi="Times New Roman"/>
          <w:sz w:val="19"/>
          <w:szCs w:val="19"/>
          <w:color w:val="auto"/>
        </w:rPr>
        <w:t xml:space="preserve">. Other than as expressly set forth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herein, the agreements contained herein shall not constitute, and are not intended to be, an amendment to the Credit Agreement, and all provisions of the Credit Agreement are and shall remain in full force and effect in accordance with the terms thereof. The Increasing Lender agrees that from and after the Increase Effective Date, its New Commitments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hereto shall be included in its Commitment and be governed for all purposes by the Credit Agreement and the other Loan Documents.</w:t>
      </w:r>
    </w:p>
    <w:p>
      <w:pPr>
        <w:spacing w:after="0" w:line="153"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Increase Joinder shall be governed by, and construed in accordance with, the law of the State of New York. Each party hereto consents to the exclusive jurisdiction of the Supreme Court of the State of New York sitting in New York County and of the United States District Court of the Southern District of New York, and any appellate court from any thereof and irrevocably and unconditionally waives, to the fullest extent permitted by law, any objection to the laying of venue of any such suit, action or proceeding brought in any such court and any claim that any such suit, action or proceeding has been brought in an inconvenient forum. EACH PARTY HERETO IRREVOCABLY WAIVES, TO THE FULLEST EXTENT PERMITTED BY APPLICABLE LAW, ANY RIGHT IT MAY HAVE TO A TRIAL BY JURY IN ANY SUIT, ACTION OR PROCEEDING ARISING OUT OF OR RELATING TO THIS INCREASE JOINDER OR THE TRANSACTIONS CONTEMPLATED HEREBY (WHETHER BASED ON CONTRACT, TORT OR ANY OTHER THEORY).</w:t>
      </w:r>
    </w:p>
    <w:p>
      <w:pPr>
        <w:spacing w:after="0" w:line="153"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9"/>
          <w:szCs w:val="19"/>
          <w:u w:val="single" w:color="auto"/>
          <w:color w:val="auto"/>
        </w:rPr>
        <w:t>Loan Document</w:t>
      </w:r>
      <w:r>
        <w:rPr>
          <w:rFonts w:ascii="Times New Roman" w:cs="Times New Roman" w:eastAsia="Times New Roman" w:hAnsi="Times New Roman"/>
          <w:sz w:val="19"/>
          <w:szCs w:val="19"/>
          <w:color w:val="auto"/>
        </w:rPr>
        <w:t>. This Increase Joinder shall be a Loan Document.</w:t>
      </w:r>
    </w:p>
    <w:p>
      <w:pPr>
        <w:spacing w:after="0" w:line="203"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Execution in Counterparts; Integration; Effectiveness</w:t>
      </w:r>
      <w:r>
        <w:rPr>
          <w:rFonts w:ascii="Times New Roman" w:cs="Times New Roman" w:eastAsia="Times New Roman" w:hAnsi="Times New Roman"/>
          <w:sz w:val="19"/>
          <w:szCs w:val="19"/>
          <w:color w:val="auto"/>
        </w:rPr>
        <w:t xml:space="preserve">. This Increase Joinder may be executed in any number of counterparts, each of which shall be an original, and all of which, when taken together, shall constitute one agreement. This Increase Joinder constitutes the entire contract among the parties relating to the subject matter hereof and supersedes any and all previous agreements and understandings, oral or written, relating to the subject matter hereof. Subject to the conditions of </w:t>
      </w:r>
      <w:r>
        <w:rPr>
          <w:rFonts w:ascii="Times New Roman" w:cs="Times New Roman" w:eastAsia="Times New Roman" w:hAnsi="Times New Roman"/>
          <w:sz w:val="19"/>
          <w:szCs w:val="19"/>
          <w:u w:val="single" w:color="auto"/>
          <w:color w:val="auto"/>
        </w:rPr>
        <w:t>Section 2.27(b)</w:t>
      </w:r>
      <w:r>
        <w:rPr>
          <w:rFonts w:ascii="Times New Roman" w:cs="Times New Roman" w:eastAsia="Times New Roman" w:hAnsi="Times New Roman"/>
          <w:sz w:val="19"/>
          <w:szCs w:val="19"/>
          <w:color w:val="auto"/>
        </w:rPr>
        <w:t xml:space="preserve"> of the Credit Agreement, this Increase Joinder shall become effective when it shall have been executed by the Administrative Agent and when the Administrative Agent shall have received counterparts hereof which,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440" w:right="319" w:bottom="1440" w:gutter="0" w:footer="0" w:header="0"/>
        </w:sectPr>
      </w:pPr>
    </w:p>
    <w:bookmarkStart w:id="73" w:name="page74"/>
    <w:bookmarkEnd w:id="73"/>
    <w:p>
      <w:pPr>
        <w:spacing w:after="0" w:line="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taken together, bear the signatures of each of the other parties hereto, and thereafter shall be binding upon and inure to the benefit of the parties hereto and their respective successors and assigns. Delivery of an executed signature page of this Increase Joinder by electronic transmission shall be effective as delivery of a manually executed counterpart hereof. The words “execution,” “signed,” “signature,” and words of like import in this Increase Joinder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5" w:lineRule="exact"/>
        <w:rPr>
          <w:sz w:val="20"/>
          <w:szCs w:val="20"/>
          <w:color w:val="auto"/>
        </w:rPr>
      </w:pPr>
    </w:p>
    <w:p>
      <w:pPr>
        <w:jc w:val="both"/>
        <w:ind w:right="20" w:firstLine="578"/>
        <w:spacing w:after="0" w:line="300" w:lineRule="auto"/>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Section headings used herein are for convenience only and are not to affect the construction of or be taken into consideration in interpreting this Increase Joinder.</w:t>
      </w:r>
    </w:p>
    <w:p>
      <w:pPr>
        <w:spacing w:after="0" w:line="116"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 xml:space="preserve">SECTION 9. </w:t>
      </w:r>
      <w:r>
        <w:rPr>
          <w:rFonts w:ascii="Times New Roman" w:cs="Times New Roman" w:eastAsia="Times New Roman" w:hAnsi="Times New Roman"/>
          <w:sz w:val="19"/>
          <w:szCs w:val="19"/>
          <w:u w:val="single" w:color="auto"/>
          <w:color w:val="auto"/>
        </w:rPr>
        <w:t>Additional Provisions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Sections 10.05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10.15</w:t>
      </w:r>
      <w:r>
        <w:rPr>
          <w:rFonts w:ascii="Times New Roman" w:cs="Times New Roman" w:eastAsia="Times New Roman" w:hAnsi="Times New Roman"/>
          <w:sz w:val="19"/>
          <w:szCs w:val="19"/>
          <w:color w:val="auto"/>
        </w:rPr>
        <w:t xml:space="preserve"> of the Credit Agreement are incorporated herein by reference as if the same were repeated herein in full,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440" w:right="319" w:bottom="1440" w:gutter="0" w:footer="0" w:header="0"/>
        </w:sectPr>
      </w:pPr>
    </w:p>
    <w:bookmarkStart w:id="74" w:name="page75"/>
    <w:bookmarkEnd w:id="74"/>
    <w:p>
      <w:pPr>
        <w:spacing w:after="0" w:line="35" w:lineRule="exact"/>
        <w:rPr>
          <w:sz w:val="20"/>
          <w:szCs w:val="20"/>
          <w:color w:val="auto"/>
        </w:rPr>
      </w:pPr>
    </w:p>
    <w:p>
      <w:pPr>
        <w:ind w:firstLine="578"/>
        <w:spacing w:after="0" w:line="287" w:lineRule="auto"/>
        <w:rPr>
          <w:sz w:val="20"/>
          <w:szCs w:val="20"/>
          <w:color w:val="auto"/>
        </w:rPr>
      </w:pPr>
      <w:r>
        <w:rPr>
          <w:rFonts w:ascii="Times New Roman" w:cs="Times New Roman" w:eastAsia="Times New Roman" w:hAnsi="Times New Roman"/>
          <w:sz w:val="19"/>
          <w:szCs w:val="19"/>
          <w:color w:val="auto"/>
        </w:rPr>
        <w:t>IN WITNESS WHEREOF, the undersigned has caused this Increase Joinder to be duly executed and delivered by its duly authorized officer as of the date first above written.</w:t>
      </w:r>
    </w:p>
    <w:p>
      <w:pPr>
        <w:spacing w:after="0" w:line="3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AMERICAN AIRLINES, INC.</w:t>
      </w:r>
    </w:p>
    <w:p>
      <w:pPr>
        <w:spacing w:after="0" w:line="200" w:lineRule="exact"/>
        <w:rPr>
          <w:sz w:val="20"/>
          <w:szCs w:val="20"/>
          <w:color w:val="auto"/>
        </w:rPr>
      </w:pPr>
    </w:p>
    <w:p>
      <w:pPr>
        <w:spacing w:after="0" w:line="211" w:lineRule="exact"/>
        <w:rPr>
          <w:sz w:val="20"/>
          <w:szCs w:val="20"/>
          <w:color w:val="auto"/>
        </w:rPr>
      </w:pPr>
    </w:p>
    <w:p>
      <w:pPr>
        <w:ind w:left="3460"/>
        <w:spacing w:after="0"/>
        <w:tabs>
          <w:tab w:leader="none" w:pos="3960" w:val="left"/>
        </w:tabs>
        <w:rPr>
          <w:sz w:val="20"/>
          <w:szCs w:val="20"/>
          <w:color w:val="auto"/>
        </w:rPr>
      </w:pPr>
      <w:r>
        <w:rPr>
          <w:rFonts w:ascii="Times New Roman" w:cs="Times New Roman" w:eastAsia="Times New Roman" w:hAnsi="Times New Roman"/>
          <w:sz w:val="19"/>
          <w:szCs w:val="19"/>
          <w:color w:val="auto"/>
        </w:rPr>
        <w:t>By:</w:t>
        <w:tab/>
        <w:t>/s/ Clemens 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-7620</wp:posOffset>
            </wp:positionV>
            <wp:extent cx="9785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978535" cy="7620"/>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Name: Clemens Metz</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10820"/>
          </w:cols>
          <w:pgMar w:left="320" w:top="1440" w:right="759" w:bottom="1440" w:gutter="0" w:footer="0" w:header="0"/>
        </w:sectPr>
      </w:pPr>
    </w:p>
    <w:bookmarkStart w:id="75" w:name="page76"/>
    <w:bookmarkEnd w:id="75"/>
    <w:p>
      <w:pPr>
        <w:spacing w:after="0" w:line="5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Increasing Lender</w:t>
      </w: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Name:</w:t>
      </w:r>
    </w:p>
    <w:p>
      <w:pPr>
        <w:spacing w:after="0" w:line="3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Name:</w:t>
      </w:r>
    </w:p>
    <w:p>
      <w:pPr>
        <w:spacing w:after="0" w:line="3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9959"/>
          </w:cols>
          <w:pgMar w:left="500" w:top="1440" w:right="1440" w:bottom="1440" w:gutter="0" w:footer="0" w:header="0"/>
        </w:sectPr>
      </w:pPr>
    </w:p>
    <w:bookmarkStart w:id="76" w:name="page77"/>
    <w:bookmarkEnd w:id="76"/>
    <w:p>
      <w:pPr>
        <w:spacing w:after="0" w:line="22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b w:val="1"/>
          <w:bCs w:val="1"/>
          <w:color w:val="auto"/>
        </w:rPr>
        <w:t>BARCLAYS BANK PLC</w:t>
      </w:r>
      <w:r>
        <w:rPr>
          <w:rFonts w:ascii="Times New Roman" w:cs="Times New Roman" w:eastAsia="Times New Roman" w:hAnsi="Times New Roman"/>
          <w:sz w:val="19"/>
          <w:szCs w:val="19"/>
          <w:color w:val="auto"/>
        </w:rPr>
        <w:t>, as Administrative Agent</w:t>
      </w:r>
    </w:p>
    <w:p>
      <w:pPr>
        <w:spacing w:after="0" w:line="399" w:lineRule="exact"/>
        <w:rPr>
          <w:sz w:val="20"/>
          <w:szCs w:val="20"/>
          <w:color w:val="auto"/>
        </w:rPr>
      </w:pPr>
    </w:p>
    <w:p>
      <w:pPr>
        <w:ind w:left="2340"/>
        <w:spacing w:after="0"/>
        <w:tabs>
          <w:tab w:leader="none" w:pos="28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Charlene Saldanha</w:t>
      </w:r>
    </w:p>
    <w:p>
      <w:pPr>
        <w:spacing w:after="0" w:line="3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auto"/>
        </w:rPr>
        <w:t>Name: Charlene Saldanha</w:t>
      </w:r>
    </w:p>
    <w:p>
      <w:pPr>
        <w:spacing w:after="0" w:line="1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9019"/>
          </w:cols>
          <w:pgMar w:left="1440" w:top="1440" w:right="1440" w:bottom="1440" w:gutter="0" w:footer="0" w:header="0"/>
        </w:sectPr>
      </w:pPr>
    </w:p>
    <w:bookmarkStart w:id="77" w:name="page78"/>
    <w:bookmarkEnd w:id="77"/>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Schedule I</w:t>
      </w:r>
    </w:p>
    <w:p>
      <w:pPr>
        <w:spacing w:after="0" w:line="19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b w:val="1"/>
          <w:bCs w:val="1"/>
          <w:u w:val="single" w:color="auto"/>
          <w:color w:val="auto"/>
        </w:rPr>
        <w:t>Increasing Lender’s New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50" w:type="dxa"/>
        <w:tblCellMar>
          <w:top w:w="0" w:type="dxa"/>
          <w:left w:w="0" w:type="dxa"/>
          <w:bottom w:w="0" w:type="dxa"/>
          <w:right w:w="0" w:type="dxa"/>
        </w:tblCellMar>
      </w:tblPr>
      <w:tr>
        <w:trPr>
          <w:trHeight w:val="182"/>
        </w:trPr>
        <w:tc>
          <w:tcPr>
            <w:tcW w:w="2660" w:type="dxa"/>
            <w:vAlign w:val="bottom"/>
            <w:tcBorders>
              <w:top w:val="single" w:sz="8" w:color="auto"/>
              <w:left w:val="single" w:sz="8" w:color="auto"/>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w:t>
            </w:r>
          </w:p>
        </w:tc>
        <w:tc>
          <w:tcPr>
            <w:tcW w:w="2820" w:type="dxa"/>
            <w:vAlign w:val="bottom"/>
            <w:tcBorders>
              <w:top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Lender’s Revolving</w:t>
            </w:r>
          </w:p>
        </w:tc>
        <w:tc>
          <w:tcPr>
            <w:tcW w:w="3720" w:type="dxa"/>
            <w:vAlign w:val="bottom"/>
            <w:tcBorders>
              <w:top w:val="single" w:sz="8" w:color="auto"/>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Lender’s Total Revolving</w:t>
            </w:r>
          </w:p>
        </w:tc>
      </w:tr>
      <w:tr>
        <w:trPr>
          <w:trHeight w:val="227"/>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 Increase</w:t>
            </w:r>
          </w:p>
        </w:tc>
        <w:tc>
          <w:tcPr>
            <w:tcW w:w="3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 as of the Increase Effective Date</w:t>
            </w:r>
          </w:p>
        </w:tc>
      </w:tr>
      <w:tr>
        <w:trPr>
          <w:trHeight w:val="221"/>
        </w:trPr>
        <w:tc>
          <w:tcPr>
            <w:tcW w:w="2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jc w:val="right"/>
              <w:ind w:right="2252"/>
              <w:spacing w:after="0"/>
              <w:rPr>
                <w:sz w:val="20"/>
                <w:szCs w:val="20"/>
                <w:color w:val="auto"/>
              </w:rPr>
            </w:pPr>
            <w:r>
              <w:rPr>
                <w:rFonts w:ascii="Times New Roman" w:cs="Times New Roman" w:eastAsia="Times New Roman" w:hAnsi="Times New Roman"/>
                <w:sz w:val="18"/>
                <w:szCs w:val="18"/>
                <w:color w:val="auto"/>
                <w:w w:val="95"/>
              </w:rPr>
              <w:t>[****]</w:t>
            </w:r>
          </w:p>
        </w:tc>
        <w:tc>
          <w:tcPr>
            <w:tcW w:w="3720" w:type="dxa"/>
            <w:vAlign w:val="bottom"/>
            <w:tcBorders>
              <w:bottom w:val="single" w:sz="8" w:color="auto"/>
              <w:right w:val="single" w:sz="8" w:color="auto"/>
            </w:tcBorders>
          </w:tcPr>
          <w:p>
            <w:pPr>
              <w:jc w:val="right"/>
              <w:ind w:right="3152"/>
              <w:spacing w:after="0"/>
              <w:rPr>
                <w:sz w:val="20"/>
                <w:szCs w:val="20"/>
                <w:color w:val="auto"/>
              </w:rPr>
            </w:pPr>
            <w:r>
              <w:rPr>
                <w:rFonts w:ascii="Times New Roman" w:cs="Times New Roman" w:eastAsia="Times New Roman" w:hAnsi="Times New Roman"/>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440" w:right="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9"/>
          <w:szCs w:val="19"/>
          <w:b w:val="1"/>
          <w:bCs w:val="1"/>
          <w:color w:val="auto"/>
        </w:rPr>
        <w:t>Certain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-287655</wp:posOffset>
            </wp:positionV>
            <wp:extent cx="7101205" cy="290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01205" cy="29019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INCREASE JOINDER</w:t>
      </w:r>
    </w:p>
    <w:p>
      <w:pPr>
        <w:spacing w:after="0" w:line="207"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This INCREASE JOINDER, dated as of April 21, 2025 (the “</w:t>
      </w:r>
      <w:r>
        <w:rPr>
          <w:rFonts w:ascii="Times New Roman" w:cs="Times New Roman" w:eastAsia="Times New Roman" w:hAnsi="Times New Roman"/>
          <w:sz w:val="19"/>
          <w:szCs w:val="19"/>
          <w:u w:val="single" w:color="auto"/>
          <w:color w:val="auto"/>
        </w:rPr>
        <w:t>Increase Joinder</w:t>
      </w:r>
      <w:r>
        <w:rPr>
          <w:rFonts w:ascii="Times New Roman" w:cs="Times New Roman" w:eastAsia="Times New Roman" w:hAnsi="Times New Roman"/>
          <w:sz w:val="19"/>
          <w:szCs w:val="19"/>
          <w:color w:val="auto"/>
        </w:rPr>
        <w:t>”) amends the Amended and Restated Credit and Guaranty Agreement, dated as of April 20, 2015 (as amended, restated, amended and restated,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and among American Airlines,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American Airlines Group Inc., a Delaware corporation, as guarantor, the Lenders party thereto and Citibank, N.A., as administrative agent (in such capacity, the “</w:t>
      </w:r>
      <w:r>
        <w:rPr>
          <w:rFonts w:ascii="Times New Roman" w:cs="Times New Roman" w:eastAsia="Times New Roman" w:hAnsi="Times New Roman"/>
          <w:sz w:val="19"/>
          <w:szCs w:val="19"/>
          <w:u w:val="single" w:color="auto"/>
          <w:color w:val="auto"/>
        </w:rPr>
        <w:t>Administrative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Agent</w:t>
      </w:r>
      <w:r>
        <w:rPr>
          <w:rFonts w:ascii="Times New Roman" w:cs="Times New Roman" w:eastAsia="Times New Roman" w:hAnsi="Times New Roman"/>
          <w:sz w:val="19"/>
          <w:szCs w:val="19"/>
          <w:color w:val="auto"/>
        </w:rPr>
        <w:t>”). Capitalized terms used but not defined herein shall have the meanings given to such terms in the Credit Agreement.</w:t>
      </w:r>
    </w:p>
    <w:p>
      <w:pPr>
        <w:spacing w:after="0" w:line="151"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 xml:space="preserve">WHEREAS, the Borrower wishes to increase the Revolving Commitments available pursuant to the Credit Agreement by an amount equal to the Revolving Commitment set forth on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hereto.</w:t>
      </w:r>
    </w:p>
    <w:p>
      <w:pPr>
        <w:spacing w:after="0" w:line="128"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NOW THEREFORE, [****], as increasing Revolving Lender (the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the Borrower and the Administrative Agent hereby agree as follows:</w:t>
      </w:r>
    </w:p>
    <w:p>
      <w:pPr>
        <w:spacing w:after="0" w:line="140"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9"/>
          <w:szCs w:val="19"/>
          <w:u w:val="single" w:color="auto"/>
          <w:color w:val="auto"/>
        </w:rPr>
        <w:t>Increased Commitments; Increase Effective Date</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jc w:val="both"/>
        <w:ind w:firstLine="574"/>
        <w:spacing w:after="0" w:line="269" w:lineRule="auto"/>
        <w:tabs>
          <w:tab w:leader="none" w:pos="105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hereof and of the Credit Agreement, the Increasing Lender agrees to provide new Revolving Commitments in the amount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of this Increase Joinder (the “</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of the Credit Agreement, which shall be effective April 21, 2025 (the “</w:t>
      </w:r>
      <w:r>
        <w:rPr>
          <w:rFonts w:ascii="Times New Roman" w:cs="Times New Roman" w:eastAsia="Times New Roman" w:hAnsi="Times New Roman"/>
          <w:sz w:val="19"/>
          <w:szCs w:val="19"/>
          <w:u w:val="single" w:color="auto"/>
          <w:color w:val="auto"/>
        </w:rPr>
        <w:t>Increase Effective Date</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ind w:right="20" w:firstLine="574"/>
        <w:spacing w:after="0" w:line="287" w:lineRule="auto"/>
        <w:tabs>
          <w:tab w:leader="none" w:pos="1025"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confirms that it has received written notice pursuant to the requirements of Section 2.27(a) of the Credit Agreement in connection with the Commitment Increase.</w:t>
      </w:r>
    </w:p>
    <w:p>
      <w:pPr>
        <w:spacing w:after="0" w:line="140"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Amendments to Credit Agreement and Loan Documents</w:t>
      </w:r>
      <w:r>
        <w:rPr>
          <w:rFonts w:ascii="Times New Roman" w:cs="Times New Roman" w:eastAsia="Times New Roman" w:hAnsi="Times New Roman"/>
          <w:sz w:val="19"/>
          <w:szCs w:val="19"/>
          <w:color w:val="auto"/>
        </w:rPr>
        <w:t xml:space="preserve">. Effective as of the Increase Effective Date, (1) the Revolving Commitment Increase shall be a “Commitment” and a “Revolving Commitment” under the Loan Documents on identical terms and conditions of the existing Revolving Commitments, and (2)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of the Credit Agreement shall be amended to reflect the Increasing Lender’s Revolving Commitment and the total Revolving Commitments as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580"/>
        <w:spacing w:after="0"/>
        <w:tabs>
          <w:tab w:leader="none" w:pos="182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9"/>
          <w:szCs w:val="19"/>
          <w:u w:val="single" w:color="auto"/>
          <w:color w:val="auto"/>
        </w:rPr>
        <w:t>Representations and Warranties of the Borrower</w:t>
      </w:r>
      <w:r>
        <w:rPr>
          <w:rFonts w:ascii="Times New Roman" w:cs="Times New Roman" w:eastAsia="Times New Roman" w:hAnsi="Times New Roman"/>
          <w:sz w:val="19"/>
          <w:szCs w:val="19"/>
          <w:color w:val="auto"/>
        </w:rPr>
        <w:t>. The Borrower hereby certifies by its signature to this Increase Joinder</w:t>
      </w:r>
    </w:p>
    <w:p>
      <w:pPr>
        <w:spacing w:after="0" w:line="3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 xml:space="preserve">that: (A) each of the conditions set forth in </w:t>
      </w:r>
      <w:r>
        <w:rPr>
          <w:rFonts w:ascii="Times New Roman" w:cs="Times New Roman" w:eastAsia="Times New Roman" w:hAnsi="Times New Roman"/>
          <w:sz w:val="19"/>
          <w:szCs w:val="19"/>
          <w:u w:val="single" w:color="auto"/>
          <w:color w:val="auto"/>
        </w:rPr>
        <w:t>Section 2.27(b)</w:t>
      </w:r>
      <w:r>
        <w:rPr>
          <w:rFonts w:ascii="Times New Roman" w:cs="Times New Roman" w:eastAsia="Times New Roman" w:hAnsi="Times New Roman"/>
          <w:sz w:val="19"/>
          <w:szCs w:val="19"/>
          <w:color w:val="auto"/>
        </w:rPr>
        <w:t xml:space="preserve"> of the Credit Agreement applicable to the Commitment Increase, including but not limited to the satisfaction of the conditions required under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of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22" w:right="319" w:bottom="1440" w:gutter="0" w:footer="0" w:header="0"/>
        </w:sectPr>
      </w:pPr>
    </w:p>
    <w:bookmarkStart w:id="79" w:name="page80"/>
    <w:bookmarkEnd w:id="79"/>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Agreement, have been satisfied on or prior to the Increase Effective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purposes of satisfaction of the conditions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4.02</w:t>
      </w:r>
      <w:r>
        <w:rPr>
          <w:rFonts w:ascii="Times New Roman" w:cs="Times New Roman" w:eastAsia="Times New Roman" w:hAnsi="Times New Roman"/>
          <w:sz w:val="19"/>
          <w:szCs w:val="19"/>
          <w:color w:val="auto"/>
        </w:rPr>
        <w:t xml:space="preserve"> of the Credit Agreement, references therein to the making of a Loan or Borrowing or issuance of a Letter of Credit shall be deemed instead to be references to the effectiveness of the Commitment Increase and the notice of Commitment Increase delivered pursuant to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 xml:space="preserve"> shall be deemed to satisfy the notice requirement under </w:t>
      </w:r>
      <w:r>
        <w:rPr>
          <w:rFonts w:ascii="Times New Roman" w:cs="Times New Roman" w:eastAsia="Times New Roman" w:hAnsi="Times New Roman"/>
          <w:sz w:val="19"/>
          <w:szCs w:val="19"/>
          <w:u w:val="single" w:color="auto"/>
          <w:color w:val="auto"/>
        </w:rPr>
        <w:t>Section 4.02(a)</w:t>
      </w:r>
      <w:r>
        <w:rPr>
          <w:rFonts w:ascii="Times New Roman" w:cs="Times New Roman" w:eastAsia="Times New Roman" w:hAnsi="Times New Roman"/>
          <w:sz w:val="19"/>
          <w:szCs w:val="19"/>
          <w:color w:val="auto"/>
        </w:rPr>
        <w:t xml:space="preserve">), and (B) the Borrower has delivered to the Administrative Agent the notice in respect of the Commitment Increase required pursuant to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w:t>
      </w:r>
    </w:p>
    <w:p>
      <w:pPr>
        <w:spacing w:after="0" w:line="149"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Limited Amendments; Confirmation</w:t>
      </w:r>
      <w:r>
        <w:rPr>
          <w:rFonts w:ascii="Times New Roman" w:cs="Times New Roman" w:eastAsia="Times New Roman" w:hAnsi="Times New Roman"/>
          <w:sz w:val="19"/>
          <w:szCs w:val="19"/>
          <w:color w:val="auto"/>
        </w:rPr>
        <w:t xml:space="preserve">. Other than as expressly set forth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herein, the agreements contained herein shall not constitute, and are not intended to be, an amendment to the Credit Agreement, and all provisions of the Credit Agreement are and shall remain in full force and effect in accordance with the terms thereof. The Increasing Lender agrees that from and after the Increase Effective Date, its New Commitments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hereto shall be included in its Commitment and be governed for all purposes by the Credit Agreement and the other Loan Documents.</w:t>
      </w:r>
    </w:p>
    <w:p>
      <w:pPr>
        <w:spacing w:after="0" w:line="15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Increase Joinder shall be governed by, and construed in accordance with, the law of the State of New York. Each party hereto consents to the exclusive jurisdiction of the Supreme Court of the State of New York sitting in New York County and of the United States District Court of the Southern District of New York, and any appellate court from any thereof and irrevocably and unconditionally waives, to the fullest extent permitted by law, any objection to the laying of venue of any such suit, action or proceeding brought in any such court and any claim that any such suit, action or proceeding has been brought in an inconvenient forum. EACH PARTY HERETO IRREVOCABLY WAIVES, TO THE FULLEST EXTENT PERMITTED BY APPLICABLE LAW, ANY RIGHT IT MAY HAVE TO A TRIAL BY JURY IN ANY SUIT, ACTION OR PROCEEDING ARISING OUT OF OR RELATING TO THIS INCREASE JOINDER OR THE TRANSACTIONS CONTEMPLATED HEREBY (WHETHER BASED ON CONTRACT, TORT OR ANY OTHER THEORY).</w:t>
      </w:r>
    </w:p>
    <w:p>
      <w:pPr>
        <w:spacing w:after="0" w:line="156"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9"/>
          <w:szCs w:val="19"/>
          <w:u w:val="single" w:color="auto"/>
          <w:color w:val="auto"/>
        </w:rPr>
        <w:t>Loan Document</w:t>
      </w:r>
      <w:r>
        <w:rPr>
          <w:rFonts w:ascii="Times New Roman" w:cs="Times New Roman" w:eastAsia="Times New Roman" w:hAnsi="Times New Roman"/>
          <w:sz w:val="19"/>
          <w:szCs w:val="19"/>
          <w:color w:val="auto"/>
        </w:rPr>
        <w:t>. This Increase Joinder shall be a Loan Document.</w:t>
      </w:r>
    </w:p>
    <w:p>
      <w:pPr>
        <w:spacing w:after="0" w:line="215" w:lineRule="exact"/>
        <w:rPr>
          <w:sz w:val="20"/>
          <w:szCs w:val="20"/>
          <w:color w:val="auto"/>
        </w:rPr>
      </w:pPr>
    </w:p>
    <w:p>
      <w:pPr>
        <w:jc w:val="both"/>
        <w:ind w:firstLine="578"/>
        <w:spacing w:after="0" w:line="257"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Execution in Counterparts; Integration; Effectiveness</w:t>
      </w:r>
      <w:r>
        <w:rPr>
          <w:rFonts w:ascii="Times New Roman" w:cs="Times New Roman" w:eastAsia="Times New Roman" w:hAnsi="Times New Roman"/>
          <w:sz w:val="19"/>
          <w:szCs w:val="19"/>
          <w:color w:val="auto"/>
        </w:rPr>
        <w:t xml:space="preserve">. This Increase Joinder may be executed in any number of counterparts, each of which shall be an original, and all of which, when taken together, shall constitute one agreement. This Increase Joinder constitutes the entire contract among the parties relating to the subject matter hereof and supersedes any and all previous agreements and understandings, oral or written, relating to the subject matter hereof. Subject to the conditions of </w:t>
      </w:r>
      <w:r>
        <w:rPr>
          <w:rFonts w:ascii="Times New Roman" w:cs="Times New Roman" w:eastAsia="Times New Roman" w:hAnsi="Times New Roman"/>
          <w:sz w:val="19"/>
          <w:szCs w:val="19"/>
          <w:u w:val="single" w:color="auto"/>
          <w:color w:val="auto"/>
        </w:rPr>
        <w:t>Section 2.27(b)</w:t>
      </w:r>
      <w:r>
        <w:rPr>
          <w:rFonts w:ascii="Times New Roman" w:cs="Times New Roman" w:eastAsia="Times New Roman" w:hAnsi="Times New Roman"/>
          <w:sz w:val="19"/>
          <w:szCs w:val="19"/>
          <w:color w:val="auto"/>
        </w:rPr>
        <w:t xml:space="preserve"> of the Credit Agreement, this Increase Joinder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signature page of this Increase Joinder by electronic transmission shall be effective as delivery of a manually executed counterpart hereof. The words “execution,” “signed,” “signature,” and words of like import in this Increase Joinder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440" w:right="319" w:bottom="1440" w:gutter="0" w:footer="0" w:header="0"/>
        </w:sectPr>
      </w:pPr>
    </w:p>
    <w:bookmarkStart w:id="80" w:name="page81"/>
    <w:bookmarkEnd w:id="80"/>
    <w:p>
      <w:pPr>
        <w:spacing w:after="0" w:line="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7" w:lineRule="exact"/>
        <w:rPr>
          <w:sz w:val="20"/>
          <w:szCs w:val="20"/>
          <w:color w:val="auto"/>
        </w:rPr>
      </w:pPr>
    </w:p>
    <w:p>
      <w:pPr>
        <w:jc w:val="both"/>
        <w:ind w:firstLine="578"/>
        <w:spacing w:after="0" w:line="287" w:lineRule="auto"/>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Section headings used herein are for convenience only and are not to affect the construction of or be taken into consideration in interpreting this Increase Joinder.</w:t>
      </w:r>
    </w:p>
    <w:p>
      <w:pPr>
        <w:spacing w:after="0" w:line="128" w:lineRule="exact"/>
        <w:rPr>
          <w:sz w:val="20"/>
          <w:szCs w:val="20"/>
          <w:color w:val="auto"/>
        </w:rPr>
      </w:pPr>
    </w:p>
    <w:p>
      <w:pPr>
        <w:jc w:val="both"/>
        <w:ind w:firstLine="578"/>
        <w:spacing w:after="0" w:line="287" w:lineRule="auto"/>
        <w:rPr>
          <w:sz w:val="20"/>
          <w:szCs w:val="20"/>
          <w:color w:val="auto"/>
        </w:rPr>
      </w:pPr>
      <w:r>
        <w:rPr>
          <w:rFonts w:ascii="Times New Roman" w:cs="Times New Roman" w:eastAsia="Times New Roman" w:hAnsi="Times New Roman"/>
          <w:sz w:val="19"/>
          <w:szCs w:val="19"/>
          <w:color w:val="auto"/>
        </w:rPr>
        <w:t xml:space="preserve">SECTION 9. </w:t>
      </w:r>
      <w:r>
        <w:rPr>
          <w:rFonts w:ascii="Times New Roman" w:cs="Times New Roman" w:eastAsia="Times New Roman" w:hAnsi="Times New Roman"/>
          <w:sz w:val="19"/>
          <w:szCs w:val="19"/>
          <w:u w:val="single" w:color="auto"/>
          <w:color w:val="auto"/>
        </w:rPr>
        <w:t>Additional Provisions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Sections 10.05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10.15</w:t>
      </w:r>
      <w:r>
        <w:rPr>
          <w:rFonts w:ascii="Times New Roman" w:cs="Times New Roman" w:eastAsia="Times New Roman" w:hAnsi="Times New Roman"/>
          <w:sz w:val="19"/>
          <w:szCs w:val="19"/>
          <w:color w:val="auto"/>
        </w:rPr>
        <w:t xml:space="preserve"> of the Credit Agreement are incorporated herein by reference as if the same were repeated herein in full,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40"/>
          </w:cols>
          <w:pgMar w:left="320" w:top="1440" w:right="339" w:bottom="1440" w:gutter="0" w:footer="0" w:header="0"/>
        </w:sectPr>
      </w:pPr>
    </w:p>
    <w:bookmarkStart w:id="81" w:name="page82"/>
    <w:bookmarkEnd w:id="81"/>
    <w:p>
      <w:pPr>
        <w:spacing w:after="0" w:line="35" w:lineRule="exact"/>
        <w:rPr>
          <w:sz w:val="20"/>
          <w:szCs w:val="20"/>
          <w:color w:val="auto"/>
        </w:rPr>
      </w:pPr>
    </w:p>
    <w:p>
      <w:pPr>
        <w:ind w:firstLine="578"/>
        <w:spacing w:after="0" w:line="287" w:lineRule="auto"/>
        <w:rPr>
          <w:sz w:val="20"/>
          <w:szCs w:val="20"/>
          <w:color w:val="auto"/>
        </w:rPr>
      </w:pPr>
      <w:r>
        <w:rPr>
          <w:rFonts w:ascii="Times New Roman" w:cs="Times New Roman" w:eastAsia="Times New Roman" w:hAnsi="Times New Roman"/>
          <w:sz w:val="19"/>
          <w:szCs w:val="19"/>
          <w:color w:val="auto"/>
        </w:rPr>
        <w:t>IN WITNESS WHEREOF, the undersigned has caused this Increase Joinder to be duly executed and delivered by its duly authorized officer as of the date first above written.</w:t>
      </w:r>
    </w:p>
    <w:p>
      <w:pPr>
        <w:spacing w:after="0" w:line="3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AMERICAN AIRLINES, INC.</w:t>
      </w:r>
    </w:p>
    <w:p>
      <w:pPr>
        <w:spacing w:after="0" w:line="200" w:lineRule="exact"/>
        <w:rPr>
          <w:sz w:val="20"/>
          <w:szCs w:val="20"/>
          <w:color w:val="auto"/>
        </w:rPr>
      </w:pPr>
    </w:p>
    <w:p>
      <w:pPr>
        <w:spacing w:after="0" w:line="211" w:lineRule="exact"/>
        <w:rPr>
          <w:sz w:val="20"/>
          <w:szCs w:val="20"/>
          <w:color w:val="auto"/>
        </w:rPr>
      </w:pPr>
    </w:p>
    <w:p>
      <w:pPr>
        <w:ind w:left="3460"/>
        <w:spacing w:after="0"/>
        <w:tabs>
          <w:tab w:leader="none" w:pos="39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Clemens Metz</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Name: Clemens Metz</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10820"/>
          </w:cols>
          <w:pgMar w:left="320" w:top="1440" w:right="759" w:bottom="1440" w:gutter="0" w:footer="0" w:header="0"/>
        </w:sectPr>
      </w:pPr>
    </w:p>
    <w:bookmarkStart w:id="82" w:name="page83"/>
    <w:bookmarkEnd w:id="82"/>
    <w:p>
      <w:pPr>
        <w:spacing w:after="0" w:line="5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Increasing Lender</w:t>
      </w: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Name:</w:t>
      </w:r>
    </w:p>
    <w:p>
      <w:pPr>
        <w:spacing w:after="0" w:line="3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Name:</w:t>
      </w:r>
    </w:p>
    <w:p>
      <w:pPr>
        <w:spacing w:after="0" w:line="3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9959"/>
          </w:cols>
          <w:pgMar w:left="500" w:top="1440" w:right="1440" w:bottom="1440" w:gutter="0" w:footer="0" w:header="0"/>
        </w:sectPr>
      </w:pPr>
    </w:p>
    <w:bookmarkStart w:id="83" w:name="page84"/>
    <w:bookmarkEnd w:id="83"/>
    <w:p>
      <w:pPr>
        <w:spacing w:after="0" w:line="22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b w:val="1"/>
          <w:bCs w:val="1"/>
          <w:color w:val="auto"/>
        </w:rPr>
        <w:t>CITIBANK, N.A.</w:t>
      </w:r>
      <w:r>
        <w:rPr>
          <w:rFonts w:ascii="Times New Roman" w:cs="Times New Roman" w:eastAsia="Times New Roman" w:hAnsi="Times New Roman"/>
          <w:sz w:val="19"/>
          <w:szCs w:val="19"/>
          <w:color w:val="auto"/>
        </w:rPr>
        <w:t>, as Administrative Agent</w:t>
      </w:r>
    </w:p>
    <w:p>
      <w:pPr>
        <w:spacing w:after="0" w:line="399" w:lineRule="exact"/>
        <w:rPr>
          <w:sz w:val="20"/>
          <w:szCs w:val="20"/>
          <w:color w:val="auto"/>
        </w:rPr>
      </w:pPr>
    </w:p>
    <w:p>
      <w:pPr>
        <w:ind w:left="2340"/>
        <w:spacing w:after="0"/>
        <w:tabs>
          <w:tab w:leader="none" w:pos="28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Sara A. Lopez</w:t>
      </w:r>
    </w:p>
    <w:p>
      <w:pPr>
        <w:spacing w:after="0" w:line="3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auto"/>
        </w:rPr>
        <w:t>Name: Sara A. Lopez</w:t>
      </w:r>
    </w:p>
    <w:p>
      <w:pPr>
        <w:spacing w:after="0" w:line="1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Signature Page</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Increase Joinder</w:t>
      </w:r>
    </w:p>
    <w:p>
      <w:pPr>
        <w:sectPr>
          <w:pgSz w:w="11900" w:h="16838" w:orient="portrait"/>
          <w:cols w:equalWidth="0" w:num="1">
            <w:col w:w="9019"/>
          </w:cols>
          <w:pgMar w:left="1440" w:top="1440" w:right="1440" w:bottom="1440" w:gutter="0" w:footer="0" w:header="0"/>
        </w:sectPr>
      </w:pPr>
    </w:p>
    <w:bookmarkStart w:id="84" w:name="page85"/>
    <w:bookmarkEnd w:id="84"/>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Schedule I</w:t>
      </w:r>
    </w:p>
    <w:p>
      <w:pPr>
        <w:spacing w:after="0" w:line="19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b w:val="1"/>
          <w:bCs w:val="1"/>
          <w:u w:val="single" w:color="auto"/>
          <w:color w:val="auto"/>
        </w:rPr>
        <w:t>Increasing Lender’s New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50" w:type="dxa"/>
        <w:tblCellMar>
          <w:top w:w="0" w:type="dxa"/>
          <w:left w:w="0" w:type="dxa"/>
          <w:bottom w:w="0" w:type="dxa"/>
          <w:right w:w="0" w:type="dxa"/>
        </w:tblCellMar>
      </w:tblPr>
      <w:tr>
        <w:trPr>
          <w:trHeight w:val="182"/>
        </w:trPr>
        <w:tc>
          <w:tcPr>
            <w:tcW w:w="2660" w:type="dxa"/>
            <w:vAlign w:val="bottom"/>
            <w:tcBorders>
              <w:top w:val="single" w:sz="8" w:color="auto"/>
              <w:left w:val="single" w:sz="8" w:color="auto"/>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w:t>
            </w:r>
          </w:p>
        </w:tc>
        <w:tc>
          <w:tcPr>
            <w:tcW w:w="2820" w:type="dxa"/>
            <w:vAlign w:val="bottom"/>
            <w:tcBorders>
              <w:top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Lender’s Revolving</w:t>
            </w:r>
          </w:p>
        </w:tc>
        <w:tc>
          <w:tcPr>
            <w:tcW w:w="3720" w:type="dxa"/>
            <w:vAlign w:val="bottom"/>
            <w:tcBorders>
              <w:top w:val="single" w:sz="8" w:color="auto"/>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Increasing Lender’s Total Revolving</w:t>
            </w:r>
          </w:p>
        </w:tc>
      </w:tr>
      <w:tr>
        <w:trPr>
          <w:trHeight w:val="227"/>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 Increase</w:t>
            </w:r>
          </w:p>
        </w:tc>
        <w:tc>
          <w:tcPr>
            <w:tcW w:w="3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 as of the Increase Effective Date</w:t>
            </w:r>
          </w:p>
        </w:tc>
      </w:tr>
      <w:tr>
        <w:trPr>
          <w:trHeight w:val="221"/>
        </w:trPr>
        <w:tc>
          <w:tcPr>
            <w:tcW w:w="2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Joinder – CACIB</w:t>
      </w:r>
    </w:p>
    <w:p>
      <w:pPr>
        <w:sectPr>
          <w:pgSz w:w="11900" w:h="16838" w:orient="portrait"/>
          <w:cols w:equalWidth="0" w:num="1">
            <w:col w:w="11260"/>
          </w:cols>
          <w:pgMar w:left="320" w:top="1440" w:right="3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4"/>
        <w:spacing w:after="0"/>
        <w:rPr>
          <w:sz w:val="20"/>
          <w:szCs w:val="20"/>
          <w:color w:val="auto"/>
        </w:rPr>
      </w:pPr>
      <w:r>
        <w:rPr>
          <w:rFonts w:ascii="Times New Roman" w:cs="Times New Roman" w:eastAsia="Times New Roman" w:hAnsi="Times New Roman"/>
          <w:sz w:val="19"/>
          <w:szCs w:val="19"/>
          <w:b w:val="1"/>
          <w:bCs w:val="1"/>
          <w:color w:val="auto"/>
        </w:rPr>
        <w:t>AMERICAN AIRLINES GROUP INC.</w:t>
      </w:r>
    </w:p>
    <w:p>
      <w:pPr>
        <w:spacing w:after="0" w:line="203"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9"/>
          <w:szCs w:val="19"/>
          <w:b w:val="1"/>
          <w:bCs w:val="1"/>
          <w:color w:val="auto"/>
        </w:rPr>
        <w:t>2023 INCENTIVE AWARD PLAN</w:t>
      </w:r>
      <w:r>
        <w:rPr>
          <w:rFonts w:ascii="Times New Roman" w:cs="Times New Roman" w:eastAsia="Times New Roman" w:hAnsi="Times New Roman"/>
          <w:sz w:val="25"/>
          <w:szCs w:val="25"/>
          <w:b w:val="1"/>
          <w:bCs w:val="1"/>
          <w:color w:val="auto"/>
          <w:vertAlign w:val="superscript"/>
        </w:rPr>
        <w:t>1</w:t>
      </w:r>
    </w:p>
    <w:p>
      <w:pPr>
        <w:spacing w:after="0" w:line="134" w:lineRule="exact"/>
        <w:rPr>
          <w:sz w:val="20"/>
          <w:szCs w:val="20"/>
          <w:color w:val="auto"/>
        </w:rPr>
      </w:pPr>
    </w:p>
    <w:p>
      <w:pPr>
        <w:ind w:left="5104"/>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PURPOSE</w:t>
      </w:r>
    </w:p>
    <w:p>
      <w:pPr>
        <w:spacing w:after="0" w:line="192" w:lineRule="exact"/>
        <w:rPr>
          <w:sz w:val="20"/>
          <w:szCs w:val="20"/>
          <w:color w:val="auto"/>
        </w:rPr>
      </w:pPr>
    </w:p>
    <w:p>
      <w:pPr>
        <w:jc w:val="both"/>
        <w:ind w:left="4" w:firstLine="578"/>
        <w:spacing w:after="0" w:line="287" w:lineRule="auto"/>
        <w:rPr>
          <w:sz w:val="20"/>
          <w:szCs w:val="20"/>
          <w:color w:val="auto"/>
        </w:rPr>
      </w:pPr>
      <w:r>
        <w:rPr>
          <w:rFonts w:ascii="Times New Roman" w:cs="Times New Roman" w:eastAsia="Times New Roman" w:hAnsi="Times New Roman"/>
          <w:sz w:val="19"/>
          <w:szCs w:val="19"/>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93"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9"/>
          <w:szCs w:val="19"/>
          <w:color w:val="auto"/>
        </w:rPr>
        <w:t>As used in the Plan, the following words and phrases have the meanings specified below, unless the context clearly indicates otherwise:</w:t>
      </w:r>
    </w:p>
    <w:p>
      <w:pPr>
        <w:spacing w:after="0" w:line="199" w:lineRule="exact"/>
        <w:rPr>
          <w:sz w:val="20"/>
          <w:szCs w:val="20"/>
          <w:color w:val="auto"/>
        </w:rPr>
      </w:pPr>
    </w:p>
    <w:p>
      <w:pPr>
        <w:jc w:val="both"/>
        <w:ind w:left="4" w:firstLine="578"/>
        <w:spacing w:after="0" w:line="271" w:lineRule="auto"/>
        <w:rPr>
          <w:sz w:val="20"/>
          <w:szCs w:val="20"/>
          <w:color w:val="auto"/>
        </w:rPr>
      </w:pPr>
      <w:r>
        <w:rPr>
          <w:rFonts w:ascii="Times New Roman" w:cs="Times New Roman" w:eastAsia="Times New Roman" w:hAnsi="Times New Roman"/>
          <w:sz w:val="19"/>
          <w:szCs w:val="19"/>
          <w:color w:val="auto"/>
        </w:rPr>
        <w:t>2.1 “</w:t>
      </w:r>
      <w:r>
        <w:rPr>
          <w:rFonts w:ascii="Times New Roman" w:cs="Times New Roman" w:eastAsia="Times New Roman" w:hAnsi="Times New Roman"/>
          <w:sz w:val="19"/>
          <w:szCs w:val="19"/>
          <w:b w:val="1"/>
          <w:bCs w:val="1"/>
          <w:i w:val="1"/>
          <w:iCs w:val="1"/>
          <w:color w:val="auto"/>
        </w:rPr>
        <w:t>Administrator</w:t>
      </w:r>
      <w:r>
        <w:rPr>
          <w:rFonts w:ascii="Times New Roman" w:cs="Times New Roman" w:eastAsia="Times New Roman" w:hAnsi="Times New Roman"/>
          <w:sz w:val="19"/>
          <w:szCs w:val="19"/>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139" w:lineRule="exact"/>
        <w:rPr>
          <w:sz w:val="20"/>
          <w:szCs w:val="20"/>
          <w:color w:val="auto"/>
        </w:rPr>
      </w:pPr>
    </w:p>
    <w:p>
      <w:pPr>
        <w:jc w:val="both"/>
        <w:ind w:left="4" w:firstLine="578"/>
        <w:spacing w:after="0" w:line="269" w:lineRule="auto"/>
        <w:rPr>
          <w:sz w:val="20"/>
          <w:szCs w:val="20"/>
          <w:color w:val="auto"/>
        </w:rPr>
      </w:pPr>
      <w:r>
        <w:rPr>
          <w:rFonts w:ascii="Times New Roman" w:cs="Times New Roman" w:eastAsia="Times New Roman" w:hAnsi="Times New Roman"/>
          <w:sz w:val="19"/>
          <w:szCs w:val="19"/>
          <w:color w:val="auto"/>
        </w:rPr>
        <w:t>2.2 “</w:t>
      </w:r>
      <w:r>
        <w:rPr>
          <w:rFonts w:ascii="Times New Roman" w:cs="Times New Roman" w:eastAsia="Times New Roman" w:hAnsi="Times New Roman"/>
          <w:sz w:val="19"/>
          <w:szCs w:val="19"/>
          <w:b w:val="1"/>
          <w:bCs w:val="1"/>
          <w:i w:val="1"/>
          <w:iCs w:val="1"/>
          <w:color w:val="auto"/>
        </w:rPr>
        <w:t>Applicable Law</w:t>
      </w:r>
      <w:r>
        <w:rPr>
          <w:rFonts w:ascii="Times New Roman" w:cs="Times New Roman" w:eastAsia="Times New Roman" w:hAnsi="Times New Roman"/>
          <w:sz w:val="19"/>
          <w:szCs w:val="19"/>
          <w:color w:val="auto"/>
        </w:rPr>
        <w:t>” means any applicable law, including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are listed, quoted or traded.</w:t>
      </w:r>
    </w:p>
    <w:p>
      <w:pPr>
        <w:spacing w:after="0" w:line="140" w:lineRule="exact"/>
        <w:rPr>
          <w:sz w:val="20"/>
          <w:szCs w:val="20"/>
          <w:color w:val="auto"/>
        </w:rPr>
      </w:pPr>
    </w:p>
    <w:p>
      <w:pPr>
        <w:jc w:val="both"/>
        <w:ind w:left="4" w:firstLine="578"/>
        <w:spacing w:after="0" w:line="269" w:lineRule="auto"/>
        <w:rPr>
          <w:sz w:val="20"/>
          <w:szCs w:val="20"/>
          <w:color w:val="auto"/>
        </w:rPr>
      </w:pPr>
      <w:r>
        <w:rPr>
          <w:rFonts w:ascii="Times New Roman" w:cs="Times New Roman" w:eastAsia="Times New Roman" w:hAnsi="Times New Roman"/>
          <w:sz w:val="19"/>
          <w:szCs w:val="19"/>
          <w:color w:val="auto"/>
        </w:rPr>
        <w:t>2.3 “</w:t>
      </w:r>
      <w:r>
        <w:rPr>
          <w:rFonts w:ascii="Times New Roman" w:cs="Times New Roman" w:eastAsia="Times New Roman" w:hAnsi="Times New Roman"/>
          <w:sz w:val="19"/>
          <w:szCs w:val="19"/>
          <w:b w:val="1"/>
          <w:bCs w:val="1"/>
          <w:i w:val="1"/>
          <w:iCs w:val="1"/>
          <w:color w:val="auto"/>
        </w:rPr>
        <w:t>Automatic Exercise Date</w:t>
      </w:r>
      <w:r>
        <w:rPr>
          <w:rFonts w:ascii="Times New Roman" w:cs="Times New Roman" w:eastAsia="Times New Roman" w:hAnsi="Times New Roman"/>
          <w:sz w:val="19"/>
          <w:szCs w:val="19"/>
          <w:color w:val="auto"/>
        </w:rPr>
        <w:t>” means, with respect to an Option or a Stock Appreciation Right, the last business day of the applicable Option term or Stock Appreciation Right term that was initially established by the Administrator for such Option or Stock Appreciation Right (e.g.,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140" w:lineRule="exact"/>
        <w:rPr>
          <w:sz w:val="20"/>
          <w:szCs w:val="20"/>
          <w:color w:val="auto"/>
        </w:rPr>
      </w:pPr>
    </w:p>
    <w:p>
      <w:pPr>
        <w:jc w:val="both"/>
        <w:ind w:left="4" w:firstLine="578"/>
        <w:spacing w:after="0" w:line="271" w:lineRule="auto"/>
        <w:rPr>
          <w:sz w:val="20"/>
          <w:szCs w:val="20"/>
          <w:color w:val="auto"/>
        </w:rPr>
      </w:pPr>
      <w:r>
        <w:rPr>
          <w:rFonts w:ascii="Times New Roman" w:cs="Times New Roman" w:eastAsia="Times New Roman" w:hAnsi="Times New Roman"/>
          <w:sz w:val="19"/>
          <w:szCs w:val="19"/>
          <w:color w:val="auto"/>
        </w:rPr>
        <w:t>2.4 “</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means an Option award, Stock Appreciation Right award, Restricted Stock award, Restricted Stock Unit award, Performance Bonus Award, Performance Stock Unit award, Dividend Equivalents award or Other Stock or Cash Based Award granted to a Participant under the Plan.</w:t>
      </w:r>
    </w:p>
    <w:p>
      <w:pPr>
        <w:spacing w:after="0" w:line="139" w:lineRule="exact"/>
        <w:rPr>
          <w:sz w:val="20"/>
          <w:szCs w:val="20"/>
          <w:color w:val="auto"/>
        </w:rPr>
      </w:pPr>
    </w:p>
    <w:p>
      <w:pPr>
        <w:jc w:val="both"/>
        <w:ind w:left="4" w:right="20" w:firstLine="578"/>
        <w:spacing w:after="0" w:line="305" w:lineRule="auto"/>
        <w:rPr>
          <w:sz w:val="20"/>
          <w:szCs w:val="20"/>
          <w:color w:val="auto"/>
        </w:rPr>
      </w:pPr>
      <w:r>
        <w:rPr>
          <w:rFonts w:ascii="Times New Roman" w:cs="Times New Roman" w:eastAsia="Times New Roman" w:hAnsi="Times New Roman"/>
          <w:sz w:val="19"/>
          <w:szCs w:val="19"/>
          <w:color w:val="auto"/>
        </w:rPr>
        <w:t>2.5 “</w:t>
      </w:r>
      <w:r>
        <w:rPr>
          <w:rFonts w:ascii="Times New Roman" w:cs="Times New Roman" w:eastAsia="Times New Roman" w:hAnsi="Times New Roman"/>
          <w:sz w:val="19"/>
          <w:szCs w:val="19"/>
          <w:b w:val="1"/>
          <w:bCs w:val="1"/>
          <w:i w:val="1"/>
          <w:iCs w:val="1"/>
          <w:color w:val="auto"/>
        </w:rPr>
        <w:t>Award Agreement</w:t>
      </w:r>
      <w:r>
        <w:rPr>
          <w:rFonts w:ascii="Times New Roman" w:cs="Times New Roman" w:eastAsia="Times New Roman" w:hAnsi="Times New Roman"/>
          <w:sz w:val="19"/>
          <w:szCs w:val="19"/>
          <w:color w:val="auto"/>
        </w:rPr>
        <w:t>” means an agreement evidencing an Award, which may be written or electronic, that contains such terms and conditions as the Administrator determines, consistent with and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152908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529080" cy="7620"/>
                    </a:xfrm>
                    <a:prstGeom prst="rect">
                      <a:avLst/>
                    </a:prstGeom>
                    <a:noFill/>
                  </pic:spPr>
                </pic:pic>
              </a:graphicData>
            </a:graphic>
          </wp:anchor>
        </w:drawing>
      </w:r>
    </w:p>
    <w:p>
      <w:pPr>
        <w:spacing w:after="0" w:line="158" w:lineRule="exact"/>
        <w:rPr>
          <w:sz w:val="20"/>
          <w:szCs w:val="20"/>
          <w:color w:val="auto"/>
        </w:rPr>
      </w:pPr>
    </w:p>
    <w:p>
      <w:pPr>
        <w:ind w:left="104" w:hanging="104"/>
        <w:spacing w:after="0"/>
        <w:tabs>
          <w:tab w:leader="none" w:pos="104"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amended April 29, 2025</w:t>
      </w:r>
    </w:p>
    <w:p>
      <w:pPr>
        <w:sectPr>
          <w:pgSz w:w="11900" w:h="16838" w:orient="portrait"/>
          <w:cols w:equalWidth="0" w:num="1">
            <w:col w:w="11264"/>
          </w:cols>
          <w:pgMar w:left="316" w:top="122" w:right="319" w:bottom="1440" w:gutter="0" w:footer="0" w:header="0"/>
        </w:sectPr>
      </w:pPr>
    </w:p>
    <w:bookmarkStart w:id="86" w:name="page87"/>
    <w:bookmarkEnd w:id="86"/>
    <w:p>
      <w:pPr>
        <w:ind w:left="580"/>
        <w:spacing w:after="0"/>
        <w:tabs>
          <w:tab w:leader="none" w:pos="980" w:val="left"/>
        </w:tabs>
        <w:rPr>
          <w:sz w:val="20"/>
          <w:szCs w:val="20"/>
          <w:color w:val="auto"/>
        </w:rPr>
      </w:pPr>
      <w:r>
        <w:rPr>
          <w:rFonts w:ascii="Times New Roman" w:cs="Times New Roman" w:eastAsia="Times New Roman" w:hAnsi="Times New Roman"/>
          <w:sz w:val="19"/>
          <w:szCs w:val="19"/>
          <w:color w:val="auto"/>
        </w:rPr>
        <w:t>2.6</w:t>
        <w:tab/>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203" w:lineRule="exact"/>
        <w:rPr>
          <w:sz w:val="20"/>
          <w:szCs w:val="20"/>
          <w:color w:val="auto"/>
        </w:rPr>
      </w:pPr>
    </w:p>
    <w:p>
      <w:pPr>
        <w:ind w:left="580"/>
        <w:spacing w:after="0"/>
        <w:tabs>
          <w:tab w:leader="none" w:pos="980" w:val="left"/>
        </w:tabs>
        <w:rPr>
          <w:sz w:val="20"/>
          <w:szCs w:val="20"/>
          <w:color w:val="auto"/>
        </w:rPr>
      </w:pPr>
      <w:r>
        <w:rPr>
          <w:rFonts w:ascii="Times New Roman" w:cs="Times New Roman" w:eastAsia="Times New Roman" w:hAnsi="Times New Roman"/>
          <w:sz w:val="19"/>
          <w:szCs w:val="19"/>
          <w:color w:val="auto"/>
        </w:rPr>
        <w:t>2.7</w:t>
        <w:tab/>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the occurrence of any of the following:</w:t>
      </w:r>
    </w:p>
    <w:p>
      <w:pPr>
        <w:spacing w:after="0" w:line="203" w:lineRule="exact"/>
        <w:rPr>
          <w:sz w:val="20"/>
          <w:szCs w:val="20"/>
          <w:color w:val="auto"/>
        </w:rPr>
      </w:pPr>
    </w:p>
    <w:p>
      <w:pPr>
        <w:jc w:val="both"/>
        <w:ind w:firstLine="1152"/>
        <w:spacing w:after="0" w:line="266" w:lineRule="auto"/>
        <w:tabs>
          <w:tab w:leader="none" w:pos="166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any 12-month period, the individuals who constitute the Board at the beginning of such period (the “</w:t>
      </w:r>
      <w:r>
        <w:rPr>
          <w:rFonts w:ascii="Times New Roman" w:cs="Times New Roman" w:eastAsia="Times New Roman" w:hAnsi="Times New Roman"/>
          <w:sz w:val="19"/>
          <w:szCs w:val="19"/>
          <w:b w:val="1"/>
          <w:bCs w:val="1"/>
          <w:i w:val="1"/>
          <w:iCs w:val="1"/>
          <w:color w:val="auto"/>
        </w:rPr>
        <w:t>Incumbent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cease for any reason to constitute at least a majority of the Board; provided, however, that any individual becoming a director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subsequent to the Effective Date whose election, or nomination for election by the Company’s stockholders, was approved by a vote of at least two-thirds of the directors then comprising the Incumbent Board shall be considered as though such individual were a member of the Incumbent Board; or</w:t>
      </w:r>
    </w:p>
    <w:p>
      <w:pPr>
        <w:spacing w:after="0" w:line="383" w:lineRule="exact"/>
        <w:rPr>
          <w:rFonts w:ascii="Times New Roman" w:cs="Times New Roman" w:eastAsia="Times New Roman" w:hAnsi="Times New Roman"/>
          <w:sz w:val="19"/>
          <w:szCs w:val="19"/>
          <w:color w:val="auto"/>
        </w:rPr>
      </w:pPr>
    </w:p>
    <w:p>
      <w:pPr>
        <w:jc w:val="both"/>
        <w:ind w:firstLine="1152"/>
        <w:spacing w:after="0" w:line="267" w:lineRule="auto"/>
        <w:tabs>
          <w:tab w:leader="none" w:pos="1665"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individual, entity or group (within the meaning of Section 13(d)(3) or 14(d)(2) of the Exchange Act, other than the Company, acquires (directly or indirectly) the beneficial ownership (within the meaning of Rule 13d-3 promulgated under the Exchange Act) of more than 50% of the combined voting power of the then outstanding voting securities of the Company entitled to vote generally in the election of directors (“</w:t>
      </w:r>
      <w:r>
        <w:rPr>
          <w:rFonts w:ascii="Times New Roman" w:cs="Times New Roman" w:eastAsia="Times New Roman" w:hAnsi="Times New Roman"/>
          <w:sz w:val="19"/>
          <w:szCs w:val="19"/>
          <w:b w:val="1"/>
          <w:bCs w:val="1"/>
          <w:i w:val="1"/>
          <w:iCs w:val="1"/>
          <w:color w:val="auto"/>
        </w:rPr>
        <w:t>Voting Power</w:t>
      </w:r>
      <w:r>
        <w:rPr>
          <w:rFonts w:ascii="Times New Roman" w:cs="Times New Roman" w:eastAsia="Times New Roman" w:hAnsi="Times New Roman"/>
          <w:sz w:val="19"/>
          <w:szCs w:val="19"/>
          <w:color w:val="auto"/>
        </w:rPr>
        <w:t>”); or</w:t>
      </w:r>
    </w:p>
    <w:p>
      <w:pPr>
        <w:spacing w:after="0" w:line="147" w:lineRule="exact"/>
        <w:rPr>
          <w:rFonts w:ascii="Times New Roman" w:cs="Times New Roman" w:eastAsia="Times New Roman" w:hAnsi="Times New Roman"/>
          <w:sz w:val="19"/>
          <w:szCs w:val="19"/>
          <w:color w:val="auto"/>
        </w:rPr>
      </w:pPr>
    </w:p>
    <w:p>
      <w:pPr>
        <w:jc w:val="both"/>
        <w:ind w:firstLine="1152"/>
        <w:spacing w:after="0" w:line="258" w:lineRule="auto"/>
        <w:tabs>
          <w:tab w:leader="none" w:pos="163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consummates a merger, consolidation or reorganization of the Company or any other similar transaction or series of related transactions (collectively, a “</w:t>
      </w:r>
      <w:r>
        <w:rPr>
          <w:rFonts w:ascii="Times New Roman" w:cs="Times New Roman" w:eastAsia="Times New Roman" w:hAnsi="Times New Roman"/>
          <w:sz w:val="19"/>
          <w:szCs w:val="19"/>
          <w:b w:val="1"/>
          <w:bCs w:val="1"/>
          <w:i w:val="1"/>
          <w:iCs w:val="1"/>
          <w:color w:val="auto"/>
        </w:rPr>
        <w:t>Transaction</w:t>
      </w:r>
      <w:r>
        <w:rPr>
          <w:rFonts w:ascii="Times New Roman" w:cs="Times New Roman" w:eastAsia="Times New Roman" w:hAnsi="Times New Roman"/>
          <w:sz w:val="19"/>
          <w:szCs w:val="19"/>
          <w:color w:val="auto"/>
        </w:rPr>
        <w:t>”) other than (A) a Transaction in which the voting securities of the Company outstanding immediately prior thereto become (by operation of law), or are converted into or exchanged for, voting securities of the surviving corporation or its parent corporation immediately after such Transaction that are owned by the same person or entity or persons or entities as immediately prior thereto and possess at least 50% of the Voting Power held by the voting securities of the surviving corporation or its parent corporation, or (B) a Transaction effected to implement a recapitalization of the Company (or similar transaction) in which no person (excluding the Company or any person who held more than 50% of the Voting Power immediately prior to such Transaction) acquires more than 50% of the Voting Power; or</w:t>
      </w:r>
    </w:p>
    <w:p>
      <w:pPr>
        <w:spacing w:after="0" w:line="200" w:lineRule="exact"/>
        <w:rPr>
          <w:rFonts w:ascii="Times New Roman" w:cs="Times New Roman" w:eastAsia="Times New Roman" w:hAnsi="Times New Roman"/>
          <w:sz w:val="19"/>
          <w:szCs w:val="19"/>
          <w:color w:val="auto"/>
        </w:rPr>
      </w:pPr>
    </w:p>
    <w:p>
      <w:pPr>
        <w:spacing w:after="0" w:line="202" w:lineRule="exact"/>
        <w:rPr>
          <w:rFonts w:ascii="Times New Roman" w:cs="Times New Roman" w:eastAsia="Times New Roman" w:hAnsi="Times New Roman"/>
          <w:sz w:val="19"/>
          <w:szCs w:val="19"/>
          <w:color w:val="auto"/>
        </w:rPr>
      </w:pPr>
    </w:p>
    <w:p>
      <w:pPr>
        <w:jc w:val="both"/>
        <w:ind w:right="20" w:firstLine="1152"/>
        <w:spacing w:after="0" w:line="269" w:lineRule="auto"/>
        <w:tabs>
          <w:tab w:leader="none" w:pos="160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sells or otherwise disposes of, or consummates a transaction or series of related transactions providing for the sale or other disposition of, all or substantially all of the stock or assets of the Company, or enters into a plan for the complete liquidation of the Company.</w:t>
      </w:r>
    </w:p>
    <w:p>
      <w:pPr>
        <w:spacing w:after="0" w:line="14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Notwithstanding the foregoing,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 1.409A-3(i)(5) to the extent required by Section 409A.</w:t>
      </w:r>
    </w:p>
    <w:p>
      <w:pPr>
        <w:spacing w:after="0" w:line="37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0"/>
          </w:cols>
          <w:pgMar w:left="320" w:top="1278" w:right="319" w:bottom="1440" w:gutter="0" w:footer="0" w:header="0"/>
        </w:sectPr>
      </w:pPr>
    </w:p>
    <w:bookmarkStart w:id="87" w:name="page88"/>
    <w:bookmarkEnd w:id="87"/>
    <w:p>
      <w:pPr>
        <w:jc w:val="both"/>
        <w:ind w:right="20" w:firstLine="578"/>
        <w:spacing w:after="0" w:line="292" w:lineRule="auto"/>
        <w:rPr>
          <w:sz w:val="20"/>
          <w:szCs w:val="20"/>
          <w:color w:val="auto"/>
        </w:rPr>
      </w:pPr>
      <w:r>
        <w:rPr>
          <w:rFonts w:ascii="Times New Roman" w:cs="Times New Roman" w:eastAsia="Times New Roman" w:hAnsi="Times New Roman"/>
          <w:sz w:val="19"/>
          <w:szCs w:val="19"/>
          <w:color w:val="auto"/>
        </w:rPr>
        <w:t>2.8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U.S. Internal Revenue Code of 1986, as amended, and all regulations, guidance, compliance programs and other interpretative authority issued thereunder.</w:t>
      </w:r>
    </w:p>
    <w:p>
      <w:pPr>
        <w:spacing w:after="0" w:line="118" w:lineRule="exact"/>
        <w:rPr>
          <w:sz w:val="20"/>
          <w:szCs w:val="20"/>
          <w:color w:val="auto"/>
        </w:rPr>
      </w:pPr>
    </w:p>
    <w:p>
      <w:pPr>
        <w:jc w:val="both"/>
        <w:ind w:right="20" w:firstLine="578"/>
        <w:spacing w:after="0" w:line="262" w:lineRule="auto"/>
        <w:rPr>
          <w:sz w:val="20"/>
          <w:szCs w:val="20"/>
          <w:color w:val="auto"/>
        </w:rPr>
      </w:pPr>
      <w:r>
        <w:rPr>
          <w:rFonts w:ascii="Times New Roman" w:cs="Times New Roman" w:eastAsia="Times New Roman" w:hAnsi="Times New Roman"/>
          <w:sz w:val="19"/>
          <w:szCs w:val="19"/>
          <w:color w:val="auto"/>
        </w:rPr>
        <w:t>2.9 “</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one or more committees or subcommittees of the Board, which may include one or more Directors or executive officers of the Company,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58"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2.10</w:t>
        <w:tab/>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the common stock of the Company.</w:t>
      </w:r>
    </w:p>
    <w:p>
      <w:pPr>
        <w:spacing w:after="0" w:line="203"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2.11</w:t>
        <w:tab/>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American Airlines Group Inc., a Delaware corporation, or any successor.</w:t>
      </w:r>
    </w:p>
    <w:p>
      <w:pPr>
        <w:spacing w:after="0" w:line="203" w:lineRule="exact"/>
        <w:rPr>
          <w:sz w:val="20"/>
          <w:szCs w:val="20"/>
          <w:color w:val="auto"/>
        </w:rPr>
      </w:pPr>
    </w:p>
    <w:p>
      <w:pPr>
        <w:jc w:val="both"/>
        <w:ind w:firstLine="578"/>
        <w:spacing w:after="0" w:line="264" w:lineRule="auto"/>
        <w:rPr>
          <w:sz w:val="20"/>
          <w:szCs w:val="20"/>
          <w:color w:val="auto"/>
        </w:rPr>
      </w:pPr>
      <w:r>
        <w:rPr>
          <w:rFonts w:ascii="Times New Roman" w:cs="Times New Roman" w:eastAsia="Times New Roman" w:hAnsi="Times New Roman"/>
          <w:sz w:val="19"/>
          <w:szCs w:val="19"/>
          <w:color w:val="auto"/>
        </w:rPr>
        <w:t>2.12 “</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 means any person, including any adviser, engaged by the Company or a Subsidiary to render services to such entity if the consultant or adviser: (a) renders bona fide services to the Company or a Subsidiary; (b) renders services not in connection with the offer or sale of securities in a capital-raising transaction and does not directly or indirectly promote or maintain a market for the Company’s securities; and (c) is a natural person.</w:t>
      </w:r>
    </w:p>
    <w:p>
      <w:pPr>
        <w:spacing w:after="0" w:line="158" w:lineRule="exact"/>
        <w:rPr>
          <w:sz w:val="20"/>
          <w:szCs w:val="20"/>
          <w:color w:val="auto"/>
        </w:rPr>
      </w:pPr>
    </w:p>
    <w:p>
      <w:pPr>
        <w:jc w:val="both"/>
        <w:ind w:firstLine="578"/>
        <w:spacing w:after="0" w:line="271" w:lineRule="auto"/>
        <w:rPr>
          <w:sz w:val="20"/>
          <w:szCs w:val="20"/>
          <w:color w:val="auto"/>
        </w:rPr>
      </w:pPr>
      <w:r>
        <w:rPr>
          <w:rFonts w:ascii="Times New Roman" w:cs="Times New Roman" w:eastAsia="Times New Roman" w:hAnsi="Times New Roman"/>
          <w:sz w:val="19"/>
          <w:szCs w:val="19"/>
          <w:color w:val="auto"/>
        </w:rPr>
        <w:t>2.13 “</w:t>
      </w:r>
      <w:r>
        <w:rPr>
          <w:rFonts w:ascii="Times New Roman" w:cs="Times New Roman" w:eastAsia="Times New Roman" w:hAnsi="Times New Roman"/>
          <w:sz w:val="19"/>
          <w:szCs w:val="19"/>
          <w:b w:val="1"/>
          <w:bCs w:val="1"/>
          <w:i w:val="1"/>
          <w:iCs w:val="1"/>
          <w:color w:val="auto"/>
        </w:rPr>
        <w:t>Designated Beneficiary</w:t>
      </w:r>
      <w:r>
        <w:rPr>
          <w:rFonts w:ascii="Times New Roman" w:cs="Times New Roman" w:eastAsia="Times New Roman" w:hAnsi="Times New Roman"/>
          <w:sz w:val="19"/>
          <w:szCs w:val="19"/>
          <w:color w:val="auto"/>
        </w:rPr>
        <w:t>” means, if permitted by the Company,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 or legal heirs.</w:t>
      </w:r>
    </w:p>
    <w:p>
      <w:pPr>
        <w:spacing w:after="0" w:line="139"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2.14</w:t>
        <w:tab/>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Board member.</w:t>
      </w:r>
    </w:p>
    <w:p>
      <w:pPr>
        <w:spacing w:after="0" w:line="203"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2.15</w:t>
        <w:tab/>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a permanent and total disability under Section 22(e)(3) of the Code.</w:t>
      </w:r>
    </w:p>
    <w:p>
      <w:pPr>
        <w:spacing w:after="0" w:line="215" w:lineRule="exact"/>
        <w:rPr>
          <w:sz w:val="20"/>
          <w:szCs w:val="20"/>
          <w:color w:val="auto"/>
        </w:rPr>
      </w:pPr>
    </w:p>
    <w:p>
      <w:pPr>
        <w:jc w:val="both"/>
        <w:ind w:right="20" w:firstLine="578"/>
        <w:spacing w:after="0" w:line="271" w:lineRule="auto"/>
        <w:rPr>
          <w:sz w:val="20"/>
          <w:szCs w:val="20"/>
          <w:color w:val="auto"/>
        </w:rPr>
      </w:pPr>
      <w:r>
        <w:rPr>
          <w:rFonts w:ascii="Times New Roman" w:cs="Times New Roman" w:eastAsia="Times New Roman" w:hAnsi="Times New Roman"/>
          <w:sz w:val="19"/>
          <w:szCs w:val="19"/>
          <w:color w:val="auto"/>
        </w:rPr>
        <w:t>2.16 “</w:t>
      </w:r>
      <w:r>
        <w:rPr>
          <w:rFonts w:ascii="Times New Roman" w:cs="Times New Roman" w:eastAsia="Times New Roman" w:hAnsi="Times New Roman"/>
          <w:sz w:val="19"/>
          <w:szCs w:val="19"/>
          <w:b w:val="1"/>
          <w:bCs w:val="1"/>
          <w:i w:val="1"/>
          <w:iCs w:val="1"/>
          <w:color w:val="auto"/>
        </w:rPr>
        <w:t>Dividend Equivalents</w:t>
      </w:r>
      <w:r>
        <w:rPr>
          <w:rFonts w:ascii="Times New Roman" w:cs="Times New Roman" w:eastAsia="Times New Roman" w:hAnsi="Times New Roman"/>
          <w:sz w:val="19"/>
          <w:szCs w:val="19"/>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39"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color w:val="auto"/>
        </w:rPr>
        <w:t>2.17</w:t>
        <w:tab/>
        <w:t>“</w:t>
      </w:r>
      <w:r>
        <w:rPr>
          <w:rFonts w:ascii="Times New Roman" w:cs="Times New Roman" w:eastAsia="Times New Roman" w:hAnsi="Times New Roman"/>
          <w:sz w:val="19"/>
          <w:szCs w:val="19"/>
          <w:b w:val="1"/>
          <w:bCs w:val="1"/>
          <w:i w:val="1"/>
          <w:iCs w:val="1"/>
          <w:color w:val="auto"/>
        </w:rPr>
        <w:t>DRO</w:t>
      </w:r>
      <w:r>
        <w:rPr>
          <w:rFonts w:ascii="Times New Roman" w:cs="Times New Roman" w:eastAsia="Times New Roman" w:hAnsi="Times New Roman"/>
          <w:sz w:val="19"/>
          <w:szCs w:val="19"/>
          <w:color w:val="auto"/>
        </w:rPr>
        <w:t>” means a “domestic relations order” as defined by the Code or Title I of the Employee Retirement Income Security Act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1974, as amended, or the rules thereunder.</w:t>
      </w:r>
    </w:p>
    <w:p>
      <w:pPr>
        <w:spacing w:after="0" w:line="189"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2.18</w:t>
        <w:tab/>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has the meaning set forth in Section 11.3.</w:t>
      </w:r>
    </w:p>
    <w:p>
      <w:pPr>
        <w:spacing w:after="0" w:line="203"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2.19</w:t>
        <w:tab/>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employee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1278" w:right="319" w:bottom="1440" w:gutter="0" w:footer="0" w:header="0"/>
        </w:sectPr>
      </w:pPr>
    </w:p>
    <w:bookmarkStart w:id="88" w:name="page89"/>
    <w:bookmarkEnd w:id="88"/>
    <w:p>
      <w:pPr>
        <w:jc w:val="both"/>
        <w:ind w:firstLine="578"/>
        <w:spacing w:after="0" w:line="269" w:lineRule="auto"/>
        <w:rPr>
          <w:sz w:val="20"/>
          <w:szCs w:val="20"/>
          <w:color w:val="auto"/>
        </w:rPr>
      </w:pPr>
      <w:r>
        <w:rPr>
          <w:rFonts w:ascii="Times New Roman" w:cs="Times New Roman" w:eastAsia="Times New Roman" w:hAnsi="Times New Roman"/>
          <w:sz w:val="19"/>
          <w:szCs w:val="19"/>
          <w:color w:val="auto"/>
        </w:rPr>
        <w:t>2.20 “</w:t>
      </w:r>
      <w:r>
        <w:rPr>
          <w:rFonts w:ascii="Times New Roman" w:cs="Times New Roman" w:eastAsia="Times New Roman" w:hAnsi="Times New Roman"/>
          <w:sz w:val="19"/>
          <w:szCs w:val="19"/>
          <w:b w:val="1"/>
          <w:bCs w:val="1"/>
          <w:i w:val="1"/>
          <w:iCs w:val="1"/>
          <w:color w:val="auto"/>
        </w:rPr>
        <w:t>Equity Restructuring</w:t>
      </w:r>
      <w:r>
        <w:rPr>
          <w:rFonts w:ascii="Times New Roman" w:cs="Times New Roman" w:eastAsia="Times New Roman" w:hAnsi="Times New Roman"/>
          <w:sz w:val="19"/>
          <w:szCs w:val="19"/>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40" w:lineRule="exact"/>
        <w:rPr>
          <w:sz w:val="20"/>
          <w:szCs w:val="20"/>
          <w:color w:val="auto"/>
        </w:rPr>
      </w:pPr>
    </w:p>
    <w:p>
      <w:pPr>
        <w:jc w:val="both"/>
        <w:ind w:firstLine="578"/>
        <w:spacing w:after="0" w:line="292" w:lineRule="auto"/>
        <w:rPr>
          <w:sz w:val="20"/>
          <w:szCs w:val="20"/>
          <w:color w:val="auto"/>
        </w:rPr>
      </w:pPr>
      <w:r>
        <w:rPr>
          <w:rFonts w:ascii="Times New Roman" w:cs="Times New Roman" w:eastAsia="Times New Roman" w:hAnsi="Times New Roman"/>
          <w:sz w:val="19"/>
          <w:szCs w:val="19"/>
          <w:color w:val="auto"/>
        </w:rPr>
        <w:t>2.21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U.S. Securities Exchange Act of 1934, as amended, and all regulations, guidance and other interpretative authority issued thereunder.</w:t>
      </w:r>
    </w:p>
    <w:p>
      <w:pPr>
        <w:spacing w:after="0" w:line="118"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9"/>
          <w:szCs w:val="19"/>
          <w:color w:val="auto"/>
        </w:rPr>
        <w:t>2.22 “</w:t>
      </w:r>
      <w:r>
        <w:rPr>
          <w:rFonts w:ascii="Times New Roman" w:cs="Times New Roman" w:eastAsia="Times New Roman" w:hAnsi="Times New Roman"/>
          <w:sz w:val="19"/>
          <w:szCs w:val="19"/>
          <w:b w:val="1"/>
          <w:bCs w:val="1"/>
          <w:i w:val="1"/>
          <w:iCs w:val="1"/>
          <w:color w:val="auto"/>
        </w:rPr>
        <w:t>Fair Market Value</w:t>
      </w:r>
      <w:r>
        <w:rPr>
          <w:rFonts w:ascii="Times New Roman" w:cs="Times New Roman" w:eastAsia="Times New Roman" w:hAnsi="Times New Roman"/>
          <w:sz w:val="19"/>
          <w:szCs w:val="19"/>
          <w:color w:val="auto"/>
        </w:rPr>
        <w:t xml:space="preserve">” means, as of any date, the value of a Share determined as follows: (a)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xml:space="preserve"> or another source the Administrator deems reliable; (b)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xml:space="preserve"> or another source the Administrator deems reliable; or (iii) if the Common Stock is not listed on any established stock exchange or quoted on a national market or other quotation system, the value established by the Administrator in its sole discretion.</w:t>
      </w:r>
    </w:p>
    <w:p>
      <w:pPr>
        <w:spacing w:after="0" w:line="168" w:lineRule="exact"/>
        <w:rPr>
          <w:sz w:val="20"/>
          <w:szCs w:val="20"/>
          <w:color w:val="auto"/>
        </w:rPr>
      </w:pPr>
    </w:p>
    <w:p>
      <w:pPr>
        <w:jc w:val="both"/>
        <w:ind w:firstLine="578"/>
        <w:spacing w:after="0" w:line="271" w:lineRule="auto"/>
        <w:rPr>
          <w:sz w:val="20"/>
          <w:szCs w:val="20"/>
          <w:color w:val="auto"/>
        </w:rPr>
      </w:pPr>
      <w:r>
        <w:rPr>
          <w:rFonts w:ascii="Times New Roman" w:cs="Times New Roman" w:eastAsia="Times New Roman" w:hAnsi="Times New Roman"/>
          <w:sz w:val="19"/>
          <w:szCs w:val="19"/>
          <w:color w:val="auto"/>
        </w:rPr>
        <w:t>2.23 “</w:t>
      </w:r>
      <w:r>
        <w:rPr>
          <w:rFonts w:ascii="Times New Roman" w:cs="Times New Roman" w:eastAsia="Times New Roman" w:hAnsi="Times New Roman"/>
          <w:sz w:val="19"/>
          <w:szCs w:val="19"/>
          <w:b w:val="1"/>
          <w:bCs w:val="1"/>
          <w:i w:val="1"/>
          <w:iCs w:val="1"/>
          <w:color w:val="auto"/>
        </w:rPr>
        <w:t>Greater Than 10% Stockholder</w:t>
      </w:r>
      <w:r>
        <w:rPr>
          <w:rFonts w:ascii="Times New Roman" w:cs="Times New Roman" w:eastAsia="Times New Roman" w:hAnsi="Times New Roman"/>
          <w:sz w:val="19"/>
          <w:szCs w:val="19"/>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Section 424(e) and (f) of the Code, respectively.</w:t>
      </w:r>
    </w:p>
    <w:p>
      <w:pPr>
        <w:spacing w:after="0" w:line="139" w:lineRule="exact"/>
        <w:rPr>
          <w:sz w:val="20"/>
          <w:szCs w:val="20"/>
          <w:color w:val="auto"/>
        </w:rPr>
      </w:pPr>
    </w:p>
    <w:p>
      <w:pPr>
        <w:jc w:val="both"/>
        <w:ind w:firstLine="578"/>
        <w:spacing w:after="0" w:line="292" w:lineRule="auto"/>
        <w:rPr>
          <w:sz w:val="20"/>
          <w:szCs w:val="20"/>
          <w:color w:val="auto"/>
        </w:rPr>
      </w:pPr>
      <w:r>
        <w:rPr>
          <w:rFonts w:ascii="Times New Roman" w:cs="Times New Roman" w:eastAsia="Times New Roman" w:hAnsi="Times New Roman"/>
          <w:sz w:val="19"/>
          <w:szCs w:val="19"/>
          <w:color w:val="auto"/>
        </w:rPr>
        <w:t>2.24 “</w:t>
      </w:r>
      <w:r>
        <w:rPr>
          <w:rFonts w:ascii="Times New Roman" w:cs="Times New Roman" w:eastAsia="Times New Roman" w:hAnsi="Times New Roman"/>
          <w:sz w:val="19"/>
          <w:szCs w:val="19"/>
          <w:b w:val="1"/>
          <w:bCs w:val="1"/>
          <w:i w:val="1"/>
          <w:iCs w:val="1"/>
          <w:color w:val="auto"/>
        </w:rPr>
        <w:t>Incentive Stock Option</w:t>
      </w:r>
      <w:r>
        <w:rPr>
          <w:rFonts w:ascii="Times New Roman" w:cs="Times New Roman" w:eastAsia="Times New Roman" w:hAnsi="Times New Roman"/>
          <w:sz w:val="19"/>
          <w:szCs w:val="19"/>
          <w:color w:val="auto"/>
        </w:rPr>
        <w:t>” means an Option that meets the requirements to qualify as an “incentive stock option” as defined in Section 422 of the Code.</w:t>
      </w:r>
    </w:p>
    <w:p>
      <w:pPr>
        <w:spacing w:after="0" w:line="130"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2.25</w:t>
        <w:tab/>
        <w:t>“</w:t>
      </w:r>
      <w:r>
        <w:rPr>
          <w:rFonts w:ascii="Times New Roman" w:cs="Times New Roman" w:eastAsia="Times New Roman" w:hAnsi="Times New Roman"/>
          <w:sz w:val="19"/>
          <w:szCs w:val="19"/>
          <w:b w:val="1"/>
          <w:bCs w:val="1"/>
          <w:i w:val="1"/>
          <w:iCs w:val="1"/>
          <w:color w:val="auto"/>
        </w:rPr>
        <w:t>Non-Employee Director</w:t>
      </w:r>
      <w:r>
        <w:rPr>
          <w:rFonts w:ascii="Times New Roman" w:cs="Times New Roman" w:eastAsia="Times New Roman" w:hAnsi="Times New Roman"/>
          <w:sz w:val="19"/>
          <w:szCs w:val="19"/>
          <w:color w:val="auto"/>
        </w:rPr>
        <w:t>” means a Director who is not an Employee.</w:t>
      </w:r>
    </w:p>
    <w:p>
      <w:pPr>
        <w:spacing w:after="0" w:line="203"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2.26</w:t>
        <w:tab/>
        <w:t>“</w:t>
      </w:r>
      <w:r>
        <w:rPr>
          <w:rFonts w:ascii="Times New Roman" w:cs="Times New Roman" w:eastAsia="Times New Roman" w:hAnsi="Times New Roman"/>
          <w:sz w:val="19"/>
          <w:szCs w:val="19"/>
          <w:b w:val="1"/>
          <w:bCs w:val="1"/>
          <w:i w:val="1"/>
          <w:iCs w:val="1"/>
          <w:color w:val="auto"/>
        </w:rPr>
        <w:t>Nonqualified Stock Option</w:t>
      </w:r>
      <w:r>
        <w:rPr>
          <w:rFonts w:ascii="Times New Roman" w:cs="Times New Roman" w:eastAsia="Times New Roman" w:hAnsi="Times New Roman"/>
          <w:sz w:val="19"/>
          <w:szCs w:val="19"/>
          <w:color w:val="auto"/>
        </w:rPr>
        <w:t>” means an Option that is not an Incentive Stock Option.</w:t>
      </w:r>
    </w:p>
    <w:p>
      <w:pPr>
        <w:spacing w:after="0" w:line="203" w:lineRule="exact"/>
        <w:rPr>
          <w:sz w:val="20"/>
          <w:szCs w:val="20"/>
          <w:color w:val="auto"/>
        </w:rPr>
      </w:pPr>
    </w:p>
    <w:p>
      <w:pPr>
        <w:jc w:val="both"/>
        <w:ind w:firstLine="578"/>
        <w:spacing w:after="0" w:line="292" w:lineRule="auto"/>
        <w:rPr>
          <w:sz w:val="20"/>
          <w:szCs w:val="20"/>
          <w:color w:val="auto"/>
        </w:rPr>
      </w:pPr>
      <w:r>
        <w:rPr>
          <w:rFonts w:ascii="Times New Roman" w:cs="Times New Roman" w:eastAsia="Times New Roman" w:hAnsi="Times New Roman"/>
          <w:sz w:val="19"/>
          <w:szCs w:val="19"/>
          <w:color w:val="auto"/>
        </w:rPr>
        <w:t>2.27 “</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118" w:lineRule="exact"/>
        <w:rPr>
          <w:sz w:val="20"/>
          <w:szCs w:val="20"/>
          <w:color w:val="auto"/>
        </w:rPr>
      </w:pPr>
    </w:p>
    <w:p>
      <w:pPr>
        <w:jc w:val="both"/>
        <w:ind w:firstLine="578"/>
        <w:spacing w:after="0" w:line="305" w:lineRule="auto"/>
        <w:rPr>
          <w:sz w:val="20"/>
          <w:szCs w:val="20"/>
          <w:color w:val="auto"/>
        </w:rPr>
      </w:pPr>
      <w:r>
        <w:rPr>
          <w:rFonts w:ascii="Times New Roman" w:cs="Times New Roman" w:eastAsia="Times New Roman" w:hAnsi="Times New Roman"/>
          <w:sz w:val="19"/>
          <w:szCs w:val="19"/>
          <w:color w:val="auto"/>
        </w:rPr>
        <w:t>2.28 “</w:t>
      </w:r>
      <w:r>
        <w:rPr>
          <w:rFonts w:ascii="Times New Roman" w:cs="Times New Roman" w:eastAsia="Times New Roman" w:hAnsi="Times New Roman"/>
          <w:sz w:val="19"/>
          <w:szCs w:val="19"/>
          <w:b w:val="1"/>
          <w:bCs w:val="1"/>
          <w:i w:val="1"/>
          <w:iCs w:val="1"/>
          <w:color w:val="auto"/>
        </w:rPr>
        <w:t>Other Stock or Cash Based Awards</w:t>
      </w:r>
      <w:r>
        <w:rPr>
          <w:rFonts w:ascii="Times New Roman" w:cs="Times New Roman" w:eastAsia="Times New Roman" w:hAnsi="Times New Roman"/>
          <w:sz w:val="19"/>
          <w:szCs w:val="19"/>
          <w:color w:val="auto"/>
        </w:rPr>
        <w:t>” means cash awards, awards of Shares, and other awards valued wholly or partially by referring to, or are otherwise based on, Shares or other property.</w:t>
      </w:r>
    </w:p>
    <w:p>
      <w:pPr>
        <w:spacing w:after="0" w:line="107" w:lineRule="exact"/>
        <w:rPr>
          <w:sz w:val="20"/>
          <w:szCs w:val="20"/>
          <w:color w:val="auto"/>
        </w:rPr>
      </w:pPr>
    </w:p>
    <w:p>
      <w:pPr>
        <w:jc w:val="both"/>
        <w:ind w:firstLine="578"/>
        <w:spacing w:after="0" w:line="292" w:lineRule="auto"/>
        <w:rPr>
          <w:sz w:val="20"/>
          <w:szCs w:val="20"/>
          <w:color w:val="auto"/>
        </w:rPr>
      </w:pPr>
      <w:r>
        <w:rPr>
          <w:rFonts w:ascii="Times New Roman" w:cs="Times New Roman" w:eastAsia="Times New Roman" w:hAnsi="Times New Roman"/>
          <w:sz w:val="19"/>
          <w:szCs w:val="19"/>
          <w:color w:val="auto"/>
        </w:rPr>
        <w:t>2.29 “</w:t>
      </w:r>
      <w:r>
        <w:rPr>
          <w:rFonts w:ascii="Times New Roman" w:cs="Times New Roman" w:eastAsia="Times New Roman" w:hAnsi="Times New Roman"/>
          <w:sz w:val="19"/>
          <w:szCs w:val="19"/>
          <w:b w:val="1"/>
          <w:bCs w:val="1"/>
          <w:i w:val="1"/>
          <w:iCs w:val="1"/>
          <w:color w:val="auto"/>
        </w:rPr>
        <w:t>Overall Share Limit</w:t>
      </w:r>
      <w:r>
        <w:rPr>
          <w:rFonts w:ascii="Times New Roman" w:cs="Times New Roman" w:eastAsia="Times New Roman" w:hAnsi="Times New Roman"/>
          <w:sz w:val="19"/>
          <w:szCs w:val="19"/>
          <w:color w:val="auto"/>
        </w:rPr>
        <w:t>” means the sum of (a) 17,200,000 Shares, plus (b) any Shares that are subject to Prior Plan Awards that become available for issuance under the Plan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78" w:right="339" w:bottom="1440" w:gutter="0" w:footer="0" w:header="0"/>
        </w:sectPr>
      </w:pPr>
    </w:p>
    <w:bookmarkStart w:id="89" w:name="page90"/>
    <w:bookmarkEnd w:id="89"/>
    <w:p>
      <w:pPr>
        <w:jc w:val="both"/>
        <w:ind w:right="20"/>
        <w:spacing w:after="0" w:line="287" w:lineRule="auto"/>
        <w:rPr>
          <w:sz w:val="20"/>
          <w:szCs w:val="20"/>
          <w:color w:val="auto"/>
        </w:rPr>
      </w:pPr>
      <w:r>
        <w:rPr>
          <w:rFonts w:ascii="Times New Roman" w:cs="Times New Roman" w:eastAsia="Times New Roman" w:hAnsi="Times New Roman"/>
          <w:sz w:val="19"/>
          <w:szCs w:val="19"/>
          <w:color w:val="auto"/>
        </w:rPr>
        <w:t>Shares pursuant to Article V, minus (c) any Shares subject to awards under the Prior Plan that are granted after March 22, 2023 and before the Effective Date.</w:t>
      </w:r>
    </w:p>
    <w:p>
      <w:pPr>
        <w:spacing w:after="0" w:line="124"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2.30</w:t>
        <w:tab/>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Service Provider who has been granted an Award.</w:t>
      </w:r>
    </w:p>
    <w:p>
      <w:pPr>
        <w:spacing w:after="0" w:line="215"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2.31</w:t>
        <w:tab/>
        <w:t>“</w:t>
      </w:r>
      <w:r>
        <w:rPr>
          <w:rFonts w:ascii="Times New Roman" w:cs="Times New Roman" w:eastAsia="Times New Roman" w:hAnsi="Times New Roman"/>
          <w:sz w:val="19"/>
          <w:szCs w:val="19"/>
          <w:b w:val="1"/>
          <w:bCs w:val="1"/>
          <w:i w:val="1"/>
          <w:iCs w:val="1"/>
          <w:color w:val="auto"/>
        </w:rPr>
        <w:t>Performance Bonus Award</w:t>
      </w:r>
      <w:r>
        <w:rPr>
          <w:rFonts w:ascii="Times New Roman" w:cs="Times New Roman" w:eastAsia="Times New Roman" w:hAnsi="Times New Roman"/>
          <w:sz w:val="19"/>
          <w:szCs w:val="19"/>
          <w:color w:val="auto"/>
        </w:rPr>
        <w:t>” has the meaning set forth in Section 8.3.</w:t>
      </w:r>
    </w:p>
    <w:p>
      <w:pPr>
        <w:spacing w:after="0" w:line="203" w:lineRule="exact"/>
        <w:rPr>
          <w:sz w:val="20"/>
          <w:szCs w:val="20"/>
          <w:color w:val="auto"/>
        </w:rPr>
      </w:pPr>
    </w:p>
    <w:p>
      <w:pPr>
        <w:jc w:val="both"/>
        <w:ind w:right="20" w:firstLine="578"/>
        <w:spacing w:after="0" w:line="271" w:lineRule="auto"/>
        <w:rPr>
          <w:sz w:val="20"/>
          <w:szCs w:val="20"/>
          <w:color w:val="auto"/>
        </w:rPr>
      </w:pPr>
      <w:r>
        <w:rPr>
          <w:rFonts w:ascii="Times New Roman" w:cs="Times New Roman" w:eastAsia="Times New Roman" w:hAnsi="Times New Roman"/>
          <w:sz w:val="19"/>
          <w:szCs w:val="19"/>
          <w:color w:val="auto"/>
        </w:rPr>
        <w:t>2.32 “</w:t>
      </w:r>
      <w:r>
        <w:rPr>
          <w:rFonts w:ascii="Times New Roman" w:cs="Times New Roman" w:eastAsia="Times New Roman" w:hAnsi="Times New Roman"/>
          <w:sz w:val="19"/>
          <w:szCs w:val="19"/>
          <w:b w:val="1"/>
          <w:bCs w:val="1"/>
          <w:i w:val="1"/>
          <w:iCs w:val="1"/>
          <w:color w:val="auto"/>
        </w:rPr>
        <w:t>Performance Stock Unit</w:t>
      </w:r>
      <w:r>
        <w:rPr>
          <w:rFonts w:ascii="Times New Roman" w:cs="Times New Roman" w:eastAsia="Times New Roman" w:hAnsi="Times New Roman"/>
          <w:sz w:val="19"/>
          <w:szCs w:val="19"/>
          <w:color w:val="auto"/>
        </w:rPr>
        <w:t>” means a right granted to a Participant pursuant to Section 8.1 and subject to Section 8.2, to receive Shares or an amount of cash or other consideration determined by the Administrator to be of equal value as of the settlement date, the payment of which is contingent upon achieving certain performance goals or other performance-based targets established by the Administrator.</w:t>
      </w:r>
    </w:p>
    <w:p>
      <w:pPr>
        <w:spacing w:after="0" w:line="139" w:lineRule="exact"/>
        <w:rPr>
          <w:sz w:val="20"/>
          <w:szCs w:val="20"/>
          <w:color w:val="auto"/>
        </w:rPr>
      </w:pPr>
    </w:p>
    <w:p>
      <w:pPr>
        <w:jc w:val="both"/>
        <w:ind w:right="20" w:firstLine="578"/>
        <w:spacing w:after="0" w:line="278" w:lineRule="auto"/>
        <w:rPr>
          <w:sz w:val="20"/>
          <w:szCs w:val="20"/>
          <w:color w:val="auto"/>
        </w:rPr>
      </w:pPr>
      <w:r>
        <w:rPr>
          <w:rFonts w:ascii="Times New Roman" w:cs="Times New Roman" w:eastAsia="Times New Roman" w:hAnsi="Times New Roman"/>
          <w:sz w:val="19"/>
          <w:szCs w:val="19"/>
          <w:color w:val="auto"/>
        </w:rPr>
        <w:t>2.33 “</w:t>
      </w:r>
      <w:r>
        <w:rPr>
          <w:rFonts w:ascii="Times New Roman" w:cs="Times New Roman" w:eastAsia="Times New Roman" w:hAnsi="Times New Roman"/>
          <w:sz w:val="19"/>
          <w:szCs w:val="19"/>
          <w:b w:val="1"/>
          <w:bCs w:val="1"/>
          <w:i w:val="1"/>
          <w:iCs w:val="1"/>
          <w:color w:val="auto"/>
        </w:rPr>
        <w:t>Permitted Transferee</w:t>
      </w:r>
      <w:r>
        <w:rPr>
          <w:rFonts w:ascii="Times New Roman" w:cs="Times New Roman" w:eastAsia="Times New Roman" w:hAnsi="Times New Roman"/>
          <w:sz w:val="19"/>
          <w:szCs w:val="19"/>
          <w:color w:val="auto"/>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32"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2.34</w:t>
        <w:tab/>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2023 Incentive Award Plan.</w:t>
      </w:r>
    </w:p>
    <w:p>
      <w:pPr>
        <w:spacing w:after="0" w:line="203"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2.35</w:t>
        <w:tab/>
        <w:t>“</w:t>
      </w:r>
      <w:r>
        <w:rPr>
          <w:rFonts w:ascii="Times New Roman" w:cs="Times New Roman" w:eastAsia="Times New Roman" w:hAnsi="Times New Roman"/>
          <w:sz w:val="19"/>
          <w:szCs w:val="19"/>
          <w:b w:val="1"/>
          <w:bCs w:val="1"/>
          <w:i w:val="1"/>
          <w:iCs w:val="1"/>
          <w:color w:val="auto"/>
        </w:rPr>
        <w:t>Prior Plan</w:t>
      </w:r>
      <w:r>
        <w:rPr>
          <w:rFonts w:ascii="Times New Roman" w:cs="Times New Roman" w:eastAsia="Times New Roman" w:hAnsi="Times New Roman"/>
          <w:sz w:val="19"/>
          <w:szCs w:val="19"/>
          <w:color w:val="auto"/>
        </w:rPr>
        <w:t>” means the Company’s 2013 Incentive Award Plan, as it may be amended from time to time.</w:t>
      </w:r>
    </w:p>
    <w:p>
      <w:pPr>
        <w:spacing w:after="0" w:line="203" w:lineRule="exact"/>
        <w:rPr>
          <w:sz w:val="20"/>
          <w:szCs w:val="20"/>
          <w:color w:val="auto"/>
        </w:rPr>
      </w:pPr>
    </w:p>
    <w:p>
      <w:pPr>
        <w:jc w:val="both"/>
        <w:ind w:right="20" w:firstLine="578"/>
        <w:spacing w:after="0" w:line="292" w:lineRule="auto"/>
        <w:rPr>
          <w:sz w:val="20"/>
          <w:szCs w:val="20"/>
          <w:color w:val="auto"/>
        </w:rPr>
      </w:pPr>
      <w:r>
        <w:rPr>
          <w:rFonts w:ascii="Times New Roman" w:cs="Times New Roman" w:eastAsia="Times New Roman" w:hAnsi="Times New Roman"/>
          <w:sz w:val="19"/>
          <w:szCs w:val="19"/>
          <w:color w:val="auto"/>
        </w:rPr>
        <w:t>2.36 “</w:t>
      </w:r>
      <w:r>
        <w:rPr>
          <w:rFonts w:ascii="Times New Roman" w:cs="Times New Roman" w:eastAsia="Times New Roman" w:hAnsi="Times New Roman"/>
          <w:sz w:val="19"/>
          <w:szCs w:val="19"/>
          <w:b w:val="1"/>
          <w:bCs w:val="1"/>
          <w:i w:val="1"/>
          <w:iCs w:val="1"/>
          <w:color w:val="auto"/>
        </w:rPr>
        <w:t>Prior Plan Award</w:t>
      </w:r>
      <w:r>
        <w:rPr>
          <w:rFonts w:ascii="Times New Roman" w:cs="Times New Roman" w:eastAsia="Times New Roman" w:hAnsi="Times New Roman"/>
          <w:sz w:val="19"/>
          <w:szCs w:val="19"/>
          <w:color w:val="auto"/>
        </w:rPr>
        <w:t>” means an award outstanding under the Prior Plan as of March 22, 2023 or granted under the Prior Plan following such date and prior to the Effective Date.</w:t>
      </w:r>
    </w:p>
    <w:p>
      <w:pPr>
        <w:spacing w:after="0" w:line="130"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9"/>
          <w:szCs w:val="19"/>
          <w:color w:val="auto"/>
        </w:rPr>
        <w:t>2.37 “</w:t>
      </w:r>
      <w:r>
        <w:rPr>
          <w:rFonts w:ascii="Times New Roman" w:cs="Times New Roman" w:eastAsia="Times New Roman" w:hAnsi="Times New Roman"/>
          <w:sz w:val="19"/>
          <w:szCs w:val="19"/>
          <w:b w:val="1"/>
          <w:bCs w:val="1"/>
          <w:i w:val="1"/>
          <w:iCs w:val="1"/>
          <w:color w:val="auto"/>
        </w:rPr>
        <w:t>Restricted Stock</w:t>
      </w:r>
      <w:r>
        <w:rPr>
          <w:rFonts w:ascii="Times New Roman" w:cs="Times New Roman" w:eastAsia="Times New Roman" w:hAnsi="Times New Roman"/>
          <w:sz w:val="19"/>
          <w:szCs w:val="19"/>
          <w:color w:val="auto"/>
        </w:rPr>
        <w:t>” means Shares awarded to a Participant under Article VII, subject to certain vesting conditions and other restrictions.</w:t>
      </w:r>
    </w:p>
    <w:p>
      <w:pPr>
        <w:spacing w:after="0" w:line="200" w:lineRule="exact"/>
        <w:rPr>
          <w:sz w:val="20"/>
          <w:szCs w:val="20"/>
          <w:color w:val="auto"/>
        </w:rPr>
      </w:pPr>
    </w:p>
    <w:p>
      <w:pPr>
        <w:spacing w:after="0" w:line="208" w:lineRule="exact"/>
        <w:rPr>
          <w:sz w:val="20"/>
          <w:szCs w:val="20"/>
          <w:color w:val="auto"/>
        </w:rPr>
      </w:pPr>
    </w:p>
    <w:p>
      <w:pPr>
        <w:jc w:val="both"/>
        <w:ind w:right="20" w:firstLine="578"/>
        <w:spacing w:after="0" w:line="271" w:lineRule="auto"/>
        <w:rPr>
          <w:sz w:val="20"/>
          <w:szCs w:val="20"/>
          <w:color w:val="auto"/>
        </w:rPr>
      </w:pPr>
      <w:r>
        <w:rPr>
          <w:rFonts w:ascii="Times New Roman" w:cs="Times New Roman" w:eastAsia="Times New Roman" w:hAnsi="Times New Roman"/>
          <w:sz w:val="19"/>
          <w:szCs w:val="19"/>
          <w:color w:val="auto"/>
        </w:rPr>
        <w:t>2.38 “</w:t>
      </w:r>
      <w:r>
        <w:rPr>
          <w:rFonts w:ascii="Times New Roman" w:cs="Times New Roman" w:eastAsia="Times New Roman" w:hAnsi="Times New Roman"/>
          <w:sz w:val="19"/>
          <w:szCs w:val="19"/>
          <w:b w:val="1"/>
          <w:bCs w:val="1"/>
          <w:i w:val="1"/>
          <w:iCs w:val="1"/>
          <w:color w:val="auto"/>
        </w:rPr>
        <w:t>Restricted Stock Unit</w:t>
      </w:r>
      <w:r>
        <w:rPr>
          <w:rFonts w:ascii="Times New Roman" w:cs="Times New Roman" w:eastAsia="Times New Roman" w:hAnsi="Times New Roman"/>
          <w:sz w:val="19"/>
          <w:szCs w:val="19"/>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51"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2.39</w:t>
        <w:tab/>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 including any amendments thereto.</w:t>
      </w:r>
    </w:p>
    <w:p>
      <w:pPr>
        <w:spacing w:after="0" w:line="203"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2.40</w:t>
        <w:tab/>
        <w:t>“</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means Section 409A of the Code.</w:t>
      </w:r>
    </w:p>
    <w:p>
      <w:pPr>
        <w:spacing w:after="0" w:line="203" w:lineRule="exact"/>
        <w:rPr>
          <w:sz w:val="20"/>
          <w:szCs w:val="20"/>
          <w:color w:val="auto"/>
        </w:rPr>
      </w:pPr>
    </w:p>
    <w:p>
      <w:pPr>
        <w:jc w:val="both"/>
        <w:ind w:right="20" w:firstLine="578"/>
        <w:spacing w:after="0" w:line="292" w:lineRule="auto"/>
        <w:rPr>
          <w:sz w:val="20"/>
          <w:szCs w:val="20"/>
          <w:color w:val="auto"/>
        </w:rPr>
      </w:pPr>
      <w:r>
        <w:rPr>
          <w:rFonts w:ascii="Times New Roman" w:cs="Times New Roman" w:eastAsia="Times New Roman" w:hAnsi="Times New Roman"/>
          <w:sz w:val="19"/>
          <w:szCs w:val="19"/>
          <w:color w:val="auto"/>
        </w:rPr>
        <w:t>2.41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 and all regulations, guidance and other interpretative authority issued thereunder.</w:t>
      </w:r>
    </w:p>
    <w:p>
      <w:pPr>
        <w:spacing w:after="0" w:line="118"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2.42</w:t>
        <w:tab/>
        <w:t>“</w:t>
      </w:r>
      <w:r>
        <w:rPr>
          <w:rFonts w:ascii="Times New Roman" w:cs="Times New Roman" w:eastAsia="Times New Roman" w:hAnsi="Times New Roman"/>
          <w:sz w:val="19"/>
          <w:szCs w:val="19"/>
          <w:b w:val="1"/>
          <w:bCs w:val="1"/>
          <w:i w:val="1"/>
          <w:iCs w:val="1"/>
          <w:color w:val="auto"/>
        </w:rPr>
        <w:t>Service Provider</w:t>
      </w:r>
      <w:r>
        <w:rPr>
          <w:rFonts w:ascii="Times New Roman" w:cs="Times New Roman" w:eastAsia="Times New Roman" w:hAnsi="Times New Roman"/>
          <w:sz w:val="19"/>
          <w:szCs w:val="19"/>
          <w:color w:val="auto"/>
        </w:rPr>
        <w:t>” means an Employee, Consultant or Director.</w:t>
      </w:r>
    </w:p>
    <w:p>
      <w:pPr>
        <w:spacing w:after="0" w:line="215"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2.43</w:t>
        <w:tab/>
        <w:t>“</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means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60"/>
          </w:cols>
          <w:pgMar w:left="320" w:top="1282" w:right="319" w:bottom="1440" w:gutter="0" w:footer="0" w:header="0"/>
        </w:sectPr>
      </w:pPr>
    </w:p>
    <w:bookmarkStart w:id="90" w:name="page91"/>
    <w:bookmarkEnd w:id="90"/>
    <w:p>
      <w:pPr>
        <w:jc w:val="both"/>
        <w:ind w:right="20" w:firstLine="578"/>
        <w:spacing w:after="0" w:line="271" w:lineRule="auto"/>
        <w:rPr>
          <w:sz w:val="20"/>
          <w:szCs w:val="20"/>
          <w:color w:val="auto"/>
        </w:rPr>
      </w:pPr>
      <w:r>
        <w:rPr>
          <w:rFonts w:ascii="Times New Roman" w:cs="Times New Roman" w:eastAsia="Times New Roman" w:hAnsi="Times New Roman"/>
          <w:sz w:val="19"/>
          <w:szCs w:val="19"/>
          <w:color w:val="auto"/>
        </w:rPr>
        <w:t>2.44 “</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SAR</w:t>
      </w:r>
      <w:r>
        <w:rPr>
          <w:rFonts w:ascii="Times New Roman" w:cs="Times New Roman" w:eastAsia="Times New Roman" w:hAnsi="Times New Roman"/>
          <w:sz w:val="19"/>
          <w:szCs w:val="19"/>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151" w:lineRule="exact"/>
        <w:rPr>
          <w:sz w:val="20"/>
          <w:szCs w:val="20"/>
          <w:color w:val="auto"/>
        </w:rPr>
      </w:pPr>
    </w:p>
    <w:p>
      <w:pPr>
        <w:jc w:val="both"/>
        <w:ind w:firstLine="578"/>
        <w:spacing w:after="0" w:line="264" w:lineRule="auto"/>
        <w:rPr>
          <w:sz w:val="20"/>
          <w:szCs w:val="20"/>
          <w:color w:val="auto"/>
        </w:rPr>
      </w:pPr>
      <w:r>
        <w:rPr>
          <w:rFonts w:ascii="Times New Roman" w:cs="Times New Roman" w:eastAsia="Times New Roman" w:hAnsi="Times New Roman"/>
          <w:sz w:val="19"/>
          <w:szCs w:val="19"/>
          <w:color w:val="auto"/>
        </w:rPr>
        <w:t>2.45 “</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46" w:lineRule="exact"/>
        <w:rPr>
          <w:sz w:val="20"/>
          <w:szCs w:val="20"/>
          <w:color w:val="auto"/>
        </w:rPr>
      </w:pPr>
    </w:p>
    <w:p>
      <w:pPr>
        <w:jc w:val="both"/>
        <w:ind w:right="20" w:firstLine="578"/>
        <w:spacing w:after="0" w:line="278" w:lineRule="auto"/>
        <w:rPr>
          <w:sz w:val="20"/>
          <w:szCs w:val="20"/>
          <w:color w:val="auto"/>
        </w:rPr>
      </w:pPr>
      <w:r>
        <w:rPr>
          <w:rFonts w:ascii="Times New Roman" w:cs="Times New Roman" w:eastAsia="Times New Roman" w:hAnsi="Times New Roman"/>
          <w:sz w:val="19"/>
          <w:szCs w:val="19"/>
          <w:color w:val="auto"/>
        </w:rPr>
        <w:t>2.46 “</w:t>
      </w:r>
      <w:r>
        <w:rPr>
          <w:rFonts w:ascii="Times New Roman" w:cs="Times New Roman" w:eastAsia="Times New Roman" w:hAnsi="Times New Roman"/>
          <w:sz w:val="19"/>
          <w:szCs w:val="19"/>
          <w:b w:val="1"/>
          <w:bCs w:val="1"/>
          <w:i w:val="1"/>
          <w:iCs w:val="1"/>
          <w:color w:val="auto"/>
        </w:rPr>
        <w:t>Substitute Awards</w:t>
      </w:r>
      <w:r>
        <w:rPr>
          <w:rFonts w:ascii="Times New Roman" w:cs="Times New Roman" w:eastAsia="Times New Roman" w:hAnsi="Times New Roman"/>
          <w:sz w:val="19"/>
          <w:szCs w:val="19"/>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132" w:lineRule="exact"/>
        <w:rPr>
          <w:sz w:val="20"/>
          <w:szCs w:val="20"/>
          <w:color w:val="auto"/>
        </w:rPr>
      </w:pPr>
    </w:p>
    <w:p>
      <w:pPr>
        <w:jc w:val="both"/>
        <w:ind w:firstLine="578"/>
        <w:spacing w:after="0" w:line="271" w:lineRule="auto"/>
        <w:rPr>
          <w:sz w:val="20"/>
          <w:szCs w:val="20"/>
          <w:color w:val="auto"/>
        </w:rPr>
      </w:pPr>
      <w:r>
        <w:rPr>
          <w:rFonts w:ascii="Times New Roman" w:cs="Times New Roman" w:eastAsia="Times New Roman" w:hAnsi="Times New Roman"/>
          <w:sz w:val="19"/>
          <w:szCs w:val="19"/>
          <w:color w:val="auto"/>
        </w:rPr>
        <w:t>2.47 “</w:t>
      </w:r>
      <w:r>
        <w:rPr>
          <w:rFonts w:ascii="Times New Roman" w:cs="Times New Roman" w:eastAsia="Times New Roman" w:hAnsi="Times New Roman"/>
          <w:sz w:val="19"/>
          <w:szCs w:val="19"/>
          <w:b w:val="1"/>
          <w:bCs w:val="1"/>
          <w:i w:val="1"/>
          <w:iCs w:val="1"/>
          <w:color w:val="auto"/>
        </w:rPr>
        <w:t>Tax-Related Items</w:t>
      </w:r>
      <w:r>
        <w:rPr>
          <w:rFonts w:ascii="Times New Roman" w:cs="Times New Roman" w:eastAsia="Times New Roman" w:hAnsi="Times New Roman"/>
          <w:sz w:val="19"/>
          <w:szCs w:val="19"/>
          <w:color w:val="auto"/>
        </w:rPr>
        <w:t>” 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w:t>
      </w:r>
    </w:p>
    <w:p>
      <w:pPr>
        <w:spacing w:after="0" w:line="139"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2.48</w:t>
        <w:tab/>
        <w:t>“</w:t>
      </w:r>
      <w:r>
        <w:rPr>
          <w:rFonts w:ascii="Times New Roman" w:cs="Times New Roman" w:eastAsia="Times New Roman" w:hAnsi="Times New Roman"/>
          <w:sz w:val="19"/>
          <w:szCs w:val="19"/>
          <w:b w:val="1"/>
          <w:bCs w:val="1"/>
          <w:i w:val="1"/>
          <w:iCs w:val="1"/>
          <w:color w:val="auto"/>
        </w:rPr>
        <w:t>Termination of Service</w:t>
      </w:r>
      <w:r>
        <w:rPr>
          <w:rFonts w:ascii="Times New Roman" w:cs="Times New Roman" w:eastAsia="Times New Roman" w:hAnsi="Times New Roman"/>
          <w:sz w:val="19"/>
          <w:szCs w:val="19"/>
          <w:color w:val="auto"/>
        </w:rPr>
        <w:t>” means:</w:t>
      </w:r>
    </w:p>
    <w:p>
      <w:pPr>
        <w:spacing w:after="0" w:line="219" w:lineRule="exact"/>
        <w:rPr>
          <w:sz w:val="20"/>
          <w:szCs w:val="20"/>
          <w:color w:val="auto"/>
        </w:rPr>
      </w:pPr>
    </w:p>
    <w:p>
      <w:pPr>
        <w:jc w:val="both"/>
        <w:ind w:right="20" w:firstLine="1152"/>
        <w:spacing w:after="0" w:line="269" w:lineRule="auto"/>
        <w:tabs>
          <w:tab w:leader="none" w:pos="1663"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 Consultant, the time when the engagement of a Participant as a Consultant to the Company or a Subsidiary is terminated for any reason, including, without limitation, by resignation, discharge, death or retirement, but excluding terminations where the Consultant simultaneously commences or remains in employment or service with the Company or any Subsidiary.</w:t>
      </w:r>
    </w:p>
    <w:p>
      <w:pPr>
        <w:spacing w:after="0" w:line="144" w:lineRule="exact"/>
        <w:rPr>
          <w:rFonts w:ascii="Times New Roman" w:cs="Times New Roman" w:eastAsia="Times New Roman" w:hAnsi="Times New Roman"/>
          <w:sz w:val="19"/>
          <w:szCs w:val="19"/>
          <w:color w:val="auto"/>
        </w:rPr>
      </w:pPr>
    </w:p>
    <w:p>
      <w:pPr>
        <w:jc w:val="both"/>
        <w:ind w:right="20" w:firstLine="1152"/>
        <w:spacing w:after="0" w:line="276" w:lineRule="auto"/>
        <w:tabs>
          <w:tab w:leader="none" w:pos="1568"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employment or service or remains in service with the Company or any Subsidiary.</w:t>
      </w:r>
    </w:p>
    <w:p>
      <w:pPr>
        <w:spacing w:after="0" w:line="137" w:lineRule="exact"/>
        <w:rPr>
          <w:rFonts w:ascii="Times New Roman" w:cs="Times New Roman" w:eastAsia="Times New Roman" w:hAnsi="Times New Roman"/>
          <w:sz w:val="19"/>
          <w:szCs w:val="19"/>
          <w:color w:val="auto"/>
        </w:rPr>
      </w:pPr>
    </w:p>
    <w:p>
      <w:pPr>
        <w:jc w:val="both"/>
        <w:ind w:right="20" w:firstLine="1152"/>
        <w:spacing w:after="0" w:line="263" w:lineRule="auto"/>
        <w:tabs>
          <w:tab w:leader="none" w:pos="165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62"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9"/>
          <w:szCs w:val="19"/>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60"/>
          </w:cols>
          <w:pgMar w:left="320" w:top="1278" w:right="319" w:bottom="1440" w:gutter="0" w:footer="0" w:header="0"/>
        </w:sectPr>
      </w:pPr>
    </w:p>
    <w:bookmarkStart w:id="91" w:name="page92"/>
    <w:bookmarkEnd w:id="91"/>
    <w:p>
      <w:pPr>
        <w:jc w:val="both"/>
        <w:ind w:left="4" w:right="20"/>
        <w:spacing w:after="0" w:line="269" w:lineRule="auto"/>
        <w:rPr>
          <w:sz w:val="20"/>
          <w:szCs w:val="20"/>
          <w:color w:val="auto"/>
        </w:rPr>
      </w:pPr>
      <w:r>
        <w:rPr>
          <w:rFonts w:ascii="Times New Roman" w:cs="Times New Roman" w:eastAsia="Times New Roman" w:hAnsi="Times New Roman"/>
          <w:sz w:val="19"/>
          <w:szCs w:val="19"/>
          <w:color w:val="auto"/>
        </w:rPr>
        <w:t>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p>
    <w:p>
      <w:pPr>
        <w:spacing w:after="0" w:line="152"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36"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9"/>
          <w:szCs w:val="19"/>
          <w:b w:val="1"/>
          <w:bCs w:val="1"/>
          <w:color w:val="auto"/>
        </w:rPr>
        <w:t>ELIGIBILITY</w:t>
      </w:r>
    </w:p>
    <w:p>
      <w:pPr>
        <w:spacing w:after="0" w:line="181" w:lineRule="exact"/>
        <w:rPr>
          <w:sz w:val="20"/>
          <w:szCs w:val="20"/>
          <w:color w:val="auto"/>
        </w:rPr>
      </w:pPr>
    </w:p>
    <w:p>
      <w:pPr>
        <w:jc w:val="both"/>
        <w:ind w:left="4" w:firstLine="578"/>
        <w:spacing w:after="0" w:line="269" w:lineRule="auto"/>
        <w:rPr>
          <w:sz w:val="20"/>
          <w:szCs w:val="20"/>
          <w:color w:val="auto"/>
        </w:rPr>
      </w:pPr>
      <w:r>
        <w:rPr>
          <w:rFonts w:ascii="Times New Roman" w:cs="Times New Roman" w:eastAsia="Times New Roman" w:hAnsi="Times New Roman"/>
          <w:sz w:val="19"/>
          <w:szCs w:val="19"/>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ADMINISTRATION AND DELEGATION</w:t>
      </w:r>
    </w:p>
    <w:p>
      <w:pPr>
        <w:spacing w:after="0" w:line="181" w:lineRule="exact"/>
        <w:rPr>
          <w:sz w:val="20"/>
          <w:szCs w:val="20"/>
          <w:color w:val="auto"/>
        </w:rPr>
      </w:pPr>
    </w:p>
    <w:p>
      <w:pPr>
        <w:ind w:left="584"/>
        <w:spacing w:after="0"/>
        <w:tabs>
          <w:tab w:leader="none" w:pos="983"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jc w:val="both"/>
        <w:ind w:left="4" w:firstLine="1152"/>
        <w:spacing w:after="0" w:line="258" w:lineRule="auto"/>
        <w:tabs>
          <w:tab w:leader="none" w:pos="1564"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the Administrator or member thereof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155" w:lineRule="exact"/>
        <w:rPr>
          <w:rFonts w:ascii="Times New Roman" w:cs="Times New Roman" w:eastAsia="Times New Roman" w:hAnsi="Times New Roman"/>
          <w:sz w:val="19"/>
          <w:szCs w:val="19"/>
          <w:color w:val="auto"/>
        </w:rPr>
      </w:pPr>
    </w:p>
    <w:p>
      <w:pPr>
        <w:jc w:val="both"/>
        <w:ind w:left="4" w:firstLine="1152"/>
        <w:spacing w:after="0" w:line="256" w:lineRule="auto"/>
        <w:tabs>
          <w:tab w:leader="none" w:pos="166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cancelled, forfeited, or surrendered; and</w:t>
      </w:r>
    </w:p>
    <w:p>
      <w:pPr>
        <w:spacing w:after="0" w:line="3" w:lineRule="exact"/>
        <w:rPr>
          <w:rFonts w:ascii="Times New Roman" w:cs="Times New Roman" w:eastAsia="Times New Roman" w:hAnsi="Times New Roman"/>
          <w:sz w:val="19"/>
          <w:szCs w:val="19"/>
          <w:color w:val="auto"/>
        </w:rPr>
      </w:pPr>
    </w:p>
    <w:p>
      <w:pPr>
        <w:ind w:left="324" w:hanging="324"/>
        <w:spacing w:after="0"/>
        <w:tabs>
          <w:tab w:leader="none" w:pos="324"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all other decisions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64"/>
          </w:cols>
          <w:pgMar w:left="316" w:top="1282"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9"/>
          <w:szCs w:val="19"/>
          <w:color w:val="auto"/>
        </w:rPr>
        <w:t>determinations that may be required pursuant to the Plan or as the Administrator deems necessary or advisable to administer the Plan.</w:t>
      </w:r>
    </w:p>
    <w:p>
      <w:pPr>
        <w:spacing w:after="0" w:line="203" w:lineRule="exact"/>
        <w:rPr>
          <w:sz w:val="20"/>
          <w:szCs w:val="20"/>
          <w:color w:val="auto"/>
        </w:rPr>
      </w:pPr>
    </w:p>
    <w:p>
      <w:pPr>
        <w:jc w:val="both"/>
        <w:ind w:firstLine="578"/>
        <w:spacing w:after="0" w:line="256"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Delegation of Authority</w:t>
      </w:r>
      <w:r>
        <w:rPr>
          <w:rFonts w:ascii="Times New Roman" w:cs="Times New Roman" w:eastAsia="Times New Roman" w:hAnsi="Times New Roman"/>
          <w:sz w:val="19"/>
          <w:szCs w:val="19"/>
          <w:color w:val="auto"/>
        </w:rPr>
        <w:t>.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 At all times, the delegate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Board or Committee under the rules of any securities exchange or automated quotation system on which the Shares are listed, quoted or traded.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AVAILABLE FOR AWARDS</w:t>
      </w:r>
    </w:p>
    <w:p>
      <w:pPr>
        <w:spacing w:after="0" w:line="192"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Number of Shares</w:t>
      </w:r>
      <w:r>
        <w:rPr>
          <w:rFonts w:ascii="Times New Roman" w:cs="Times New Roman" w:eastAsia="Times New Roman" w:hAnsi="Times New Roman"/>
          <w:sz w:val="19"/>
          <w:szCs w:val="19"/>
          <w:color w:val="auto"/>
        </w:rPr>
        <w:t>. Subject to adjustment under Article IX and the terms of this Article V, Awards may be made under the Plan covering up to the Overall Share Limit. As of the Effective Date, the Company will cease granting awards under the Prior Plan; however, Prior Plan Awards will remain subject to the terms of the Prior Plan. Shares issued or delivered under the Plan may consist of authorized but unissued Shares, Shares purchased on the open market or treasury Shares.</w:t>
      </w:r>
    </w:p>
    <w:p>
      <w:pPr>
        <w:spacing w:after="0" w:line="162" w:lineRule="exact"/>
        <w:rPr>
          <w:sz w:val="20"/>
          <w:szCs w:val="20"/>
          <w:color w:val="auto"/>
        </w:rPr>
      </w:pPr>
    </w:p>
    <w:p>
      <w:pPr>
        <w:ind w:left="580"/>
        <w:spacing w:after="0"/>
        <w:tabs>
          <w:tab w:leader="none" w:pos="98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9"/>
          <w:szCs w:val="19"/>
          <w:u w:val="single" w:color="auto"/>
          <w:color w:val="auto"/>
        </w:rPr>
        <w:t>Share Recycling</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jc w:val="both"/>
        <w:ind w:firstLine="1152"/>
        <w:spacing w:after="0" w:line="258" w:lineRule="auto"/>
        <w:tabs>
          <w:tab w:leader="none" w:pos="161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all or any part of an Award or a Prior Plan Award expires, lapses or is terminated, converted into an award in respect of shares of another entity in connection with a spin-off or other similar event, exchanged or settled for cash, surrendered, repurchased, cancelled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Awards under the Plan. The payment of dividends or Dividend Equivalents in cash in conjunction with any outstanding Awards or Prior Plan Awards and any Awards that are settled in cash rather than by issuance of Shares shall not count against the Overall Share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60"/>
          </w:cols>
          <w:pgMar w:left="320" w:top="1282" w:right="319" w:bottom="1440" w:gutter="0" w:footer="0" w:header="0"/>
        </w:sectPr>
      </w:pPr>
    </w:p>
    <w:bookmarkStart w:id="93" w:name="page94"/>
    <w:bookmarkEnd w:id="93"/>
    <w:p>
      <w:pPr>
        <w:ind w:left="1584" w:hanging="428"/>
        <w:spacing w:after="0"/>
        <w:tabs>
          <w:tab w:leader="none" w:pos="1584"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the Plan to the contrary, the following Shares shall not be available for future grants of Awards:</w:t>
      </w:r>
    </w:p>
    <w:p>
      <w:pPr>
        <w:spacing w:after="0" w:line="32" w:lineRule="exact"/>
        <w:rPr>
          <w:rFonts w:ascii="Times New Roman" w:cs="Times New Roman" w:eastAsia="Times New Roman" w:hAnsi="Times New Roman"/>
          <w:sz w:val="19"/>
          <w:szCs w:val="19"/>
          <w:color w:val="auto"/>
        </w:rPr>
      </w:pPr>
    </w:p>
    <w:p>
      <w:pPr>
        <w:jc w:val="both"/>
        <w:ind w:left="4" w:right="20" w:hanging="4"/>
        <w:spacing w:after="0" w:line="257" w:lineRule="auto"/>
        <w:tabs>
          <w:tab w:leader="none" w:pos="23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tendered by a Participant or withheld by the Company in payment of the exercise price of an Option or any stock option granted under the Prior Plan; (ii) Shares tendered by a Participant or withheld by the Company to satisfy any tax withholding obligation with respect to an Award or any Prior Plan Award; (iii) Shares subject to a Stock Appreciation Right or stock appreciation right granted under the Prior Plan that are not issued in connection with the stock settlement of the Stock Appreciation Right or stock appreciation right on exercise; and (iv) Shares purchased on the open market with the cash proceeds from the exercise of Options or stock options granted under the Prior Plan.</w:t>
      </w:r>
    </w:p>
    <w:p>
      <w:pPr>
        <w:spacing w:after="0" w:line="156" w:lineRule="exact"/>
        <w:rPr>
          <w:sz w:val="20"/>
          <w:szCs w:val="20"/>
          <w:color w:val="auto"/>
        </w:rPr>
      </w:pPr>
    </w:p>
    <w:p>
      <w:pPr>
        <w:jc w:val="both"/>
        <w:ind w:left="4" w:right="20" w:firstLine="578"/>
        <w:spacing w:after="0" w:line="287"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u w:val="single" w:color="auto"/>
          <w:color w:val="auto"/>
        </w:rPr>
        <w:t>Incentive Stock Option Limitations</w:t>
      </w:r>
      <w:r>
        <w:rPr>
          <w:rFonts w:ascii="Times New Roman" w:cs="Times New Roman" w:eastAsia="Times New Roman" w:hAnsi="Times New Roman"/>
          <w:sz w:val="19"/>
          <w:szCs w:val="19"/>
          <w:color w:val="auto"/>
        </w:rPr>
        <w:t>. Notwithstanding anything to the contrary herein, no more than 17,200,000 Shares (as adjusted to reflect any Equity Restructuring) may be issued pursuant to the exercise of Incentive Stock Options.</w:t>
      </w:r>
    </w:p>
    <w:p>
      <w:pPr>
        <w:spacing w:after="0" w:line="140" w:lineRule="exact"/>
        <w:rPr>
          <w:sz w:val="20"/>
          <w:szCs w:val="20"/>
          <w:color w:val="auto"/>
        </w:rPr>
      </w:pPr>
    </w:p>
    <w:p>
      <w:pPr>
        <w:jc w:val="both"/>
        <w:ind w:left="4" w:firstLine="578"/>
        <w:spacing w:after="0" w:line="256"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Substitute Awards</w:t>
      </w:r>
      <w:r>
        <w:rPr>
          <w:rFonts w:ascii="Times New Roman" w:cs="Times New Roman" w:eastAsia="Times New Roman" w:hAnsi="Times New Roman"/>
          <w:sz w:val="19"/>
          <w:szCs w:val="19"/>
          <w:color w:val="auto"/>
        </w:rPr>
        <w:t>. In connection with an entity’s merger or consolidation with the Company or any Subsidiary or the Company’s or any Subsidiary’s acquisition of an entity’s property or stock, the Administrator may grant Substitute Awards in respect of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under Section 5.2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count against the Overall Share Limit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56" w:lineRule="exact"/>
        <w:rPr>
          <w:sz w:val="20"/>
          <w:szCs w:val="20"/>
          <w:color w:val="auto"/>
        </w:rPr>
      </w:pPr>
    </w:p>
    <w:p>
      <w:pPr>
        <w:jc w:val="both"/>
        <w:ind w:left="4"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5.5 </w:t>
      </w:r>
      <w:r>
        <w:rPr>
          <w:rFonts w:ascii="Times New Roman" w:cs="Times New Roman" w:eastAsia="Times New Roman" w:hAnsi="Times New Roman"/>
          <w:sz w:val="19"/>
          <w:szCs w:val="19"/>
          <w:u w:val="single" w:color="auto"/>
          <w:color w:val="auto"/>
        </w:rPr>
        <w:t>Non-Employee Director Award Limit</w:t>
      </w:r>
      <w:r>
        <w:rPr>
          <w:rFonts w:ascii="Times New Roman" w:cs="Times New Roman" w:eastAsia="Times New Roman" w:hAnsi="Times New Roman"/>
          <w:sz w:val="19"/>
          <w:szCs w:val="19"/>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shall not exceed $1,500,000.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64"/>
          </w:cols>
          <w:pgMar w:left="316" w:top="1282" w:right="319" w:bottom="1440" w:gutter="0" w:footer="0" w:header="0"/>
        </w:sectPr>
      </w:pPr>
    </w:p>
    <w:bookmarkStart w:id="94" w:name="page95"/>
    <w:bookmarkEnd w:id="94"/>
    <w:p>
      <w:pPr>
        <w:jc w:val="both"/>
        <w:ind w:firstLine="578"/>
        <w:spacing w:after="0" w:line="258" w:lineRule="auto"/>
        <w:rPr>
          <w:sz w:val="20"/>
          <w:szCs w:val="20"/>
          <w:color w:val="auto"/>
        </w:rPr>
      </w:pPr>
      <w:r>
        <w:rPr>
          <w:rFonts w:ascii="Times New Roman" w:cs="Times New Roman" w:eastAsia="Times New Roman" w:hAnsi="Times New Roman"/>
          <w:sz w:val="19"/>
          <w:szCs w:val="19"/>
          <w:color w:val="auto"/>
        </w:rPr>
        <w:t xml:space="preserve">5.6 </w:t>
      </w:r>
      <w:r>
        <w:rPr>
          <w:rFonts w:ascii="Times New Roman" w:cs="Times New Roman" w:eastAsia="Times New Roman" w:hAnsi="Times New Roman"/>
          <w:sz w:val="19"/>
          <w:szCs w:val="19"/>
          <w:u w:val="single" w:color="auto"/>
          <w:color w:val="auto"/>
        </w:rPr>
        <w:t>Award Vesting Limitations</w:t>
      </w:r>
      <w:r>
        <w:rPr>
          <w:rFonts w:ascii="Times New Roman" w:cs="Times New Roman" w:eastAsia="Times New Roman" w:hAnsi="Times New Roman"/>
          <w:sz w:val="19"/>
          <w:szCs w:val="19"/>
          <w:color w:val="auto"/>
        </w:rPr>
        <w:t>. Notwithstanding any other provision of the Plan to the contrary, no Award Agreement shall provide for vesting of the Award thereunder earlier than the first anniversary of the applicable grant date or, with respect to any such Award subject to performance-based vesting, based on an applicable performance period that is shorter than one year; provided, however, that, notwithstanding the foregoing, Awards that result in the issuance of no more than 5% of the Shares reserved for issuance under the Plan pursuant to Section 5.1 above may be granted to any one or more Participants without respect to such minimum vesting requirements. For purposes of Awards granted to Non-Employee Directors, a vesting period will be deemed to be one year if it runs from the date of one annual meeting of the Company’s stockholders to the next annual meeting of the Company’s stockholder, provided that the period between such meetings is not less than 50 weeks. Notwithstanding the foregoing, an Award Agreement may provide for the accelerated vesting, exercisability and/or payment (as applicable) of any Award upon the termination of the applicable Participant’s status as Service Provider due to the Participant’s death, disability, retirement or any other specified Termination of Service and/or in connection with the consummation of a Change in Control.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OPTIONS AND STOCK APPRECIATION RIGHTS</w:t>
      </w:r>
    </w:p>
    <w:p>
      <w:pPr>
        <w:spacing w:after="0" w:line="181" w:lineRule="exact"/>
        <w:rPr>
          <w:sz w:val="20"/>
          <w:szCs w:val="20"/>
          <w:color w:val="auto"/>
        </w:rPr>
      </w:pPr>
    </w:p>
    <w:p>
      <w:pPr>
        <w:jc w:val="both"/>
        <w:ind w:right="20" w:firstLine="578"/>
        <w:spacing w:after="0" w:line="259"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(a) the excess, if any, of the Fair Market Value of one Share on the date of exercise over the exercise price per Share of the Stock Appreciation Right by (b)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153"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Administrator will establish each Option’s and Stock Appreciation Right’s exercise price and specify the exercise price in the Award Agreement. Subject to Section 6.7,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60"/>
          </w:cols>
          <w:pgMar w:left="320" w:top="1282" w:right="319" w:bottom="1440" w:gutter="0" w:footer="0" w:header="0"/>
        </w:sectPr>
      </w:pPr>
    </w:p>
    <w:bookmarkStart w:id="95" w:name="page96"/>
    <w:bookmarkEnd w:id="95"/>
    <w:p>
      <w:pPr>
        <w:jc w:val="both"/>
        <w:ind w:firstLine="578"/>
        <w:spacing w:after="0" w:line="256"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Duration of Options</w:t>
      </w:r>
      <w:r>
        <w:rPr>
          <w:rFonts w:ascii="Times New Roman" w:cs="Times New Roman" w:eastAsia="Times New Roman" w:hAnsi="Times New Roman"/>
          <w:sz w:val="19"/>
          <w:szCs w:val="19"/>
          <w:color w:val="auto"/>
        </w:rPr>
        <w:t>. Subject to Section 6.7, 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394" w:lineRule="exact"/>
        <w:rPr>
          <w:sz w:val="20"/>
          <w:szCs w:val="20"/>
          <w:color w:val="auto"/>
        </w:rPr>
      </w:pPr>
    </w:p>
    <w:p>
      <w:pPr>
        <w:jc w:val="both"/>
        <w:ind w:right="20" w:firstLine="578"/>
        <w:spacing w:after="0" w:line="261"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155"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 xml:space="preserve">6.5 </w:t>
      </w:r>
      <w:r>
        <w:rPr>
          <w:rFonts w:ascii="Times New Roman" w:cs="Times New Roman" w:eastAsia="Times New Roman" w:hAnsi="Times New Roman"/>
          <w:sz w:val="19"/>
          <w:szCs w:val="19"/>
          <w:u w:val="single" w:color="auto"/>
          <w:color w:val="auto"/>
        </w:rPr>
        <w:t>Payment Upon Exercise</w:t>
      </w:r>
      <w:r>
        <w:rPr>
          <w:rFonts w:ascii="Times New Roman" w:cs="Times New Roman" w:eastAsia="Times New Roman" w:hAnsi="Times New Roman"/>
          <w:sz w:val="19"/>
          <w:szCs w:val="19"/>
          <w:color w:val="auto"/>
        </w:rPr>
        <w:t>. The Administrator shall determine the methods by which payment of the exercise price of an Option shall be made, including, without limitation:</w:t>
      </w:r>
    </w:p>
    <w:p>
      <w:pPr>
        <w:spacing w:after="0" w:line="128" w:lineRule="exact"/>
        <w:rPr>
          <w:sz w:val="20"/>
          <w:szCs w:val="20"/>
          <w:color w:val="auto"/>
        </w:rPr>
      </w:pPr>
    </w:p>
    <w:p>
      <w:pPr>
        <w:ind w:right="20" w:firstLine="1152"/>
        <w:spacing w:after="0" w:line="287" w:lineRule="auto"/>
        <w:tabs>
          <w:tab w:leader="none" w:pos="164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check or wire transfer of immediately available funds; provided that the Company may limit the use of one of the foregoing methods if one or more of the methods below is permitted;</w:t>
      </w:r>
    </w:p>
    <w:p>
      <w:pPr>
        <w:spacing w:after="0" w:line="139" w:lineRule="exact"/>
        <w:rPr>
          <w:rFonts w:ascii="Times New Roman" w:cs="Times New Roman" w:eastAsia="Times New Roman" w:hAnsi="Times New Roman"/>
          <w:sz w:val="19"/>
          <w:szCs w:val="19"/>
          <w:color w:val="auto"/>
        </w:rPr>
      </w:pPr>
    </w:p>
    <w:p>
      <w:pPr>
        <w:jc w:val="both"/>
        <w:ind w:firstLine="1152"/>
        <w:spacing w:after="0" w:line="263" w:lineRule="auto"/>
        <w:tabs>
          <w:tab w:leader="none" w:pos="1698"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60"/>
          </w:cols>
          <w:pgMar w:left="320" w:top="1282" w:right="319" w:bottom="1440" w:gutter="0" w:footer="0" w:header="0"/>
        </w:sectPr>
      </w:pPr>
    </w:p>
    <w:bookmarkStart w:id="96" w:name="page97"/>
    <w:bookmarkEnd w:id="96"/>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156" w:lineRule="exact"/>
        <w:rPr>
          <w:sz w:val="20"/>
          <w:szCs w:val="20"/>
          <w:color w:val="auto"/>
        </w:rPr>
      </w:pPr>
    </w:p>
    <w:p>
      <w:pPr>
        <w:ind w:right="20" w:firstLine="1152"/>
        <w:spacing w:after="0" w:line="287" w:lineRule="auto"/>
        <w:tabs>
          <w:tab w:leader="none" w:pos="1663"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the Administrator, delivery (either by actual delivery or attestation) of Shares owned by the Participant valued at their Fair Market Value on the date of delivery;</w:t>
      </w:r>
    </w:p>
    <w:p>
      <w:pPr>
        <w:spacing w:after="0" w:line="127" w:lineRule="exact"/>
        <w:rPr>
          <w:rFonts w:ascii="Times New Roman" w:cs="Times New Roman" w:eastAsia="Times New Roman" w:hAnsi="Times New Roman"/>
          <w:sz w:val="19"/>
          <w:szCs w:val="19"/>
          <w:color w:val="auto"/>
        </w:rPr>
      </w:pPr>
    </w:p>
    <w:p>
      <w:pPr>
        <w:ind w:firstLine="1152"/>
        <w:spacing w:after="0" w:line="287" w:lineRule="auto"/>
        <w:tabs>
          <w:tab w:leader="none" w:pos="162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the Administrator, surrendering Shares then issuable upon the Option’s exercise valued at their Fair Market Value on the exercise date;</w:t>
      </w:r>
    </w:p>
    <w:p>
      <w:pPr>
        <w:spacing w:after="0" w:line="127" w:lineRule="exact"/>
        <w:rPr>
          <w:rFonts w:ascii="Times New Roman" w:cs="Times New Roman" w:eastAsia="Times New Roman" w:hAnsi="Times New Roman"/>
          <w:sz w:val="19"/>
          <w:szCs w:val="19"/>
          <w:color w:val="auto"/>
        </w:rPr>
      </w:pPr>
    </w:p>
    <w:p>
      <w:pPr>
        <w:ind w:left="1560" w:hanging="408"/>
        <w:spacing w:after="0"/>
        <w:tabs>
          <w:tab w:leader="none" w:pos="156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the Administrator, delivery of a promissory note or any other lawful consideration; or</w:t>
      </w:r>
    </w:p>
    <w:p>
      <w:pPr>
        <w:spacing w:after="0" w:line="214" w:lineRule="exact"/>
        <w:rPr>
          <w:rFonts w:ascii="Times New Roman" w:cs="Times New Roman" w:eastAsia="Times New Roman" w:hAnsi="Times New Roman"/>
          <w:sz w:val="19"/>
          <w:szCs w:val="19"/>
          <w:color w:val="auto"/>
        </w:rPr>
      </w:pPr>
    </w:p>
    <w:p>
      <w:pPr>
        <w:ind w:left="1540" w:hanging="388"/>
        <w:spacing w:after="0"/>
        <w:tabs>
          <w:tab w:leader="none" w:pos="15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the Administrator, any combination of the above payment forms.</w:t>
      </w:r>
    </w:p>
    <w:p>
      <w:pPr>
        <w:spacing w:after="0" w:line="203" w:lineRule="exact"/>
        <w:rPr>
          <w:sz w:val="20"/>
          <w:szCs w:val="20"/>
          <w:color w:val="auto"/>
        </w:rPr>
      </w:pPr>
    </w:p>
    <w:p>
      <w:pPr>
        <w:jc w:val="both"/>
        <w:ind w:firstLine="578"/>
        <w:spacing w:after="0" w:line="256" w:lineRule="auto"/>
        <w:rPr>
          <w:sz w:val="20"/>
          <w:szCs w:val="20"/>
          <w:color w:val="auto"/>
        </w:rPr>
      </w:pPr>
      <w:r>
        <w:rPr>
          <w:rFonts w:ascii="Times New Roman" w:cs="Times New Roman" w:eastAsia="Times New Roman" w:hAnsi="Times New Roman"/>
          <w:sz w:val="19"/>
          <w:szCs w:val="19"/>
          <w:color w:val="auto"/>
        </w:rPr>
        <w:t xml:space="preserve">6.6 </w:t>
      </w:r>
      <w:r>
        <w:rPr>
          <w:rFonts w:ascii="Times New Roman" w:cs="Times New Roman" w:eastAsia="Times New Roman" w:hAnsi="Times New Roman"/>
          <w:sz w:val="19"/>
          <w:szCs w:val="19"/>
          <w:u w:val="single" w:color="auto"/>
          <w:color w:val="auto"/>
        </w:rPr>
        <w:t>Expiration of Option Term or Stock Appreciation Right Term: Automatic Exercise of In-The-Money Options and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Appreciation Rights</w:t>
      </w:r>
      <w:r>
        <w:rPr>
          <w:rFonts w:ascii="Times New Roman" w:cs="Times New Roman" w:eastAsia="Times New Roman" w:hAnsi="Times New Roman"/>
          <w:sz w:val="19"/>
          <w:szCs w:val="19"/>
          <w:color w:val="auto"/>
        </w:rPr>
        <w:t>. Unless otherwise provided by the Administrator in an Award Agreement or otherwise or as otherwise directed by a holder of an Option or a Stock Appreciation Right in writing to the Company, each vested and exercisable Option and Stock Appreciation Right outstanding on the Automatic Exercise Date with an exercise price per Share that is less than the sum of the Fair Market Value and any related broker’s fees (as described in Section 11.19(c)) per Share as of such date shall automatically and without further action by the holder of the Option or Stock Appreciation Right or the Company be exercised on the Automatic Exercise Date. In the sole discretion of the Administrator, payment of the exercise price of any such Option shall be made pursuant to Section 6.5(b) or 6.5(d) and the Company or any Subsidiary shall be entitled to deduct or withhold an amount sufficient to satisfy any withholding obligation for Tax-Related Items associated with such exercise in accordance with Section 10.5. Unless otherwise determined by the Administrator, this Section 6.6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6.6.</w:t>
      </w:r>
    </w:p>
    <w:p>
      <w:pPr>
        <w:spacing w:after="0" w:line="165" w:lineRule="exact"/>
        <w:rPr>
          <w:sz w:val="20"/>
          <w:szCs w:val="20"/>
          <w:color w:val="auto"/>
        </w:rPr>
      </w:pPr>
    </w:p>
    <w:p>
      <w:pPr>
        <w:jc w:val="both"/>
        <w:ind w:right="20" w:firstLine="578"/>
        <w:spacing w:after="0" w:line="261" w:lineRule="auto"/>
        <w:rPr>
          <w:sz w:val="20"/>
          <w:szCs w:val="20"/>
          <w:color w:val="auto"/>
        </w:rPr>
      </w:pPr>
      <w:r>
        <w:rPr>
          <w:rFonts w:ascii="Times New Roman" w:cs="Times New Roman" w:eastAsia="Times New Roman" w:hAnsi="Times New Roman"/>
          <w:sz w:val="19"/>
          <w:szCs w:val="19"/>
          <w:color w:val="auto"/>
        </w:rPr>
        <w:t xml:space="preserve">6.7 </w:t>
      </w:r>
      <w:r>
        <w:rPr>
          <w:rFonts w:ascii="Times New Roman" w:cs="Times New Roman" w:eastAsia="Times New Roman" w:hAnsi="Times New Roman"/>
          <w:sz w:val="19"/>
          <w:szCs w:val="19"/>
          <w:u w:val="single" w:color="auto"/>
          <w:color w:val="auto"/>
        </w:rPr>
        <w:t>Additional Terms of Incentive Stock Options</w:t>
      </w:r>
      <w:r>
        <w:rPr>
          <w:rFonts w:ascii="Times New Roman" w:cs="Times New Roman" w:eastAsia="Times New Roman" w:hAnsi="Times New Roman"/>
          <w:sz w:val="19"/>
          <w:szCs w:val="19"/>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60"/>
          </w:cols>
          <w:pgMar w:left="320" w:top="1282" w:right="319" w:bottom="1440" w:gutter="0" w:footer="0" w:header="0"/>
        </w:sectPr>
      </w:pPr>
    </w:p>
    <w:bookmarkStart w:id="97" w:name="page98"/>
    <w:bookmarkEnd w:id="97"/>
    <w:p>
      <w:pPr>
        <w:jc w:val="both"/>
        <w:spacing w:after="0" w:line="258" w:lineRule="auto"/>
        <w:rPr>
          <w:sz w:val="20"/>
          <w:szCs w:val="20"/>
          <w:color w:val="auto"/>
        </w:rPr>
      </w:pPr>
      <w:r>
        <w:rPr>
          <w:rFonts w:ascii="Times New Roman" w:cs="Times New Roman" w:eastAsia="Times New Roman" w:hAnsi="Times New Roman"/>
          <w:sz w:val="19"/>
          <w:szCs w:val="19"/>
          <w:color w:val="auto"/>
        </w:rPr>
        <w:t>Code. By accepting an Incentive Stock Option, the Participant agrees to give prompt notice to the Company of dispositions or other transfers (other than in connection with a Change in Control) of Shares acquired under the Option made within the later of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RESTRICTED STOCK UNITS</w:t>
      </w:r>
    </w:p>
    <w:p>
      <w:pPr>
        <w:spacing w:after="0" w:line="18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Administrator may grant Restricted Stock, or the right to purchase Restricted Stock, to any Service Provider,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w:t>
      </w:r>
    </w:p>
    <w:p>
      <w:pPr>
        <w:spacing w:after="0" w:line="155" w:lineRule="exact"/>
        <w:rPr>
          <w:sz w:val="20"/>
          <w:szCs w:val="20"/>
          <w:color w:val="auto"/>
        </w:rPr>
      </w:pPr>
    </w:p>
    <w:p>
      <w:pPr>
        <w:ind w:left="580"/>
        <w:spacing w:after="0"/>
        <w:tabs>
          <w:tab w:leader="none" w:pos="98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1152"/>
        <w:spacing w:after="0" w:line="259" w:lineRule="auto"/>
        <w:tabs>
          <w:tab w:leader="none" w:pos="159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Stockholder Rights</w:t>
      </w:r>
      <w:r>
        <w:rPr>
          <w:rFonts w:ascii="Times New Roman" w:cs="Times New Roman" w:eastAsia="Times New Roman" w:hAnsi="Times New Roman"/>
          <w:sz w:val="19"/>
          <w:szCs w:val="19"/>
          <w:color w:val="auto"/>
        </w:rPr>
        <w:t>. Unless otherwise determined by the Administrator, each Participant holding Shares of Restricted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60"/>
          </w:cols>
          <w:pgMar w:left="320" w:top="1282" w:right="319" w:bottom="1440" w:gutter="0" w:footer="0" w:header="0"/>
        </w:sectPr>
      </w:pPr>
    </w:p>
    <w:bookmarkStart w:id="98" w:name="page99"/>
    <w:bookmarkEnd w:id="98"/>
    <w:p>
      <w:pPr>
        <w:ind w:right="20"/>
        <w:spacing w:after="0" w:line="287" w:lineRule="auto"/>
        <w:rPr>
          <w:sz w:val="20"/>
          <w:szCs w:val="20"/>
          <w:color w:val="auto"/>
        </w:rPr>
      </w:pPr>
      <w:r>
        <w:rPr>
          <w:rFonts w:ascii="Times New Roman" w:cs="Times New Roman" w:eastAsia="Times New Roman" w:hAnsi="Times New Roman"/>
          <w:sz w:val="19"/>
          <w:szCs w:val="19"/>
          <w:color w:val="auto"/>
        </w:rPr>
        <w:t>to the extent that the restrictions are subsequently removed and the vesting conditions are subsequently satisfied and the share of Restricted Stock vests.</w:t>
      </w:r>
    </w:p>
    <w:p>
      <w:pPr>
        <w:spacing w:after="0" w:line="126" w:lineRule="exact"/>
        <w:rPr>
          <w:sz w:val="20"/>
          <w:szCs w:val="20"/>
          <w:color w:val="auto"/>
        </w:rPr>
      </w:pPr>
    </w:p>
    <w:p>
      <w:pPr>
        <w:ind w:right="20" w:firstLine="1152"/>
        <w:spacing w:after="0" w:line="303" w:lineRule="auto"/>
        <w:tabs>
          <w:tab w:leader="none" w:pos="159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Stock Certificates</w:t>
      </w:r>
      <w:r>
        <w:rPr>
          <w:rFonts w:ascii="Times New Roman" w:cs="Times New Roman" w:eastAsia="Times New Roman" w:hAnsi="Times New Roman"/>
          <w:sz w:val="19"/>
          <w:szCs w:val="19"/>
          <w:color w:val="auto"/>
        </w:rPr>
        <w:t>. The Company may require that the Participant deposit in escrow with the Company (or its designee)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certificates issued in respect of Shares of Restricted Stock, together with a stock power endorsed in blank.</w:t>
      </w:r>
    </w:p>
    <w:p>
      <w:pPr>
        <w:spacing w:after="0" w:line="110" w:lineRule="exact"/>
        <w:rPr>
          <w:rFonts w:ascii="Times New Roman" w:cs="Times New Roman" w:eastAsia="Times New Roman" w:hAnsi="Times New Roman"/>
          <w:sz w:val="19"/>
          <w:szCs w:val="19"/>
          <w:color w:val="auto"/>
        </w:rPr>
      </w:pPr>
    </w:p>
    <w:p>
      <w:pPr>
        <w:jc w:val="both"/>
        <w:ind w:firstLine="1152"/>
        <w:spacing w:after="0" w:line="264" w:lineRule="auto"/>
        <w:tabs>
          <w:tab w:leader="none" w:pos="162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Section 83(b) Election</w:t>
      </w:r>
      <w:r>
        <w:rPr>
          <w:rFonts w:ascii="Times New Roman" w:cs="Times New Roman" w:eastAsia="Times New Roman" w:hAnsi="Times New Roman"/>
          <w:sz w:val="19"/>
          <w:szCs w:val="19"/>
          <w:color w:val="auto"/>
        </w:rPr>
        <w:t>. If a Participant makes an election under Section 83(b) of the Code to be taxed with respect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60"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9"/>
          <w:szCs w:val="19"/>
          <w:color w:val="auto"/>
        </w:rPr>
        <w:t xml:space="preserve">7.3 </w:t>
      </w:r>
      <w:r>
        <w:rPr>
          <w:rFonts w:ascii="Times New Roman" w:cs="Times New Roman" w:eastAsia="Times New Roman" w:hAnsi="Times New Roman"/>
          <w:sz w:val="19"/>
          <w:szCs w:val="19"/>
          <w:u w:val="single" w:color="auto"/>
          <w:color w:val="auto"/>
        </w:rPr>
        <w:t>Restricted Stock Units</w:t>
      </w:r>
      <w:r>
        <w:rPr>
          <w:rFonts w:ascii="Times New Roman" w:cs="Times New Roman" w:eastAsia="Times New Roman" w:hAnsi="Times New Roman"/>
          <w:sz w:val="19"/>
          <w:szCs w:val="19"/>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cash or other securities or property is made as specified in the applicable Award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VIII.</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OTHER TYPES OF AWARDS</w:t>
      </w:r>
    </w:p>
    <w:p>
      <w:pPr>
        <w:spacing w:after="0" w:line="192" w:lineRule="exact"/>
        <w:rPr>
          <w:sz w:val="20"/>
          <w:szCs w:val="20"/>
          <w:color w:val="auto"/>
        </w:rPr>
      </w:pPr>
    </w:p>
    <w:p>
      <w:pPr>
        <w:jc w:val="both"/>
        <w:ind w:right="20" w:firstLine="578"/>
        <w:spacing w:after="0" w:line="269"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144"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Performance Stock Unit Awards</w:t>
      </w:r>
      <w:r>
        <w:rPr>
          <w:rFonts w:ascii="Times New Roman" w:cs="Times New Roman" w:eastAsia="Times New Roman" w:hAnsi="Times New Roman"/>
          <w:sz w:val="19"/>
          <w:szCs w:val="19"/>
          <w:color w:val="auto"/>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163"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Performance Bonus Awards</w:t>
      </w:r>
      <w:r>
        <w:rPr>
          <w:rFonts w:ascii="Times New Roman" w:cs="Times New Roman" w:eastAsia="Times New Roman" w:hAnsi="Times New Roman"/>
          <w:sz w:val="19"/>
          <w:szCs w:val="19"/>
          <w:color w:val="auto"/>
        </w:rPr>
        <w:t>. Each right to receive a bonus granted under this Section 8.3 shall be denominated in the form of cash (but may be payable in cash, stock or a combination thereof) (a “</w:t>
      </w:r>
      <w:r>
        <w:rPr>
          <w:rFonts w:ascii="Times New Roman" w:cs="Times New Roman" w:eastAsia="Times New Roman" w:hAnsi="Times New Roman"/>
          <w:sz w:val="19"/>
          <w:szCs w:val="19"/>
          <w:b w:val="1"/>
          <w:bCs w:val="1"/>
          <w:i w:val="1"/>
          <w:iCs w:val="1"/>
          <w:color w:val="auto"/>
        </w:rPr>
        <w:t>Performance Bonus Award</w:t>
      </w:r>
      <w:r>
        <w:rPr>
          <w:rFonts w:ascii="Times New Roman" w:cs="Times New Roman" w:eastAsia="Times New Roman" w:hAnsi="Times New Roman"/>
          <w:sz w:val="19"/>
          <w:szCs w:val="19"/>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60"/>
          </w:cols>
          <w:pgMar w:left="320" w:top="1282" w:right="319" w:bottom="1440" w:gutter="0" w:footer="0" w:header="0"/>
        </w:sectPr>
      </w:pPr>
    </w:p>
    <w:bookmarkStart w:id="99" w:name="page100"/>
    <w:bookmarkEnd w:id="99"/>
    <w:p>
      <w:pPr>
        <w:jc w:val="both"/>
        <w:ind w:right="20" w:firstLine="578"/>
        <w:spacing w:after="0" w:line="259"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Dividends and Dividend Equivalents</w:t>
      </w:r>
      <w:r>
        <w:rPr>
          <w:rFonts w:ascii="Times New Roman" w:cs="Times New Roman" w:eastAsia="Times New Roman" w:hAnsi="Times New Roman"/>
          <w:sz w:val="19"/>
          <w:szCs w:val="19"/>
          <w:color w:val="auto"/>
        </w:rPr>
        <w:t>. If the Administrator provides, an Award (other than an Option or Stock Appreciation Right) may provide a Participant with the right to receive dividends or Dividend Equivalents. Dividends and Dividend Equivalents may be paid currently or credited to an account for the Participant, settled in cash or Shares and subject to the same restrictions on transferability and forfeitability as the Award with respect to which the dividends or Dividend Equivalents are granted and subject to other terms and conditions as set forth in the Award Agreement. Notwithstanding anything to the contrary herein, dividends and Dividend Equivalents with respect to an Award subject to vesting shall either (a) to the extent permitted by Applicable Law, not be paid or credited or (b) be accumulated and subject to vesting to the same extent as the related Award. Any such dividends or Dividend Equivalents shall be paid at such time as the Administrator shall specify in the applicable Award Agreement or as determined by the Administrator in the event not specified in such Award Agreement. In no event shall dividends or Dividend Equivalents be paid with respect to Options or Stock Appreciation Rights.</w:t>
      </w:r>
    </w:p>
    <w:p>
      <w:pPr>
        <w:spacing w:after="0" w:line="153" w:lineRule="exact"/>
        <w:rPr>
          <w:sz w:val="20"/>
          <w:szCs w:val="20"/>
          <w:color w:val="auto"/>
        </w:rPr>
      </w:pPr>
    </w:p>
    <w:p>
      <w:pPr>
        <w:jc w:val="both"/>
        <w:ind w:firstLine="578"/>
        <w:spacing w:after="0" w:line="257" w:lineRule="auto"/>
        <w:rPr>
          <w:sz w:val="20"/>
          <w:szCs w:val="20"/>
          <w:color w:val="auto"/>
        </w:rPr>
      </w:pPr>
      <w:r>
        <w:rPr>
          <w:rFonts w:ascii="Times New Roman" w:cs="Times New Roman" w:eastAsia="Times New Roman" w:hAnsi="Times New Roman"/>
          <w:sz w:val="19"/>
          <w:szCs w:val="19"/>
          <w:color w:val="auto"/>
        </w:rPr>
        <w:t xml:space="preserve">8.5 </w:t>
      </w:r>
      <w:r>
        <w:rPr>
          <w:rFonts w:ascii="Times New Roman" w:cs="Times New Roman" w:eastAsia="Times New Roman" w:hAnsi="Times New Roman"/>
          <w:sz w:val="19"/>
          <w:szCs w:val="19"/>
          <w:u w:val="single" w:color="auto"/>
          <w:color w:val="auto"/>
        </w:rPr>
        <w:t>Other Stock or Cash Based Awards</w:t>
      </w:r>
      <w:r>
        <w:rPr>
          <w:rFonts w:ascii="Times New Roman" w:cs="Times New Roman" w:eastAsia="Times New Roman" w:hAnsi="Times New Roman"/>
          <w:sz w:val="19"/>
          <w:szCs w:val="19"/>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subject to compliance with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scheduled to be paid prior to vesting of any Other Stock or Cash Based Award shall only be paid to the applicable Participant to the extent that the vesting conditions are subsequently satisfied and the Other Stock or Cash Based Award vests.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IX.</w:t>
      </w:r>
    </w:p>
    <w:p>
      <w:pPr>
        <w:spacing w:after="0" w:line="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ADJUSTMENTS FOR CHANGES IN COMMON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 CERTAIN OTHER EVENTS</w:t>
      </w:r>
    </w:p>
    <w:p>
      <w:pPr>
        <w:spacing w:after="0" w:line="181" w:lineRule="exact"/>
        <w:rPr>
          <w:sz w:val="20"/>
          <w:szCs w:val="20"/>
          <w:color w:val="auto"/>
        </w:rPr>
      </w:pPr>
    </w:p>
    <w:p>
      <w:pPr>
        <w:jc w:val="both"/>
        <w:ind w:right="20" w:firstLine="578"/>
        <w:spacing w:after="0" w:line="261" w:lineRule="auto"/>
        <w:rPr>
          <w:sz w:val="20"/>
          <w:szCs w:val="20"/>
          <w:color w:val="auto"/>
        </w:rPr>
      </w:pPr>
      <w:r>
        <w:rPr>
          <w:rFonts w:ascii="Times New Roman" w:cs="Times New Roman" w:eastAsia="Times New Roman" w:hAnsi="Times New Roman"/>
          <w:sz w:val="19"/>
          <w:szCs w:val="19"/>
          <w:color w:val="auto"/>
        </w:rPr>
        <w:t xml:space="preserve">9.1 </w:t>
      </w:r>
      <w:r>
        <w:rPr>
          <w:rFonts w:ascii="Times New Roman" w:cs="Times New Roman" w:eastAsia="Times New Roman" w:hAnsi="Times New Roman"/>
          <w:sz w:val="19"/>
          <w:szCs w:val="19"/>
          <w:u w:val="single" w:color="auto"/>
          <w:color w:val="auto"/>
        </w:rPr>
        <w:t>Equity Restructuring</w:t>
      </w:r>
      <w:r>
        <w:rPr>
          <w:rFonts w:ascii="Times New Roman" w:cs="Times New Roman" w:eastAsia="Times New Roman" w:hAnsi="Times New Roman"/>
          <w:sz w:val="19"/>
          <w:szCs w:val="19"/>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(a)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(b) adjusting the terms and conditions of (including the grant or exercise price), and the performance goals or other criteria included in, outstanding Awards; and (c) granting new Awards or making cash payments to Participants.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60"/>
          </w:cols>
          <w:pgMar w:left="320" w:top="1282" w:right="319" w:bottom="1440" w:gutter="0" w:footer="0" w:header="0"/>
        </w:sectPr>
      </w:pPr>
    </w:p>
    <w:bookmarkStart w:id="100" w:name="page101"/>
    <w:bookmarkEnd w:id="100"/>
    <w:p>
      <w:pPr>
        <w:jc w:val="both"/>
        <w:ind w:left="4" w:right="20"/>
        <w:spacing w:after="0" w:line="287" w:lineRule="auto"/>
        <w:rPr>
          <w:sz w:val="20"/>
          <w:szCs w:val="20"/>
          <w:color w:val="auto"/>
        </w:rPr>
      </w:pPr>
      <w:r>
        <w:rPr>
          <w:rFonts w:ascii="Times New Roman" w:cs="Times New Roman" w:eastAsia="Times New Roman" w:hAnsi="Times New Roman"/>
          <w:sz w:val="19"/>
          <w:szCs w:val="19"/>
          <w:color w:val="auto"/>
        </w:rPr>
        <w:t>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128" w:lineRule="exact"/>
        <w:rPr>
          <w:sz w:val="20"/>
          <w:szCs w:val="20"/>
          <w:color w:val="auto"/>
        </w:rPr>
      </w:pPr>
    </w:p>
    <w:p>
      <w:pPr>
        <w:jc w:val="both"/>
        <w:ind w:left="4" w:firstLine="578"/>
        <w:spacing w:after="0" w:line="255"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u w:val="single" w:color="auto"/>
          <w:color w:val="auto"/>
        </w:rPr>
        <w:t>Corporate Transactions</w:t>
      </w:r>
      <w:r>
        <w:rPr>
          <w:rFonts w:ascii="Times New Roman" w:cs="Times New Roman" w:eastAsia="Times New Roman" w:hAnsi="Times New Roman"/>
          <w:sz w:val="19"/>
          <w:szCs w:val="19"/>
          <w:color w:val="auto"/>
        </w:rPr>
        <w:t>.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(i) prevent dilution or enlargement of the benefits or potential benefits intended by the Company to be made available under the Plan or with respect to any Award granted or issued under the Plan,</w:t>
      </w:r>
    </w:p>
    <w:p>
      <w:pPr>
        <w:spacing w:after="0" w:line="9" w:lineRule="exact"/>
        <w:rPr>
          <w:sz w:val="20"/>
          <w:szCs w:val="20"/>
          <w:color w:val="auto"/>
        </w:rPr>
      </w:pPr>
    </w:p>
    <w:p>
      <w:pPr>
        <w:ind w:left="284" w:hanging="284"/>
        <w:spacing w:after="0"/>
        <w:tabs>
          <w:tab w:leader="none" w:pos="28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facilitate such transaction or event or (iii) give effect to such changes in Applicable Law or accounting principles:</w:t>
      </w:r>
    </w:p>
    <w:p>
      <w:pPr>
        <w:spacing w:after="0" w:line="192" w:lineRule="exact"/>
        <w:rPr>
          <w:rFonts w:ascii="Times New Roman" w:cs="Times New Roman" w:eastAsia="Times New Roman" w:hAnsi="Times New Roman"/>
          <w:sz w:val="19"/>
          <w:szCs w:val="19"/>
          <w:color w:val="auto"/>
        </w:rPr>
      </w:pPr>
    </w:p>
    <w:p>
      <w:pPr>
        <w:jc w:val="both"/>
        <w:ind w:left="4" w:firstLine="1152"/>
        <w:spacing w:after="0" w:line="260" w:lineRule="auto"/>
        <w:tabs>
          <w:tab w:leader="none" w:pos="1608"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64" w:lineRule="exact"/>
        <w:rPr>
          <w:rFonts w:ascii="Times New Roman" w:cs="Times New Roman" w:eastAsia="Times New Roman" w:hAnsi="Times New Roman"/>
          <w:sz w:val="19"/>
          <w:szCs w:val="19"/>
          <w:color w:val="auto"/>
        </w:rPr>
      </w:pPr>
    </w:p>
    <w:p>
      <w:pPr>
        <w:ind w:left="4" w:right="20" w:firstLine="1152"/>
        <w:spacing w:after="0" w:line="287" w:lineRule="auto"/>
        <w:tabs>
          <w:tab w:leader="none" w:pos="157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27" w:lineRule="exact"/>
        <w:rPr>
          <w:rFonts w:ascii="Times New Roman" w:cs="Times New Roman" w:eastAsia="Times New Roman" w:hAnsi="Times New Roman"/>
          <w:sz w:val="19"/>
          <w:szCs w:val="19"/>
          <w:color w:val="auto"/>
        </w:rPr>
      </w:pPr>
    </w:p>
    <w:p>
      <w:pPr>
        <w:jc w:val="both"/>
        <w:ind w:left="4" w:right="20" w:firstLine="1152"/>
        <w:spacing w:after="0" w:line="267" w:lineRule="auto"/>
        <w:tabs>
          <w:tab w:leader="none" w:pos="1592"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spacing w:after="0" w:line="147" w:lineRule="exact"/>
        <w:rPr>
          <w:rFonts w:ascii="Times New Roman" w:cs="Times New Roman" w:eastAsia="Times New Roman" w:hAnsi="Times New Roman"/>
          <w:sz w:val="19"/>
          <w:szCs w:val="19"/>
          <w:color w:val="auto"/>
        </w:rPr>
      </w:pPr>
    </w:p>
    <w:p>
      <w:pPr>
        <w:ind w:left="4" w:firstLine="1152"/>
        <w:spacing w:after="0" w:line="287" w:lineRule="auto"/>
        <w:tabs>
          <w:tab w:leader="none" w:pos="157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make adjustments in the number and type of Shares (or other securities or property) subject to outstanding Awards or with respect to which Awards may be granted under the Plan (including, but not limited to, adjustments of the limitations in Article V hereof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64"/>
          </w:cols>
          <w:pgMar w:left="316" w:top="1282" w:right="319" w:bottom="1440" w:gutter="0" w:footer="0" w:header="0"/>
        </w:sectPr>
      </w:pPr>
    </w:p>
    <w:bookmarkStart w:id="101" w:name="page102"/>
    <w:bookmarkEnd w:id="101"/>
    <w:p>
      <w:pPr>
        <w:ind w:right="20"/>
        <w:spacing w:after="0" w:line="287" w:lineRule="auto"/>
        <w:rPr>
          <w:sz w:val="20"/>
          <w:szCs w:val="20"/>
          <w:color w:val="auto"/>
        </w:rPr>
      </w:pPr>
      <w:r>
        <w:rPr>
          <w:rFonts w:ascii="Times New Roman" w:cs="Times New Roman" w:eastAsia="Times New Roman" w:hAnsi="Times New Roman"/>
          <w:sz w:val="19"/>
          <w:szCs w:val="19"/>
          <w:color w:val="auto"/>
        </w:rPr>
        <w:t>the maximum number and kind of shares which may be issued) or in the terms and conditions of (including the grant or exercise price), and the criteria included in, outstanding Awards;</w:t>
      </w:r>
    </w:p>
    <w:p>
      <w:pPr>
        <w:spacing w:after="0" w:line="128" w:lineRule="exact"/>
        <w:rPr>
          <w:sz w:val="20"/>
          <w:szCs w:val="20"/>
          <w:color w:val="auto"/>
        </w:rPr>
      </w:pPr>
    </w:p>
    <w:p>
      <w:pPr>
        <w:ind w:left="1560" w:hanging="408"/>
        <w:spacing w:after="0"/>
        <w:tabs>
          <w:tab w:leader="none" w:pos="15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replace such Award with other rights or property selected by the Administrator; or</w:t>
      </w:r>
    </w:p>
    <w:p>
      <w:pPr>
        <w:spacing w:after="0" w:line="214" w:lineRule="exact"/>
        <w:rPr>
          <w:rFonts w:ascii="Times New Roman" w:cs="Times New Roman" w:eastAsia="Times New Roman" w:hAnsi="Times New Roman"/>
          <w:sz w:val="19"/>
          <w:szCs w:val="19"/>
          <w:color w:val="auto"/>
        </w:rPr>
      </w:pPr>
    </w:p>
    <w:p>
      <w:pPr>
        <w:ind w:left="1540" w:hanging="388"/>
        <w:spacing w:after="0"/>
        <w:tabs>
          <w:tab w:leader="none" w:pos="15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that the Award will terminate and cannot vest, be exercised or become payable after the applicable event.</w:t>
      </w:r>
    </w:p>
    <w:p>
      <w:pPr>
        <w:spacing w:after="0" w:line="203" w:lineRule="exact"/>
        <w:rPr>
          <w:sz w:val="20"/>
          <w:szCs w:val="20"/>
          <w:color w:val="auto"/>
        </w:rPr>
      </w:pPr>
    </w:p>
    <w:p>
      <w:pPr>
        <w:jc w:val="both"/>
        <w:ind w:right="20" w:firstLine="578"/>
        <w:spacing w:after="0" w:line="269"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Notwithstanding any other provision of the Plan, in the event of a Change in Control, the Administrator may take any actions with respect to outstanding Awards as it deems appropriate, consistent with applicable provisions of the Code and any applicable federal or state securities laws.</w:t>
      </w:r>
    </w:p>
    <w:p>
      <w:pPr>
        <w:spacing w:after="0" w:line="144"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9"/>
          <w:szCs w:val="19"/>
          <w:color w:val="auto"/>
        </w:rPr>
        <w:t xml:space="preserve">9.4 </w:t>
      </w:r>
      <w:r>
        <w:rPr>
          <w:rFonts w:ascii="Times New Roman" w:cs="Times New Roman" w:eastAsia="Times New Roman" w:hAnsi="Times New Roman"/>
          <w:sz w:val="19"/>
          <w:szCs w:val="19"/>
          <w:u w:val="single" w:color="auto"/>
          <w:color w:val="auto"/>
        </w:rPr>
        <w:t>Administrative Stand Still</w:t>
      </w:r>
      <w:r>
        <w:rPr>
          <w:rFonts w:ascii="Times New Roman" w:cs="Times New Roman" w:eastAsia="Times New Roman" w:hAnsi="Times New Roman"/>
          <w:sz w:val="19"/>
          <w:szCs w:val="19"/>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Company may refuse to permit the exercise or settlement of one or more Awards for such period of time as the Company may determine to be reasonably appropriate under the circumstances.</w:t>
      </w:r>
    </w:p>
    <w:p>
      <w:pPr>
        <w:spacing w:after="0" w:line="15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spinoff, dissolution or liquidation of the Company or sale of Company assets or (c) any sale or issuance of securities, including securities with rights superior to those of the Shares or securities convertible into or exchangeable for Shares.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X.</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PROVISIONS APPLICABLE TO AWARDS</w:t>
      </w:r>
    </w:p>
    <w:p>
      <w:pPr>
        <w:spacing w:after="0" w:line="192" w:lineRule="exact"/>
        <w:rPr>
          <w:sz w:val="20"/>
          <w:szCs w:val="20"/>
          <w:color w:val="auto"/>
        </w:rPr>
      </w:pPr>
    </w:p>
    <w:p>
      <w:pPr>
        <w:ind w:left="580"/>
        <w:spacing w:after="0"/>
        <w:tabs>
          <w:tab w:leader="none" w:pos="1080" w:val="left"/>
        </w:tabs>
        <w:rPr>
          <w:sz w:val="20"/>
          <w:szCs w:val="20"/>
          <w:color w:val="auto"/>
        </w:rPr>
      </w:pP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ind w:right="20" w:firstLine="1152"/>
        <w:spacing w:after="0" w:line="287" w:lineRule="auto"/>
        <w:tabs>
          <w:tab w:leader="none" w:pos="161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Award may be sold, assigned, transferred, pledged or otherwise encumbered, either voluntarily or by operation of law, except by will or the laws of descent and distribution, or, subject to the Administrator’s consent, pursuant to a DRO, unless and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60"/>
          </w:cols>
          <w:pgMar w:left="320" w:top="1282" w:right="319" w:bottom="1440" w:gutter="0" w:footer="0" w:header="0"/>
        </w:sectPr>
      </w:pPr>
    </w:p>
    <w:bookmarkStart w:id="102" w:name="page103"/>
    <w:bookmarkEnd w:id="102"/>
    <w:p>
      <w:pPr>
        <w:jc w:val="both"/>
        <w:ind w:left="4"/>
        <w:spacing w:after="0" w:line="261" w:lineRule="auto"/>
        <w:rPr>
          <w:sz w:val="20"/>
          <w:szCs w:val="20"/>
          <w:color w:val="auto"/>
        </w:rPr>
      </w:pPr>
      <w:r>
        <w:rPr>
          <w:rFonts w:ascii="Times New Roman" w:cs="Times New Roman" w:eastAsia="Times New Roman" w:hAnsi="Times New Roman"/>
          <w:sz w:val="19"/>
          <w:szCs w:val="19"/>
          <w:color w:val="auto"/>
        </w:rPr>
        <w:t>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151" w:lineRule="exact"/>
        <w:rPr>
          <w:sz w:val="20"/>
          <w:szCs w:val="20"/>
          <w:color w:val="auto"/>
        </w:rPr>
      </w:pPr>
    </w:p>
    <w:p>
      <w:pPr>
        <w:jc w:val="both"/>
        <w:ind w:left="4" w:right="20" w:firstLine="1152"/>
        <w:spacing w:after="0" w:line="260" w:lineRule="auto"/>
        <w:tabs>
          <w:tab w:leader="none" w:pos="1721"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w:t>
      </w:r>
    </w:p>
    <w:p>
      <w:pPr>
        <w:spacing w:after="0" w:line="2" w:lineRule="exact"/>
        <w:rPr>
          <w:rFonts w:ascii="Times New Roman" w:cs="Times New Roman" w:eastAsia="Times New Roman" w:hAnsi="Times New Roman"/>
          <w:sz w:val="19"/>
          <w:szCs w:val="19"/>
          <w:color w:val="auto"/>
        </w:rPr>
      </w:pPr>
    </w:p>
    <w:p>
      <w:pPr>
        <w:jc w:val="both"/>
        <w:ind w:left="4" w:hanging="4"/>
        <w:spacing w:after="0" w:line="255" w:lineRule="auto"/>
        <w:tabs>
          <w:tab w:leader="none" w:pos="32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60" w:lineRule="exact"/>
        <w:rPr>
          <w:rFonts w:ascii="Times New Roman" w:cs="Times New Roman" w:eastAsia="Times New Roman" w:hAnsi="Times New Roman"/>
          <w:sz w:val="19"/>
          <w:szCs w:val="19"/>
          <w:color w:val="auto"/>
        </w:rPr>
      </w:pPr>
    </w:p>
    <w:p>
      <w:pPr>
        <w:jc w:val="both"/>
        <w:ind w:left="4" w:right="20" w:firstLine="1152"/>
        <w:spacing w:after="0" w:line="258" w:lineRule="auto"/>
        <w:tabs>
          <w:tab w:leader="none" w:pos="1667"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64"/>
          </w:cols>
          <w:pgMar w:left="316" w:top="1282" w:right="319" w:bottom="1440" w:gutter="0" w:footer="0" w:header="0"/>
        </w:sectPr>
      </w:pPr>
    </w:p>
    <w:bookmarkStart w:id="103" w:name="page104"/>
    <w:bookmarkEnd w:id="103"/>
    <w:p>
      <w:pPr>
        <w:jc w:val="both"/>
        <w:spacing w:after="0" w:line="287" w:lineRule="auto"/>
        <w:rPr>
          <w:sz w:val="20"/>
          <w:szCs w:val="20"/>
          <w:color w:val="auto"/>
        </w:rPr>
      </w:pPr>
      <w:r>
        <w:rPr>
          <w:rFonts w:ascii="Times New Roman" w:cs="Times New Roman" w:eastAsia="Times New Roman" w:hAnsi="Times New Roman"/>
          <w:sz w:val="19"/>
          <w:szCs w:val="19"/>
          <w:color w:val="auto"/>
        </w:rPr>
        <w:t>delivered in writing to the Administrator prior to the Participant’s death. For clarity, no Award may be transferred to a third party for monetary consideration.</w:t>
      </w:r>
    </w:p>
    <w:p>
      <w:pPr>
        <w:spacing w:after="0" w:line="128" w:lineRule="exact"/>
        <w:rPr>
          <w:sz w:val="20"/>
          <w:szCs w:val="20"/>
          <w:color w:val="auto"/>
        </w:rPr>
      </w:pPr>
    </w:p>
    <w:p>
      <w:pPr>
        <w:jc w:val="both"/>
        <w:ind w:firstLine="578"/>
        <w:spacing w:after="0" w:line="276"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19"/>
          <w:szCs w:val="19"/>
          <w:u w:val="single" w:color="auto"/>
          <w:color w:val="auto"/>
        </w:rPr>
        <w:t>Documentation</w:t>
      </w:r>
      <w:r>
        <w:rPr>
          <w:rFonts w:ascii="Times New Roman" w:cs="Times New Roman" w:eastAsia="Times New Roman" w:hAnsi="Times New Roman"/>
          <w:sz w:val="19"/>
          <w:szCs w:val="19"/>
          <w:color w:val="auto"/>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137" w:lineRule="exact"/>
        <w:rPr>
          <w:sz w:val="20"/>
          <w:szCs w:val="20"/>
          <w:color w:val="auto"/>
        </w:rPr>
      </w:pPr>
    </w:p>
    <w:p>
      <w:pPr>
        <w:jc w:val="both"/>
        <w:ind w:firstLine="578"/>
        <w:spacing w:after="0" w:line="269"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u w:val="single" w:color="auto"/>
          <w:color w:val="auto"/>
        </w:rPr>
        <w:t>Discretion</w:t>
      </w:r>
      <w:r>
        <w:rPr>
          <w:rFonts w:ascii="Times New Roman" w:cs="Times New Roman" w:eastAsia="Times New Roman" w:hAnsi="Times New Roman"/>
          <w:sz w:val="19"/>
          <w:szCs w:val="19"/>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56"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Changes in Participant’s Status</w:t>
      </w:r>
      <w:r>
        <w:rPr>
          <w:rFonts w:ascii="Times New Roman" w:cs="Times New Roman" w:eastAsia="Times New Roman" w:hAnsi="Times New Roman"/>
          <w:sz w:val="19"/>
          <w:szCs w:val="19"/>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spacing w:after="0" w:line="153" w:lineRule="exact"/>
        <w:rPr>
          <w:sz w:val="20"/>
          <w:szCs w:val="20"/>
          <w:color w:val="auto"/>
        </w:rPr>
      </w:pPr>
    </w:p>
    <w:p>
      <w:pPr>
        <w:jc w:val="both"/>
        <w:ind w:firstLine="578"/>
        <w:spacing w:after="0" w:line="257"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Each Participant must pay the Company or a Subsidiary, as applicable, or make provision satisfactory to the Administrator for payment of, any Tax-Related Items to be withheld in connection with such Participant’s Awards and/or Shares. At the Company’s discretion and subject to any Company insider trading policy (including black-out periods), any withholding obligation for Tax-Related Items may be satisfied by (a) deducting an amount sufficient to satisfy such withholding obligation from any payment of any kind otherwise due to a Participant; (b) accepting a payment from the Participant in cash, by wire transfer of immediately available funds, or by check made payable to the order of the Company or a Subsidiary, as applicable; (c) accepting the delivery of Shares, including Shares delivered by attestation; (d) retaining Shares from an Award; (e) if there is a public market for Shares at the time the withholding obligation for Tax-Related Items is to be satisfied, selling Shares issued pursuant to an Award, either voluntarily by the Participant or mandatorily by the Company; (f) accepting delivery of a promissory note or any other lawful consideration; (g) any other method of withholding determined by the Company and, to the extent required by Applicable Law or the Plan, approved by the Administrator; or (h) 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w:t>
      </w:r>
    </w:p>
    <w:p>
      <w:pPr>
        <w:spacing w:after="0" w:line="395" w:lineRule="exact"/>
        <w:rPr>
          <w:sz w:val="20"/>
          <w:szCs w:val="20"/>
          <w:color w:val="auto"/>
        </w:rPr>
      </w:pPr>
    </w:p>
    <w:p>
      <w:pPr>
        <w:jc w:val="both"/>
        <w:ind w:firstLine="578"/>
        <w:spacing w:after="0" w:line="269" w:lineRule="auto"/>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19"/>
          <w:szCs w:val="19"/>
          <w:u w:val="single" w:color="auto"/>
          <w:color w:val="auto"/>
        </w:rPr>
        <w:t>Amendment of Award</w:t>
      </w:r>
      <w:r>
        <w:rPr>
          <w:rFonts w:ascii="Times New Roman" w:cs="Times New Roman" w:eastAsia="Times New Roman" w:hAnsi="Times New Roman"/>
          <w:sz w:val="19"/>
          <w:szCs w:val="19"/>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320" w:top="1282" w:right="339" w:bottom="1440" w:gutter="0" w:footer="0" w:header="0"/>
        </w:sectPr>
      </w:pPr>
    </w:p>
    <w:bookmarkStart w:id="104" w:name="page105"/>
    <w:bookmarkEnd w:id="104"/>
    <w:p>
      <w:pPr>
        <w:jc w:val="both"/>
        <w:ind w:right="20"/>
        <w:spacing w:after="0" w:line="287" w:lineRule="auto"/>
        <w:rPr>
          <w:sz w:val="20"/>
          <w:szCs w:val="20"/>
          <w:color w:val="auto"/>
        </w:rPr>
      </w:pPr>
      <w:r>
        <w:rPr>
          <w:rFonts w:ascii="Times New Roman" w:cs="Times New Roman" w:eastAsia="Times New Roman" w:hAnsi="Times New Roman"/>
          <w:sz w:val="19"/>
          <w:szCs w:val="19"/>
          <w:color w:val="auto"/>
        </w:rPr>
        <w:t>the action, taking into account any related action, does not materially and adversely affect the Participant’s rights under the Award, or (b) the change is permitted under Article IX or pursuant to Section 11.6.</w:t>
      </w:r>
    </w:p>
    <w:p>
      <w:pPr>
        <w:spacing w:after="0" w:line="128" w:lineRule="exact"/>
        <w:rPr>
          <w:sz w:val="20"/>
          <w:szCs w:val="20"/>
          <w:color w:val="auto"/>
        </w:rPr>
      </w:pPr>
    </w:p>
    <w:p>
      <w:pPr>
        <w:jc w:val="both"/>
        <w:ind w:right="20" w:firstLine="578"/>
        <w:spacing w:after="0" w:line="267" w:lineRule="auto"/>
        <w:rPr>
          <w:sz w:val="20"/>
          <w:szCs w:val="20"/>
          <w:color w:val="auto"/>
        </w:rPr>
      </w:pPr>
      <w:r>
        <w:rPr>
          <w:rFonts w:ascii="Times New Roman" w:cs="Times New Roman" w:eastAsia="Times New Roman" w:hAnsi="Times New Roman"/>
          <w:sz w:val="19"/>
          <w:szCs w:val="19"/>
          <w:color w:val="auto"/>
        </w:rPr>
        <w:t xml:space="preserve">10.7 </w:t>
      </w:r>
      <w:r>
        <w:rPr>
          <w:rFonts w:ascii="Times New Roman" w:cs="Times New Roman" w:eastAsia="Times New Roman" w:hAnsi="Times New Roman"/>
          <w:sz w:val="19"/>
          <w:szCs w:val="19"/>
          <w:u w:val="single" w:color="auto"/>
          <w:color w:val="auto"/>
        </w:rPr>
        <w:t>Prohibition on Repricing</w:t>
      </w:r>
      <w:r>
        <w:rPr>
          <w:rFonts w:ascii="Times New Roman" w:cs="Times New Roman" w:eastAsia="Times New Roman" w:hAnsi="Times New Roman"/>
          <w:sz w:val="19"/>
          <w:szCs w:val="19"/>
          <w:color w:val="auto"/>
        </w:rPr>
        <w:t>. Except pursuant to Article IX, the Administrator shall not, without the approval of the Company’s stockholders, (a) amend any outstanding Option or Stock Appreciation Right to reduce its exercise price per Share or (b) cancel any Option or Stock Appreciation Right in exchange for cash or another Award when the exercise price of such Option or Stock Appreciation Right exceeds the Fair Market Value of the underlying Shares.</w:t>
      </w:r>
    </w:p>
    <w:p>
      <w:pPr>
        <w:spacing w:after="0" w:line="147" w:lineRule="exact"/>
        <w:rPr>
          <w:sz w:val="20"/>
          <w:szCs w:val="20"/>
          <w:color w:val="auto"/>
        </w:rPr>
      </w:pPr>
    </w:p>
    <w:p>
      <w:pPr>
        <w:jc w:val="both"/>
        <w:ind w:firstLine="578"/>
        <w:spacing w:after="0" w:line="257"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19"/>
          <w:szCs w:val="19"/>
          <w:u w:val="single" w:color="auto"/>
          <w:color w:val="auto"/>
        </w:rPr>
        <w:t>Conditions on Delivery of Stock</w:t>
      </w:r>
      <w:r>
        <w:rPr>
          <w:rFonts w:ascii="Times New Roman" w:cs="Times New Roman" w:eastAsia="Times New Roman" w:hAnsi="Times New Roman"/>
          <w:sz w:val="19"/>
          <w:szCs w:val="19"/>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without limitation, any applicable securities laws and stock exchange or stock market rules and regulations, (c) any approvals from governmental agencies that the Company determines are necessary or advisable have been obtained, and (d) the Participant has executed and delivered to the Company such representations or 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spacing w:after="0" w:line="159"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 xml:space="preserve">10.9 </w:t>
      </w:r>
      <w:r>
        <w:rPr>
          <w:rFonts w:ascii="Times New Roman" w:cs="Times New Roman" w:eastAsia="Times New Roman" w:hAnsi="Times New Roman"/>
          <w:sz w:val="19"/>
          <w:szCs w:val="19"/>
          <w:u w:val="single" w:color="auto"/>
          <w:color w:val="auto"/>
        </w:rPr>
        <w:t>Acceleration</w:t>
      </w:r>
      <w:r>
        <w:rPr>
          <w:rFonts w:ascii="Times New Roman" w:cs="Times New Roman" w:eastAsia="Times New Roman" w:hAnsi="Times New Roman"/>
          <w:sz w:val="19"/>
          <w:szCs w:val="19"/>
          <w:color w:val="auto"/>
        </w:rPr>
        <w:t>. The Administrator may at any time provide that any Award will become immediately vested and fully or partially exercisable, free of some or all restrictions or conditions, or otherwise fully or partially realizable.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XI.</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81"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No Right to Employment or Other Status</w:t>
      </w:r>
      <w:r>
        <w:rPr>
          <w:rFonts w:ascii="Times New Roman" w:cs="Times New Roman" w:eastAsia="Times New Roman" w:hAnsi="Times New Roman"/>
          <w:sz w:val="19"/>
          <w:szCs w:val="19"/>
          <w:color w:val="auto"/>
        </w:rPr>
        <w:t>. 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151" w:lineRule="exact"/>
        <w:rPr>
          <w:sz w:val="20"/>
          <w:szCs w:val="20"/>
          <w:color w:val="auto"/>
        </w:rPr>
      </w:pPr>
    </w:p>
    <w:p>
      <w:pPr>
        <w:jc w:val="both"/>
        <w:ind w:right="20" w:firstLine="578"/>
        <w:spacing w:after="0" w:line="269" w:lineRule="auto"/>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19"/>
          <w:szCs w:val="19"/>
          <w:u w:val="single" w:color="auto"/>
          <w:color w:val="auto"/>
        </w:rPr>
        <w:t>No Rights as Stockholder; Certificates</w:t>
      </w:r>
      <w:r>
        <w:rPr>
          <w:rFonts w:ascii="Times New Roman" w:cs="Times New Roman" w:eastAsia="Times New Roman" w:hAnsi="Times New Roman"/>
          <w:sz w:val="19"/>
          <w:szCs w:val="19"/>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60"/>
          </w:cols>
          <w:pgMar w:left="320" w:top="1282" w:right="319" w:bottom="1440" w:gutter="0" w:footer="0" w:header="0"/>
        </w:sectPr>
      </w:pPr>
    </w:p>
    <w:bookmarkStart w:id="105" w:name="page106"/>
    <w:bookmarkEnd w:id="105"/>
    <w:p>
      <w:pPr>
        <w:jc w:val="both"/>
        <w:ind w:left="4" w:right="20"/>
        <w:spacing w:after="0" w:line="267" w:lineRule="auto"/>
        <w:rPr>
          <w:sz w:val="20"/>
          <w:szCs w:val="20"/>
          <w:color w:val="auto"/>
        </w:rPr>
      </w:pPr>
      <w:r>
        <w:rPr>
          <w:rFonts w:ascii="Times New Roman" w:cs="Times New Roman" w:eastAsia="Times New Roman" w:hAnsi="Times New Roman"/>
          <w:sz w:val="19"/>
          <w:szCs w:val="19"/>
          <w:color w:val="auto"/>
        </w:rPr>
        <w:t>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147" w:lineRule="exact"/>
        <w:rPr>
          <w:sz w:val="20"/>
          <w:szCs w:val="20"/>
          <w:color w:val="auto"/>
        </w:rPr>
      </w:pPr>
    </w:p>
    <w:p>
      <w:pPr>
        <w:jc w:val="both"/>
        <w:ind w:left="4"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The Board approved the Plan on March 22, 2023, subject to the approval of the Company’s stockholders. The Plan will become effective on the date it is approved by the Company’s stockholders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If the Plan is not approved by the Company’s stockholders on or before March 22, 2024, the Plan will not become effective. No Incentive Stock Option may be granted pursuant to the Plan after the tenth anniversary of the date the Plan was approved by the Board.</w:t>
      </w:r>
    </w:p>
    <w:p>
      <w:pPr>
        <w:spacing w:after="0" w:line="162" w:lineRule="exact"/>
        <w:rPr>
          <w:sz w:val="20"/>
          <w:szCs w:val="20"/>
          <w:color w:val="auto"/>
        </w:rPr>
      </w:pPr>
    </w:p>
    <w:p>
      <w:pPr>
        <w:ind w:left="584"/>
        <w:spacing w:after="0"/>
        <w:tabs>
          <w:tab w:leader="none" w:pos="1083" w:val="left"/>
        </w:tabs>
        <w:rPr>
          <w:sz w:val="20"/>
          <w:szCs w:val="20"/>
          <w:color w:val="auto"/>
        </w:rPr>
      </w:pPr>
      <w:r>
        <w:rPr>
          <w:rFonts w:ascii="Times New Roman" w:cs="Times New Roman" w:eastAsia="Times New Roman" w:hAnsi="Times New Roman"/>
          <w:sz w:val="19"/>
          <w:szCs w:val="19"/>
          <w:color w:val="auto"/>
        </w:rPr>
        <w:t>11.4</w:t>
      </w:r>
      <w:r>
        <w:rPr>
          <w:sz w:val="20"/>
          <w:szCs w:val="20"/>
          <w:color w:val="auto"/>
        </w:rPr>
        <w:tab/>
      </w:r>
      <w:r>
        <w:rPr>
          <w:rFonts w:ascii="Times New Roman" w:cs="Times New Roman" w:eastAsia="Times New Roman" w:hAnsi="Times New Roman"/>
          <w:sz w:val="19"/>
          <w:szCs w:val="19"/>
          <w:u w:val="single" w:color="auto"/>
          <w:color w:val="auto"/>
        </w:rPr>
        <w:t>Amendment of Plan</w:t>
      </w:r>
      <w:r>
        <w:rPr>
          <w:rFonts w:ascii="Times New Roman" w:cs="Times New Roman" w:eastAsia="Times New Roman" w:hAnsi="Times New Roman"/>
          <w:sz w:val="19"/>
          <w:szCs w:val="19"/>
          <w:color w:val="auto"/>
        </w:rPr>
        <w:t>. The Administrator may amend, suspend or terminate the Plan at any time and from time to time; provided that</w:t>
      </w:r>
    </w:p>
    <w:p>
      <w:pPr>
        <w:spacing w:after="0" w:line="32" w:lineRule="exact"/>
        <w:rPr>
          <w:sz w:val="20"/>
          <w:szCs w:val="20"/>
          <w:color w:val="auto"/>
        </w:rPr>
      </w:pPr>
    </w:p>
    <w:p>
      <w:pPr>
        <w:jc w:val="both"/>
        <w:ind w:left="4" w:hanging="4"/>
        <w:spacing w:after="0" w:line="256" w:lineRule="auto"/>
        <w:tabs>
          <w:tab w:leader="none" w:pos="27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amendment requiring stockholder approval to comply with Applicable Law shall be effective unless approved by the stockholders,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each in effect before such suspension or termination. The Administrator will obtain stockholder approval of any Plan amendment to the extent necessary to comply with Applicable Law.</w:t>
      </w:r>
    </w:p>
    <w:p>
      <w:pPr>
        <w:spacing w:after="0" w:line="157" w:lineRule="exact"/>
        <w:rPr>
          <w:sz w:val="20"/>
          <w:szCs w:val="20"/>
          <w:color w:val="auto"/>
        </w:rPr>
      </w:pPr>
    </w:p>
    <w:p>
      <w:pPr>
        <w:jc w:val="both"/>
        <w:ind w:left="4" w:firstLine="578"/>
        <w:spacing w:after="0" w:line="263" w:lineRule="auto"/>
        <w:rPr>
          <w:sz w:val="20"/>
          <w:szCs w:val="20"/>
          <w:color w:val="auto"/>
        </w:rPr>
      </w:pPr>
      <w:r>
        <w:rPr>
          <w:rFonts w:ascii="Times New Roman" w:cs="Times New Roman" w:eastAsia="Times New Roman" w:hAnsi="Times New Roman"/>
          <w:sz w:val="19"/>
          <w:szCs w:val="19"/>
          <w:color w:val="auto"/>
        </w:rPr>
        <w:t xml:space="preserve">11.5 </w:t>
      </w:r>
      <w:r>
        <w:rPr>
          <w:rFonts w:ascii="Times New Roman" w:cs="Times New Roman" w:eastAsia="Times New Roman" w:hAnsi="Times New Roman"/>
          <w:sz w:val="19"/>
          <w:szCs w:val="19"/>
          <w:u w:val="single" w:color="auto"/>
          <w:color w:val="auto"/>
        </w:rPr>
        <w:t>Provisions for Non-U.S. Participants</w:t>
      </w:r>
      <w:r>
        <w:rPr>
          <w:rFonts w:ascii="Times New Roman" w:cs="Times New Roman" w:eastAsia="Times New Roman" w:hAnsi="Times New Roman"/>
          <w:sz w:val="19"/>
          <w:szCs w:val="19"/>
          <w:color w:val="auto"/>
        </w:rPr>
        <w:t>.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w:t>
      </w:r>
    </w:p>
    <w:p>
      <w:pPr>
        <w:spacing w:after="0" w:line="151" w:lineRule="exact"/>
        <w:rPr>
          <w:sz w:val="20"/>
          <w:szCs w:val="20"/>
          <w:color w:val="auto"/>
        </w:rPr>
      </w:pPr>
    </w:p>
    <w:p>
      <w:pPr>
        <w:ind w:left="584"/>
        <w:spacing w:after="0"/>
        <w:tabs>
          <w:tab w:leader="none" w:pos="1083" w:val="left"/>
        </w:tabs>
        <w:rPr>
          <w:sz w:val="20"/>
          <w:szCs w:val="20"/>
          <w:color w:val="auto"/>
        </w:rPr>
      </w:pPr>
      <w:r>
        <w:rPr>
          <w:rFonts w:ascii="Times New Roman" w:cs="Times New Roman" w:eastAsia="Times New Roman" w:hAnsi="Times New Roman"/>
          <w:sz w:val="19"/>
          <w:szCs w:val="19"/>
          <w:color w:val="auto"/>
        </w:rPr>
        <w:t>11.6</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4" w:firstLine="1152"/>
        <w:spacing w:after="0" w:line="259" w:lineRule="auto"/>
        <w:tabs>
          <w:tab w:leader="none" w:pos="1577"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General</w:t>
      </w:r>
      <w:r>
        <w:rPr>
          <w:rFonts w:ascii="Times New Roman" w:cs="Times New Roman" w:eastAsia="Times New Roman" w:hAnsi="Times New Roman"/>
          <w:sz w:val="19"/>
          <w:szCs w:val="19"/>
          <w:color w:val="auto"/>
        </w:rPr>
        <w:t>. The Company intends that all Awards be structured to comply with, or be exempt from, Section 409A, such that no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64"/>
          </w:cols>
          <w:pgMar w:left="316" w:top="1282" w:right="319" w:bottom="1440" w:gutter="0" w:footer="0" w:header="0"/>
        </w:sectPr>
      </w:pPr>
    </w:p>
    <w:bookmarkStart w:id="106" w:name="page107"/>
    <w:bookmarkEnd w:id="106"/>
    <w:p>
      <w:pPr>
        <w:jc w:val="both"/>
        <w:ind w:left="4"/>
        <w:spacing w:after="0" w:line="267" w:lineRule="auto"/>
        <w:rPr>
          <w:sz w:val="20"/>
          <w:szCs w:val="20"/>
          <w:color w:val="auto"/>
        </w:rPr>
      </w:pPr>
      <w:r>
        <w:rPr>
          <w:rFonts w:ascii="Times New Roman" w:cs="Times New Roman" w:eastAsia="Times New Roman" w:hAnsi="Times New Roman"/>
          <w:sz w:val="19"/>
          <w:szCs w:val="19"/>
          <w:color w:val="auto"/>
        </w:rPr>
        <w:t>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45" w:lineRule="exact"/>
        <w:rPr>
          <w:sz w:val="20"/>
          <w:szCs w:val="20"/>
          <w:color w:val="auto"/>
        </w:rPr>
      </w:pPr>
    </w:p>
    <w:p>
      <w:pPr>
        <w:jc w:val="both"/>
        <w:ind w:left="4" w:right="20" w:firstLine="1152"/>
        <w:spacing w:after="0" w:line="264" w:lineRule="auto"/>
        <w:tabs>
          <w:tab w:leader="none" w:pos="1576"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Separation from Service</w:t>
      </w:r>
      <w:r>
        <w:rPr>
          <w:rFonts w:ascii="Times New Roman" w:cs="Times New Roman" w:eastAsia="Times New Roman" w:hAnsi="Times New Roman"/>
          <w:sz w:val="19"/>
          <w:szCs w:val="19"/>
          <w:color w:val="auto"/>
        </w:rPr>
        <w:t>. If an Award constitutes “nonqualified deferred compensation” under Section 409A, any payment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146" w:lineRule="exact"/>
        <w:rPr>
          <w:rFonts w:ascii="Times New Roman" w:cs="Times New Roman" w:eastAsia="Times New Roman" w:hAnsi="Times New Roman"/>
          <w:sz w:val="19"/>
          <w:szCs w:val="19"/>
          <w:color w:val="auto"/>
        </w:rPr>
      </w:pPr>
    </w:p>
    <w:p>
      <w:pPr>
        <w:jc w:val="both"/>
        <w:ind w:left="4" w:firstLine="1152"/>
        <w:spacing w:after="0" w:line="258" w:lineRule="auto"/>
        <w:tabs>
          <w:tab w:leader="none" w:pos="171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Payments to Specified Employees</w:t>
      </w:r>
      <w:r>
        <w:rPr>
          <w:rFonts w:ascii="Times New Roman" w:cs="Times New Roman" w:eastAsia="Times New Roman" w:hAnsi="Times New Roman"/>
          <w:sz w:val="19"/>
          <w:szCs w:val="19"/>
          <w:color w:val="auto"/>
        </w:rPr>
        <w:t>. Notwithstanding any contrary provision in the Plan or any Award Agreement,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payment(s) of “nonqualified deferred compensation” required to be made under an Award to a “specified employee” (as defined under Section 409A and as the Administrator determines) due to such employee’s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55" w:lineRule="exact"/>
        <w:rPr>
          <w:rFonts w:ascii="Times New Roman" w:cs="Times New Roman" w:eastAsia="Times New Roman" w:hAnsi="Times New Roman"/>
          <w:sz w:val="19"/>
          <w:szCs w:val="19"/>
          <w:color w:val="auto"/>
        </w:rPr>
      </w:pPr>
    </w:p>
    <w:p>
      <w:pPr>
        <w:ind w:left="1604" w:hanging="448"/>
        <w:spacing w:after="0"/>
        <w:tabs>
          <w:tab w:leader="none" w:pos="1604"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Separate Payments</w:t>
      </w:r>
      <w:r>
        <w:rPr>
          <w:rFonts w:ascii="Times New Roman" w:cs="Times New Roman" w:eastAsia="Times New Roman" w:hAnsi="Times New Roman"/>
          <w:sz w:val="19"/>
          <w:szCs w:val="19"/>
          <w:color w:val="auto"/>
        </w:rPr>
        <w:t>. If an Award includes a “series of installment payments” within the meaning of Section 1.409A-2(b)(2)</w:t>
      </w:r>
    </w:p>
    <w:p>
      <w:pPr>
        <w:spacing w:after="0" w:line="34" w:lineRule="exact"/>
        <w:rPr>
          <w:rFonts w:ascii="Times New Roman" w:cs="Times New Roman" w:eastAsia="Times New Roman" w:hAnsi="Times New Roman"/>
          <w:sz w:val="19"/>
          <w:szCs w:val="19"/>
          <w:color w:val="auto"/>
        </w:rPr>
      </w:pPr>
    </w:p>
    <w:p>
      <w:pPr>
        <w:jc w:val="both"/>
        <w:ind w:left="4" w:hanging="4"/>
        <w:spacing w:after="0" w:line="263" w:lineRule="auto"/>
        <w:tabs>
          <w:tab w:leader="none" w:pos="341"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Section 409A, the Participant’s 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spacing w:after="0" w:line="151" w:lineRule="exact"/>
        <w:rPr>
          <w:sz w:val="20"/>
          <w:szCs w:val="20"/>
          <w:color w:val="auto"/>
        </w:rPr>
      </w:pPr>
    </w:p>
    <w:p>
      <w:pPr>
        <w:jc w:val="both"/>
        <w:ind w:left="4" w:firstLine="578"/>
        <w:spacing w:after="0" w:line="258" w:lineRule="auto"/>
        <w:rPr>
          <w:sz w:val="20"/>
          <w:szCs w:val="20"/>
          <w:color w:val="auto"/>
        </w:rPr>
      </w:pPr>
      <w:r>
        <w:rPr>
          <w:rFonts w:ascii="Times New Roman" w:cs="Times New Roman" w:eastAsia="Times New Roman" w:hAnsi="Times New Roman"/>
          <w:sz w:val="19"/>
          <w:szCs w:val="19"/>
          <w:color w:val="auto"/>
        </w:rPr>
        <w:t xml:space="preserve">11.7 </w:t>
      </w:r>
      <w:r>
        <w:rPr>
          <w:rFonts w:ascii="Times New Roman" w:cs="Times New Roman" w:eastAsia="Times New Roman" w:hAnsi="Times New Roman"/>
          <w:sz w:val="19"/>
          <w:szCs w:val="19"/>
          <w:u w:val="single" w:color="auto"/>
          <w:color w:val="auto"/>
        </w:rPr>
        <w:t>Limitations on Liability</w:t>
      </w:r>
      <w:r>
        <w:rPr>
          <w:rFonts w:ascii="Times New Roman" w:cs="Times New Roman" w:eastAsia="Times New Roman" w:hAnsi="Times New Roman"/>
          <w:sz w:val="19"/>
          <w:szCs w:val="19"/>
          <w:color w:val="auto"/>
        </w:rPr>
        <w:t>. Notwithstanding any other provisions of the Plan and to the fullest extent permitted by Applicable Law and the Company’s certificate of incorporation, bylaws and other governing documents, (a) no individual acting as an Administrator, Director, officer or other Employee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such person’s capacity as an Administrator, Director, officer or other Employee, and (b)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64"/>
          </w:cols>
          <w:pgMar w:left="316" w:top="1282" w:right="319" w:bottom="1440" w:gutter="0" w:footer="0" w:header="0"/>
        </w:sectPr>
      </w:pPr>
    </w:p>
    <w:bookmarkStart w:id="107" w:name="page108"/>
    <w:bookmarkEnd w:id="107"/>
    <w:p>
      <w:pPr>
        <w:jc w:val="both"/>
        <w:spacing w:after="0" w:line="269" w:lineRule="auto"/>
        <w:rPr>
          <w:sz w:val="20"/>
          <w:szCs w:val="20"/>
          <w:color w:val="auto"/>
        </w:rPr>
      </w:pPr>
      <w:r>
        <w:rPr>
          <w:rFonts w:ascii="Times New Roman" w:cs="Times New Roman" w:eastAsia="Times New Roman" w:hAnsi="Times New Roman"/>
          <w:sz w:val="19"/>
          <w:szCs w:val="19"/>
          <w:color w:val="auto"/>
        </w:rPr>
        <w:t>claim with the Administrator’s approval) arising from any act or omission concerning this Plan unless arising from such person’s own fraud or bad faith; provided that such person gives the Company an opportunity, at its own expense, to handle and defend the same before undertaking to handle and defend it on such person’s own behalf.</w:t>
      </w:r>
    </w:p>
    <w:p>
      <w:pPr>
        <w:spacing w:after="0" w:line="156" w:lineRule="exact"/>
        <w:rPr>
          <w:sz w:val="20"/>
          <w:szCs w:val="20"/>
          <w:color w:val="auto"/>
        </w:rPr>
      </w:pPr>
    </w:p>
    <w:p>
      <w:pPr>
        <w:jc w:val="both"/>
        <w:ind w:firstLine="578"/>
        <w:spacing w:after="0" w:line="255" w:lineRule="auto"/>
        <w:rPr>
          <w:sz w:val="20"/>
          <w:szCs w:val="20"/>
          <w:color w:val="auto"/>
        </w:rPr>
      </w:pPr>
      <w:r>
        <w:rPr>
          <w:rFonts w:ascii="Times New Roman" w:cs="Times New Roman" w:eastAsia="Times New Roman" w:hAnsi="Times New Roman"/>
          <w:sz w:val="19"/>
          <w:szCs w:val="19"/>
          <w:color w:val="auto"/>
        </w:rPr>
        <w:t xml:space="preserve">11.8 </w:t>
      </w: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As a condition for receiving any Award, each Participant explicitly and unambiguously consents to the collection, use and transfer, in electronic or other form, of personal data as described in this Section 11.8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9"/>
          <w:szCs w:val="19"/>
          <w:b w:val="1"/>
          <w:bCs w:val="1"/>
          <w:i w:val="1"/>
          <w:iCs w:val="1"/>
          <w:color w:val="auto"/>
        </w:rPr>
        <w:t>Data</w:t>
      </w:r>
      <w:r>
        <w:rPr>
          <w:rFonts w:ascii="Times New Roman" w:cs="Times New Roman" w:eastAsia="Times New Roman" w:hAnsi="Times New Roman"/>
          <w:sz w:val="19"/>
          <w:szCs w:val="19"/>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a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spacing w:after="0" w:line="393" w:lineRule="exact"/>
        <w:rPr>
          <w:sz w:val="20"/>
          <w:szCs w:val="20"/>
          <w:color w:val="auto"/>
        </w:rPr>
      </w:pPr>
    </w:p>
    <w:p>
      <w:pPr>
        <w:jc w:val="both"/>
        <w:ind w:right="20" w:firstLine="578"/>
        <w:spacing w:after="0" w:line="276" w:lineRule="auto"/>
        <w:rPr>
          <w:sz w:val="20"/>
          <w:szCs w:val="20"/>
          <w:color w:val="auto"/>
        </w:rPr>
      </w:pPr>
      <w:r>
        <w:rPr>
          <w:rFonts w:ascii="Times New Roman" w:cs="Times New Roman" w:eastAsia="Times New Roman" w:hAnsi="Times New Roman"/>
          <w:sz w:val="19"/>
          <w:szCs w:val="19"/>
          <w:color w:val="auto"/>
        </w:rPr>
        <w:t xml:space="preserve">11.9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37" w:lineRule="exact"/>
        <w:rPr>
          <w:sz w:val="20"/>
          <w:szCs w:val="20"/>
          <w:color w:val="auto"/>
        </w:rPr>
      </w:pPr>
    </w:p>
    <w:p>
      <w:pPr>
        <w:jc w:val="both"/>
        <w:ind w:firstLine="578"/>
        <w:spacing w:after="0" w:line="269" w:lineRule="auto"/>
        <w:rPr>
          <w:sz w:val="20"/>
          <w:szCs w:val="20"/>
          <w:color w:val="auto"/>
        </w:rPr>
      </w:pPr>
      <w:r>
        <w:rPr>
          <w:rFonts w:ascii="Times New Roman" w:cs="Times New Roman" w:eastAsia="Times New Roman" w:hAnsi="Times New Roman"/>
          <w:sz w:val="19"/>
          <w:szCs w:val="19"/>
          <w:color w:val="auto"/>
        </w:rPr>
        <w:t xml:space="preserve">11.10 </w:t>
      </w:r>
      <w:r>
        <w:rPr>
          <w:rFonts w:ascii="Times New Roman" w:cs="Times New Roman" w:eastAsia="Times New Roman" w:hAnsi="Times New Roman"/>
          <w:sz w:val="19"/>
          <w:szCs w:val="19"/>
          <w:u w:val="single" w:color="auto"/>
          <w:color w:val="auto"/>
        </w:rPr>
        <w:t>Governing Documents</w:t>
      </w:r>
      <w:r>
        <w:rPr>
          <w:rFonts w:ascii="Times New Roman" w:cs="Times New Roman" w:eastAsia="Times New Roman" w:hAnsi="Times New Roman"/>
          <w:sz w:val="19"/>
          <w:szCs w:val="19"/>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60"/>
          </w:cols>
          <w:pgMar w:left="320" w:top="1282" w:right="319" w:bottom="1440" w:gutter="0" w:footer="0" w:header="0"/>
        </w:sectPr>
      </w:pPr>
    </w:p>
    <w:bookmarkStart w:id="108" w:name="page109"/>
    <w:bookmarkEnd w:id="108"/>
    <w:p>
      <w:pPr>
        <w:jc w:val="both"/>
        <w:ind w:firstLine="578"/>
        <w:spacing w:after="0" w:line="256" w:lineRule="auto"/>
        <w:rPr>
          <w:sz w:val="20"/>
          <w:szCs w:val="20"/>
          <w:color w:val="auto"/>
        </w:rPr>
      </w:pPr>
      <w:r>
        <w:rPr>
          <w:rFonts w:ascii="Times New Roman" w:cs="Times New Roman" w:eastAsia="Times New Roman" w:hAnsi="Times New Roman"/>
          <w:sz w:val="19"/>
          <w:szCs w:val="19"/>
          <w:color w:val="auto"/>
        </w:rPr>
        <w:t xml:space="preserve">11.11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at the Company’s discretion,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65" w:lineRule="exact"/>
        <w:rPr>
          <w:sz w:val="20"/>
          <w:szCs w:val="20"/>
          <w:color w:val="auto"/>
        </w:rPr>
      </w:pPr>
    </w:p>
    <w:p>
      <w:pPr>
        <w:jc w:val="both"/>
        <w:ind w:firstLine="578"/>
        <w:spacing w:after="0" w:line="267" w:lineRule="auto"/>
        <w:rPr>
          <w:sz w:val="20"/>
          <w:szCs w:val="20"/>
          <w:color w:val="auto"/>
        </w:rPr>
      </w:pPr>
      <w:r>
        <w:rPr>
          <w:rFonts w:ascii="Times New Roman" w:cs="Times New Roman" w:eastAsia="Times New Roman" w:hAnsi="Times New Roman"/>
          <w:sz w:val="19"/>
          <w:szCs w:val="19"/>
          <w:color w:val="auto"/>
        </w:rPr>
        <w:t xml:space="preserve">11.12 </w:t>
      </w:r>
      <w:r>
        <w:rPr>
          <w:rFonts w:ascii="Times New Roman" w:cs="Times New Roman" w:eastAsia="Times New Roman" w:hAnsi="Times New Roman"/>
          <w:sz w:val="19"/>
          <w:szCs w:val="19"/>
          <w:u w:val="single" w:color="auto"/>
          <w:color w:val="auto"/>
        </w:rPr>
        <w:t>Clawback Provisions</w:t>
      </w:r>
      <w:r>
        <w:rPr>
          <w:rFonts w:ascii="Times New Roman" w:cs="Times New Roman" w:eastAsia="Times New Roman" w:hAnsi="Times New Roman"/>
          <w:sz w:val="19"/>
          <w:szCs w:val="19"/>
          <w:color w:val="auto"/>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147" w:lineRule="exact"/>
        <w:rPr>
          <w:sz w:val="20"/>
          <w:szCs w:val="20"/>
          <w:color w:val="auto"/>
        </w:rPr>
      </w:pPr>
    </w:p>
    <w:p>
      <w:pPr>
        <w:jc w:val="both"/>
        <w:ind w:right="20" w:firstLine="578"/>
        <w:spacing w:after="0" w:line="287" w:lineRule="auto"/>
        <w:rPr>
          <w:sz w:val="20"/>
          <w:szCs w:val="20"/>
          <w:color w:val="auto"/>
        </w:rPr>
      </w:pPr>
      <w:r>
        <w:rPr>
          <w:rFonts w:ascii="Times New Roman" w:cs="Times New Roman" w:eastAsia="Times New Roman" w:hAnsi="Times New Roman"/>
          <w:sz w:val="19"/>
          <w:szCs w:val="19"/>
          <w:color w:val="auto"/>
        </w:rPr>
        <w:t xml:space="preserve">11.13 </w:t>
      </w:r>
      <w:r>
        <w:rPr>
          <w:rFonts w:ascii="Times New Roman" w:cs="Times New Roman" w:eastAsia="Times New Roman" w:hAnsi="Times New Roman"/>
          <w:sz w:val="19"/>
          <w:szCs w:val="19"/>
          <w:u w:val="single" w:color="auto"/>
          <w:color w:val="auto"/>
        </w:rPr>
        <w:t>Titles and Headings</w:t>
      </w:r>
      <w:r>
        <w:rPr>
          <w:rFonts w:ascii="Times New Roman" w:cs="Times New Roman" w:eastAsia="Times New Roman" w:hAnsi="Times New Roman"/>
          <w:sz w:val="19"/>
          <w:szCs w:val="19"/>
          <w:color w:val="auto"/>
        </w:rPr>
        <w:t>. The titles and headings in the Plan are for convenience of reference only and, if any conflict, the Plan’s text, rather than such titles or headings, will control.</w:t>
      </w:r>
    </w:p>
    <w:p>
      <w:pPr>
        <w:spacing w:after="0" w:line="128"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9"/>
          <w:szCs w:val="19"/>
          <w:color w:val="auto"/>
        </w:rPr>
        <w:t xml:space="preserve">11.14 </w:t>
      </w:r>
      <w:r>
        <w:rPr>
          <w:rFonts w:ascii="Times New Roman" w:cs="Times New Roman" w:eastAsia="Times New Roman" w:hAnsi="Times New Roman"/>
          <w:sz w:val="19"/>
          <w:szCs w:val="19"/>
          <w:u w:val="single" w:color="auto"/>
          <w:color w:val="auto"/>
        </w:rPr>
        <w:t>Conformity to Applicable Law</w:t>
      </w:r>
      <w:r>
        <w:rPr>
          <w:rFonts w:ascii="Times New Roman" w:cs="Times New Roman" w:eastAsia="Times New Roman" w:hAnsi="Times New Roman"/>
          <w:sz w:val="19"/>
          <w:szCs w:val="19"/>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 For the avoidance of doubt and notwithstanding anything herein to the contrary, any provisions relating to exculpation or indemnification of directors, officers, employees or others under the Plan and all Awards will be administered and construed in accordance with Applicable Law and the Company’s certificate of incorporation, bylaws and other governing documents.</w:t>
      </w:r>
    </w:p>
    <w:p>
      <w:pPr>
        <w:spacing w:after="0" w:line="163" w:lineRule="exact"/>
        <w:rPr>
          <w:sz w:val="20"/>
          <w:szCs w:val="20"/>
          <w:color w:val="auto"/>
        </w:rPr>
      </w:pPr>
    </w:p>
    <w:p>
      <w:pPr>
        <w:jc w:val="both"/>
        <w:ind w:firstLine="578"/>
        <w:spacing w:after="0" w:line="269" w:lineRule="auto"/>
        <w:rPr>
          <w:sz w:val="20"/>
          <w:szCs w:val="20"/>
          <w:color w:val="auto"/>
        </w:rPr>
      </w:pPr>
      <w:r>
        <w:rPr>
          <w:rFonts w:ascii="Times New Roman" w:cs="Times New Roman" w:eastAsia="Times New Roman" w:hAnsi="Times New Roman"/>
          <w:sz w:val="19"/>
          <w:szCs w:val="19"/>
          <w:color w:val="auto"/>
        </w:rPr>
        <w:t xml:space="preserve">11.15 </w:t>
      </w:r>
      <w:r>
        <w:rPr>
          <w:rFonts w:ascii="Times New Roman" w:cs="Times New Roman" w:eastAsia="Times New Roman" w:hAnsi="Times New Roman"/>
          <w:sz w:val="19"/>
          <w:szCs w:val="19"/>
          <w:u w:val="single" w:color="auto"/>
          <w:color w:val="auto"/>
        </w:rPr>
        <w:t>Relationship to Other Benefits</w:t>
      </w:r>
      <w:r>
        <w:rPr>
          <w:rFonts w:ascii="Times New Roman" w:cs="Times New Roman" w:eastAsia="Times New Roman" w:hAnsi="Times New Roman"/>
          <w:sz w:val="19"/>
          <w:szCs w:val="19"/>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60"/>
          </w:cols>
          <w:pgMar w:left="320" w:top="1282" w:right="319" w:bottom="1440" w:gutter="0" w:footer="0" w:header="0"/>
        </w:sectPr>
      </w:pPr>
    </w:p>
    <w:bookmarkStart w:id="109" w:name="page110"/>
    <w:bookmarkEnd w:id="109"/>
    <w:p>
      <w:pPr>
        <w:jc w:val="both"/>
        <w:ind w:right="20" w:firstLine="578"/>
        <w:spacing w:after="0" w:line="269" w:lineRule="auto"/>
        <w:rPr>
          <w:sz w:val="20"/>
          <w:szCs w:val="20"/>
          <w:color w:val="auto"/>
        </w:rPr>
      </w:pPr>
      <w:r>
        <w:rPr>
          <w:rFonts w:ascii="Times New Roman" w:cs="Times New Roman" w:eastAsia="Times New Roman" w:hAnsi="Times New Roman"/>
          <w:sz w:val="19"/>
          <w:szCs w:val="19"/>
          <w:color w:val="auto"/>
        </w:rPr>
        <w:t xml:space="preserve">11.16 </w:t>
      </w:r>
      <w:r>
        <w:rPr>
          <w:rFonts w:ascii="Times New Roman" w:cs="Times New Roman" w:eastAsia="Times New Roman" w:hAnsi="Times New Roman"/>
          <w:sz w:val="19"/>
          <w:szCs w:val="19"/>
          <w:u w:val="single" w:color="auto"/>
          <w:color w:val="auto"/>
        </w:rPr>
        <w:t>Unfunded Status of Awards</w:t>
      </w:r>
      <w:r>
        <w:rPr>
          <w:rFonts w:ascii="Times New Roman" w:cs="Times New Roman" w:eastAsia="Times New Roman" w:hAnsi="Times New Roman"/>
          <w:sz w:val="19"/>
          <w:szCs w:val="19"/>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156" w:lineRule="exact"/>
        <w:rPr>
          <w:sz w:val="20"/>
          <w:szCs w:val="20"/>
          <w:color w:val="auto"/>
        </w:rPr>
      </w:pPr>
    </w:p>
    <w:p>
      <w:pPr>
        <w:jc w:val="both"/>
        <w:ind w:right="20" w:firstLine="578"/>
        <w:spacing w:after="0" w:line="260" w:lineRule="auto"/>
        <w:rPr>
          <w:sz w:val="20"/>
          <w:szCs w:val="20"/>
          <w:color w:val="auto"/>
        </w:rPr>
      </w:pPr>
      <w:r>
        <w:rPr>
          <w:rFonts w:ascii="Times New Roman" w:cs="Times New Roman" w:eastAsia="Times New Roman" w:hAnsi="Times New Roman"/>
          <w:sz w:val="19"/>
          <w:szCs w:val="19"/>
          <w:color w:val="auto"/>
        </w:rPr>
        <w:t xml:space="preserve">11.17 </w:t>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65" w:lineRule="exact"/>
        <w:rPr>
          <w:sz w:val="20"/>
          <w:szCs w:val="20"/>
          <w:color w:val="auto"/>
        </w:rPr>
      </w:pPr>
    </w:p>
    <w:p>
      <w:pPr>
        <w:jc w:val="both"/>
        <w:ind w:right="20" w:firstLine="578"/>
        <w:spacing w:after="0" w:line="263" w:lineRule="auto"/>
        <w:rPr>
          <w:sz w:val="20"/>
          <w:szCs w:val="20"/>
          <w:color w:val="auto"/>
        </w:rPr>
      </w:pPr>
      <w:r>
        <w:rPr>
          <w:rFonts w:ascii="Times New Roman" w:cs="Times New Roman" w:eastAsia="Times New Roman" w:hAnsi="Times New Roman"/>
          <w:sz w:val="19"/>
          <w:szCs w:val="19"/>
          <w:color w:val="auto"/>
        </w:rPr>
        <w:t xml:space="preserve">11.18 </w:t>
      </w:r>
      <w:r>
        <w:rPr>
          <w:rFonts w:ascii="Times New Roman" w:cs="Times New Roman" w:eastAsia="Times New Roman" w:hAnsi="Times New Roman"/>
          <w:sz w:val="19"/>
          <w:szCs w:val="19"/>
          <w:u w:val="single" w:color="auto"/>
          <w:color w:val="auto"/>
        </w:rPr>
        <w:t>Prohibition on Executive Officer and Director Loans</w:t>
      </w:r>
      <w:r>
        <w:rPr>
          <w:rFonts w:ascii="Times New Roman" w:cs="Times New Roman" w:eastAsia="Times New Roman" w:hAnsi="Times New Roman"/>
          <w:sz w:val="19"/>
          <w:szCs w:val="19"/>
          <w:color w:val="auto"/>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50" w:lineRule="exact"/>
        <w:rPr>
          <w:sz w:val="20"/>
          <w:szCs w:val="20"/>
          <w:color w:val="auto"/>
        </w:rPr>
      </w:pPr>
    </w:p>
    <w:p>
      <w:pPr>
        <w:jc w:val="both"/>
        <w:ind w:firstLine="578"/>
        <w:spacing w:after="0" w:line="257" w:lineRule="auto"/>
        <w:rPr>
          <w:sz w:val="20"/>
          <w:szCs w:val="20"/>
          <w:color w:val="auto"/>
        </w:rPr>
      </w:pPr>
      <w:r>
        <w:rPr>
          <w:rFonts w:ascii="Times New Roman" w:cs="Times New Roman" w:eastAsia="Times New Roman" w:hAnsi="Times New Roman"/>
          <w:sz w:val="19"/>
          <w:szCs w:val="19"/>
          <w:color w:val="auto"/>
        </w:rPr>
        <w:t xml:space="preserve">11.19 </w:t>
      </w:r>
      <w:r>
        <w:rPr>
          <w:rFonts w:ascii="Times New Roman" w:cs="Times New Roman" w:eastAsia="Times New Roman" w:hAnsi="Times New Roman"/>
          <w:sz w:val="19"/>
          <w:szCs w:val="19"/>
          <w:u w:val="single" w:color="auto"/>
          <w:color w:val="auto"/>
        </w:rPr>
        <w:t>Broker-Assisted Sales</w:t>
      </w:r>
      <w:r>
        <w:rPr>
          <w:rFonts w:ascii="Times New Roman" w:cs="Times New Roman" w:eastAsia="Times New Roman" w:hAnsi="Times New Roman"/>
          <w:sz w:val="19"/>
          <w:szCs w:val="19"/>
          <w:color w:val="auto"/>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59" w:lineRule="exact"/>
        <w:rPr>
          <w:sz w:val="20"/>
          <w:szCs w:val="20"/>
          <w:color w:val="auto"/>
        </w:rPr>
      </w:pPr>
    </w:p>
    <w:p>
      <w:pPr>
        <w:jc w:val="center"/>
        <w:spacing w:after="0"/>
        <w:tabs>
          <w:tab w:leader="none" w:pos="160" w:val="left"/>
          <w:tab w:leader="none" w:pos="180" w:val="left"/>
          <w:tab w:leader="none" w:pos="160" w:val="left"/>
          <w:tab w:leader="none" w:pos="180" w:val="left"/>
        </w:tabs>
        <w:rPr>
          <w:sz w:val="20"/>
          <w:szCs w:val="20"/>
          <w:color w:val="auto"/>
        </w:rPr>
      </w:pPr>
      <w:r>
        <w:rPr>
          <w:rFonts w:ascii="Times New Roman" w:cs="Times New Roman" w:eastAsia="Times New Roman" w:hAnsi="Times New Roman"/>
          <w:sz w:val="19"/>
          <w:szCs w:val="19"/>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60"/>
          </w:cols>
          <w:pgMar w:left="320" w:top="1282" w:right="319" w:bottom="1440" w:gutter="0" w:footer="0" w:header="0"/>
        </w:sectPr>
      </w:pPr>
    </w:p>
    <w:bookmarkStart w:id="110" w:name="page111"/>
    <w:bookmarkEnd w:id="110"/>
    <w:p>
      <w:pPr>
        <w:ind w:left="10180"/>
        <w:spacing w:after="0"/>
        <w:rPr>
          <w:sz w:val="20"/>
          <w:szCs w:val="20"/>
          <w:color w:val="auto"/>
        </w:rPr>
      </w:pPr>
      <w:r>
        <w:rPr>
          <w:rFonts w:ascii="Arial" w:cs="Arial" w:eastAsia="Arial" w:hAnsi="Arial"/>
          <w:sz w:val="19"/>
          <w:szCs w:val="19"/>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54545" cy="290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4545" cy="290195"/>
                    </a:xfrm>
                    <a:prstGeom prst="rect">
                      <a:avLst/>
                    </a:prstGeom>
                    <a:noFill/>
                  </pic:spPr>
                </pic:pic>
              </a:graphicData>
            </a:graphic>
          </wp:anchor>
        </w:drawing>
      </w:r>
    </w:p>
    <w:p>
      <w:pPr>
        <w:spacing w:after="0" w:line="47" w:lineRule="exact"/>
        <w:rPr>
          <w:sz w:val="20"/>
          <w:szCs w:val="20"/>
          <w:color w:val="auto"/>
        </w:rPr>
      </w:pPr>
    </w:p>
    <w:p>
      <w:pPr>
        <w:jc w:val="center"/>
        <w:spacing w:after="0" w:line="299" w:lineRule="auto"/>
        <w:rPr>
          <w:sz w:val="20"/>
          <w:szCs w:val="20"/>
          <w:color w:val="auto"/>
        </w:rPr>
      </w:pPr>
      <w:r>
        <w:rPr>
          <w:rFonts w:ascii="Arial" w:cs="Arial" w:eastAsia="Arial" w:hAnsi="Arial"/>
          <w:sz w:val="16"/>
          <w:szCs w:val="16"/>
          <w:b w:val="1"/>
          <w:bCs w:val="1"/>
          <w:color w:val="auto"/>
        </w:rPr>
        <w:t>Certain information contained in this document, marked by brackets, has been omitted because it is both (i) not material and (ii) is the type that the registrant treats as private or confidential.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SUPPLEMENTAL AGREEMENT NO. 35</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PURCHASE AGREEMENT NO. 03735</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BOEING COMPANY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AMERICAN AIRLINES, INC.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firstLine="578"/>
        <w:spacing w:after="0" w:line="268" w:lineRule="auto"/>
        <w:rPr>
          <w:sz w:val="20"/>
          <w:szCs w:val="20"/>
          <w:color w:val="auto"/>
        </w:rPr>
      </w:pPr>
      <w:r>
        <w:rPr>
          <w:rFonts w:ascii="Arial" w:cs="Arial" w:eastAsia="Arial" w:hAnsi="Arial"/>
          <w:sz w:val="19"/>
          <w:szCs w:val="19"/>
          <w:color w:val="auto"/>
        </w:rPr>
        <w:t>This SUPPLEMENTAL AGREEMENT No. 35 (</w:t>
      </w:r>
      <w:r>
        <w:rPr>
          <w:rFonts w:ascii="Arial" w:cs="Arial" w:eastAsia="Arial" w:hAnsi="Arial"/>
          <w:sz w:val="19"/>
          <w:szCs w:val="19"/>
          <w:b w:val="1"/>
          <w:bCs w:val="1"/>
          <w:i w:val="1"/>
          <w:iCs w:val="1"/>
          <w:color w:val="auto"/>
        </w:rPr>
        <w:t>SA-</w:t>
      </w:r>
      <w:r>
        <w:rPr>
          <w:rFonts w:ascii="Arial" w:cs="Arial" w:eastAsia="Arial" w:hAnsi="Arial"/>
          <w:sz w:val="19"/>
          <w:szCs w:val="19"/>
          <w:b w:val="1"/>
          <w:bCs w:val="1"/>
          <w:color w:val="auto"/>
        </w:rPr>
        <w:t>35</w:t>
      </w:r>
      <w:r>
        <w:rPr>
          <w:rFonts w:ascii="Arial" w:cs="Arial" w:eastAsia="Arial" w:hAnsi="Arial"/>
          <w:sz w:val="19"/>
          <w:szCs w:val="19"/>
          <w:i w:val="1"/>
          <w:iCs w:val="1"/>
          <w:color w:val="auto"/>
        </w:rPr>
        <w:t>)</w:t>
      </w:r>
      <w:r>
        <w:rPr>
          <w:rFonts w:ascii="Arial" w:cs="Arial" w:eastAsia="Arial" w:hAnsi="Arial"/>
          <w:sz w:val="19"/>
          <w:szCs w:val="19"/>
          <w:color w:val="auto"/>
        </w:rPr>
        <w:t xml:space="preserve"> To PURCHASE AGREEMENT NO. 03735, entered into as of June </w:t>
      </w:r>
      <w:r>
        <w:rPr>
          <w:rFonts w:ascii="Arial" w:cs="Arial" w:eastAsia="Arial" w:hAnsi="Arial"/>
          <w:sz w:val="19"/>
          <w:szCs w:val="19"/>
          <w:u w:val="single" w:color="auto"/>
          <w:color w:val="auto"/>
        </w:rPr>
        <w:t>30</w:t>
      </w:r>
      <w:r>
        <w:rPr>
          <w:rFonts w:ascii="Arial" w:cs="Arial" w:eastAsia="Arial" w:hAnsi="Arial"/>
          <w:sz w:val="19"/>
          <w:szCs w:val="19"/>
          <w:color w:val="auto"/>
        </w:rPr>
        <w:t xml:space="preserve"> , 2025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by and between THE BOEING COMPANY, a Delaware corporation with offices in Seattle, Washington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a Delaware corporation with offices in Fort Worth, Texas, together with its successors and permitted assigns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w:t>
      </w:r>
    </w:p>
    <w:p>
      <w:pPr>
        <w:spacing w:after="0" w:line="146"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9"/>
          <w:szCs w:val="19"/>
          <w:color w:val="auto"/>
        </w:rPr>
        <w:t>WHEREAS, Boeing and Customer entered into Purchase Agreement No. 03735 dated February 1, 2013 relating to Boeing Model 737 MAX Aircraft, as amended and supplemented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and capitalized terms used herein without definitions shall have the meanings specified therefore in such Purchase Agreement;</w:t>
      </w:r>
    </w:p>
    <w:p>
      <w:pPr>
        <w:spacing w:after="0" w:line="165" w:lineRule="exact"/>
        <w:rPr>
          <w:sz w:val="20"/>
          <w:szCs w:val="20"/>
          <w:color w:val="auto"/>
        </w:rPr>
      </w:pPr>
    </w:p>
    <w:p>
      <w:pPr>
        <w:jc w:val="both"/>
        <w:ind w:firstLine="237"/>
        <w:spacing w:after="0" w:line="290" w:lineRule="auto"/>
        <w:rPr>
          <w:sz w:val="20"/>
          <w:szCs w:val="20"/>
          <w:color w:val="auto"/>
        </w:rPr>
      </w:pPr>
      <w:r>
        <w:rPr>
          <w:rFonts w:ascii="Arial" w:cs="Arial" w:eastAsia="Arial" w:hAnsi="Arial"/>
          <w:sz w:val="19"/>
          <w:szCs w:val="19"/>
          <w:color w:val="auto"/>
        </w:rPr>
        <w:t>WHEREAS, Boeing provided to Customer notice No. AAL-NM-2503357, dated June 3, 2025, [****] to Customer for [****] Aircraft, each capitalized term as defined in Letter Agreement No. AAL-PA-3735-LA-2306984 entitled “[****]” (the [****]);</w:t>
      </w:r>
    </w:p>
    <w:p>
      <w:pPr>
        <w:spacing w:after="0" w:line="158" w:lineRule="exact"/>
        <w:rPr>
          <w:sz w:val="20"/>
          <w:szCs w:val="20"/>
          <w:color w:val="auto"/>
        </w:rPr>
      </w:pPr>
    </w:p>
    <w:p>
      <w:pPr>
        <w:jc w:val="both"/>
        <w:ind w:right="20" w:firstLine="578"/>
        <w:spacing w:after="0" w:line="290" w:lineRule="auto"/>
        <w:rPr>
          <w:sz w:val="20"/>
          <w:szCs w:val="20"/>
          <w:color w:val="auto"/>
        </w:rPr>
      </w:pPr>
      <w:r>
        <w:rPr>
          <w:rFonts w:ascii="Arial" w:cs="Arial" w:eastAsia="Arial" w:hAnsi="Arial"/>
          <w:sz w:val="19"/>
          <w:szCs w:val="19"/>
          <w:color w:val="auto"/>
        </w:rPr>
        <w:t>WHEREAS, Customer provided notice to Boeing, on June 10, 2025, [****] Aircraft and Boeing and Customer agree to [****] such [****] Aircraft (now a [****] Aircraft (as defined in the [****])) to the following [****] (as defined in the [****])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PA 03735</w:t>
        <w:tab/>
        <w:t>SA-35</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9"/>
          <w:szCs w:val="19"/>
          <w:color w:val="auto"/>
        </w:rPr>
        <w:t>Page 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BOEING AND AMERICAN PROPRIETARY</w:t>
      </w:r>
    </w:p>
    <w:p>
      <w:pPr>
        <w:sectPr>
          <w:pgSz w:w="11900" w:h="16838" w:orient="portrait"/>
          <w:cols w:equalWidth="0" w:num="1">
            <w:col w:w="11260"/>
          </w:cols>
          <w:pgMar w:left="320" w:top="126" w:right="319" w:bottom="1440" w:gutter="0" w:footer="0" w:header="0"/>
        </w:sectPr>
      </w:pPr>
    </w:p>
    <w:bookmarkStart w:id="111" w:name="page112"/>
    <w:bookmarkEnd w:id="111"/>
    <w:tbl>
      <w:tblPr>
        <w:tblLayout w:type="fixed"/>
        <w:tblInd w:w="1011" w:type="dxa"/>
        <w:tblCellMar>
          <w:top w:w="0" w:type="dxa"/>
          <w:left w:w="0" w:type="dxa"/>
          <w:bottom w:w="0" w:type="dxa"/>
          <w:right w:w="0" w:type="dxa"/>
        </w:tblCellMar>
      </w:tblPr>
      <w:tr>
        <w:trPr>
          <w:trHeight w:val="253"/>
        </w:trPr>
        <w:tc>
          <w:tcPr>
            <w:tcW w:w="2600" w:type="dxa"/>
            <w:vAlign w:val="bottom"/>
            <w:tcBorders>
              <w:top w:val="single" w:sz="8" w:color="auto"/>
              <w:left w:val="single" w:sz="8" w:color="auto"/>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c>
          <w:tcPr>
            <w:tcW w:w="2560" w:type="dxa"/>
            <w:vAlign w:val="bottom"/>
            <w:tcBorders>
              <w:top w:val="single" w:sz="8" w:color="auto"/>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c>
          <w:tcPr>
            <w:tcW w:w="2580" w:type="dxa"/>
            <w:vAlign w:val="bottom"/>
            <w:tcBorders>
              <w:top w:val="single" w:sz="8" w:color="auto"/>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r>
      <w:tr>
        <w:trPr>
          <w:trHeight w:val="233"/>
        </w:trPr>
        <w:tc>
          <w:tcPr>
            <w:tcW w:w="2600" w:type="dxa"/>
            <w:vAlign w:val="bottom"/>
            <w:tcBorders>
              <w:left w:val="single" w:sz="8" w:color="auto"/>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c>
          <w:tcPr>
            <w:tcW w:w="2560" w:type="dxa"/>
            <w:vAlign w:val="bottom"/>
            <w:tcBorders>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c>
          <w:tcPr>
            <w:tcW w:w="2580" w:type="dxa"/>
            <w:vAlign w:val="bottom"/>
            <w:tcBorders>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r>
      <w:tr>
        <w:trPr>
          <w:trHeight w:val="233"/>
        </w:trPr>
        <w:tc>
          <w:tcPr>
            <w:tcW w:w="2600" w:type="dxa"/>
            <w:vAlign w:val="bottom"/>
            <w:tcBorders>
              <w:left w:val="single" w:sz="8" w:color="auto"/>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c>
          <w:tcPr>
            <w:tcW w:w="2560" w:type="dxa"/>
            <w:vAlign w:val="bottom"/>
            <w:tcBorders>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c>
          <w:tcPr>
            <w:tcW w:w="2580" w:type="dxa"/>
            <w:vAlign w:val="bottom"/>
            <w:tcBorders>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r>
      <w:tr>
        <w:trPr>
          <w:trHeight w:val="233"/>
        </w:trPr>
        <w:tc>
          <w:tcPr>
            <w:tcW w:w="2600" w:type="dxa"/>
            <w:vAlign w:val="bottom"/>
            <w:tcBorders>
              <w:left w:val="single" w:sz="8" w:color="auto"/>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c>
          <w:tcPr>
            <w:tcW w:w="2560" w:type="dxa"/>
            <w:vAlign w:val="bottom"/>
            <w:tcBorders>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c>
          <w:tcPr>
            <w:tcW w:w="2580" w:type="dxa"/>
            <w:vAlign w:val="bottom"/>
            <w:tcBorders>
              <w:bottom w:val="single" w:sz="8" w:color="auto"/>
              <w:right w:val="single" w:sz="8" w:color="auto"/>
            </w:tcBorders>
          </w:tcPr>
          <w:p>
            <w:pPr>
              <w:jc w:val="right"/>
              <w:ind w:right="1004"/>
              <w:spacing w:after="0"/>
              <w:rPr>
                <w:sz w:val="20"/>
                <w:szCs w:val="20"/>
                <w:color w:val="auto"/>
              </w:rPr>
            </w:pPr>
            <w:r>
              <w:rPr>
                <w:rFonts w:ascii="Arial" w:cs="Arial" w:eastAsia="Arial" w:hAnsi="Arial"/>
                <w:sz w:val="19"/>
                <w:szCs w:val="19"/>
                <w:color w:val="auto"/>
              </w:rPr>
              <w:t>[****]</w:t>
            </w:r>
          </w:p>
        </w:tc>
      </w:tr>
    </w:tbl>
    <w:p>
      <w:pPr>
        <w:spacing w:after="0" w:line="73" w:lineRule="exact"/>
        <w:rPr>
          <w:sz w:val="20"/>
          <w:szCs w:val="20"/>
          <w:color w:val="auto"/>
        </w:rPr>
      </w:pPr>
    </w:p>
    <w:p>
      <w:pPr>
        <w:ind w:left="61"/>
        <w:spacing w:after="0"/>
        <w:rPr>
          <w:sz w:val="20"/>
          <w:szCs w:val="20"/>
          <w:color w:val="auto"/>
        </w:rPr>
      </w:pPr>
      <w:r>
        <w:rPr>
          <w:rFonts w:ascii="Arial" w:cs="Arial" w:eastAsia="Arial" w:hAnsi="Arial"/>
          <w:sz w:val="19"/>
          <w:szCs w:val="19"/>
          <w:color w:val="auto"/>
        </w:rPr>
        <w:t>;</w:t>
      </w:r>
    </w:p>
    <w:p>
      <w:pPr>
        <w:spacing w:after="0" w:line="28" w:lineRule="exact"/>
        <w:rPr>
          <w:sz w:val="20"/>
          <w:szCs w:val="20"/>
          <w:color w:val="auto"/>
        </w:rPr>
      </w:pPr>
    </w:p>
    <w:p>
      <w:pPr>
        <w:ind w:left="61" w:right="780" w:firstLine="578"/>
        <w:spacing w:after="0" w:line="270" w:lineRule="auto"/>
        <w:rPr>
          <w:sz w:val="20"/>
          <w:szCs w:val="20"/>
          <w:color w:val="auto"/>
        </w:rPr>
      </w:pPr>
      <w:r>
        <w:rPr>
          <w:rFonts w:ascii="Arial" w:cs="Arial" w:eastAsia="Arial" w:hAnsi="Arial"/>
          <w:sz w:val="19"/>
          <w:szCs w:val="19"/>
          <w:color w:val="auto"/>
        </w:rPr>
        <w:t>NOW, THEREFORE, in consideration of the mutual covenants herein contained, the parties agree that the Purchase Agreement is amended and supplemented as set forth below and otherwise agree as follows:</w:t>
      </w:r>
    </w:p>
    <w:p>
      <w:pPr>
        <w:spacing w:after="0" w:line="261" w:lineRule="exact"/>
        <w:rPr>
          <w:sz w:val="20"/>
          <w:szCs w:val="20"/>
          <w:color w:val="auto"/>
        </w:rPr>
      </w:pPr>
    </w:p>
    <w:p>
      <w:pPr>
        <w:ind w:left="381" w:hanging="381"/>
        <w:spacing w:after="0"/>
        <w:tabs>
          <w:tab w:leader="none" w:pos="381"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Table of Contents.</w:t>
      </w:r>
    </w:p>
    <w:p>
      <w:pPr>
        <w:spacing w:after="0" w:line="215" w:lineRule="exact"/>
        <w:rPr>
          <w:sz w:val="20"/>
          <w:szCs w:val="20"/>
          <w:color w:val="auto"/>
        </w:rPr>
      </w:pPr>
    </w:p>
    <w:p>
      <w:pPr>
        <w:jc w:val="both"/>
        <w:ind w:left="61" w:firstLine="578"/>
        <w:spacing w:after="0" w:line="264"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Table of Contents</w:t>
      </w:r>
      <w:r>
        <w:rPr>
          <w:rFonts w:ascii="Arial" w:cs="Arial" w:eastAsia="Arial" w:hAnsi="Arial"/>
          <w:sz w:val="19"/>
          <w:szCs w:val="19"/>
          <w:color w:val="auto"/>
        </w:rPr>
        <w:t>” to the Purchase Agreement referencing SA-34 in the footer is deleted in its entirety and is replaced with the new “</w:t>
      </w:r>
      <w:r>
        <w:rPr>
          <w:rFonts w:ascii="Arial" w:cs="Arial" w:eastAsia="Arial" w:hAnsi="Arial"/>
          <w:sz w:val="19"/>
          <w:szCs w:val="19"/>
          <w:u w:val="single" w:color="auto"/>
          <w:color w:val="auto"/>
        </w:rPr>
        <w:t>Table of Contents</w:t>
      </w:r>
      <w:r>
        <w:rPr>
          <w:rFonts w:ascii="Arial" w:cs="Arial" w:eastAsia="Arial" w:hAnsi="Arial"/>
          <w:sz w:val="19"/>
          <w:szCs w:val="19"/>
          <w:color w:val="auto"/>
        </w:rPr>
        <w:t>” (attached hereto) referencing SA-35 in the footer to reflect changes made to the Purchase Agreement by this SA-35. Such new Table of Contents is hereby incorporated into the Purchase Agreement in replacement of its predecessor.</w:t>
      </w:r>
    </w:p>
    <w:p>
      <w:pPr>
        <w:spacing w:after="0" w:line="50" w:lineRule="exact"/>
        <w:rPr>
          <w:sz w:val="20"/>
          <w:szCs w:val="20"/>
          <w:color w:val="auto"/>
        </w:rPr>
      </w:pPr>
    </w:p>
    <w:p>
      <w:pPr>
        <w:ind w:left="381" w:hanging="381"/>
        <w:spacing w:after="0"/>
        <w:tabs>
          <w:tab w:leader="none" w:pos="38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Tables.</w:t>
      </w:r>
    </w:p>
    <w:p>
      <w:pPr>
        <w:spacing w:after="0" w:line="119" w:lineRule="exact"/>
        <w:rPr>
          <w:sz w:val="20"/>
          <w:szCs w:val="20"/>
          <w:color w:val="auto"/>
        </w:rPr>
      </w:pPr>
    </w:p>
    <w:p>
      <w:pPr>
        <w:jc w:val="both"/>
        <w:ind w:left="61" w:right="20" w:firstLine="578"/>
        <w:spacing w:after="0" w:line="260" w:lineRule="auto"/>
        <w:rPr>
          <w:sz w:val="20"/>
          <w:szCs w:val="20"/>
          <w:color w:val="auto"/>
        </w:rPr>
      </w:pPr>
      <w:r>
        <w:rPr>
          <w:rFonts w:ascii="Arial" w:cs="Arial" w:eastAsia="Arial" w:hAnsi="Arial"/>
          <w:sz w:val="19"/>
          <w:szCs w:val="19"/>
          <w:u w:val="single" w:color="auto"/>
          <w:color w:val="auto"/>
        </w:rPr>
        <w:t>Table 1-7.</w:t>
      </w:r>
      <w:r>
        <w:rPr>
          <w:rFonts w:ascii="Arial" w:cs="Arial" w:eastAsia="Arial" w:hAnsi="Arial"/>
          <w:sz w:val="19"/>
          <w:szCs w:val="19"/>
          <w:color w:val="auto"/>
        </w:rPr>
        <w:t xml:space="preserve"> Table 1-7 of the Purchase Agreement titled </w:t>
      </w:r>
      <w:r>
        <w:rPr>
          <w:rFonts w:ascii="Arial" w:cs="Arial" w:eastAsia="Arial" w:hAnsi="Arial"/>
          <w:sz w:val="19"/>
          <w:szCs w:val="19"/>
          <w:u w:val="single" w:color="auto"/>
          <w:color w:val="auto"/>
        </w:rPr>
        <w:t>“[****] Aircraft Delivery Description, Price and Advance Payments,”</w:t>
      </w:r>
      <w:r>
        <w:rPr>
          <w:rFonts w:ascii="Arial" w:cs="Arial" w:eastAsia="Arial" w:hAnsi="Arial"/>
          <w:sz w:val="19"/>
          <w:szCs w:val="19"/>
          <w:color w:val="auto"/>
        </w:rPr>
        <w:t xml:space="preserve"> is hereby deleted in its entirety and replaced with a new Table 1-7 titled </w:t>
      </w:r>
      <w:r>
        <w:rPr>
          <w:rFonts w:ascii="Arial" w:cs="Arial" w:eastAsia="Arial" w:hAnsi="Arial"/>
          <w:sz w:val="19"/>
          <w:szCs w:val="19"/>
          <w:u w:val="single" w:color="auto"/>
          <w:color w:val="auto"/>
        </w:rPr>
        <w:t>“[****] Delivery Description, Price and Advance Payments,”</w:t>
      </w:r>
      <w:r>
        <w:rPr>
          <w:rFonts w:ascii="Arial" w:cs="Arial" w:eastAsia="Arial" w:hAnsi="Arial"/>
          <w:sz w:val="19"/>
          <w:szCs w:val="19"/>
          <w:color w:val="auto"/>
        </w:rPr>
        <w:t xml:space="preserve"> attached hereto, referencing SA-35 in the footer.</w:t>
      </w:r>
      <w:r>
        <w:rPr>
          <w:rFonts w:ascii="Arial" w:cs="Arial" w:eastAsia="Arial" w:hAnsi="Arial"/>
          <w:sz w:val="25"/>
          <w:szCs w:val="25"/>
          <w:color w:val="auto"/>
          <w:vertAlign w:val="superscript"/>
        </w:rPr>
        <w:t>1</w:t>
      </w:r>
    </w:p>
    <w:p>
      <w:pPr>
        <w:spacing w:after="0" w:line="3" w:lineRule="exact"/>
        <w:rPr>
          <w:sz w:val="20"/>
          <w:szCs w:val="20"/>
          <w:color w:val="auto"/>
        </w:rPr>
      </w:pPr>
    </w:p>
    <w:p>
      <w:pPr>
        <w:ind w:left="381" w:hanging="381"/>
        <w:spacing w:after="0"/>
        <w:tabs>
          <w:tab w:leader="none" w:pos="381"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Letter Agreement.</w:t>
      </w:r>
    </w:p>
    <w:p>
      <w:pPr>
        <w:spacing w:after="0" w:line="102" w:lineRule="exact"/>
        <w:rPr>
          <w:sz w:val="20"/>
          <w:szCs w:val="20"/>
          <w:color w:val="auto"/>
        </w:rPr>
      </w:pPr>
    </w:p>
    <w:p>
      <w:pPr>
        <w:jc w:val="both"/>
        <w:ind w:left="61" w:right="20" w:firstLine="578"/>
        <w:spacing w:after="0" w:line="264" w:lineRule="auto"/>
        <w:rPr>
          <w:sz w:val="20"/>
          <w:szCs w:val="20"/>
          <w:color w:val="auto"/>
        </w:rPr>
      </w:pPr>
      <w:r>
        <w:rPr>
          <w:rFonts w:ascii="Arial" w:cs="Arial" w:eastAsia="Arial" w:hAnsi="Arial"/>
          <w:sz w:val="19"/>
          <w:szCs w:val="19"/>
          <w:u w:val="single" w:color="auto"/>
          <w:color w:val="auto"/>
        </w:rPr>
        <w:t>Special Matters – 737-10 Aircraft.</w:t>
      </w:r>
      <w:r>
        <w:rPr>
          <w:rFonts w:ascii="Arial" w:cs="Arial" w:eastAsia="Arial" w:hAnsi="Arial"/>
          <w:sz w:val="19"/>
          <w:szCs w:val="19"/>
          <w:color w:val="auto"/>
        </w:rPr>
        <w:t xml:space="preserve"> Letter Agreement No. AAL-PA-03735-LA-2306975 is hereby deleted in its entirety and replaced with Letter Agreement No. AAL-PA-03735-LA-2306975R1 (attached hereto) entitled “[****]”, (</w:t>
      </w:r>
      <w:r>
        <w:rPr>
          <w:rFonts w:ascii="Arial" w:cs="Arial" w:eastAsia="Arial" w:hAnsi="Arial"/>
          <w:sz w:val="19"/>
          <w:szCs w:val="19"/>
          <w:b w:val="1"/>
          <w:bCs w:val="1"/>
          <w:color w:val="auto"/>
        </w:rPr>
        <w:t>Revised</w:t>
      </w:r>
      <w:r>
        <w:rPr>
          <w:rFonts w:ascii="Arial" w:cs="Arial" w:eastAsia="Arial" w:hAnsi="Arial"/>
          <w:sz w:val="19"/>
          <w:szCs w:val="19"/>
          <w:color w:val="auto"/>
        </w:rPr>
        <w:t xml:space="preserve"> [****] </w:t>
      </w:r>
      <w:r>
        <w:rPr>
          <w:rFonts w:ascii="Arial" w:cs="Arial" w:eastAsia="Arial" w:hAnsi="Arial"/>
          <w:sz w:val="19"/>
          <w:szCs w:val="19"/>
          <w:b w:val="1"/>
          <w:bCs w:val="1"/>
          <w:color w:val="auto"/>
        </w:rPr>
        <w:t>Letter</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referencing SA-35 in the footer, to reflect [****] (as defined in the [****]) for each of the [****] Aircraft listed in the table</w:t>
      </w:r>
      <w:r>
        <w:rPr>
          <w:rFonts w:ascii="Arial" w:cs="Arial" w:eastAsia="Arial" w:hAnsi="Arial"/>
          <w:sz w:val="19"/>
          <w:szCs w:val="19"/>
          <w:b w:val="1"/>
          <w:bCs w:val="1"/>
          <w:color w:val="auto"/>
        </w:rPr>
        <w:t xml:space="preserve"> </w:t>
      </w:r>
      <w:r>
        <w:rPr>
          <w:rFonts w:ascii="Arial" w:cs="Arial" w:eastAsia="Arial" w:hAnsi="Arial"/>
          <w:sz w:val="19"/>
          <w:szCs w:val="19"/>
          <w:color w:val="auto"/>
        </w:rPr>
        <w:t>above and to memorialize the parties [****] in Section 2.2(iii) of the [****] LA related to the [****] for the [****] Aircraft. The Revised [****] Letter Agreement is hereby incorporated into the Purchase Agreement.</w:t>
      </w:r>
    </w:p>
    <w:p>
      <w:pPr>
        <w:spacing w:after="0" w:line="50" w:lineRule="exact"/>
        <w:rPr>
          <w:sz w:val="20"/>
          <w:szCs w:val="20"/>
          <w:color w:val="auto"/>
        </w:rPr>
      </w:pPr>
    </w:p>
    <w:p>
      <w:pPr>
        <w:ind w:left="381" w:hanging="381"/>
        <w:spacing w:after="0"/>
        <w:tabs>
          <w:tab w:leader="none" w:pos="38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w:t>
      </w:r>
    </w:p>
    <w:p>
      <w:pPr>
        <w:spacing w:after="0" w:line="107" w:lineRule="exact"/>
        <w:rPr>
          <w:sz w:val="20"/>
          <w:szCs w:val="20"/>
          <w:color w:val="auto"/>
        </w:rPr>
      </w:pPr>
    </w:p>
    <w:p>
      <w:pPr>
        <w:ind w:left="641"/>
        <w:spacing w:after="0"/>
        <w:rPr>
          <w:sz w:val="20"/>
          <w:szCs w:val="20"/>
          <w:color w:val="auto"/>
        </w:rPr>
      </w:pPr>
      <w:r>
        <w:rPr>
          <w:rFonts w:ascii="Arial" w:cs="Arial" w:eastAsia="Arial" w:hAnsi="Arial"/>
          <w:sz w:val="19"/>
          <w:szCs w:val="19"/>
          <w:color w:val="auto"/>
        </w:rPr>
        <w:t>Upon execution of this SA-35, [****] [****]. [****] for the [****] Aircraft, [****] in this SA-35, will be [****] with the [****].</w:t>
      </w:r>
    </w:p>
    <w:p>
      <w:pPr>
        <w:spacing w:after="0" w:line="119" w:lineRule="exact"/>
        <w:rPr>
          <w:sz w:val="20"/>
          <w:szCs w:val="20"/>
          <w:color w:val="auto"/>
        </w:rPr>
      </w:pPr>
    </w:p>
    <w:p>
      <w:pPr>
        <w:ind w:left="381" w:hanging="381"/>
        <w:spacing w:after="0"/>
        <w:tabs>
          <w:tab w:leader="none" w:pos="38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107" w:lineRule="exact"/>
        <w:rPr>
          <w:sz w:val="20"/>
          <w:szCs w:val="20"/>
          <w:color w:val="auto"/>
        </w:rPr>
      </w:pPr>
    </w:p>
    <w:p>
      <w:pPr>
        <w:ind w:left="61" w:right="20" w:firstLine="578"/>
        <w:spacing w:after="0" w:line="290" w:lineRule="auto"/>
        <w:rPr>
          <w:sz w:val="20"/>
          <w:szCs w:val="20"/>
          <w:color w:val="auto"/>
        </w:rPr>
      </w:pPr>
      <w:r>
        <w:rPr>
          <w:rFonts w:ascii="Arial" w:cs="Arial" w:eastAsia="Arial" w:hAnsi="Arial"/>
          <w:sz w:val="19"/>
          <w:szCs w:val="19"/>
          <w:color w:val="auto"/>
        </w:rPr>
        <w:t>5.1 The Purchase Agreement is amended and supplemented as set forth above by the revised Table of Contents, Revised [****] Letter Agreement and the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69850</wp:posOffset>
            </wp:positionV>
            <wp:extent cx="152908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529080" cy="7620"/>
                    </a:xfrm>
                    <a:prstGeom prst="rect">
                      <a:avLst/>
                    </a:prstGeom>
                    <a:noFill/>
                  </pic:spPr>
                </pic:pic>
              </a:graphicData>
            </a:graphic>
          </wp:anchor>
        </w:drawing>
      </w:r>
    </w:p>
    <w:p>
      <w:pPr>
        <w:spacing w:after="0" w:line="169" w:lineRule="exact"/>
        <w:rPr>
          <w:sz w:val="20"/>
          <w:szCs w:val="20"/>
          <w:color w:val="auto"/>
        </w:rPr>
      </w:pPr>
    </w:p>
    <w:p>
      <w:pPr>
        <w:ind w:left="61" w:right="60" w:hanging="4"/>
        <w:spacing w:after="0" w:line="227" w:lineRule="auto"/>
        <w:tabs>
          <w:tab w:leader="none" w:pos="164"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parties note that the prior convention for updating tables has been for each new version to be labeled Table 1-XXRX; however, for ease of reference, the parties have decided to no longer add the RX to the end of the Table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1"/>
        <w:spacing w:after="0"/>
        <w:tabs>
          <w:tab w:leader="none" w:pos="1081" w:val="left"/>
        </w:tabs>
        <w:rPr>
          <w:sz w:val="20"/>
          <w:szCs w:val="20"/>
          <w:color w:val="auto"/>
        </w:rPr>
      </w:pPr>
      <w:r>
        <w:rPr>
          <w:rFonts w:ascii="Arial" w:cs="Arial" w:eastAsia="Arial" w:hAnsi="Arial"/>
          <w:sz w:val="19"/>
          <w:szCs w:val="19"/>
          <w:color w:val="auto"/>
        </w:rPr>
        <w:t>PA 03735</w:t>
        <w:tab/>
        <w:t>SA-35</w:t>
      </w:r>
    </w:p>
    <w:p>
      <w:pPr>
        <w:spacing w:after="0" w:line="36" w:lineRule="exact"/>
        <w:rPr>
          <w:sz w:val="20"/>
          <w:szCs w:val="20"/>
          <w:color w:val="auto"/>
        </w:rPr>
      </w:pPr>
    </w:p>
    <w:p>
      <w:pPr>
        <w:ind w:left="281"/>
        <w:spacing w:after="0"/>
        <w:rPr>
          <w:sz w:val="20"/>
          <w:szCs w:val="20"/>
          <w:color w:val="auto"/>
        </w:rPr>
      </w:pPr>
      <w:r>
        <w:rPr>
          <w:rFonts w:ascii="Arial" w:cs="Arial" w:eastAsia="Arial" w:hAnsi="Arial"/>
          <w:sz w:val="19"/>
          <w:szCs w:val="19"/>
          <w:color w:val="auto"/>
        </w:rPr>
        <w:t>Page 2</w:t>
      </w:r>
    </w:p>
    <w:p>
      <w:pPr>
        <w:spacing w:after="0" w:line="15" w:lineRule="exact"/>
        <w:rPr>
          <w:sz w:val="20"/>
          <w:szCs w:val="20"/>
          <w:color w:val="auto"/>
        </w:rPr>
      </w:pPr>
    </w:p>
    <w:p>
      <w:pPr>
        <w:ind w:left="61"/>
        <w:spacing w:after="0"/>
        <w:rPr>
          <w:sz w:val="20"/>
          <w:szCs w:val="20"/>
          <w:color w:val="auto"/>
        </w:rPr>
      </w:pPr>
      <w:r>
        <w:rPr>
          <w:rFonts w:ascii="Arial" w:cs="Arial" w:eastAsia="Arial" w:hAnsi="Arial"/>
          <w:sz w:val="19"/>
          <w:szCs w:val="19"/>
          <w:color w:val="auto"/>
        </w:rPr>
        <w:t>BOEING PROPRIETARY</w:t>
      </w:r>
    </w:p>
    <w:p>
      <w:pPr>
        <w:sectPr>
          <w:pgSz w:w="11900" w:h="16838" w:orient="portrait"/>
          <w:cols w:equalWidth="0" w:num="1">
            <w:col w:w="11321"/>
          </w:cols>
          <w:pgMar w:left="259" w:top="1227" w:right="31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Table 1-7. All other terms and conditions of the Purchase Agreement remain unchanged and are in full force and effect.</w:t>
      </w:r>
    </w:p>
    <w:p>
      <w:pPr>
        <w:spacing w:after="0" w:line="323" w:lineRule="exact"/>
        <w:rPr>
          <w:sz w:val="20"/>
          <w:szCs w:val="20"/>
          <w:color w:val="auto"/>
        </w:rPr>
      </w:pPr>
    </w:p>
    <w:p>
      <w:pPr>
        <w:jc w:val="both"/>
        <w:ind w:right="20" w:firstLine="258"/>
        <w:spacing w:after="0" w:line="277" w:lineRule="auto"/>
        <w:rPr>
          <w:sz w:val="20"/>
          <w:szCs w:val="20"/>
          <w:color w:val="auto"/>
        </w:rPr>
      </w:pPr>
      <w:r>
        <w:rPr>
          <w:rFonts w:ascii="Arial" w:cs="Arial" w:eastAsia="Arial" w:hAnsi="Arial"/>
          <w:sz w:val="19"/>
          <w:szCs w:val="19"/>
          <w:color w:val="auto"/>
        </w:rPr>
        <w:t>5.2 References in the Purchase Agreement and any supplemental agreements and associated letter agreements to the letter agreement listed in the left column of the below table shall be deemed to refer to the corresponding revised versions of the supplemental exhibits and letter agreement listed in the right column of the below table.</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660" w:type="dxa"/>
            <w:vAlign w:val="bottom"/>
            <w:tcBorders>
              <w:top w:val="single" w:sz="8" w:color="auto"/>
              <w:left w:val="single" w:sz="8" w:color="auto"/>
            </w:tcBorders>
            <w:gridSpan w:val="2"/>
          </w:tcPr>
          <w:p>
            <w:pPr>
              <w:ind w:left="20"/>
              <w:spacing w:after="0" w:line="204" w:lineRule="exact"/>
              <w:rPr>
                <w:sz w:val="20"/>
                <w:szCs w:val="20"/>
                <w:color w:val="auto"/>
              </w:rPr>
            </w:pPr>
            <w:r>
              <w:rPr>
                <w:rFonts w:ascii="Arial" w:cs="Arial" w:eastAsia="Arial" w:hAnsi="Arial"/>
                <w:sz w:val="19"/>
                <w:szCs w:val="19"/>
                <w:color w:val="auto"/>
              </w:rPr>
              <w:t>Reference</w:t>
            </w:r>
          </w:p>
        </w:tc>
        <w:tc>
          <w:tcPr>
            <w:tcW w:w="3980" w:type="dxa"/>
            <w:vAlign w:val="bottom"/>
            <w:tcBorders>
              <w:top w:val="single" w:sz="8" w:color="auto"/>
              <w:right w:val="single" w:sz="8" w:color="auto"/>
            </w:tcBorders>
          </w:tcPr>
          <w:p>
            <w:pPr>
              <w:spacing w:after="0"/>
              <w:rPr>
                <w:sz w:val="17"/>
                <w:szCs w:val="17"/>
                <w:color w:val="auto"/>
              </w:rPr>
            </w:pPr>
          </w:p>
        </w:tc>
        <w:tc>
          <w:tcPr>
            <w:tcW w:w="5640" w:type="dxa"/>
            <w:vAlign w:val="bottom"/>
            <w:tcBorders>
              <w:top w:val="single" w:sz="8" w:color="auto"/>
              <w:right w:val="single" w:sz="8" w:color="auto"/>
            </w:tcBorders>
            <w:gridSpan w:val="2"/>
          </w:tcPr>
          <w:p>
            <w:pPr>
              <w:spacing w:after="0" w:line="204" w:lineRule="exact"/>
              <w:rPr>
                <w:sz w:val="20"/>
                <w:szCs w:val="20"/>
                <w:color w:val="auto"/>
              </w:rPr>
            </w:pPr>
            <w:r>
              <w:rPr>
                <w:rFonts w:ascii="Arial" w:cs="Arial" w:eastAsia="Arial" w:hAnsi="Arial"/>
                <w:sz w:val="19"/>
                <w:szCs w:val="19"/>
                <w:color w:val="auto"/>
              </w:rPr>
              <w:t>Replacement Reference</w:t>
            </w:r>
          </w:p>
        </w:tc>
      </w:tr>
      <w:tr>
        <w:trPr>
          <w:trHeight w:val="28"/>
        </w:trPr>
        <w:tc>
          <w:tcPr>
            <w:tcW w:w="920" w:type="dxa"/>
            <w:vAlign w:val="bottom"/>
            <w:tcBorders>
              <w:top w:val="single" w:sz="8" w:color="auto"/>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2080" w:type="dxa"/>
            <w:vAlign w:val="bottom"/>
            <w:tcBorders>
              <w:top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173"/>
        </w:trPr>
        <w:tc>
          <w:tcPr>
            <w:tcW w:w="1660" w:type="dxa"/>
            <w:vAlign w:val="bottom"/>
            <w:tcBorders>
              <w:left w:val="single" w:sz="8" w:color="auto"/>
            </w:tcBorders>
            <w:gridSpan w:val="2"/>
          </w:tcPr>
          <w:p>
            <w:pPr>
              <w:ind w:left="20"/>
              <w:spacing w:after="0" w:line="173" w:lineRule="exact"/>
              <w:rPr>
                <w:sz w:val="20"/>
                <w:szCs w:val="20"/>
                <w:color w:val="auto"/>
              </w:rPr>
            </w:pPr>
            <w:r>
              <w:rPr>
                <w:rFonts w:ascii="Arial" w:cs="Arial" w:eastAsia="Arial" w:hAnsi="Arial"/>
                <w:sz w:val="19"/>
                <w:szCs w:val="19"/>
                <w:color w:val="auto"/>
              </w:rPr>
              <w:t>Letter  Agreement</w:t>
            </w:r>
          </w:p>
        </w:tc>
        <w:tc>
          <w:tcPr>
            <w:tcW w:w="398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9"/>
                <w:szCs w:val="19"/>
                <w:color w:val="auto"/>
              </w:rPr>
              <w:t>No.  AAL-PA-03735-LA-  AAL-PA-03735-LA-</w:t>
            </w:r>
          </w:p>
        </w:tc>
        <w:tc>
          <w:tcPr>
            <w:tcW w:w="5640" w:type="dxa"/>
            <w:vAlign w:val="bottom"/>
            <w:tcBorders>
              <w:right w:val="single" w:sz="8" w:color="auto"/>
            </w:tcBorders>
            <w:gridSpan w:val="2"/>
          </w:tcPr>
          <w:p>
            <w:pPr>
              <w:spacing w:after="0" w:line="173" w:lineRule="exact"/>
              <w:rPr>
                <w:sz w:val="20"/>
                <w:szCs w:val="20"/>
                <w:color w:val="auto"/>
              </w:rPr>
            </w:pPr>
            <w:r>
              <w:rPr>
                <w:rFonts w:ascii="Arial" w:cs="Arial" w:eastAsia="Arial" w:hAnsi="Arial"/>
                <w:sz w:val="19"/>
                <w:szCs w:val="19"/>
                <w:color w:val="auto"/>
              </w:rPr>
              <w:t>Letter Agreement No. AAL-PA-03735-LA-2306975R1</w:t>
            </w:r>
          </w:p>
        </w:tc>
      </w:tr>
      <w:tr>
        <w:trPr>
          <w:trHeight w:val="252"/>
        </w:trPr>
        <w:tc>
          <w:tcPr>
            <w:tcW w:w="9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2306975</w:t>
            </w:r>
          </w:p>
        </w:tc>
        <w:tc>
          <w:tcPr>
            <w:tcW w:w="740" w:type="dxa"/>
            <w:vAlign w:val="bottom"/>
            <w:tcBorders>
              <w:bottom w:val="single" w:sz="8" w:color="auto"/>
            </w:tcBorders>
          </w:tcPr>
          <w:p>
            <w:pPr>
              <w:spacing w:after="0"/>
              <w:rPr>
                <w:sz w:val="21"/>
                <w:szCs w:val="21"/>
                <w:color w:val="auto"/>
              </w:rPr>
            </w:pPr>
          </w:p>
        </w:tc>
        <w:tc>
          <w:tcPr>
            <w:tcW w:w="39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169"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9"/>
          <w:szCs w:val="19"/>
          <w:color w:val="auto"/>
        </w:rPr>
        <w:t>5.3 If Boeing or Customer determines that references described in Section 5.2 of this SA-35 should be further amended or other references in the Purchase Agreement and any supplemental agreements and associated letter agreements need to be amended as a result of this SA-35, then Boeing and Customer will work together for a mutually agreeable solution.</w:t>
      </w:r>
    </w:p>
    <w:p>
      <w:pPr>
        <w:spacing w:after="0" w:line="200" w:lineRule="exact"/>
        <w:rPr>
          <w:sz w:val="20"/>
          <w:szCs w:val="20"/>
          <w:color w:val="auto"/>
        </w:rPr>
      </w:pPr>
    </w:p>
    <w:p>
      <w:pPr>
        <w:spacing w:after="0" w:line="351"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The rest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PA 03735</w:t>
        <w:tab/>
        <w:t>SA-35</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9"/>
          <w:szCs w:val="19"/>
          <w:color w:val="auto"/>
        </w:rPr>
        <w:t>Page 3</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BOEING PROPRIETARY</w:t>
      </w:r>
    </w:p>
    <w:p>
      <w:pPr>
        <w:sectPr>
          <w:pgSz w:w="11900" w:h="16838" w:orient="portrait"/>
          <w:cols w:equalWidth="0" w:num="1">
            <w:col w:w="11260"/>
          </w:cols>
          <w:pgMar w:left="320" w:top="1307" w:right="319" w:bottom="1440" w:gutter="0" w:footer="0" w:header="0"/>
        </w:sectPr>
      </w:pPr>
    </w:p>
    <w:bookmarkStart w:id="113" w:name="page114"/>
    <w:bookmarkEnd w:id="113"/>
    <w:p>
      <w:pPr>
        <w:spacing w:after="0" w:line="1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AGREED AND ACCEPTED this</w:t>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21590</wp:posOffset>
            </wp:positionV>
            <wp:extent cx="32639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263900" cy="762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Date</w:t>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THE BOEING COMPANY</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21590</wp:posOffset>
            </wp:positionV>
            <wp:extent cx="32639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263900" cy="762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Signature</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21590</wp:posOffset>
            </wp:positionV>
            <wp:extent cx="32639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263900" cy="762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Printed name</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21590</wp:posOffset>
            </wp:positionV>
            <wp:extent cx="32639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263900" cy="762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PA 03735</w:t>
        <w:tab/>
        <w:t>SA-35</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9"/>
          <w:szCs w:val="19"/>
          <w:color w:val="auto"/>
        </w:rPr>
        <w:t>Page 4</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AMERICAN AIRLINES, INC.</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21590</wp:posOffset>
            </wp:positionV>
            <wp:extent cx="35471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547110"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21590</wp:posOffset>
            </wp:positionV>
            <wp:extent cx="354711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547110"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Printed name</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VP, Financial Planning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21590</wp:posOffset>
            </wp:positionV>
            <wp:extent cx="35471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547110"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2">
            <w:col w:w="5000" w:space="720"/>
            <w:col w:w="4419"/>
          </w:cols>
          <w:pgMar w:left="320" w:top="1440"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66"/>
        </w:trPr>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900" w:type="dxa"/>
            <w:vAlign w:val="bottom"/>
            <w:gridSpan w:val="2"/>
          </w:tcPr>
          <w:p>
            <w:pPr>
              <w:ind w:left="2580"/>
              <w:spacing w:after="0"/>
              <w:rPr>
                <w:sz w:val="20"/>
                <w:szCs w:val="20"/>
                <w:color w:val="auto"/>
              </w:rPr>
            </w:pPr>
            <w:r>
              <w:rPr>
                <w:rFonts w:ascii="Arial" w:cs="Arial" w:eastAsia="Arial" w:hAnsi="Arial"/>
                <w:sz w:val="19"/>
                <w:szCs w:val="19"/>
                <w:b w:val="1"/>
                <w:bCs w:val="1"/>
                <w:color w:val="auto"/>
              </w:rPr>
              <w:t>TABLE OF CONTENTS</w:t>
            </w:r>
          </w:p>
        </w:tc>
      </w:tr>
      <w:tr>
        <w:trPr>
          <w:trHeight w:val="385"/>
        </w:trPr>
        <w:tc>
          <w:tcPr>
            <w:tcW w:w="1960" w:type="dxa"/>
            <w:vAlign w:val="bottom"/>
            <w:gridSpan w:val="3"/>
          </w:tcPr>
          <w:p>
            <w:pPr>
              <w:spacing w:after="0"/>
              <w:rPr>
                <w:sz w:val="20"/>
                <w:szCs w:val="20"/>
                <w:color w:val="auto"/>
              </w:rPr>
            </w:pPr>
            <w:r>
              <w:rPr>
                <w:rFonts w:ascii="Arial" w:cs="Arial" w:eastAsia="Arial" w:hAnsi="Arial"/>
                <w:sz w:val="19"/>
                <w:szCs w:val="19"/>
                <w:b w:val="1"/>
                <w:bCs w:val="1"/>
                <w:color w:val="auto"/>
              </w:rPr>
              <w:t>ARTICLES</w:t>
            </w:r>
          </w:p>
        </w:tc>
        <w:tc>
          <w:tcPr>
            <w:tcW w:w="80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9"/>
                <w:szCs w:val="19"/>
                <w:b w:val="1"/>
                <w:bCs w:val="1"/>
                <w:color w:val="auto"/>
                <w:w w:val="98"/>
              </w:rPr>
              <w:t>SA</w:t>
            </w:r>
          </w:p>
        </w:tc>
      </w:tr>
      <w:tr>
        <w:trPr>
          <w:trHeight w:val="197"/>
        </w:trPr>
        <w:tc>
          <w:tcPr>
            <w:tcW w:w="6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84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9"/>
                <w:szCs w:val="19"/>
                <w:b w:val="1"/>
                <w:bCs w:val="1"/>
                <w:color w:val="auto"/>
              </w:rPr>
              <w:t>NUMBER</w:t>
            </w:r>
          </w:p>
        </w:tc>
      </w:tr>
      <w:tr>
        <w:trPr>
          <w:trHeight w:val="343"/>
        </w:trPr>
        <w:tc>
          <w:tcPr>
            <w:tcW w:w="62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9"/>
                <w:szCs w:val="19"/>
                <w:color w:val="auto"/>
              </w:rPr>
              <w:t>Article 1.</w:t>
            </w:r>
          </w:p>
        </w:tc>
        <w:tc>
          <w:tcPr>
            <w:tcW w:w="8900" w:type="dxa"/>
            <w:vAlign w:val="bottom"/>
            <w:gridSpan w:val="2"/>
          </w:tcPr>
          <w:p>
            <w:pPr>
              <w:ind w:left="440"/>
              <w:spacing w:after="0"/>
              <w:rPr>
                <w:sz w:val="20"/>
                <w:szCs w:val="20"/>
                <w:color w:val="auto"/>
              </w:rPr>
            </w:pPr>
            <w:r>
              <w:rPr>
                <w:rFonts w:ascii="Arial" w:cs="Arial" w:eastAsia="Arial" w:hAnsi="Arial"/>
                <w:sz w:val="19"/>
                <w:szCs w:val="19"/>
                <w:color w:val="auto"/>
              </w:rPr>
              <w:t>Quantity, Model and Description</w:t>
            </w:r>
          </w:p>
        </w:tc>
      </w:tr>
      <w:tr>
        <w:trPr>
          <w:trHeight w:val="277"/>
        </w:trPr>
        <w:tc>
          <w:tcPr>
            <w:tcW w:w="62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9"/>
                <w:szCs w:val="19"/>
                <w:color w:val="auto"/>
              </w:rPr>
              <w:t>Article 2.</w:t>
            </w:r>
          </w:p>
        </w:tc>
        <w:tc>
          <w:tcPr>
            <w:tcW w:w="8900" w:type="dxa"/>
            <w:vAlign w:val="bottom"/>
            <w:gridSpan w:val="2"/>
          </w:tcPr>
          <w:p>
            <w:pPr>
              <w:ind w:left="440"/>
              <w:spacing w:after="0"/>
              <w:rPr>
                <w:sz w:val="20"/>
                <w:szCs w:val="20"/>
                <w:color w:val="auto"/>
              </w:rPr>
            </w:pPr>
            <w:r>
              <w:rPr>
                <w:rFonts w:ascii="Arial" w:cs="Arial" w:eastAsia="Arial" w:hAnsi="Arial"/>
                <w:sz w:val="19"/>
                <w:szCs w:val="19"/>
                <w:color w:val="auto"/>
              </w:rPr>
              <w:t>Delivery Schedule</w:t>
            </w:r>
          </w:p>
        </w:tc>
      </w:tr>
      <w:tr>
        <w:trPr>
          <w:trHeight w:val="277"/>
        </w:trPr>
        <w:tc>
          <w:tcPr>
            <w:tcW w:w="62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9"/>
                <w:szCs w:val="19"/>
                <w:color w:val="auto"/>
              </w:rPr>
              <w:t>Article 3.</w:t>
            </w:r>
          </w:p>
        </w:tc>
        <w:tc>
          <w:tcPr>
            <w:tcW w:w="8900" w:type="dxa"/>
            <w:vAlign w:val="bottom"/>
            <w:gridSpan w:val="2"/>
          </w:tcPr>
          <w:p>
            <w:pPr>
              <w:ind w:left="440"/>
              <w:spacing w:after="0"/>
              <w:rPr>
                <w:sz w:val="20"/>
                <w:szCs w:val="20"/>
                <w:color w:val="auto"/>
              </w:rPr>
            </w:pPr>
            <w:r>
              <w:rPr>
                <w:rFonts w:ascii="Arial" w:cs="Arial" w:eastAsia="Arial" w:hAnsi="Arial"/>
                <w:sz w:val="19"/>
                <w:szCs w:val="19"/>
                <w:color w:val="auto"/>
              </w:rPr>
              <w:t>Price</w:t>
            </w:r>
          </w:p>
        </w:tc>
      </w:tr>
      <w:tr>
        <w:trPr>
          <w:trHeight w:val="275"/>
        </w:trPr>
        <w:tc>
          <w:tcPr>
            <w:tcW w:w="620" w:type="dxa"/>
            <w:vAlign w:val="bottom"/>
          </w:tcPr>
          <w:p>
            <w:pPr>
              <w:spacing w:after="0"/>
              <w:rPr>
                <w:sz w:val="23"/>
                <w:szCs w:val="23"/>
                <w:color w:val="auto"/>
              </w:rPr>
            </w:pPr>
          </w:p>
        </w:tc>
        <w:tc>
          <w:tcPr>
            <w:tcW w:w="1340" w:type="dxa"/>
            <w:vAlign w:val="bottom"/>
            <w:gridSpan w:val="2"/>
          </w:tcPr>
          <w:p>
            <w:pPr>
              <w:ind w:left="140"/>
              <w:spacing w:after="0"/>
              <w:rPr>
                <w:sz w:val="20"/>
                <w:szCs w:val="20"/>
                <w:color w:val="auto"/>
              </w:rPr>
            </w:pPr>
            <w:r>
              <w:rPr>
                <w:rFonts w:ascii="Arial" w:cs="Arial" w:eastAsia="Arial" w:hAnsi="Arial"/>
                <w:sz w:val="19"/>
                <w:szCs w:val="19"/>
                <w:color w:val="auto"/>
              </w:rPr>
              <w:t>Article 4.</w:t>
            </w:r>
          </w:p>
        </w:tc>
        <w:tc>
          <w:tcPr>
            <w:tcW w:w="8900" w:type="dxa"/>
            <w:vAlign w:val="bottom"/>
            <w:gridSpan w:val="2"/>
          </w:tcPr>
          <w:p>
            <w:pPr>
              <w:ind w:left="440"/>
              <w:spacing w:after="0"/>
              <w:rPr>
                <w:sz w:val="20"/>
                <w:szCs w:val="20"/>
                <w:color w:val="auto"/>
              </w:rPr>
            </w:pPr>
            <w:r>
              <w:rPr>
                <w:rFonts w:ascii="Arial" w:cs="Arial" w:eastAsia="Arial" w:hAnsi="Arial"/>
                <w:sz w:val="19"/>
                <w:szCs w:val="19"/>
                <w:color w:val="auto"/>
              </w:rPr>
              <w:t>Payment</w:t>
            </w:r>
          </w:p>
        </w:tc>
      </w:tr>
      <w:tr>
        <w:trPr>
          <w:trHeight w:val="277"/>
        </w:trPr>
        <w:tc>
          <w:tcPr>
            <w:tcW w:w="62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9"/>
                <w:szCs w:val="19"/>
                <w:color w:val="auto"/>
              </w:rPr>
              <w:t>Article 5.</w:t>
            </w:r>
          </w:p>
        </w:tc>
        <w:tc>
          <w:tcPr>
            <w:tcW w:w="8900" w:type="dxa"/>
            <w:vAlign w:val="bottom"/>
            <w:gridSpan w:val="2"/>
          </w:tcPr>
          <w:p>
            <w:pPr>
              <w:ind w:left="440"/>
              <w:spacing w:after="0"/>
              <w:rPr>
                <w:sz w:val="20"/>
                <w:szCs w:val="20"/>
                <w:color w:val="auto"/>
              </w:rPr>
            </w:pPr>
            <w:r>
              <w:rPr>
                <w:rFonts w:ascii="Arial" w:cs="Arial" w:eastAsia="Arial" w:hAnsi="Arial"/>
                <w:sz w:val="19"/>
                <w:szCs w:val="19"/>
                <w:color w:val="auto"/>
              </w:rPr>
              <w:t>Additional Terms</w:t>
            </w:r>
          </w:p>
        </w:tc>
      </w:tr>
      <w:tr>
        <w:trPr>
          <w:trHeight w:val="275"/>
        </w:trPr>
        <w:tc>
          <w:tcPr>
            <w:tcW w:w="620" w:type="dxa"/>
            <w:vAlign w:val="bottom"/>
          </w:tcPr>
          <w:p>
            <w:pPr>
              <w:spacing w:after="0"/>
              <w:rPr>
                <w:sz w:val="23"/>
                <w:szCs w:val="23"/>
                <w:color w:val="auto"/>
              </w:rPr>
            </w:pPr>
          </w:p>
        </w:tc>
        <w:tc>
          <w:tcPr>
            <w:tcW w:w="1340" w:type="dxa"/>
            <w:vAlign w:val="bottom"/>
            <w:gridSpan w:val="2"/>
          </w:tcPr>
          <w:p>
            <w:pPr>
              <w:ind w:left="140"/>
              <w:spacing w:after="0"/>
              <w:rPr>
                <w:sz w:val="20"/>
                <w:szCs w:val="20"/>
                <w:color w:val="auto"/>
              </w:rPr>
            </w:pPr>
            <w:r>
              <w:rPr>
                <w:rFonts w:ascii="Arial" w:cs="Arial" w:eastAsia="Arial" w:hAnsi="Arial"/>
                <w:sz w:val="19"/>
                <w:szCs w:val="19"/>
                <w:color w:val="auto"/>
              </w:rPr>
              <w:t>Article 6.</w:t>
            </w:r>
          </w:p>
        </w:tc>
        <w:tc>
          <w:tcPr>
            <w:tcW w:w="8900" w:type="dxa"/>
            <w:vAlign w:val="bottom"/>
            <w:gridSpan w:val="2"/>
          </w:tcPr>
          <w:p>
            <w:pPr>
              <w:ind w:left="440"/>
              <w:spacing w:after="0"/>
              <w:rPr>
                <w:sz w:val="20"/>
                <w:szCs w:val="20"/>
                <w:color w:val="auto"/>
              </w:rPr>
            </w:pPr>
            <w:r>
              <w:rPr>
                <w:rFonts w:ascii="Arial" w:cs="Arial" w:eastAsia="Arial" w:hAnsi="Arial"/>
                <w:sz w:val="19"/>
                <w:szCs w:val="19"/>
                <w:color w:val="auto"/>
              </w:rPr>
              <w:t>Confidentiality</w:t>
            </w:r>
          </w:p>
        </w:tc>
      </w:tr>
      <w:tr>
        <w:trPr>
          <w:trHeight w:val="206"/>
        </w:trPr>
        <w:tc>
          <w:tcPr>
            <w:tcW w:w="1960" w:type="dxa"/>
            <w:vAlign w:val="bottom"/>
            <w:gridSpan w:val="3"/>
          </w:tcPr>
          <w:p>
            <w:pPr>
              <w:spacing w:after="0" w:line="206" w:lineRule="exact"/>
              <w:rPr>
                <w:sz w:val="20"/>
                <w:szCs w:val="20"/>
                <w:color w:val="auto"/>
              </w:rPr>
            </w:pPr>
            <w:r>
              <w:rPr>
                <w:rFonts w:ascii="Arial" w:cs="Arial" w:eastAsia="Arial" w:hAnsi="Arial"/>
                <w:sz w:val="19"/>
                <w:szCs w:val="19"/>
                <w:b w:val="1"/>
                <w:bCs w:val="1"/>
                <w:color w:val="auto"/>
              </w:rPr>
              <w:t>TABLE</w:t>
            </w:r>
          </w:p>
        </w:tc>
        <w:tc>
          <w:tcPr>
            <w:tcW w:w="8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48" w:lineRule="exact"/>
        <w:rPr>
          <w:sz w:val="20"/>
          <w:szCs w:val="20"/>
          <w:color w:val="auto"/>
        </w:rPr>
      </w:pPr>
    </w:p>
    <w:p>
      <w:pPr>
        <w:sectPr>
          <w:pgSz w:w="11900" w:h="16838" w:orient="portrait"/>
          <w:cols w:equalWidth="0" w:num="1">
            <w:col w:w="10860"/>
          </w:cols>
          <w:pgMar w:left="380" w:top="1209" w:right="659" w:bottom="1440" w:gutter="0" w:footer="0" w:header="0"/>
        </w:sectPr>
      </w:pPr>
    </w:p>
    <w:p>
      <w:pPr>
        <w:ind w:left="900"/>
        <w:spacing w:after="0"/>
        <w:rPr>
          <w:sz w:val="20"/>
          <w:szCs w:val="20"/>
          <w:color w:val="auto"/>
        </w:rPr>
      </w:pPr>
      <w:r>
        <w:rPr>
          <w:rFonts w:ascii="Arial" w:cs="Arial" w:eastAsia="Arial" w:hAnsi="Arial"/>
          <w:sz w:val="19"/>
          <w:szCs w:val="19"/>
          <w:color w:val="auto"/>
        </w:rPr>
        <w:t>1R12</w:t>
      </w:r>
    </w:p>
    <w:p>
      <w:pPr>
        <w:spacing w:after="0" w:line="36" w:lineRule="exact"/>
        <w:rPr>
          <w:sz w:val="20"/>
          <w:szCs w:val="20"/>
          <w:color w:val="auto"/>
        </w:rPr>
      </w:pPr>
    </w:p>
    <w:p>
      <w:pPr>
        <w:jc w:val="right"/>
        <w:ind w:right="280"/>
        <w:spacing w:after="0"/>
        <w:rPr>
          <w:sz w:val="20"/>
          <w:szCs w:val="20"/>
          <w:color w:val="auto"/>
        </w:rPr>
      </w:pPr>
      <w:r>
        <w:rPr>
          <w:rFonts w:ascii="Arial" w:cs="Arial" w:eastAsia="Arial" w:hAnsi="Arial"/>
          <w:sz w:val="19"/>
          <w:szCs w:val="19"/>
          <w:color w:val="auto"/>
        </w:rPr>
        <w:t>1-2R1</w:t>
      </w:r>
    </w:p>
    <w:p>
      <w:pPr>
        <w:spacing w:after="0" w:line="15" w:lineRule="exact"/>
        <w:rPr>
          <w:sz w:val="20"/>
          <w:szCs w:val="20"/>
          <w:color w:val="auto"/>
        </w:rPr>
      </w:pPr>
    </w:p>
    <w:p>
      <w:pPr>
        <w:jc w:val="right"/>
        <w:ind w:right="280"/>
        <w:spacing w:after="0"/>
        <w:rPr>
          <w:sz w:val="20"/>
          <w:szCs w:val="20"/>
          <w:color w:val="auto"/>
        </w:rPr>
      </w:pPr>
      <w:r>
        <w:rPr>
          <w:rFonts w:ascii="Arial" w:cs="Arial" w:eastAsia="Arial" w:hAnsi="Arial"/>
          <w:sz w:val="19"/>
          <w:szCs w:val="19"/>
          <w:color w:val="auto"/>
        </w:rPr>
        <w:t>1-3R6</w:t>
      </w:r>
    </w:p>
    <w:p>
      <w:pPr>
        <w:spacing w:after="0" w:line="209" w:lineRule="exact"/>
        <w:rPr>
          <w:sz w:val="20"/>
          <w:szCs w:val="20"/>
          <w:color w:val="auto"/>
        </w:rPr>
      </w:pPr>
    </w:p>
    <w:p>
      <w:pPr>
        <w:jc w:val="right"/>
        <w:ind w:right="280"/>
        <w:spacing w:after="0"/>
        <w:rPr>
          <w:sz w:val="20"/>
          <w:szCs w:val="20"/>
          <w:color w:val="auto"/>
        </w:rPr>
      </w:pPr>
      <w:r>
        <w:rPr>
          <w:rFonts w:ascii="Arial" w:cs="Arial" w:eastAsia="Arial" w:hAnsi="Arial"/>
          <w:sz w:val="19"/>
          <w:szCs w:val="19"/>
          <w:color w:val="auto"/>
        </w:rPr>
        <w:t>1-4R7</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1-5R3</w:t>
      </w:r>
    </w:p>
    <w:p>
      <w:pPr>
        <w:spacing w:after="0" w:line="227"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1-6</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1-7</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EXHIBITS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Aircraft Information Table</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 Delivery Aircraft Information Table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 Aircraft Delivery, Description, Price, and Advance Payments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737-8 [****] Aircraft Delivery, Description, Price, and Advance Payments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 737-8 [****] Aircraft Delivery, Description, Price, and Advance Payments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 Aircraft Delivery, Description, Price, and Advance Payments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 Aircraft Delivery, Description, Price, and Advance Payments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19</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32</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29</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32</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32</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35</w:t>
      </w:r>
    </w:p>
    <w:p>
      <w:pPr>
        <w:spacing w:after="0" w:line="289" w:lineRule="exact"/>
        <w:rPr>
          <w:sz w:val="20"/>
          <w:szCs w:val="20"/>
          <w:color w:val="auto"/>
        </w:rPr>
      </w:pPr>
    </w:p>
    <w:p>
      <w:pPr>
        <w:sectPr>
          <w:pgSz w:w="11900" w:h="16838" w:orient="portrait"/>
          <w:cols w:equalWidth="0" w:num="3">
            <w:col w:w="1680" w:space="720"/>
            <w:col w:w="7220" w:space="720"/>
            <w:col w:w="520"/>
          </w:cols>
          <w:pgMar w:left="380" w:top="1209" w:right="659" w:bottom="1440" w:gutter="0" w:footer="0" w:header="0"/>
          <w:type w:val="continuous"/>
        </w:sectPr>
      </w:pPr>
    </w:p>
    <w:tbl>
      <w:tblPr>
        <w:tblLayout w:type="fixed"/>
        <w:tblInd w:w="960" w:type="dxa"/>
        <w:tblCellMar>
          <w:top w:w="0" w:type="dxa"/>
          <w:left w:w="0" w:type="dxa"/>
          <w:bottom w:w="0" w:type="dxa"/>
          <w:right w:w="0" w:type="dxa"/>
        </w:tblCellMar>
      </w:tblPr>
      <w:tr>
        <w:trPr>
          <w:trHeight w:val="241"/>
        </w:trPr>
        <w:tc>
          <w:tcPr>
            <w:tcW w:w="900" w:type="dxa"/>
            <w:vAlign w:val="bottom"/>
          </w:tcPr>
          <w:p>
            <w:pPr>
              <w:jc w:val="center"/>
              <w:ind w:right="444"/>
              <w:spacing w:after="0"/>
              <w:rPr>
                <w:sz w:val="20"/>
                <w:szCs w:val="20"/>
                <w:color w:val="auto"/>
              </w:rPr>
            </w:pPr>
            <w:r>
              <w:rPr>
                <w:rFonts w:ascii="Arial" w:cs="Arial" w:eastAsia="Arial" w:hAnsi="Arial"/>
                <w:sz w:val="19"/>
                <w:szCs w:val="19"/>
                <w:color w:val="auto"/>
                <w:w w:val="97"/>
              </w:rPr>
              <w:t>AR1</w:t>
            </w:r>
          </w:p>
        </w:tc>
        <w:tc>
          <w:tcPr>
            <w:tcW w:w="6160" w:type="dxa"/>
            <w:vAlign w:val="bottom"/>
          </w:tcPr>
          <w:p>
            <w:pPr>
              <w:ind w:left="540"/>
              <w:spacing w:after="0"/>
              <w:rPr>
                <w:sz w:val="20"/>
                <w:szCs w:val="20"/>
                <w:color w:val="auto"/>
              </w:rPr>
            </w:pPr>
            <w:r>
              <w:rPr>
                <w:rFonts w:ascii="Arial" w:cs="Arial" w:eastAsia="Arial" w:hAnsi="Arial"/>
                <w:sz w:val="19"/>
                <w:szCs w:val="19"/>
                <w:color w:val="auto"/>
              </w:rPr>
              <w:t>Aircraft Configuration</w:t>
            </w:r>
          </w:p>
        </w:tc>
        <w:tc>
          <w:tcPr>
            <w:tcW w:w="2540" w:type="dxa"/>
            <w:vAlign w:val="bottom"/>
          </w:tcPr>
          <w:p>
            <w:pPr>
              <w:jc w:val="center"/>
              <w:ind w:left="2224"/>
              <w:spacing w:after="0"/>
              <w:rPr>
                <w:sz w:val="20"/>
                <w:szCs w:val="20"/>
                <w:color w:val="auto"/>
              </w:rPr>
            </w:pPr>
            <w:r>
              <w:rPr>
                <w:rFonts w:ascii="Arial" w:cs="Arial" w:eastAsia="Arial" w:hAnsi="Arial"/>
                <w:sz w:val="19"/>
                <w:szCs w:val="19"/>
                <w:color w:val="auto"/>
                <w:w w:val="94"/>
              </w:rPr>
              <w:t>6</w:t>
            </w:r>
          </w:p>
        </w:tc>
      </w:tr>
      <w:tr>
        <w:trPr>
          <w:trHeight w:val="229"/>
        </w:trPr>
        <w:tc>
          <w:tcPr>
            <w:tcW w:w="900" w:type="dxa"/>
            <w:vAlign w:val="bottom"/>
          </w:tcPr>
          <w:p>
            <w:pPr>
              <w:jc w:val="center"/>
              <w:ind w:right="444"/>
              <w:spacing w:after="0"/>
              <w:rPr>
                <w:sz w:val="20"/>
                <w:szCs w:val="20"/>
                <w:color w:val="auto"/>
              </w:rPr>
            </w:pPr>
            <w:r>
              <w:rPr>
                <w:rFonts w:ascii="Arial" w:cs="Arial" w:eastAsia="Arial" w:hAnsi="Arial"/>
                <w:sz w:val="19"/>
                <w:szCs w:val="19"/>
                <w:color w:val="auto"/>
              </w:rPr>
              <w:t>A2</w:t>
            </w:r>
          </w:p>
        </w:tc>
        <w:tc>
          <w:tcPr>
            <w:tcW w:w="6160" w:type="dxa"/>
            <w:vAlign w:val="bottom"/>
          </w:tcPr>
          <w:p>
            <w:pPr>
              <w:ind w:left="540"/>
              <w:spacing w:after="0"/>
              <w:rPr>
                <w:sz w:val="20"/>
                <w:szCs w:val="20"/>
                <w:color w:val="auto"/>
              </w:rPr>
            </w:pPr>
            <w:r>
              <w:rPr>
                <w:rFonts w:ascii="Arial" w:cs="Arial" w:eastAsia="Arial" w:hAnsi="Arial"/>
                <w:sz w:val="19"/>
                <w:szCs w:val="19"/>
                <w:color w:val="auto"/>
              </w:rPr>
              <w:t>Revised Delivery Aircraft Configuration</w:t>
            </w:r>
          </w:p>
        </w:tc>
        <w:tc>
          <w:tcPr>
            <w:tcW w:w="2540" w:type="dxa"/>
            <w:vAlign w:val="bottom"/>
          </w:tcPr>
          <w:p>
            <w:pPr>
              <w:jc w:val="center"/>
              <w:ind w:left="2224"/>
              <w:spacing w:after="0"/>
              <w:rPr>
                <w:sz w:val="20"/>
                <w:szCs w:val="20"/>
                <w:color w:val="auto"/>
              </w:rPr>
            </w:pPr>
            <w:r>
              <w:rPr>
                <w:rFonts w:ascii="Arial" w:cs="Arial" w:eastAsia="Arial" w:hAnsi="Arial"/>
                <w:sz w:val="19"/>
                <w:szCs w:val="19"/>
                <w:color w:val="auto"/>
                <w:w w:val="94"/>
              </w:rPr>
              <w:t>9</w:t>
            </w:r>
          </w:p>
        </w:tc>
      </w:tr>
      <w:tr>
        <w:trPr>
          <w:trHeight w:val="229"/>
        </w:trPr>
        <w:tc>
          <w:tcPr>
            <w:tcW w:w="900" w:type="dxa"/>
            <w:vAlign w:val="bottom"/>
          </w:tcPr>
          <w:p>
            <w:pPr>
              <w:jc w:val="center"/>
              <w:ind w:right="444"/>
              <w:spacing w:after="0"/>
              <w:rPr>
                <w:sz w:val="20"/>
                <w:szCs w:val="20"/>
                <w:color w:val="auto"/>
              </w:rPr>
            </w:pPr>
            <w:r>
              <w:rPr>
                <w:rFonts w:ascii="Arial" w:cs="Arial" w:eastAsia="Arial" w:hAnsi="Arial"/>
                <w:sz w:val="19"/>
                <w:szCs w:val="19"/>
                <w:color w:val="auto"/>
              </w:rPr>
              <w:t>A3</w:t>
            </w:r>
          </w:p>
        </w:tc>
        <w:tc>
          <w:tcPr>
            <w:tcW w:w="6160" w:type="dxa"/>
            <w:vAlign w:val="bottom"/>
          </w:tcPr>
          <w:p>
            <w:pPr>
              <w:ind w:left="540"/>
              <w:spacing w:after="0"/>
              <w:rPr>
                <w:sz w:val="20"/>
                <w:szCs w:val="20"/>
                <w:color w:val="auto"/>
              </w:rPr>
            </w:pPr>
            <w:r>
              <w:rPr>
                <w:rFonts w:ascii="Arial" w:cs="Arial" w:eastAsia="Arial" w:hAnsi="Arial"/>
                <w:sz w:val="19"/>
                <w:szCs w:val="19"/>
                <w:color w:val="auto"/>
              </w:rPr>
              <w:t>[****] Delivery Aircraft Configuration</w:t>
            </w:r>
          </w:p>
        </w:tc>
        <w:tc>
          <w:tcPr>
            <w:tcW w:w="2540" w:type="dxa"/>
            <w:vAlign w:val="bottom"/>
          </w:tcPr>
          <w:p>
            <w:pPr>
              <w:jc w:val="center"/>
              <w:ind w:left="2224"/>
              <w:spacing w:after="0"/>
              <w:rPr>
                <w:sz w:val="20"/>
                <w:szCs w:val="20"/>
                <w:color w:val="auto"/>
              </w:rPr>
            </w:pPr>
            <w:r>
              <w:rPr>
                <w:rFonts w:ascii="Arial" w:cs="Arial" w:eastAsia="Arial" w:hAnsi="Arial"/>
                <w:sz w:val="19"/>
                <w:szCs w:val="19"/>
                <w:color w:val="auto"/>
              </w:rPr>
              <w:t>29</w:t>
            </w:r>
          </w:p>
        </w:tc>
      </w:tr>
      <w:tr>
        <w:trPr>
          <w:trHeight w:val="254"/>
        </w:trPr>
        <w:tc>
          <w:tcPr>
            <w:tcW w:w="900" w:type="dxa"/>
            <w:vAlign w:val="bottom"/>
          </w:tcPr>
          <w:p>
            <w:pPr>
              <w:jc w:val="center"/>
              <w:ind w:right="444"/>
              <w:spacing w:after="0"/>
              <w:rPr>
                <w:sz w:val="20"/>
                <w:szCs w:val="20"/>
                <w:color w:val="auto"/>
              </w:rPr>
            </w:pPr>
            <w:r>
              <w:rPr>
                <w:rFonts w:ascii="Arial" w:cs="Arial" w:eastAsia="Arial" w:hAnsi="Arial"/>
                <w:sz w:val="19"/>
                <w:szCs w:val="19"/>
                <w:color w:val="auto"/>
              </w:rPr>
              <w:t>A4</w:t>
            </w:r>
          </w:p>
        </w:tc>
        <w:tc>
          <w:tcPr>
            <w:tcW w:w="6160" w:type="dxa"/>
            <w:vAlign w:val="bottom"/>
          </w:tcPr>
          <w:p>
            <w:pPr>
              <w:ind w:left="540"/>
              <w:spacing w:after="0"/>
              <w:rPr>
                <w:sz w:val="20"/>
                <w:szCs w:val="20"/>
                <w:color w:val="auto"/>
              </w:rPr>
            </w:pPr>
            <w:r>
              <w:rPr>
                <w:rFonts w:ascii="Arial" w:cs="Arial" w:eastAsia="Arial" w:hAnsi="Arial"/>
                <w:sz w:val="19"/>
                <w:szCs w:val="19"/>
                <w:color w:val="auto"/>
              </w:rPr>
              <w:t>[****] Aircraft Configuration</w:t>
            </w:r>
          </w:p>
        </w:tc>
        <w:tc>
          <w:tcPr>
            <w:tcW w:w="2540" w:type="dxa"/>
            <w:vAlign w:val="bottom"/>
          </w:tcPr>
          <w:p>
            <w:pPr>
              <w:jc w:val="center"/>
              <w:ind w:left="2224"/>
              <w:spacing w:after="0"/>
              <w:rPr>
                <w:sz w:val="20"/>
                <w:szCs w:val="20"/>
                <w:color w:val="auto"/>
              </w:rPr>
            </w:pPr>
            <w:r>
              <w:rPr>
                <w:rFonts w:ascii="Arial" w:cs="Arial" w:eastAsia="Arial" w:hAnsi="Arial"/>
                <w:sz w:val="19"/>
                <w:szCs w:val="19"/>
                <w:color w:val="auto"/>
              </w:rPr>
              <w:t>32</w:t>
            </w:r>
          </w:p>
        </w:tc>
      </w:tr>
    </w:tbl>
    <w:p>
      <w:pPr>
        <w:spacing w:after="0" w:line="11" w:lineRule="exact"/>
        <w:rPr>
          <w:sz w:val="20"/>
          <w:szCs w:val="20"/>
          <w:color w:val="auto"/>
        </w:rPr>
      </w:pPr>
    </w:p>
    <w:p>
      <w:pPr>
        <w:ind w:left="2400" w:hanging="1351"/>
        <w:spacing w:after="0"/>
        <w:tabs>
          <w:tab w:leader="none" w:pos="24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Aircraft Delivery Requirements and Responsibilities</w:t>
      </w:r>
    </w:p>
    <w:p>
      <w:pPr>
        <w:spacing w:after="0" w:line="59" w:lineRule="exact"/>
        <w:rPr>
          <w:rFonts w:ascii="Arial" w:cs="Arial" w:eastAsia="Arial" w:hAnsi="Arial"/>
          <w:sz w:val="19"/>
          <w:szCs w:val="19"/>
          <w:color w:val="auto"/>
        </w:rPr>
      </w:pPr>
    </w:p>
    <w:p>
      <w:pPr>
        <w:ind w:left="2400" w:hanging="1356"/>
        <w:spacing w:after="0"/>
        <w:tabs>
          <w:tab w:leader="none" w:pos="24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Definitions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w w:val="99"/>
              </w:rPr>
              <w:t>SUPPLEMENTAL EXHIBITS</w:t>
            </w:r>
          </w:p>
        </w:tc>
        <w:tc>
          <w:tcPr>
            <w:tcW w:w="5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940" w:type="dxa"/>
            <w:vAlign w:val="bottom"/>
          </w:tcPr>
          <w:p>
            <w:pPr>
              <w:jc w:val="center"/>
              <w:ind w:left="244"/>
              <w:spacing w:after="0"/>
              <w:rPr>
                <w:sz w:val="20"/>
                <w:szCs w:val="20"/>
                <w:color w:val="auto"/>
              </w:rPr>
            </w:pPr>
            <w:r>
              <w:rPr>
                <w:rFonts w:ascii="Arial" w:cs="Arial" w:eastAsia="Arial" w:hAnsi="Arial"/>
                <w:sz w:val="19"/>
                <w:szCs w:val="19"/>
                <w:color w:val="auto"/>
                <w:w w:val="96"/>
              </w:rPr>
              <w:t>AE1.</w:t>
            </w:r>
          </w:p>
        </w:tc>
        <w:tc>
          <w:tcPr>
            <w:tcW w:w="5860" w:type="dxa"/>
            <w:vAlign w:val="bottom"/>
            <w:gridSpan w:val="2"/>
          </w:tcPr>
          <w:p>
            <w:pPr>
              <w:ind w:left="460"/>
              <w:spacing w:after="0"/>
              <w:rPr>
                <w:sz w:val="20"/>
                <w:szCs w:val="20"/>
                <w:color w:val="auto"/>
              </w:rPr>
            </w:pPr>
            <w:r>
              <w:rPr>
                <w:rFonts w:ascii="Arial" w:cs="Arial" w:eastAsia="Arial" w:hAnsi="Arial"/>
                <w:sz w:val="19"/>
                <w:szCs w:val="19"/>
                <w:color w:val="auto"/>
              </w:rPr>
              <w: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940" w:type="dxa"/>
            <w:vAlign w:val="bottom"/>
          </w:tcPr>
          <w:p>
            <w:pPr>
              <w:jc w:val="center"/>
              <w:ind w:left="244"/>
              <w:spacing w:after="0"/>
              <w:rPr>
                <w:sz w:val="20"/>
                <w:szCs w:val="20"/>
                <w:color w:val="auto"/>
              </w:rPr>
            </w:pPr>
            <w:r>
              <w:rPr>
                <w:rFonts w:ascii="Arial" w:cs="Arial" w:eastAsia="Arial" w:hAnsi="Arial"/>
                <w:sz w:val="19"/>
                <w:szCs w:val="19"/>
                <w:color w:val="auto"/>
                <w:w w:val="98"/>
              </w:rPr>
              <w:t>BFE1.</w:t>
            </w:r>
          </w:p>
        </w:tc>
        <w:tc>
          <w:tcPr>
            <w:tcW w:w="5860" w:type="dxa"/>
            <w:vAlign w:val="bottom"/>
            <w:gridSpan w:val="2"/>
          </w:tcPr>
          <w:p>
            <w:pPr>
              <w:ind w:left="460"/>
              <w:spacing w:after="0"/>
              <w:rPr>
                <w:sz w:val="20"/>
                <w:szCs w:val="20"/>
                <w:color w:val="auto"/>
              </w:rPr>
            </w:pPr>
            <w:r>
              <w:rPr>
                <w:rFonts w:ascii="Arial" w:cs="Arial" w:eastAsia="Arial" w:hAnsi="Arial"/>
                <w:sz w:val="19"/>
                <w:szCs w:val="19"/>
                <w:color w:val="auto"/>
              </w:rPr>
              <w:t>BFE Variables – [****]</w:t>
            </w:r>
          </w:p>
        </w:tc>
        <w:tc>
          <w:tcPr>
            <w:tcW w:w="2760" w:type="dxa"/>
            <w:vAlign w:val="bottom"/>
            <w:vMerge w:val="restart"/>
          </w:tcPr>
          <w:p>
            <w:pPr>
              <w:jc w:val="center"/>
              <w:ind w:left="2444"/>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54"/>
        </w:trPr>
        <w:tc>
          <w:tcPr>
            <w:tcW w:w="1940" w:type="dxa"/>
            <w:vAlign w:val="bottom"/>
          </w:tcPr>
          <w:p>
            <w:pPr>
              <w:jc w:val="center"/>
              <w:ind w:left="244"/>
              <w:spacing w:after="0"/>
              <w:rPr>
                <w:sz w:val="20"/>
                <w:szCs w:val="20"/>
                <w:color w:val="auto"/>
              </w:rPr>
            </w:pPr>
            <w:r>
              <w:rPr>
                <w:rFonts w:ascii="Arial" w:cs="Arial" w:eastAsia="Arial" w:hAnsi="Arial"/>
                <w:sz w:val="19"/>
                <w:szCs w:val="19"/>
                <w:color w:val="auto"/>
                <w:w w:val="98"/>
              </w:rPr>
              <w:t>BFE2.</w:t>
            </w:r>
          </w:p>
        </w:tc>
        <w:tc>
          <w:tcPr>
            <w:tcW w:w="5860" w:type="dxa"/>
            <w:vAlign w:val="bottom"/>
            <w:gridSpan w:val="2"/>
          </w:tcPr>
          <w:p>
            <w:pPr>
              <w:ind w:left="460"/>
              <w:spacing w:after="0"/>
              <w:rPr>
                <w:sz w:val="20"/>
                <w:szCs w:val="20"/>
                <w:color w:val="auto"/>
              </w:rPr>
            </w:pPr>
            <w:r>
              <w:rPr>
                <w:rFonts w:ascii="Arial" w:cs="Arial" w:eastAsia="Arial" w:hAnsi="Arial"/>
                <w:sz w:val="19"/>
                <w:szCs w:val="19"/>
                <w:color w:val="auto"/>
              </w:rPr>
              <w:t>BFE Variables – [****]</w:t>
            </w:r>
          </w:p>
        </w:tc>
        <w:tc>
          <w:tcPr>
            <w:tcW w:w="2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940" w:type="dxa"/>
            <w:vAlign w:val="bottom"/>
          </w:tcPr>
          <w:p>
            <w:pPr>
              <w:jc w:val="center"/>
              <w:ind w:left="244"/>
              <w:spacing w:after="0"/>
              <w:rPr>
                <w:sz w:val="20"/>
                <w:szCs w:val="20"/>
                <w:color w:val="auto"/>
              </w:rPr>
            </w:pPr>
            <w:r>
              <w:rPr>
                <w:rFonts w:ascii="Arial" w:cs="Arial" w:eastAsia="Arial" w:hAnsi="Arial"/>
                <w:sz w:val="19"/>
                <w:szCs w:val="19"/>
                <w:color w:val="auto"/>
              </w:rPr>
              <w:t>CS1R1.</w:t>
            </w:r>
          </w:p>
        </w:tc>
        <w:tc>
          <w:tcPr>
            <w:tcW w:w="5860" w:type="dxa"/>
            <w:vAlign w:val="bottom"/>
            <w:gridSpan w:val="2"/>
          </w:tcPr>
          <w:p>
            <w:pPr>
              <w:ind w:left="460"/>
              <w:spacing w:after="0"/>
              <w:rPr>
                <w:sz w:val="20"/>
                <w:szCs w:val="20"/>
                <w:color w:val="auto"/>
              </w:rPr>
            </w:pPr>
            <w:r>
              <w:rPr>
                <w:rFonts w:ascii="Arial" w:cs="Arial" w:eastAsia="Arial" w:hAnsi="Arial"/>
                <w:sz w:val="19"/>
                <w:szCs w:val="19"/>
                <w:color w:val="auto"/>
              </w:rPr>
              <w:t>Customer Support Variables</w:t>
            </w:r>
          </w:p>
        </w:tc>
        <w:tc>
          <w:tcPr>
            <w:tcW w:w="2760" w:type="dxa"/>
            <w:vAlign w:val="bottom"/>
          </w:tcPr>
          <w:p>
            <w:pPr>
              <w:jc w:val="center"/>
              <w:ind w:left="2444"/>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254"/>
        </w:trPr>
        <w:tc>
          <w:tcPr>
            <w:tcW w:w="1940" w:type="dxa"/>
            <w:vAlign w:val="bottom"/>
          </w:tcPr>
          <w:p>
            <w:pPr>
              <w:jc w:val="center"/>
              <w:ind w:left="244"/>
              <w:spacing w:after="0"/>
              <w:rPr>
                <w:sz w:val="20"/>
                <w:szCs w:val="20"/>
                <w:color w:val="auto"/>
              </w:rPr>
            </w:pPr>
            <w:r>
              <w:rPr>
                <w:rFonts w:ascii="Arial" w:cs="Arial" w:eastAsia="Arial" w:hAnsi="Arial"/>
                <w:sz w:val="19"/>
                <w:szCs w:val="19"/>
                <w:color w:val="auto"/>
              </w:rPr>
              <w:t>CS1-2.</w:t>
            </w:r>
          </w:p>
        </w:tc>
        <w:tc>
          <w:tcPr>
            <w:tcW w:w="5860" w:type="dxa"/>
            <w:vAlign w:val="bottom"/>
            <w:gridSpan w:val="2"/>
          </w:tcPr>
          <w:p>
            <w:pPr>
              <w:ind w:left="460"/>
              <w:spacing w:after="0"/>
              <w:rPr>
                <w:sz w:val="20"/>
                <w:szCs w:val="20"/>
                <w:color w:val="auto"/>
              </w:rPr>
            </w:pPr>
            <w:r>
              <w:rPr>
                <w:rFonts w:ascii="Arial" w:cs="Arial" w:eastAsia="Arial" w:hAnsi="Arial"/>
                <w:sz w:val="19"/>
                <w:szCs w:val="19"/>
                <w:color w:val="auto"/>
              </w:rPr>
              <w:t>Customer Support Variables [****]</w:t>
            </w:r>
          </w:p>
        </w:tc>
        <w:tc>
          <w:tcPr>
            <w:tcW w:w="2760" w:type="dxa"/>
            <w:vAlign w:val="bottom"/>
          </w:tcPr>
          <w:p>
            <w:pPr>
              <w:jc w:val="center"/>
              <w:ind w:left="2444"/>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251"/>
        </w:trPr>
        <w:tc>
          <w:tcPr>
            <w:tcW w:w="1940" w:type="dxa"/>
            <w:vAlign w:val="bottom"/>
          </w:tcPr>
          <w:p>
            <w:pPr>
              <w:jc w:val="center"/>
              <w:ind w:left="244"/>
              <w:spacing w:after="0"/>
              <w:rPr>
                <w:sz w:val="20"/>
                <w:szCs w:val="20"/>
                <w:color w:val="auto"/>
              </w:rPr>
            </w:pPr>
            <w:r>
              <w:rPr>
                <w:rFonts w:ascii="Arial" w:cs="Arial" w:eastAsia="Arial" w:hAnsi="Arial"/>
                <w:sz w:val="19"/>
                <w:szCs w:val="19"/>
                <w:color w:val="auto"/>
                <w:w w:val="96"/>
              </w:rPr>
              <w:t>EE1.</w:t>
            </w:r>
          </w:p>
        </w:tc>
        <w:tc>
          <w:tcPr>
            <w:tcW w:w="5860" w:type="dxa"/>
            <w:vAlign w:val="bottom"/>
            <w:gridSpan w:val="2"/>
          </w:tcPr>
          <w:p>
            <w:pPr>
              <w:ind w:left="460"/>
              <w:spacing w:after="0"/>
              <w:rPr>
                <w:sz w:val="20"/>
                <w:szCs w:val="20"/>
                <w:color w:val="auto"/>
              </w:rPr>
            </w:pPr>
            <w:r>
              <w:rPr>
                <w:rFonts w:ascii="Arial" w:cs="Arial" w:eastAsia="Arial" w:hAnsi="Arial"/>
                <w:sz w:val="19"/>
                <w:szCs w:val="19"/>
                <w:color w:val="auto"/>
              </w:rPr>
              <w:t>[****]</w:t>
            </w:r>
          </w:p>
        </w:tc>
        <w:tc>
          <w:tcPr>
            <w:tcW w:w="2760" w:type="dxa"/>
            <w:vAlign w:val="bottom"/>
            <w:vMerge w:val="restart"/>
          </w:tcPr>
          <w:p>
            <w:pPr>
              <w:jc w:val="center"/>
              <w:ind w:left="2444"/>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241"/>
        </w:trPr>
        <w:tc>
          <w:tcPr>
            <w:tcW w:w="1940" w:type="dxa"/>
            <w:vAlign w:val="bottom"/>
          </w:tcPr>
          <w:p>
            <w:pPr>
              <w:jc w:val="center"/>
              <w:ind w:left="244"/>
              <w:spacing w:after="0"/>
              <w:rPr>
                <w:sz w:val="20"/>
                <w:szCs w:val="20"/>
                <w:color w:val="auto"/>
              </w:rPr>
            </w:pPr>
            <w:r>
              <w:rPr>
                <w:rFonts w:ascii="Arial" w:cs="Arial" w:eastAsia="Arial" w:hAnsi="Arial"/>
                <w:sz w:val="19"/>
                <w:szCs w:val="19"/>
                <w:color w:val="auto"/>
              </w:rPr>
              <w:t>EE1-2.</w:t>
            </w:r>
          </w:p>
        </w:tc>
        <w:tc>
          <w:tcPr>
            <w:tcW w:w="5860" w:type="dxa"/>
            <w:vAlign w:val="bottom"/>
            <w:gridSpan w:val="2"/>
          </w:tcPr>
          <w:p>
            <w:pPr>
              <w:ind w:left="460"/>
              <w:spacing w:after="0"/>
              <w:rPr>
                <w:sz w:val="20"/>
                <w:szCs w:val="20"/>
                <w:color w:val="auto"/>
              </w:rPr>
            </w:pPr>
            <w:r>
              <w:rPr>
                <w:rFonts w:ascii="Arial" w:cs="Arial" w:eastAsia="Arial" w:hAnsi="Arial"/>
                <w:sz w:val="19"/>
                <w:szCs w:val="19"/>
                <w:color w:val="auto"/>
              </w:rPr>
              <w:t>[****]</w:t>
            </w: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940" w:type="dxa"/>
            <w:vAlign w:val="bottom"/>
          </w:tcPr>
          <w:p>
            <w:pPr>
              <w:jc w:val="center"/>
              <w:ind w:left="244"/>
              <w:spacing w:after="0"/>
              <w:rPr>
                <w:sz w:val="20"/>
                <w:szCs w:val="20"/>
                <w:color w:val="auto"/>
              </w:rPr>
            </w:pPr>
            <w:r>
              <w:rPr>
                <w:rFonts w:ascii="Arial" w:cs="Arial" w:eastAsia="Arial" w:hAnsi="Arial"/>
                <w:sz w:val="19"/>
                <w:szCs w:val="19"/>
                <w:color w:val="auto"/>
              </w:rPr>
              <w:t>SLP1.</w:t>
            </w:r>
          </w:p>
        </w:tc>
        <w:tc>
          <w:tcPr>
            <w:tcW w:w="5860" w:type="dxa"/>
            <w:vAlign w:val="bottom"/>
            <w:gridSpan w:val="2"/>
          </w:tcPr>
          <w:p>
            <w:pPr>
              <w:ind w:left="460"/>
              <w:spacing w:after="0"/>
              <w:rPr>
                <w:sz w:val="20"/>
                <w:szCs w:val="20"/>
                <w:color w:val="auto"/>
              </w:rPr>
            </w:pPr>
            <w:r>
              <w:rPr>
                <w:rFonts w:ascii="Arial" w:cs="Arial" w:eastAsia="Arial" w:hAnsi="Arial"/>
                <w:sz w:val="19"/>
                <w:szCs w:val="19"/>
                <w:color w:val="auto"/>
              </w:rPr>
              <w: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40"/>
        <w:spacing w:after="0"/>
        <w:tabs>
          <w:tab w:leader="none" w:pos="5680" w:val="left"/>
        </w:tabs>
        <w:rPr>
          <w:sz w:val="20"/>
          <w:szCs w:val="20"/>
          <w:color w:val="auto"/>
        </w:rPr>
      </w:pPr>
      <w:r>
        <w:rPr>
          <w:rFonts w:ascii="Arial" w:cs="Arial" w:eastAsia="Arial" w:hAnsi="Arial"/>
          <w:sz w:val="19"/>
          <w:szCs w:val="19"/>
          <w:color w:val="auto"/>
        </w:rPr>
        <w:t>PA-03735</w:t>
      </w:r>
      <w:r>
        <w:rPr>
          <w:sz w:val="20"/>
          <w:szCs w:val="20"/>
          <w:color w:val="auto"/>
        </w:rPr>
        <w:tab/>
      </w:r>
      <w:r>
        <w:rPr>
          <w:rFonts w:ascii="Arial" w:cs="Arial" w:eastAsia="Arial" w:hAnsi="Arial"/>
          <w:sz w:val="19"/>
          <w:szCs w:val="19"/>
          <w:color w:val="auto"/>
        </w:rPr>
        <w:t>Page 1 of 3</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SA-</w:t>
      </w:r>
      <w:r>
        <w:rPr>
          <w:rFonts w:ascii="Arial" w:cs="Arial" w:eastAsia="Arial" w:hAnsi="Arial"/>
          <w:sz w:val="19"/>
          <w:szCs w:val="19"/>
          <w:b w:val="1"/>
          <w:bCs w:val="1"/>
          <w:color w:val="auto"/>
        </w:rPr>
        <w:t>35</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BOEING AND AMERICAN PROPRIETARY</w:t>
      </w:r>
    </w:p>
    <w:p>
      <w:pPr>
        <w:sectPr>
          <w:pgSz w:w="11900" w:h="16838" w:orient="portrait"/>
          <w:cols w:equalWidth="0" w:num="1">
            <w:col w:w="10860"/>
          </w:cols>
          <w:pgMar w:left="380" w:top="1209" w:right="65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9"/>
              </w:rPr>
              <w:t>LETTER AGREEMENTS</w:t>
            </w:r>
          </w:p>
        </w:tc>
        <w:tc>
          <w:tcPr>
            <w:tcW w:w="24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b w:val="1"/>
                <w:bCs w:val="1"/>
                <w:color w:val="auto"/>
                <w:w w:val="98"/>
              </w:rPr>
              <w:t>SA</w:t>
            </w:r>
          </w:p>
        </w:tc>
      </w:tr>
      <w:tr>
        <w:trPr>
          <w:trHeight w:val="233"/>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NUMBER</w:t>
            </w:r>
          </w:p>
        </w:tc>
      </w:tr>
      <w:tr>
        <w:trPr>
          <w:trHeight w:val="269"/>
        </w:trPr>
        <w:tc>
          <w:tcPr>
            <w:tcW w:w="2160" w:type="dxa"/>
            <w:vAlign w:val="bottom"/>
            <w:gridSpan w:val="2"/>
          </w:tcPr>
          <w:p>
            <w:pPr>
              <w:spacing w:after="0"/>
              <w:rPr>
                <w:sz w:val="20"/>
                <w:szCs w:val="20"/>
                <w:color w:val="auto"/>
              </w:rPr>
            </w:pPr>
            <w:r>
              <w:rPr>
                <w:rFonts w:ascii="Arial" w:cs="Arial" w:eastAsia="Arial" w:hAnsi="Arial"/>
                <w:sz w:val="19"/>
                <w:szCs w:val="19"/>
                <w:color w:val="auto"/>
              </w:rPr>
              <w:t>LA-1106648R1</w:t>
            </w:r>
          </w:p>
        </w:tc>
        <w:tc>
          <w:tcPr>
            <w:tcW w:w="7860" w:type="dxa"/>
            <w:vAlign w:val="bottom"/>
            <w:gridSpan w:val="2"/>
          </w:tcPr>
          <w:p>
            <w:pPr>
              <w:ind w:left="240"/>
              <w:spacing w:after="0"/>
              <w:rPr>
                <w:sz w:val="20"/>
                <w:szCs w:val="20"/>
                <w:color w:val="auto"/>
              </w:rPr>
            </w:pPr>
            <w:r>
              <w:rPr>
                <w:rFonts w:ascii="Arial" w:cs="Arial" w:eastAsia="Arial" w:hAnsi="Arial"/>
                <w:sz w:val="19"/>
                <w:szCs w:val="19"/>
                <w:color w:val="auto"/>
              </w:rPr>
              <w:t>Special Matters</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6</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LA-1106649</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LA-1106650R8</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LA1106651R15</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34</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LA-1106652R3</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LA-1106654R1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77"/>
        </w:trPr>
        <w:tc>
          <w:tcPr>
            <w:tcW w:w="2160" w:type="dxa"/>
            <w:vAlign w:val="bottom"/>
            <w:gridSpan w:val="2"/>
          </w:tcPr>
          <w:p>
            <w:pPr>
              <w:spacing w:after="0"/>
              <w:rPr>
                <w:sz w:val="20"/>
                <w:szCs w:val="20"/>
                <w:color w:val="auto"/>
              </w:rPr>
            </w:pPr>
            <w:r>
              <w:rPr>
                <w:rFonts w:ascii="Arial" w:cs="Arial" w:eastAsia="Arial" w:hAnsi="Arial"/>
                <w:sz w:val="19"/>
                <w:szCs w:val="19"/>
                <w:color w:val="auto"/>
                <w:strike w:val="1"/>
              </w:rPr>
              <w:t>LA-1106655</w:t>
            </w:r>
          </w:p>
        </w:tc>
        <w:tc>
          <w:tcPr>
            <w:tcW w:w="2420" w:type="dxa"/>
            <w:vAlign w:val="bottom"/>
          </w:tcPr>
          <w:p>
            <w:pPr>
              <w:ind w:left="240"/>
              <w:spacing w:after="0"/>
              <w:rPr>
                <w:sz w:val="20"/>
                <w:szCs w:val="20"/>
                <w:color w:val="auto"/>
              </w:rPr>
            </w:pPr>
            <w:r>
              <w:rPr>
                <w:rFonts w:ascii="Arial" w:cs="Arial" w:eastAsia="Arial" w:hAnsi="Arial"/>
                <w:sz w:val="19"/>
                <w:szCs w:val="19"/>
                <w:color w:val="auto"/>
                <w:strike w:val="1"/>
              </w:rPr>
              <w:t>Open Matters – 737 MAX</w:t>
            </w:r>
          </w:p>
        </w:tc>
        <w:tc>
          <w:tcPr>
            <w:tcW w:w="5440" w:type="dxa"/>
            <w:vAlign w:val="bottom"/>
          </w:tcPr>
          <w:p>
            <w:pPr>
              <w:ind w:left="60"/>
              <w:spacing w:after="0"/>
              <w:rPr>
                <w:sz w:val="20"/>
                <w:szCs w:val="20"/>
                <w:color w:val="auto"/>
              </w:rPr>
            </w:pPr>
            <w:r>
              <w:rPr>
                <w:rFonts w:ascii="Arial" w:cs="Arial" w:eastAsia="Arial" w:hAnsi="Arial"/>
                <w:sz w:val="19"/>
                <w:szCs w:val="19"/>
                <w:color w:val="auto"/>
              </w:rPr>
              <w:t>Withdrawn</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6</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LA-1106656R1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1</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LA-1106657R1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LA-1106663 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LA-1106664 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LA-1106658</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LA-1106659R4</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LA-1106660R1</w:t>
            </w:r>
          </w:p>
        </w:tc>
        <w:tc>
          <w:tcPr>
            <w:tcW w:w="7860" w:type="dxa"/>
            <w:vAlign w:val="bottom"/>
            <w:gridSpan w:val="2"/>
          </w:tcPr>
          <w:p>
            <w:pPr>
              <w:ind w:left="240"/>
              <w:spacing w:after="0"/>
              <w:rPr>
                <w:sz w:val="20"/>
                <w:szCs w:val="20"/>
                <w:color w:val="auto"/>
              </w:rPr>
            </w:pPr>
            <w:r>
              <w:rPr>
                <w:rFonts w:ascii="Arial" w:cs="Arial" w:eastAsia="Arial" w:hAnsi="Arial"/>
                <w:sz w:val="19"/>
                <w:szCs w:val="19"/>
                <w:color w:val="auto"/>
              </w:rPr>
              <w:t>Spare Parts Initial Provisioning</w:t>
            </w:r>
          </w:p>
        </w:tc>
        <w:tc>
          <w:tcPr>
            <w:tcW w:w="840" w:type="dxa"/>
            <w:vAlign w:val="bottom"/>
          </w:tcPr>
          <w:p>
            <w:pPr>
              <w:jc w:val="center"/>
              <w:spacing w:after="0"/>
              <w:rPr>
                <w:sz w:val="20"/>
                <w:szCs w:val="20"/>
                <w:color w:val="auto"/>
              </w:rPr>
            </w:pPr>
            <w:r>
              <w:rPr>
                <w:rFonts w:ascii="Arial" w:cs="Arial" w:eastAsia="Arial" w:hAnsi="Arial"/>
                <w:sz w:val="19"/>
                <w:szCs w:val="19"/>
                <w:color w:val="auto"/>
              </w:rPr>
              <w:t>33</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LA-1106661R2</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LA-1106667</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LA-1106668R1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8</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LA-1106669</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LA-1106670R1</w:t>
            </w:r>
          </w:p>
        </w:tc>
        <w:tc>
          <w:tcPr>
            <w:tcW w:w="7860" w:type="dxa"/>
            <w:vAlign w:val="bottom"/>
            <w:gridSpan w:val="2"/>
          </w:tcPr>
          <w:p>
            <w:pPr>
              <w:ind w:left="240"/>
              <w:spacing w:after="0"/>
              <w:rPr>
                <w:sz w:val="20"/>
                <w:szCs w:val="20"/>
                <w:color w:val="auto"/>
              </w:rPr>
            </w:pPr>
            <w:r>
              <w:rPr>
                <w:rFonts w:ascii="Arial" w:cs="Arial" w:eastAsia="Arial" w:hAnsi="Arial"/>
                <w:sz w:val="19"/>
                <w:szCs w:val="19"/>
                <w:color w:val="auto"/>
              </w:rPr>
              <w:t>Confidentiality</w:t>
            </w: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LA-1106671R2</w:t>
            </w:r>
          </w:p>
        </w:tc>
        <w:tc>
          <w:tcPr>
            <w:tcW w:w="7860" w:type="dxa"/>
            <w:vAlign w:val="bottom"/>
            <w:gridSpan w:val="2"/>
          </w:tcPr>
          <w:p>
            <w:pPr>
              <w:ind w:left="240"/>
              <w:spacing w:after="0"/>
              <w:rPr>
                <w:sz w:val="20"/>
                <w:szCs w:val="20"/>
                <w:color w:val="auto"/>
              </w:rPr>
            </w:pPr>
            <w:r>
              <w:rPr>
                <w:rFonts w:ascii="Arial" w:cs="Arial" w:eastAsia="Arial" w:hAnsi="Arial"/>
                <w:sz w:val="19"/>
                <w:szCs w:val="19"/>
                <w:color w:val="auto"/>
              </w:rPr>
              <w:t>Miscellaneous Commitments</w:t>
            </w: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LA-1106672</w:t>
            </w:r>
          </w:p>
        </w:tc>
        <w:tc>
          <w:tcPr>
            <w:tcW w:w="7860" w:type="dxa"/>
            <w:vAlign w:val="bottom"/>
            <w:gridSpan w:val="2"/>
          </w:tcPr>
          <w:p>
            <w:pPr>
              <w:ind w:left="240"/>
              <w:spacing w:after="0"/>
              <w:rPr>
                <w:sz w:val="20"/>
                <w:szCs w:val="20"/>
                <w:color w:val="auto"/>
              </w:rPr>
            </w:pPr>
            <w:r>
              <w:rPr>
                <w:rFonts w:ascii="Arial" w:cs="Arial" w:eastAsia="Arial" w:hAnsi="Arial"/>
                <w:sz w:val="19"/>
                <w:szCs w:val="19"/>
                <w:color w:val="auto"/>
              </w:rPr>
              <w:t>Extended Warranty Option</w:t>
            </w:r>
          </w:p>
        </w:tc>
        <w:tc>
          <w:tcPr>
            <w:tcW w:w="840" w:type="dxa"/>
            <w:vAlign w:val="bottom"/>
          </w:tcPr>
          <w:p>
            <w:pPr>
              <w:spacing w:after="0"/>
              <w:rPr>
                <w:sz w:val="20"/>
                <w:szCs w:val="20"/>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LA-1106673R1*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4</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LA-1106677</w:t>
            </w:r>
          </w:p>
        </w:tc>
        <w:tc>
          <w:tcPr>
            <w:tcW w:w="7860" w:type="dxa"/>
            <w:vAlign w:val="bottom"/>
            <w:gridSpan w:val="2"/>
          </w:tcPr>
          <w:p>
            <w:pPr>
              <w:ind w:left="240"/>
              <w:spacing w:after="0"/>
              <w:rPr>
                <w:sz w:val="20"/>
                <w:szCs w:val="20"/>
                <w:color w:val="auto"/>
              </w:rPr>
            </w:pPr>
            <w:r>
              <w:rPr>
                <w:rFonts w:ascii="Arial" w:cs="Arial" w:eastAsia="Arial" w:hAnsi="Arial"/>
                <w:sz w:val="19"/>
                <w:szCs w:val="19"/>
                <w:color w:val="auto"/>
              </w:rPr>
              <w:t>Optional Features Comfort Letter</w:t>
            </w:r>
          </w:p>
        </w:tc>
        <w:tc>
          <w:tcPr>
            <w:tcW w:w="840" w:type="dxa"/>
            <w:vAlign w:val="bottom"/>
          </w:tcPr>
          <w:p>
            <w:pPr>
              <w:spacing w:after="0"/>
              <w:rPr>
                <w:sz w:val="20"/>
                <w:szCs w:val="20"/>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LA-1600073</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4</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LA-1600852</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LA-1603773</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5</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LA-1605402R1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23</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LA-1700919</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7</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LA-1801206</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9</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LA-2002704</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11</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LA-2002743</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11</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LA-2003342</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11</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LA-2003486</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14</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LA-2204032R1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39"/>
        </w:trPr>
        <w:tc>
          <w:tcPr>
            <w:tcW w:w="2160" w:type="dxa"/>
            <w:vAlign w:val="bottom"/>
            <w:gridSpan w:val="2"/>
          </w:tcPr>
          <w:p>
            <w:pPr>
              <w:spacing w:after="0"/>
              <w:rPr>
                <w:sz w:val="20"/>
                <w:szCs w:val="20"/>
                <w:color w:val="auto"/>
              </w:rPr>
            </w:pPr>
            <w:r>
              <w:rPr>
                <w:rFonts w:ascii="Arial" w:cs="Arial" w:eastAsia="Arial" w:hAnsi="Arial"/>
                <w:sz w:val="19"/>
                <w:szCs w:val="19"/>
                <w:color w:val="auto"/>
              </w:rPr>
              <w:t>LA-2306974</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79"/>
        </w:trPr>
        <w:tc>
          <w:tcPr>
            <w:tcW w:w="2160" w:type="dxa"/>
            <w:vAlign w:val="bottom"/>
            <w:gridSpan w:val="2"/>
          </w:tcPr>
          <w:p>
            <w:pPr>
              <w:spacing w:after="0"/>
              <w:rPr>
                <w:sz w:val="20"/>
                <w:szCs w:val="20"/>
                <w:color w:val="auto"/>
              </w:rPr>
            </w:pPr>
            <w:r>
              <w:rPr>
                <w:rFonts w:ascii="Arial" w:cs="Arial" w:eastAsia="Arial" w:hAnsi="Arial"/>
                <w:sz w:val="19"/>
                <w:szCs w:val="19"/>
                <w:color w:val="auto"/>
              </w:rPr>
              <w:t>LA-2306975</w:t>
            </w:r>
            <w:r>
              <w:rPr>
                <w:rFonts w:ascii="Arial" w:cs="Arial" w:eastAsia="Arial" w:hAnsi="Arial"/>
                <w:sz w:val="19"/>
                <w:szCs w:val="19"/>
                <w:b w:val="1"/>
                <w:bCs w:val="1"/>
                <w:color w:val="auto"/>
              </w:rPr>
              <w:t>R1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9"/>
                <w:szCs w:val="19"/>
                <w:b w:val="1"/>
                <w:bCs w:val="1"/>
                <w:color w:val="auto"/>
              </w:rPr>
              <w:t>35</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LA-2306976</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LA-2306977</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LA-2306978</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LA-2306979</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2160" w:type="dxa"/>
            <w:vAlign w:val="bottom"/>
            <w:gridSpan w:val="2"/>
          </w:tcPr>
          <w:p>
            <w:pPr>
              <w:spacing w:after="0"/>
              <w:rPr>
                <w:sz w:val="20"/>
                <w:szCs w:val="20"/>
                <w:color w:val="auto"/>
              </w:rPr>
            </w:pPr>
            <w:r>
              <w:rPr>
                <w:rFonts w:ascii="Arial" w:cs="Arial" w:eastAsia="Arial" w:hAnsi="Arial"/>
                <w:sz w:val="19"/>
                <w:szCs w:val="19"/>
                <w:color w:val="auto"/>
              </w:rPr>
              <w:t>LA-2306980</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54"/>
        </w:trPr>
        <w:tc>
          <w:tcPr>
            <w:tcW w:w="2160" w:type="dxa"/>
            <w:vAlign w:val="bottom"/>
            <w:gridSpan w:val="2"/>
          </w:tcPr>
          <w:p>
            <w:pPr>
              <w:spacing w:after="0"/>
              <w:rPr>
                <w:sz w:val="20"/>
                <w:szCs w:val="20"/>
                <w:color w:val="auto"/>
              </w:rPr>
            </w:pPr>
            <w:r>
              <w:rPr>
                <w:rFonts w:ascii="Arial" w:cs="Arial" w:eastAsia="Arial" w:hAnsi="Arial"/>
                <w:sz w:val="19"/>
                <w:szCs w:val="19"/>
                <w:color w:val="auto"/>
              </w:rPr>
              <w:t>LA-2306981</w:t>
            </w:r>
          </w:p>
        </w:tc>
        <w:tc>
          <w:tcPr>
            <w:tcW w:w="2420" w:type="dxa"/>
            <w:vAlign w:val="bottom"/>
          </w:tcPr>
          <w:p>
            <w:pPr>
              <w:ind w:left="240"/>
              <w:spacing w:after="0"/>
              <w:rPr>
                <w:sz w:val="20"/>
                <w:szCs w:val="20"/>
                <w:color w:val="auto"/>
              </w:rPr>
            </w:pPr>
            <w:r>
              <w:rPr>
                <w:rFonts w:ascii="Arial" w:cs="Arial" w:eastAsia="Arial" w:hAnsi="Arial"/>
                <w:sz w:val="19"/>
                <w:szCs w:val="19"/>
                <w:color w:val="auto"/>
              </w:rPr>
              <w:t>[****]</w:t>
            </w:r>
          </w:p>
        </w:tc>
        <w:tc>
          <w:tcPr>
            <w:tcW w:w="54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1283970" cy="3359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283970" cy="33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40"/>
        <w:spacing w:after="0"/>
        <w:tabs>
          <w:tab w:leader="none" w:pos="5680" w:val="left"/>
        </w:tabs>
        <w:rPr>
          <w:sz w:val="20"/>
          <w:szCs w:val="20"/>
          <w:color w:val="auto"/>
        </w:rPr>
      </w:pPr>
      <w:r>
        <w:rPr>
          <w:rFonts w:ascii="Arial" w:cs="Arial" w:eastAsia="Arial" w:hAnsi="Arial"/>
          <w:sz w:val="19"/>
          <w:szCs w:val="19"/>
          <w:color w:val="auto"/>
        </w:rPr>
        <w:t>PA-03735</w:t>
      </w:r>
      <w:r>
        <w:rPr>
          <w:sz w:val="20"/>
          <w:szCs w:val="20"/>
          <w:color w:val="auto"/>
        </w:rPr>
        <w:tab/>
      </w:r>
      <w:r>
        <w:rPr>
          <w:rFonts w:ascii="Arial" w:cs="Arial" w:eastAsia="Arial" w:hAnsi="Arial"/>
          <w:sz w:val="19"/>
          <w:szCs w:val="19"/>
          <w:color w:val="auto"/>
        </w:rPr>
        <w:t>Page 2 of 3</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9"/>
          <w:szCs w:val="19"/>
          <w:color w:val="auto"/>
        </w:rPr>
        <w:t>SA-</w:t>
      </w:r>
      <w:r>
        <w:rPr>
          <w:rFonts w:ascii="Arial" w:cs="Arial" w:eastAsia="Arial" w:hAnsi="Arial"/>
          <w:sz w:val="19"/>
          <w:szCs w:val="19"/>
          <w:b w:val="1"/>
          <w:bCs w:val="1"/>
          <w:color w:val="auto"/>
        </w:rPr>
        <w:t>35</w:t>
      </w:r>
    </w:p>
    <w:p>
      <w:pPr>
        <w:spacing w:after="0" w:line="22"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BOEING AND AMERICAN PROPRIETARY</w:t>
      </w:r>
    </w:p>
    <w:p>
      <w:pPr>
        <w:sectPr>
          <w:pgSz w:w="11900" w:h="16838" w:orient="portrait"/>
          <w:cols w:equalWidth="0" w:num="1">
            <w:col w:w="10860"/>
          </w:cols>
          <w:pgMar w:left="380" w:top="1201" w:right="659" w:bottom="1440" w:gutter="0" w:footer="0" w:header="0"/>
        </w:sectPr>
      </w:pPr>
    </w:p>
    <w:bookmarkStart w:id="116" w:name="page117"/>
    <w:bookmarkEnd w:id="116"/>
    <w:tbl>
      <w:tblPr>
        <w:tblLayout w:type="fixed"/>
        <w:tblInd w:w="64" w:type="dxa"/>
        <w:tblCellMar>
          <w:top w:w="0" w:type="dxa"/>
          <w:left w:w="0" w:type="dxa"/>
          <w:bottom w:w="0" w:type="dxa"/>
          <w:right w:w="0" w:type="dxa"/>
        </w:tblCellMar>
      </w:tblPr>
      <w:tr>
        <w:trPr>
          <w:trHeight w:val="229"/>
        </w:trPr>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9"/>
                <w:szCs w:val="19"/>
                <w:b w:val="1"/>
                <w:bCs w:val="1"/>
                <w:color w:val="auto"/>
                <w:w w:val="98"/>
              </w:rPr>
              <w:t>SA</w:t>
            </w:r>
          </w:p>
        </w:tc>
      </w:tr>
      <w:tr>
        <w:trPr>
          <w:trHeight w:val="210"/>
        </w:trPr>
        <w:tc>
          <w:tcPr>
            <w:tcW w:w="10020" w:type="dxa"/>
            <w:vAlign w:val="bottom"/>
            <w:gridSpan w:val="3"/>
          </w:tcPr>
          <w:p>
            <w:pPr>
              <w:spacing w:after="0" w:line="186" w:lineRule="exact"/>
              <w:rPr>
                <w:sz w:val="20"/>
                <w:szCs w:val="20"/>
                <w:color w:val="auto"/>
              </w:rPr>
            </w:pPr>
            <w:r>
              <w:rPr>
                <w:rFonts w:ascii="Arial" w:cs="Arial" w:eastAsia="Arial" w:hAnsi="Arial"/>
                <w:sz w:val="19"/>
                <w:szCs w:val="19"/>
                <w:b w:val="1"/>
                <w:bCs w:val="1"/>
                <w:color w:val="auto"/>
              </w:rPr>
              <w:t>LETTER AGREEMENTS, continued</w:t>
            </w:r>
          </w:p>
        </w:tc>
        <w:tc>
          <w:tcPr>
            <w:tcW w:w="840" w:type="dxa"/>
            <w:vAlign w:val="bottom"/>
          </w:tcPr>
          <w:p>
            <w:pPr>
              <w:jc w:val="center"/>
              <w:spacing w:after="0" w:line="186" w:lineRule="exact"/>
              <w:rPr>
                <w:sz w:val="20"/>
                <w:szCs w:val="20"/>
                <w:color w:val="auto"/>
              </w:rPr>
            </w:pPr>
            <w:r>
              <w:rPr>
                <w:rFonts w:ascii="Arial" w:cs="Arial" w:eastAsia="Arial" w:hAnsi="Arial"/>
                <w:sz w:val="19"/>
                <w:szCs w:val="19"/>
                <w:b w:val="1"/>
                <w:bCs w:val="1"/>
                <w:color w:val="auto"/>
              </w:rPr>
              <w:t>NUMBER</w:t>
            </w:r>
          </w:p>
        </w:tc>
      </w:tr>
      <w:tr>
        <w:trPr>
          <w:trHeight w:val="265"/>
        </w:trPr>
        <w:tc>
          <w:tcPr>
            <w:tcW w:w="184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LA-2306982</w:t>
            </w:r>
          </w:p>
        </w:tc>
        <w:tc>
          <w:tcPr>
            <w:tcW w:w="1340" w:type="dxa"/>
            <w:vAlign w:val="bottom"/>
            <w:tcBorders>
              <w:top w:val="single" w:sz="8" w:color="auto"/>
            </w:tcBorders>
          </w:tcPr>
          <w:p>
            <w:pPr>
              <w:jc w:val="right"/>
              <w:ind w:right="264"/>
              <w:spacing w:after="0"/>
              <w:rPr>
                <w:sz w:val="20"/>
                <w:szCs w:val="20"/>
                <w:color w:val="auto"/>
              </w:rPr>
            </w:pPr>
            <w:r>
              <w:rPr>
                <w:rFonts w:ascii="Arial" w:cs="Arial" w:eastAsia="Arial" w:hAnsi="Arial"/>
                <w:sz w:val="19"/>
                <w:szCs w:val="19"/>
                <w:color w:val="auto"/>
              </w:rPr>
              <w:t>[****]</w:t>
            </w:r>
          </w:p>
        </w:tc>
        <w:tc>
          <w:tcPr>
            <w:tcW w:w="6840" w:type="dxa"/>
            <w:vAlign w:val="bottom"/>
          </w:tcPr>
          <w:p>
            <w:pPr>
              <w:spacing w:after="0"/>
              <w:rPr>
                <w:sz w:val="23"/>
                <w:szCs w:val="2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1840" w:type="dxa"/>
            <w:vAlign w:val="bottom"/>
          </w:tcPr>
          <w:p>
            <w:pPr>
              <w:spacing w:after="0"/>
              <w:rPr>
                <w:sz w:val="20"/>
                <w:szCs w:val="20"/>
                <w:color w:val="auto"/>
              </w:rPr>
            </w:pPr>
            <w:r>
              <w:rPr>
                <w:rFonts w:ascii="Arial" w:cs="Arial" w:eastAsia="Arial" w:hAnsi="Arial"/>
                <w:sz w:val="19"/>
                <w:szCs w:val="19"/>
                <w:color w:val="auto"/>
              </w:rPr>
              <w:t>LA-2306983R1</w:t>
            </w:r>
          </w:p>
        </w:tc>
        <w:tc>
          <w:tcPr>
            <w:tcW w:w="1340" w:type="dxa"/>
            <w:vAlign w:val="bottom"/>
          </w:tcPr>
          <w:p>
            <w:pPr>
              <w:jc w:val="right"/>
              <w:ind w:right="264"/>
              <w:spacing w:after="0"/>
              <w:rPr>
                <w:sz w:val="20"/>
                <w:szCs w:val="20"/>
                <w:color w:val="auto"/>
              </w:rPr>
            </w:pPr>
            <w:r>
              <w:rPr>
                <w:rFonts w:ascii="Arial" w:cs="Arial" w:eastAsia="Arial" w:hAnsi="Arial"/>
                <w:sz w:val="19"/>
                <w:szCs w:val="19"/>
                <w:color w:val="auto"/>
              </w:rPr>
              <w:t>[****]</w:t>
            </w:r>
          </w:p>
        </w:tc>
        <w:tc>
          <w:tcPr>
            <w:tcW w:w="68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34</w:t>
            </w:r>
          </w:p>
        </w:tc>
      </w:tr>
      <w:tr>
        <w:trPr>
          <w:trHeight w:val="241"/>
        </w:trPr>
        <w:tc>
          <w:tcPr>
            <w:tcW w:w="1840" w:type="dxa"/>
            <w:vAlign w:val="bottom"/>
          </w:tcPr>
          <w:p>
            <w:pPr>
              <w:spacing w:after="0"/>
              <w:rPr>
                <w:sz w:val="20"/>
                <w:szCs w:val="20"/>
                <w:color w:val="auto"/>
              </w:rPr>
            </w:pPr>
            <w:r>
              <w:rPr>
                <w:rFonts w:ascii="Arial" w:cs="Arial" w:eastAsia="Arial" w:hAnsi="Arial"/>
                <w:sz w:val="19"/>
                <w:szCs w:val="19"/>
                <w:color w:val="auto"/>
              </w:rPr>
              <w:t>LA-2306984</w:t>
            </w:r>
          </w:p>
        </w:tc>
        <w:tc>
          <w:tcPr>
            <w:tcW w:w="1340" w:type="dxa"/>
            <w:vAlign w:val="bottom"/>
          </w:tcPr>
          <w:p>
            <w:pPr>
              <w:jc w:val="right"/>
              <w:ind w:right="264"/>
              <w:spacing w:after="0"/>
              <w:rPr>
                <w:sz w:val="20"/>
                <w:szCs w:val="20"/>
                <w:color w:val="auto"/>
              </w:rPr>
            </w:pPr>
            <w:r>
              <w:rPr>
                <w:rFonts w:ascii="Arial" w:cs="Arial" w:eastAsia="Arial" w:hAnsi="Arial"/>
                <w:sz w:val="19"/>
                <w:szCs w:val="19"/>
                <w:color w:val="auto"/>
              </w:rPr>
              <w:t>[****]</w:t>
            </w:r>
          </w:p>
        </w:tc>
        <w:tc>
          <w:tcPr>
            <w:tcW w:w="68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1840" w:type="dxa"/>
            <w:vAlign w:val="bottom"/>
          </w:tcPr>
          <w:p>
            <w:pPr>
              <w:spacing w:after="0"/>
              <w:rPr>
                <w:sz w:val="20"/>
                <w:szCs w:val="20"/>
                <w:color w:val="auto"/>
              </w:rPr>
            </w:pPr>
            <w:r>
              <w:rPr>
                <w:rFonts w:ascii="Arial" w:cs="Arial" w:eastAsia="Arial" w:hAnsi="Arial"/>
                <w:sz w:val="19"/>
                <w:szCs w:val="19"/>
                <w:color w:val="auto"/>
              </w:rPr>
              <w:t>LA-2306985</w:t>
            </w:r>
          </w:p>
        </w:tc>
        <w:tc>
          <w:tcPr>
            <w:tcW w:w="1340" w:type="dxa"/>
            <w:vAlign w:val="bottom"/>
          </w:tcPr>
          <w:p>
            <w:pPr>
              <w:jc w:val="right"/>
              <w:ind w:right="264"/>
              <w:spacing w:after="0"/>
              <w:rPr>
                <w:sz w:val="20"/>
                <w:szCs w:val="20"/>
                <w:color w:val="auto"/>
              </w:rPr>
            </w:pPr>
            <w:r>
              <w:rPr>
                <w:rFonts w:ascii="Arial" w:cs="Arial" w:eastAsia="Arial" w:hAnsi="Arial"/>
                <w:sz w:val="19"/>
                <w:szCs w:val="19"/>
                <w:color w:val="auto"/>
              </w:rPr>
              <w:t>[****]</w:t>
            </w:r>
          </w:p>
        </w:tc>
        <w:tc>
          <w:tcPr>
            <w:tcW w:w="68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41"/>
        </w:trPr>
        <w:tc>
          <w:tcPr>
            <w:tcW w:w="1840" w:type="dxa"/>
            <w:vAlign w:val="bottom"/>
          </w:tcPr>
          <w:p>
            <w:pPr>
              <w:spacing w:after="0"/>
              <w:rPr>
                <w:sz w:val="20"/>
                <w:szCs w:val="20"/>
                <w:color w:val="auto"/>
              </w:rPr>
            </w:pPr>
            <w:r>
              <w:rPr>
                <w:rFonts w:ascii="Arial" w:cs="Arial" w:eastAsia="Arial" w:hAnsi="Arial"/>
                <w:sz w:val="19"/>
                <w:szCs w:val="19"/>
                <w:color w:val="auto"/>
              </w:rPr>
              <w:t>LA-2306986</w:t>
            </w:r>
          </w:p>
        </w:tc>
        <w:tc>
          <w:tcPr>
            <w:tcW w:w="1340" w:type="dxa"/>
            <w:vAlign w:val="bottom"/>
          </w:tcPr>
          <w:p>
            <w:pPr>
              <w:jc w:val="right"/>
              <w:ind w:right="264"/>
              <w:spacing w:after="0"/>
              <w:rPr>
                <w:sz w:val="20"/>
                <w:szCs w:val="20"/>
                <w:color w:val="auto"/>
              </w:rPr>
            </w:pPr>
            <w:r>
              <w:rPr>
                <w:rFonts w:ascii="Arial" w:cs="Arial" w:eastAsia="Arial" w:hAnsi="Arial"/>
                <w:sz w:val="19"/>
                <w:szCs w:val="19"/>
                <w:color w:val="auto"/>
              </w:rPr>
              <w:t>[****]</w:t>
            </w:r>
          </w:p>
        </w:tc>
        <w:tc>
          <w:tcPr>
            <w:tcW w:w="68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32</w:t>
            </w:r>
          </w:p>
        </w:tc>
      </w:tr>
      <w:tr>
        <w:trPr>
          <w:trHeight w:val="254"/>
        </w:trPr>
        <w:tc>
          <w:tcPr>
            <w:tcW w:w="1840" w:type="dxa"/>
            <w:vAlign w:val="bottom"/>
          </w:tcPr>
          <w:p>
            <w:pPr>
              <w:spacing w:after="0"/>
              <w:rPr>
                <w:sz w:val="20"/>
                <w:szCs w:val="20"/>
                <w:color w:val="auto"/>
              </w:rPr>
            </w:pPr>
            <w:r>
              <w:rPr>
                <w:rFonts w:ascii="Arial" w:cs="Arial" w:eastAsia="Arial" w:hAnsi="Arial"/>
                <w:sz w:val="19"/>
                <w:szCs w:val="19"/>
                <w:color w:val="auto"/>
              </w:rPr>
              <w:t>LA-2402910</w:t>
            </w:r>
          </w:p>
        </w:tc>
        <w:tc>
          <w:tcPr>
            <w:tcW w:w="1340" w:type="dxa"/>
            <w:vAlign w:val="bottom"/>
          </w:tcPr>
          <w:p>
            <w:pPr>
              <w:jc w:val="right"/>
              <w:ind w:right="264"/>
              <w:spacing w:after="0"/>
              <w:rPr>
                <w:sz w:val="20"/>
                <w:szCs w:val="20"/>
                <w:color w:val="auto"/>
              </w:rPr>
            </w:pPr>
            <w:r>
              <w:rPr>
                <w:rFonts w:ascii="Arial" w:cs="Arial" w:eastAsia="Arial" w:hAnsi="Arial"/>
                <w:sz w:val="19"/>
                <w:szCs w:val="19"/>
                <w:color w:val="auto"/>
              </w:rPr>
              <w:t>[****]</w:t>
            </w:r>
          </w:p>
        </w:tc>
        <w:tc>
          <w:tcPr>
            <w:tcW w:w="68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rPr>
              <w:t>33</w:t>
            </w:r>
          </w:p>
        </w:tc>
      </w:tr>
    </w:tbl>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1283970" cy="3365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283970" cy="336550"/>
                    </a:xfrm>
                    <a:prstGeom prst="rect">
                      <a:avLst/>
                    </a:prstGeom>
                    <a:noFill/>
                  </pic:spPr>
                </pic:pic>
              </a:graphicData>
            </a:graphic>
          </wp:anchor>
        </w:drawing>
      </w:r>
    </w:p>
    <w:p>
      <w:pPr>
        <w:ind w:left="4" w:right="240" w:hanging="4"/>
        <w:spacing w:after="0" w:line="290" w:lineRule="auto"/>
        <w:tabs>
          <w:tab w:leader="none" w:pos="132" w:val="left"/>
        </w:tabs>
        <w:numPr>
          <w:ilvl w:val="0"/>
          <w:numId w:val="71"/>
        </w:numPr>
        <w:rPr>
          <w:rFonts w:ascii="Arial" w:cs="Arial" w:eastAsia="Arial" w:hAnsi="Arial"/>
          <w:sz w:val="19"/>
          <w:szCs w:val="19"/>
          <w:color w:val="auto"/>
        </w:rPr>
      </w:pPr>
      <w:r>
        <w:rPr>
          <w:rFonts w:ascii="Arial" w:cs="Arial" w:eastAsia="Arial" w:hAnsi="Arial"/>
          <w:sz w:val="19"/>
          <w:szCs w:val="19"/>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504"/>
        <w:spacing w:after="0"/>
        <w:tabs>
          <w:tab w:leader="none" w:pos="5743" w:val="left"/>
        </w:tabs>
        <w:rPr>
          <w:sz w:val="20"/>
          <w:szCs w:val="20"/>
          <w:color w:val="auto"/>
        </w:rPr>
      </w:pPr>
      <w:r>
        <w:rPr>
          <w:rFonts w:ascii="Arial" w:cs="Arial" w:eastAsia="Arial" w:hAnsi="Arial"/>
          <w:sz w:val="19"/>
          <w:szCs w:val="19"/>
          <w:color w:val="auto"/>
        </w:rPr>
        <w:t>PA-03735</w:t>
      </w:r>
      <w:r>
        <w:rPr>
          <w:sz w:val="20"/>
          <w:szCs w:val="20"/>
          <w:color w:val="auto"/>
        </w:rPr>
        <w:tab/>
      </w:r>
      <w:r>
        <w:rPr>
          <w:rFonts w:ascii="Arial" w:cs="Arial" w:eastAsia="Arial" w:hAnsi="Arial"/>
          <w:sz w:val="19"/>
          <w:szCs w:val="19"/>
          <w:color w:val="auto"/>
        </w:rPr>
        <w:t>Page 3 of 3</w:t>
      </w:r>
    </w:p>
    <w:p>
      <w:pPr>
        <w:spacing w:after="0" w:line="28" w:lineRule="exact"/>
        <w:rPr>
          <w:sz w:val="20"/>
          <w:szCs w:val="20"/>
          <w:color w:val="auto"/>
        </w:rPr>
      </w:pPr>
    </w:p>
    <w:p>
      <w:pPr>
        <w:ind w:left="224"/>
        <w:spacing w:after="0"/>
        <w:rPr>
          <w:sz w:val="20"/>
          <w:szCs w:val="20"/>
          <w:color w:val="auto"/>
        </w:rPr>
      </w:pPr>
      <w:r>
        <w:rPr>
          <w:rFonts w:ascii="Arial" w:cs="Arial" w:eastAsia="Arial" w:hAnsi="Arial"/>
          <w:sz w:val="19"/>
          <w:szCs w:val="19"/>
          <w:color w:val="auto"/>
        </w:rPr>
        <w:t>SA-</w:t>
      </w:r>
      <w:r>
        <w:rPr>
          <w:rFonts w:ascii="Arial" w:cs="Arial" w:eastAsia="Arial" w:hAnsi="Arial"/>
          <w:sz w:val="19"/>
          <w:szCs w:val="19"/>
          <w:b w:val="1"/>
          <w:bCs w:val="1"/>
          <w:color w:val="auto"/>
        </w:rPr>
        <w:t>35</w:t>
      </w:r>
    </w:p>
    <w:p>
      <w:pPr>
        <w:spacing w:after="0" w:line="10" w:lineRule="exact"/>
        <w:rPr>
          <w:sz w:val="20"/>
          <w:szCs w:val="20"/>
          <w:color w:val="auto"/>
        </w:rPr>
      </w:pPr>
    </w:p>
    <w:p>
      <w:pPr>
        <w:jc w:val="center"/>
        <w:ind w:right="-323"/>
        <w:spacing w:after="0"/>
        <w:rPr>
          <w:sz w:val="20"/>
          <w:szCs w:val="20"/>
          <w:color w:val="auto"/>
        </w:rPr>
      </w:pPr>
      <w:r>
        <w:rPr>
          <w:rFonts w:ascii="Arial" w:cs="Arial" w:eastAsia="Arial" w:hAnsi="Arial"/>
          <w:sz w:val="19"/>
          <w:szCs w:val="19"/>
          <w:b w:val="1"/>
          <w:bCs w:val="1"/>
          <w:color w:val="auto"/>
        </w:rPr>
        <w:t>BOEING AND AMERICAN PROPRIETARY</w:t>
      </w:r>
    </w:p>
    <w:p>
      <w:pPr>
        <w:sectPr>
          <w:pgSz w:w="11900" w:h="16838" w:orient="portrait"/>
          <w:cols w:equalWidth="0" w:num="1">
            <w:col w:w="10924"/>
          </w:cols>
          <w:pgMar w:left="316" w:top="1257" w:right="659" w:bottom="1440" w:gutter="0" w:footer="0" w:header="0"/>
        </w:sectPr>
      </w:pPr>
    </w:p>
    <w:bookmarkStart w:id="117" w:name="page118"/>
    <w:bookmarkEnd w:id="117"/>
    <w:p>
      <w:pPr>
        <w:jc w:val="center"/>
        <w:ind w:right="100"/>
        <w:spacing w:after="0"/>
        <w:rPr>
          <w:sz w:val="20"/>
          <w:szCs w:val="20"/>
          <w:color w:val="auto"/>
        </w:rPr>
      </w:pPr>
      <w:r>
        <w:rPr>
          <w:rFonts w:ascii="Arial" w:cs="Arial" w:eastAsia="Arial" w:hAnsi="Arial"/>
          <w:sz w:val="16"/>
          <w:szCs w:val="16"/>
          <w:color w:val="auto"/>
        </w:rPr>
        <w:t>Table 1-7 To</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Purchase Agreement No. PA-03735</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Aircraft Delivery, Description, Price and Advance Payments</w:t>
      </w:r>
    </w:p>
    <w:p>
      <w:pPr>
        <w:sectPr>
          <w:pgSz w:w="11900" w:h="16838" w:orient="portrait"/>
          <w:cols w:equalWidth="0" w:num="1">
            <w:col w:w="11340"/>
          </w:cols>
          <w:pgMar w:left="320" w:top="1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Airframe Model/MTOW:</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737-10</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5"/>
              </w:rPr>
              <w:t>[****] pounds</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Engine Model/Thrust: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CFMLEAP-1B27</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5"/>
              </w:rPr>
              <w:t>[****] pounds</w:t>
            </w:r>
          </w:p>
        </w:tc>
        <w:tc>
          <w:tcPr>
            <w:tcW w:w="0" w:type="dxa"/>
            <w:vAlign w:val="bottom"/>
          </w:tcPr>
          <w:p>
            <w:pPr>
              <w:spacing w:after="0"/>
              <w:rPr>
                <w:sz w:val="1"/>
                <w:szCs w:val="1"/>
                <w:color w:val="auto"/>
              </w:rPr>
            </w:pPr>
          </w:p>
        </w:tc>
      </w:tr>
      <w:tr>
        <w:trPr>
          <w:trHeight w:val="361"/>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Airframe Price:</w:t>
            </w:r>
          </w:p>
        </w:tc>
        <w:tc>
          <w:tcPr>
            <w:tcW w:w="106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21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Optional Features:</w:t>
            </w:r>
          </w:p>
        </w:tc>
        <w:tc>
          <w:tcPr>
            <w:tcW w:w="10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21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Sub-Total of Airframe and Features:</w:t>
            </w:r>
          </w:p>
        </w:tc>
        <w:tc>
          <w:tcPr>
            <w:tcW w:w="10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21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Engine Price (Per Aircraft):</w:t>
            </w:r>
          </w:p>
        </w:tc>
        <w:tc>
          <w:tcPr>
            <w:tcW w:w="10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21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Aircraft Basic Price (Excluding BFE/SPE):</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32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Buyer Furnished Equipment (BFE) Estimate:</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32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In-Flight Entertainment (IFE) Estimate:</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32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LIFT Seats Provided by Boeing (Estimate):</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32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Deposit per Aircraft:</w:t>
            </w:r>
          </w:p>
        </w:tc>
        <w:tc>
          <w:tcPr>
            <w:tcW w:w="10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Detail Specification:</w:t>
            </w:r>
          </w:p>
        </w:tc>
        <w:tc>
          <w:tcPr>
            <w:tcW w:w="500" w:type="dxa"/>
            <w:vAlign w:val="bottom"/>
          </w:tcPr>
          <w:p>
            <w:pPr>
              <w:spacing w:after="0"/>
              <w:rPr>
                <w:sz w:val="17"/>
                <w:szCs w:val="17"/>
                <w:color w:val="auto"/>
              </w:rPr>
            </w:pPr>
          </w:p>
        </w:tc>
        <w:tc>
          <w:tcPr>
            <w:tcW w:w="920" w:type="dxa"/>
            <w:vAlign w:val="bottom"/>
          </w:tcPr>
          <w:p>
            <w:pPr>
              <w:jc w:val="right"/>
              <w:ind w:right="400"/>
              <w:spacing w:after="0"/>
              <w:rPr>
                <w:sz w:val="20"/>
                <w:szCs w:val="20"/>
                <w:color w:val="auto"/>
              </w:rPr>
            </w:pPr>
            <w:r>
              <w:rPr>
                <w:rFonts w:ascii="Arial" w:cs="Arial" w:eastAsia="Arial" w:hAnsi="Arial"/>
                <w:sz w:val="16"/>
                <w:szCs w:val="16"/>
                <w:color w:val="auto"/>
              </w:rPr>
              <w:t>[****]</w:t>
            </w:r>
          </w:p>
        </w:tc>
      </w:tr>
      <w:tr>
        <w:trPr>
          <w:trHeight w:val="226"/>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Airframe Price Base Year/Escalation</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Formula:</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65"/>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Engine Price Base Year/Escalation Formula:</w:t>
            </w: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50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Airframe Escalation Data:</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3"/>
        </w:trPr>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Base Year Index (ECI):</w:t>
            </w: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ind w:right="400"/>
              <w:spacing w:after="0"/>
              <w:rPr>
                <w:sz w:val="20"/>
                <w:szCs w:val="20"/>
                <w:color w:val="auto"/>
              </w:rPr>
            </w:pPr>
            <w:r>
              <w:rPr>
                <w:rFonts w:ascii="Arial" w:cs="Arial" w:eastAsia="Arial" w:hAnsi="Arial"/>
                <w:sz w:val="16"/>
                <w:szCs w:val="16"/>
                <w:color w:val="auto"/>
              </w:rPr>
              <w:t>[****]</w:t>
            </w:r>
          </w:p>
        </w:tc>
      </w:tr>
      <w:tr>
        <w:trPr>
          <w:trHeight w:val="265"/>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Base Year Index (CPI):</w:t>
            </w:r>
          </w:p>
        </w:tc>
        <w:tc>
          <w:tcPr>
            <w:tcW w:w="500" w:type="dxa"/>
            <w:vAlign w:val="bottom"/>
          </w:tcPr>
          <w:p>
            <w:pPr>
              <w:spacing w:after="0"/>
              <w:rPr>
                <w:sz w:val="23"/>
                <w:szCs w:val="23"/>
                <w:color w:val="auto"/>
              </w:rPr>
            </w:pPr>
          </w:p>
        </w:tc>
        <w:tc>
          <w:tcPr>
            <w:tcW w:w="920" w:type="dxa"/>
            <w:vAlign w:val="bottom"/>
          </w:tcPr>
          <w:p>
            <w:pPr>
              <w:jc w:val="right"/>
              <w:ind w:right="400"/>
              <w:spacing w:after="0"/>
              <w:rPr>
                <w:sz w:val="20"/>
                <w:szCs w:val="20"/>
                <w:color w:val="auto"/>
              </w:rPr>
            </w:pPr>
            <w:r>
              <w:rPr>
                <w:rFonts w:ascii="Arial" w:cs="Arial" w:eastAsia="Arial" w:hAnsi="Arial"/>
                <w:sz w:val="16"/>
                <w:szCs w:val="16"/>
                <w:color w:val="auto"/>
              </w:rPr>
              <w:t>[****]</w:t>
            </w:r>
          </w:p>
        </w:tc>
      </w:tr>
    </w:tbl>
    <w:p>
      <w:pPr>
        <w:spacing w:after="0" w:line="1247" w:lineRule="exact"/>
        <w:rPr>
          <w:sz w:val="20"/>
          <w:szCs w:val="20"/>
          <w:color w:val="auto"/>
        </w:rPr>
      </w:pPr>
    </w:p>
    <w:p>
      <w:pPr>
        <w:sectPr>
          <w:pgSz w:w="11900" w:h="16838" w:orient="portrait"/>
          <w:cols w:equalWidth="0" w:num="2">
            <w:col w:w="4140" w:space="620"/>
            <w:col w:w="6580"/>
          </w:cols>
          <w:pgMar w:left="320" w:top="183" w:right="239" w:bottom="1440" w:gutter="0" w:footer="0" w:header="0"/>
          <w:type w:val="continuous"/>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20" w:type="dxa"/>
            <w:vAlign w:val="bottom"/>
            <w:tcBorders>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60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Escalation</w:t>
            </w:r>
          </w:p>
        </w:tc>
        <w:tc>
          <w:tcPr>
            <w:tcW w:w="16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6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Nominal</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Escalation Estimate</w:t>
            </w:r>
          </w:p>
        </w:tc>
        <w:tc>
          <w:tcPr>
            <w:tcW w:w="4840" w:type="dxa"/>
            <w:vAlign w:val="bottom"/>
            <w:tcBorders>
              <w:top w:val="single" w:sz="8" w:color="auto"/>
              <w:bottom w:val="single" w:sz="8" w:color="auto"/>
              <w:right w:val="single" w:sz="8" w:color="auto"/>
            </w:tcBorders>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08"/>
        </w:trPr>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shd w:val="clear" w:color="auto" w:fill="C0C0C0"/>
          </w:tcPr>
          <w:p>
            <w:pPr>
              <w:spacing w:after="0"/>
              <w:rPr>
                <w:sz w:val="9"/>
                <w:szCs w:val="9"/>
                <w:color w:val="auto"/>
              </w:rPr>
            </w:pPr>
          </w:p>
        </w:tc>
        <w:tc>
          <w:tcPr>
            <w:tcW w:w="760" w:type="dxa"/>
            <w:vAlign w:val="bottom"/>
            <w:tcBorders>
              <w:right w:val="single" w:sz="8" w:color="auto"/>
            </w:tcBorders>
            <w:shd w:val="clear" w:color="auto" w:fill="C0C0C0"/>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(if</w:t>
            </w:r>
          </w:p>
        </w:tc>
        <w:tc>
          <w:tcPr>
            <w:tcW w:w="6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1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vMerge w:val="restart"/>
            <w:shd w:val="clear" w:color="auto" w:fill="C0C0C0"/>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Delivery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Adv Payment Base</w:t>
            </w:r>
          </w:p>
        </w:tc>
        <w:tc>
          <w:tcPr>
            <w:tcW w:w="9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640" w:type="dxa"/>
            <w:vAlign w:val="bottom"/>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3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Applicable)^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vMerge w:val="continue"/>
            <w:shd w:val="clear" w:color="auto" w:fill="C0C0C0"/>
          </w:tcPr>
          <w:p>
            <w:pPr>
              <w:spacing w:after="0"/>
              <w:rPr>
                <w:sz w:val="10"/>
                <w:szCs w:val="10"/>
                <w:color w:val="auto"/>
              </w:rPr>
            </w:pPr>
          </w:p>
        </w:tc>
        <w:tc>
          <w:tcPr>
            <w:tcW w:w="760" w:type="dxa"/>
            <w:vAlign w:val="bottom"/>
            <w:tcBorders>
              <w:right w:val="single" w:sz="8" w:color="auto"/>
            </w:tcBorders>
            <w:shd w:val="clear" w:color="auto" w:fill="C0C0C0"/>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right w:val="single" w:sz="8" w:color="auto"/>
            </w:tcBorders>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Aircraft</w:t>
            </w:r>
          </w:p>
        </w:tc>
        <w:tc>
          <w:tcPr>
            <w:tcW w:w="12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(Airframe)</w:t>
            </w:r>
          </w:p>
        </w:tc>
        <w:tc>
          <w:tcPr>
            <w:tcW w:w="16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shd w:val="clear" w:color="auto" w:fill="C0C0C0"/>
          </w:tcPr>
          <w:p>
            <w:pPr>
              <w:spacing w:after="0"/>
              <w:rPr>
                <w:sz w:val="5"/>
                <w:szCs w:val="5"/>
                <w:color w:val="auto"/>
              </w:rPr>
            </w:pPr>
          </w:p>
        </w:tc>
        <w:tc>
          <w:tcPr>
            <w:tcW w:w="76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Month</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 Per A/P</w:t>
            </w:r>
          </w:p>
        </w:tc>
        <w:tc>
          <w:tcPr>
            <w:tcW w:w="680" w:type="dxa"/>
            <w:vAlign w:val="bottom"/>
            <w:vMerge w:val="restart"/>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240" w:type="dxa"/>
            <w:vAlign w:val="bottom"/>
            <w:tcBorders>
              <w:right w:val="single" w:sz="8" w:color="auto"/>
            </w:tcBorders>
          </w:tcPr>
          <w:p>
            <w:pPr>
              <w:spacing w:after="0"/>
              <w:rPr>
                <w:sz w:val="5"/>
                <w:szCs w:val="5"/>
                <w:color w:val="auto"/>
              </w:rPr>
            </w:pPr>
          </w:p>
        </w:tc>
        <w:tc>
          <w:tcPr>
            <w:tcW w:w="640" w:type="dxa"/>
            <w:vAlign w:val="bottom"/>
            <w:vMerge w:val="restart"/>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220" w:type="dxa"/>
            <w:vAlign w:val="bottom"/>
            <w:tcBorders>
              <w:right w:val="single" w:sz="8" w:color="auto"/>
            </w:tcBorders>
          </w:tcPr>
          <w:p>
            <w:pPr>
              <w:spacing w:after="0"/>
              <w:rPr>
                <w:sz w:val="5"/>
                <w:szCs w:val="5"/>
                <w:color w:val="auto"/>
              </w:rPr>
            </w:pPr>
          </w:p>
        </w:tc>
        <w:tc>
          <w:tcPr>
            <w:tcW w:w="800" w:type="dxa"/>
            <w:vAlign w:val="bottom"/>
            <w:vMerge w:val="restart"/>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380" w:type="dxa"/>
            <w:vAlign w:val="bottom"/>
            <w:tcBorders>
              <w:right w:val="single" w:sz="8" w:color="auto"/>
            </w:tcBorders>
          </w:tcPr>
          <w:p>
            <w:pPr>
              <w:spacing w:after="0"/>
              <w:rPr>
                <w:sz w:val="5"/>
                <w:szCs w:val="5"/>
                <w:color w:val="auto"/>
              </w:rPr>
            </w:pPr>
          </w:p>
        </w:tc>
        <w:tc>
          <w:tcPr>
            <w:tcW w:w="1140" w:type="dxa"/>
            <w:vAlign w:val="bottom"/>
            <w:vMerge w:val="restart"/>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20" w:type="dxa"/>
            <w:vAlign w:val="bottom"/>
            <w:tcBorders>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vMerge w:val="continue"/>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shd w:val="clear" w:color="auto" w:fill="C0C0C0"/>
          </w:tcPr>
          <w:p>
            <w:pPr>
              <w:spacing w:after="0"/>
              <w:rPr>
                <w:sz w:val="15"/>
                <w:szCs w:val="15"/>
                <w:color w:val="auto"/>
              </w:rPr>
            </w:pPr>
          </w:p>
        </w:tc>
        <w:tc>
          <w:tcPr>
            <w:tcW w:w="760" w:type="dxa"/>
            <w:vAlign w:val="bottom"/>
            <w:tcBorders>
              <w:bottom w:val="single" w:sz="8" w:color="auto"/>
              <w:right w:val="single" w:sz="8" w:color="auto"/>
            </w:tcBorders>
            <w:vMerge w:val="continue"/>
            <w:shd w:val="clear" w:color="auto" w:fill="C0C0C0"/>
          </w:tcPr>
          <w:p>
            <w:pPr>
              <w:spacing w:after="0"/>
              <w:rPr>
                <w:sz w:val="15"/>
                <w:szCs w:val="15"/>
                <w:color w:val="auto"/>
              </w:rPr>
            </w:pPr>
          </w:p>
        </w:tc>
        <w:tc>
          <w:tcPr>
            <w:tcW w:w="1440" w:type="dxa"/>
            <w:vAlign w:val="bottom"/>
            <w:tcBorders>
              <w:bottom w:val="single" w:sz="8" w:color="auto"/>
              <w:right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strike w:val="1"/>
                <w:w w:val="94"/>
              </w:rPr>
              <w:t>[****]-2028</w:t>
            </w:r>
          </w:p>
        </w:tc>
        <w:tc>
          <w:tcPr>
            <w:tcW w:w="8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0000FF"/>
                <w:strike w:val="1"/>
                <w:w w:val="71"/>
              </w:rPr>
              <w:t>1</w:t>
            </w:r>
          </w:p>
        </w:tc>
        <w:tc>
          <w:tcPr>
            <w:tcW w:w="2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68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3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strike w:val="1"/>
                <w:w w:val="94"/>
              </w:rPr>
              <w:t>$[****]</w:t>
            </w: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strike w:val="1"/>
                <w:w w:val="94"/>
              </w:rPr>
              <w:t>[****]-2028</w:t>
            </w:r>
          </w:p>
        </w:tc>
        <w:tc>
          <w:tcPr>
            <w:tcW w:w="8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68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3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strike w:val="1"/>
                <w:w w:val="94"/>
              </w:rPr>
              <w:t>$[****]</w:t>
            </w: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strike w:val="1"/>
                <w:w w:val="94"/>
              </w:rPr>
              <w:t>[****]-2028</w:t>
            </w:r>
          </w:p>
        </w:tc>
        <w:tc>
          <w:tcPr>
            <w:tcW w:w="8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68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3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strike w:val="1"/>
                <w:w w:val="94"/>
              </w:rPr>
              <w:t>$[****]</w:t>
            </w: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strike w:val="1"/>
                <w:w w:val="94"/>
              </w:rPr>
              <w:t>[****]-2028</w:t>
            </w:r>
          </w:p>
        </w:tc>
        <w:tc>
          <w:tcPr>
            <w:tcW w:w="8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0000FF"/>
                <w:strike w:val="1"/>
                <w:w w:val="71"/>
              </w:rPr>
              <w:t>2</w:t>
            </w:r>
          </w:p>
        </w:tc>
        <w:tc>
          <w:tcPr>
            <w:tcW w:w="2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68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3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strike w:val="1"/>
                <w:w w:val="94"/>
              </w:rPr>
              <w:t>$[****]</w:t>
            </w: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strike w:val="1"/>
                <w:w w:val="94"/>
              </w:rPr>
              <w:t>[****]-2028</w:t>
            </w:r>
          </w:p>
        </w:tc>
        <w:tc>
          <w:tcPr>
            <w:tcW w:w="8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68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3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strike w:val="1"/>
                <w:w w:val="94"/>
              </w:rPr>
              <w:t>$[****]</w:t>
            </w: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strike w:val="1"/>
                <w:w w:val="94"/>
              </w:rPr>
              <w:t>[****]-2028</w:t>
            </w:r>
          </w:p>
        </w:tc>
        <w:tc>
          <w:tcPr>
            <w:tcW w:w="8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68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2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strike w:val="1"/>
                <w:w w:val="99"/>
              </w:rPr>
              <w:t>$[****]</w:t>
            </w:r>
          </w:p>
        </w:tc>
        <w:tc>
          <w:tcPr>
            <w:tcW w:w="3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strike w:val="1"/>
                <w:w w:val="94"/>
              </w:rPr>
              <w:t>$[****]</w:t>
            </w: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color w:val="0000FF"/>
              </w:rPr>
              <w:t>3</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color w:val="0000FF"/>
              </w:rPr>
              <w:t>3</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0"/>
        </w:trPr>
        <w:tc>
          <w:tcPr>
            <w:tcW w:w="244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AAL-PA-03735 122715-1F.txt</w:t>
            </w:r>
          </w:p>
        </w:tc>
        <w:tc>
          <w:tcPr>
            <w:tcW w:w="800" w:type="dxa"/>
            <w:vAlign w:val="bottom"/>
          </w:tcPr>
          <w:p>
            <w:pPr>
              <w:spacing w:after="0"/>
              <w:rPr>
                <w:sz w:val="23"/>
                <w:szCs w:val="23"/>
                <w:color w:val="auto"/>
              </w:rPr>
            </w:pP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22"/>
                <w:szCs w:val="22"/>
                <w:b w:val="1"/>
                <w:bCs w:val="1"/>
                <w:color w:val="auto"/>
              </w:rPr>
              <w:t>Boeing and American</w:t>
            </w:r>
          </w:p>
        </w:tc>
        <w:tc>
          <w:tcPr>
            <w:tcW w:w="680" w:type="dxa"/>
            <w:vAlign w:val="bottom"/>
          </w:tcPr>
          <w:p>
            <w:pPr>
              <w:spacing w:after="0"/>
              <w:rPr>
                <w:sz w:val="23"/>
                <w:szCs w:val="2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SA-35</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right"/>
        <w:spacing w:after="0" w:line="211" w:lineRule="auto"/>
        <w:rPr>
          <w:sz w:val="20"/>
          <w:szCs w:val="20"/>
          <w:color w:val="auto"/>
        </w:rPr>
      </w:pPr>
      <w:r>
        <w:rPr>
          <w:rFonts w:ascii="Times New Roman" w:cs="Times New Roman" w:eastAsia="Times New Roman" w:hAnsi="Times New Roman"/>
          <w:sz w:val="19"/>
          <w:szCs w:val="19"/>
          <w:color w:val="auto"/>
        </w:rPr>
        <w:t>Page</w:t>
      </w:r>
    </w:p>
    <w:p>
      <w:pPr>
        <w:spacing w:after="0" w:line="1"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340"/>
          </w:cols>
          <w:pgMar w:left="320" w:top="183" w:right="239" w:bottom="1440" w:gutter="0" w:footer="0" w:header="0"/>
          <w:type w:val="continuous"/>
        </w:sectPr>
      </w:pPr>
    </w:p>
    <w:bookmarkStart w:id="118" w:name="page119"/>
    <w:bookmarkEnd w:id="118"/>
    <w:p>
      <w:pPr>
        <w:jc w:val="center"/>
        <w:ind w:right="100"/>
        <w:spacing w:after="0"/>
        <w:rPr>
          <w:sz w:val="20"/>
          <w:szCs w:val="20"/>
          <w:color w:val="auto"/>
        </w:rPr>
      </w:pPr>
      <w:r>
        <w:rPr>
          <w:rFonts w:ascii="Arial" w:cs="Arial" w:eastAsia="Arial" w:hAnsi="Arial"/>
          <w:sz w:val="16"/>
          <w:szCs w:val="16"/>
          <w:color w:val="auto"/>
        </w:rPr>
        <w:t>Table 1-7 To</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Purchase Agreement No. PA-03735</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20" w:type="dxa"/>
            <w:vAlign w:val="bottom"/>
            <w:tcBorders>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Escalation</w:t>
            </w:r>
          </w:p>
        </w:tc>
        <w:tc>
          <w:tcPr>
            <w:tcW w:w="18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Nominal</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Escalation Estimate</w:t>
            </w:r>
          </w:p>
        </w:tc>
        <w:tc>
          <w:tcPr>
            <w:tcW w:w="4840" w:type="dxa"/>
            <w:vAlign w:val="bottom"/>
            <w:tcBorders>
              <w:top w:val="single" w:sz="8" w:color="auto"/>
              <w:bottom w:val="single" w:sz="8" w:color="auto"/>
              <w:right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16"/>
        </w:trPr>
        <w:tc>
          <w:tcPr>
            <w:tcW w:w="1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shd w:val="clear" w:color="auto" w:fill="C0C0C0"/>
          </w:tcPr>
          <w:p>
            <w:pPr>
              <w:spacing w:after="0"/>
              <w:rPr>
                <w:sz w:val="10"/>
                <w:szCs w:val="10"/>
                <w:color w:val="auto"/>
              </w:rPr>
            </w:pPr>
          </w:p>
        </w:tc>
        <w:tc>
          <w:tcPr>
            <w:tcW w:w="740" w:type="dxa"/>
            <w:vAlign w:val="bottom"/>
            <w:tcBorders>
              <w:right w:val="single" w:sz="8" w:color="auto"/>
            </w:tcBorders>
            <w:shd w:val="clear" w:color="auto" w:fill="C0C0C0"/>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Delivery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(if</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18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7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Delivery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Adv Payment Base</w:t>
            </w:r>
          </w:p>
        </w:tc>
        <w:tc>
          <w:tcPr>
            <w:tcW w:w="9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188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1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Applicable)^</w:t>
            </w:r>
          </w:p>
        </w:tc>
        <w:tc>
          <w:tcPr>
            <w:tcW w:w="6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vMerge w:val="continue"/>
            <w:shd w:val="clear" w:color="auto" w:fill="C0C0C0"/>
          </w:tcPr>
          <w:p>
            <w:pPr>
              <w:spacing w:after="0"/>
              <w:rPr>
                <w:sz w:val="10"/>
                <w:szCs w:val="10"/>
                <w:color w:val="auto"/>
              </w:rPr>
            </w:pPr>
          </w:p>
        </w:tc>
        <w:tc>
          <w:tcPr>
            <w:tcW w:w="740" w:type="dxa"/>
            <w:vAlign w:val="bottom"/>
            <w:tcBorders>
              <w:right w:val="single" w:sz="8" w:color="auto"/>
            </w:tcBorders>
            <w:shd w:val="clear" w:color="auto" w:fill="C0C0C0"/>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2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2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Aircraft</w:t>
            </w:r>
          </w:p>
        </w:tc>
        <w:tc>
          <w:tcPr>
            <w:tcW w:w="12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(Airframe)</w:t>
            </w:r>
          </w:p>
        </w:tc>
        <w:tc>
          <w:tcPr>
            <w:tcW w:w="18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shd w:val="clear" w:color="auto" w:fill="C0C0C0"/>
          </w:tcPr>
          <w:p>
            <w:pPr>
              <w:spacing w:after="0"/>
              <w:rPr>
                <w:sz w:val="5"/>
                <w:szCs w:val="5"/>
                <w:color w:val="auto"/>
              </w:rPr>
            </w:pPr>
          </w:p>
        </w:tc>
        <w:tc>
          <w:tcPr>
            <w:tcW w:w="74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Month</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 Per A/P</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0" w:type="dxa"/>
            <w:vAlign w:val="bottom"/>
          </w:tcPr>
          <w:p>
            <w:pPr>
              <w:spacing w:after="0"/>
              <w:rPr>
                <w:sz w:val="1"/>
                <w:szCs w:val="1"/>
                <w:color w:val="auto"/>
              </w:rPr>
            </w:pPr>
          </w:p>
        </w:tc>
      </w:tr>
      <w:tr>
        <w:trPr>
          <w:trHeight w:val="161"/>
        </w:trPr>
        <w:tc>
          <w:tcPr>
            <w:tcW w:w="120" w:type="dxa"/>
            <w:vAlign w:val="bottom"/>
            <w:tcBorders>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vMerge w:val="continue"/>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shd w:val="clear" w:color="auto" w:fill="C0C0C0"/>
          </w:tcPr>
          <w:p>
            <w:pPr>
              <w:spacing w:after="0"/>
              <w:rPr>
                <w:sz w:val="13"/>
                <w:szCs w:val="13"/>
                <w:color w:val="auto"/>
              </w:rPr>
            </w:pPr>
          </w:p>
        </w:tc>
        <w:tc>
          <w:tcPr>
            <w:tcW w:w="740" w:type="dxa"/>
            <w:vAlign w:val="bottom"/>
            <w:tcBorders>
              <w:bottom w:val="single" w:sz="8" w:color="auto"/>
              <w:right w:val="single" w:sz="8" w:color="auto"/>
            </w:tcBorders>
            <w:vMerge w:val="continue"/>
            <w:shd w:val="clear" w:color="auto" w:fill="C0C0C0"/>
          </w:tcPr>
          <w:p>
            <w:pPr>
              <w:spacing w:after="0"/>
              <w:rPr>
                <w:sz w:val="13"/>
                <w:szCs w:val="13"/>
                <w:color w:val="auto"/>
              </w:rPr>
            </w:pPr>
          </w:p>
        </w:tc>
        <w:tc>
          <w:tcPr>
            <w:tcW w:w="1440" w:type="dxa"/>
            <w:vAlign w:val="bottom"/>
            <w:tcBorders>
              <w:bottom w:val="single" w:sz="8" w:color="auto"/>
              <w:right w:val="single" w:sz="8" w:color="auto"/>
            </w:tcBorders>
            <w:vMerge w:val="continue"/>
          </w:tcPr>
          <w:p>
            <w:pPr>
              <w:spacing w:after="0"/>
              <w:rPr>
                <w:sz w:val="13"/>
                <w:szCs w:val="13"/>
                <w:color w:val="auto"/>
              </w:rPr>
            </w:pPr>
          </w:p>
        </w:tc>
        <w:tc>
          <w:tcPr>
            <w:tcW w:w="920" w:type="dxa"/>
            <w:vAlign w:val="bottom"/>
            <w:tcBorders>
              <w:bottom w:val="single" w:sz="8" w:color="auto"/>
              <w:right w:val="single" w:sz="8" w:color="auto"/>
            </w:tcBorders>
            <w:vMerge w:val="continue"/>
          </w:tcPr>
          <w:p>
            <w:pPr>
              <w:spacing w:after="0"/>
              <w:rPr>
                <w:sz w:val="13"/>
                <w:szCs w:val="13"/>
                <w:color w:val="auto"/>
              </w:rPr>
            </w:pPr>
          </w:p>
        </w:tc>
        <w:tc>
          <w:tcPr>
            <w:tcW w:w="860" w:type="dxa"/>
            <w:vAlign w:val="bottom"/>
            <w:tcBorders>
              <w:bottom w:val="single" w:sz="8" w:color="auto"/>
              <w:right w:val="single" w:sz="8" w:color="auto"/>
            </w:tcBorders>
            <w:vMerge w:val="continue"/>
          </w:tcPr>
          <w:p>
            <w:pPr>
              <w:spacing w:after="0"/>
              <w:rPr>
                <w:sz w:val="13"/>
                <w:szCs w:val="13"/>
                <w:color w:val="auto"/>
              </w:rPr>
            </w:pPr>
          </w:p>
        </w:tc>
        <w:tc>
          <w:tcPr>
            <w:tcW w:w="1180" w:type="dxa"/>
            <w:vAlign w:val="bottom"/>
            <w:tcBorders>
              <w:bottom w:val="single" w:sz="8" w:color="auto"/>
              <w:right w:val="single" w:sz="8" w:color="auto"/>
            </w:tcBorders>
            <w:vMerge w:val="continue"/>
          </w:tcPr>
          <w:p>
            <w:pPr>
              <w:spacing w:after="0"/>
              <w:rPr>
                <w:sz w:val="13"/>
                <w:szCs w:val="13"/>
                <w:color w:val="auto"/>
              </w:rPr>
            </w:pPr>
          </w:p>
        </w:tc>
        <w:tc>
          <w:tcPr>
            <w:tcW w:w="18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3</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3</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3</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[****]-2028</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42"/>
        </w:trPr>
        <w:tc>
          <w:tcPr>
            <w:tcW w:w="12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t>
            </w:r>
          </w:p>
        </w:tc>
        <w:tc>
          <w:tcPr>
            <w:tcW w:w="6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shd w:val="clear" w:color="auto" w:fill="C0C0C0"/>
          </w:tcPr>
          <w:p>
            <w:pPr>
              <w:spacing w:after="0"/>
              <w:rPr>
                <w:sz w:val="21"/>
                <w:szCs w:val="21"/>
                <w:color w:val="auto"/>
              </w:rPr>
            </w:pPr>
          </w:p>
        </w:tc>
        <w:tc>
          <w:tcPr>
            <w:tcW w:w="7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184"/>
        </w:trPr>
        <w:tc>
          <w:tcPr>
            <w:tcW w:w="120" w:type="dxa"/>
            <w:vAlign w:val="bottom"/>
            <w:tcBorders>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w:t>
            </w:r>
          </w:p>
        </w:tc>
        <w:tc>
          <w:tcPr>
            <w:tcW w:w="740" w:type="dxa"/>
            <w:vAlign w:val="bottom"/>
            <w:tcBorders>
              <w:bottom w:val="single" w:sz="8" w:color="auto"/>
              <w:right w:val="single" w:sz="8" w:color="auto"/>
            </w:tcBorders>
            <w:shd w:val="clear" w:color="auto" w:fill="C0C0C0"/>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[****]-2029</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t>
            </w:r>
          </w:p>
        </w:tc>
        <w:tc>
          <w:tcPr>
            <w:tcW w:w="60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vMerge w:val="continue"/>
            <w:shd w:val="clear" w:color="auto" w:fill="C0C0C0"/>
          </w:tcPr>
          <w:p>
            <w:pPr>
              <w:spacing w:after="0"/>
              <w:rPr>
                <w:sz w:val="9"/>
                <w:szCs w:val="9"/>
                <w:color w:val="auto"/>
              </w:rPr>
            </w:pPr>
          </w:p>
        </w:tc>
        <w:tc>
          <w:tcPr>
            <w:tcW w:w="74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133"/>
        </w:trPr>
        <w:tc>
          <w:tcPr>
            <w:tcW w:w="1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740" w:type="dxa"/>
            <w:vAlign w:val="bottom"/>
            <w:tcBorders>
              <w:right w:val="single" w:sz="8" w:color="auto"/>
            </w:tcBorders>
            <w:vMerge w:val="continue"/>
            <w:shd w:val="clear" w:color="auto" w:fill="C0C0C0"/>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0" w:type="dxa"/>
            <w:vAlign w:val="bottom"/>
            <w:tcBorders>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60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C0C0C0"/>
              <w:right w:val="single" w:sz="8" w:color="auto"/>
            </w:tcBorders>
            <w:shd w:val="clear" w:color="auto" w:fill="C0C0C0"/>
          </w:tcPr>
          <w:p>
            <w:pPr>
              <w:spacing w:after="0"/>
              <w:rPr>
                <w:sz w:val="15"/>
                <w:szCs w:val="15"/>
                <w:color w:val="auto"/>
              </w:rPr>
            </w:pPr>
          </w:p>
        </w:tc>
        <w:tc>
          <w:tcPr>
            <w:tcW w:w="740" w:type="dxa"/>
            <w:vAlign w:val="bottom"/>
            <w:tcBorders>
              <w:bottom w:val="single" w:sz="8" w:color="auto"/>
              <w:right w:val="single" w:sz="8" w:color="auto"/>
            </w:tcBorders>
            <w:shd w:val="clear" w:color="auto" w:fill="C0C0C0"/>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t>
            </w:r>
          </w:p>
        </w:tc>
        <w:tc>
          <w:tcPr>
            <w:tcW w:w="6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shd w:val="clear" w:color="auto" w:fill="C0C0C0"/>
          </w:tcPr>
          <w:p>
            <w:pPr>
              <w:spacing w:after="0"/>
              <w:rPr>
                <w:sz w:val="21"/>
                <w:szCs w:val="21"/>
                <w:color w:val="auto"/>
              </w:rPr>
            </w:pPr>
          </w:p>
        </w:tc>
        <w:tc>
          <w:tcPr>
            <w:tcW w:w="7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184"/>
        </w:trPr>
        <w:tc>
          <w:tcPr>
            <w:tcW w:w="120" w:type="dxa"/>
            <w:vAlign w:val="bottom"/>
            <w:tcBorders>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6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shd w:val="clear" w:color="auto" w:fill="C0C0C0"/>
          </w:tcPr>
          <w:p>
            <w:pPr>
              <w:spacing w:after="0"/>
              <w:rPr>
                <w:sz w:val="15"/>
                <w:szCs w:val="15"/>
                <w:color w:val="auto"/>
              </w:rPr>
            </w:pPr>
          </w:p>
        </w:tc>
        <w:tc>
          <w:tcPr>
            <w:tcW w:w="740" w:type="dxa"/>
            <w:vAlign w:val="bottom"/>
            <w:tcBorders>
              <w:bottom w:val="single" w:sz="8" w:color="auto"/>
              <w:right w:val="single" w:sz="8" w:color="auto"/>
            </w:tcBorders>
            <w:shd w:val="clear" w:color="auto" w:fill="C0C0C0"/>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[****]-2029</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C0C0C0"/>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[****]-2029</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2</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w:t>
            </w: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1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[****]-2029</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1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shd w:val="clear" w:color="auto" w:fill="C0C0C0"/>
          </w:tcPr>
          <w:p>
            <w:pPr>
              <w:spacing w:after="0"/>
              <w:rPr>
                <w:sz w:val="24"/>
                <w:szCs w:val="24"/>
                <w:color w:val="auto"/>
              </w:rPr>
            </w:pPr>
          </w:p>
        </w:tc>
        <w:tc>
          <w:tcPr>
            <w:tcW w:w="7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0"/>
        </w:trPr>
        <w:tc>
          <w:tcPr>
            <w:tcW w:w="244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AAL-PA-03735 122715-1F.txt</w:t>
            </w:r>
          </w:p>
        </w:tc>
        <w:tc>
          <w:tcPr>
            <w:tcW w:w="800" w:type="dxa"/>
            <w:vAlign w:val="bottom"/>
          </w:tcPr>
          <w:p>
            <w:pPr>
              <w:spacing w:after="0"/>
              <w:rPr>
                <w:sz w:val="23"/>
                <w:szCs w:val="23"/>
                <w:color w:val="auto"/>
              </w:rPr>
            </w:pP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22"/>
                <w:szCs w:val="22"/>
                <w:b w:val="1"/>
                <w:bCs w:val="1"/>
                <w:color w:val="auto"/>
              </w:rPr>
              <w:t>Boeing and American</w:t>
            </w:r>
          </w:p>
        </w:tc>
        <w:tc>
          <w:tcPr>
            <w:tcW w:w="17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SA-35</w:t>
            </w:r>
          </w:p>
        </w:tc>
        <w:tc>
          <w:tcPr>
            <w:tcW w:w="11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right"/>
        <w:spacing w:after="0" w:line="211" w:lineRule="auto"/>
        <w:rPr>
          <w:sz w:val="20"/>
          <w:szCs w:val="20"/>
          <w:color w:val="auto"/>
        </w:rPr>
      </w:pPr>
      <w:r>
        <w:rPr>
          <w:rFonts w:ascii="Times New Roman" w:cs="Times New Roman" w:eastAsia="Times New Roman" w:hAnsi="Times New Roman"/>
          <w:sz w:val="19"/>
          <w:szCs w:val="19"/>
          <w:color w:val="auto"/>
        </w:rPr>
        <w:t>Page</w:t>
      </w:r>
    </w:p>
    <w:p>
      <w:pPr>
        <w:spacing w:after="0" w:line="1"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340"/>
          </w:cols>
          <w:pgMar w:left="320" w:top="183" w:right="239" w:bottom="1440" w:gutter="0" w:footer="0" w:header="0"/>
        </w:sectPr>
      </w:pPr>
    </w:p>
    <w:bookmarkStart w:id="119" w:name="page120"/>
    <w:bookmarkEnd w:id="119"/>
    <w:p>
      <w:pPr>
        <w:jc w:val="center"/>
        <w:ind w:left="1740"/>
        <w:spacing w:after="0"/>
        <w:rPr>
          <w:sz w:val="20"/>
          <w:szCs w:val="20"/>
          <w:color w:val="auto"/>
        </w:rPr>
      </w:pPr>
      <w:r>
        <w:rPr>
          <w:rFonts w:ascii="Arial" w:cs="Arial" w:eastAsia="Arial" w:hAnsi="Arial"/>
          <w:sz w:val="16"/>
          <w:szCs w:val="16"/>
          <w:color w:val="auto"/>
        </w:rPr>
        <w:t>Table 1-7 To</w:t>
      </w:r>
    </w:p>
    <w:p>
      <w:pPr>
        <w:spacing w:after="0" w:line="27" w:lineRule="exact"/>
        <w:rPr>
          <w:sz w:val="20"/>
          <w:szCs w:val="20"/>
          <w:color w:val="auto"/>
        </w:rPr>
      </w:pPr>
    </w:p>
    <w:p>
      <w:pPr>
        <w:jc w:val="center"/>
        <w:ind w:left="1740"/>
        <w:spacing w:after="0"/>
        <w:rPr>
          <w:sz w:val="20"/>
          <w:szCs w:val="20"/>
          <w:color w:val="auto"/>
        </w:rPr>
      </w:pPr>
      <w:r>
        <w:rPr>
          <w:rFonts w:ascii="Arial" w:cs="Arial" w:eastAsia="Arial" w:hAnsi="Arial"/>
          <w:sz w:val="16"/>
          <w:szCs w:val="16"/>
          <w:color w:val="auto"/>
        </w:rPr>
        <w:t>Purchase Agreement No. PA-03735</w:t>
      </w:r>
    </w:p>
    <w:p>
      <w:pPr>
        <w:spacing w:after="0" w:line="26"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820" w:type="dxa"/>
            <w:vAlign w:val="bottom"/>
            <w:tcBorders>
              <w:top w:val="single" w:sz="8" w:color="auto"/>
              <w:left w:val="single" w:sz="8" w:color="auto"/>
              <w:right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Escalation</w:t>
            </w:r>
          </w:p>
        </w:tc>
        <w:tc>
          <w:tcPr>
            <w:tcW w:w="6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Nominal</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Escalation Estimate</w:t>
            </w:r>
          </w:p>
        </w:tc>
        <w:tc>
          <w:tcPr>
            <w:tcW w:w="5000" w:type="dxa"/>
            <w:vAlign w:val="bottom"/>
            <w:tcBorders>
              <w:top w:val="single" w:sz="8" w:color="auto"/>
              <w:bottom w:val="single" w:sz="8" w:color="auto"/>
              <w:right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16"/>
        </w:trPr>
        <w:tc>
          <w:tcPr>
            <w:tcW w:w="82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shd w:val="clear" w:color="auto" w:fill="C0C0C0"/>
          </w:tcPr>
          <w:p>
            <w:pPr>
              <w:spacing w:after="0"/>
              <w:rPr>
                <w:sz w:val="10"/>
                <w:szCs w:val="10"/>
                <w:color w:val="auto"/>
              </w:rPr>
            </w:pPr>
          </w:p>
        </w:tc>
        <w:tc>
          <w:tcPr>
            <w:tcW w:w="780" w:type="dxa"/>
            <w:vAlign w:val="bottom"/>
            <w:tcBorders>
              <w:right w:val="single" w:sz="8" w:color="auto"/>
            </w:tcBorders>
            <w:shd w:val="clear" w:color="auto" w:fill="C0C0C0"/>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Delivery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(if</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660" w:type="dxa"/>
            <w:vAlign w:val="bottom"/>
            <w:tcBorders>
              <w:right w:val="single" w:sz="8" w:color="auto"/>
            </w:tcBorders>
            <w:vMerge w:val="restart"/>
            <w:shd w:val="clear" w:color="auto" w:fill="C0C0C0"/>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8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Delivery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Adv Payment Base</w:t>
            </w:r>
          </w:p>
        </w:tc>
        <w:tc>
          <w:tcPr>
            <w:tcW w:w="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19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82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Applicable)^</w:t>
            </w: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shd w:val="clear" w:color="auto" w:fill="C0C0C0"/>
          </w:tcPr>
          <w:p>
            <w:pPr>
              <w:spacing w:after="0"/>
              <w:rPr>
                <w:sz w:val="10"/>
                <w:szCs w:val="10"/>
                <w:color w:val="auto"/>
              </w:rPr>
            </w:pPr>
          </w:p>
        </w:tc>
        <w:tc>
          <w:tcPr>
            <w:tcW w:w="780" w:type="dxa"/>
            <w:vAlign w:val="bottom"/>
            <w:tcBorders>
              <w:right w:val="single" w:sz="8" w:color="auto"/>
            </w:tcBorders>
            <w:shd w:val="clear" w:color="auto" w:fill="C0C0C0"/>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00" w:type="dxa"/>
            <w:vAlign w:val="bottom"/>
            <w:tcBorders>
              <w:right w:val="single" w:sz="8" w:color="auto"/>
            </w:tcBorders>
            <w:vMerge w:val="continue"/>
          </w:tcPr>
          <w:p>
            <w:pPr>
              <w:spacing w:after="0"/>
              <w:rPr>
                <w:sz w:val="5"/>
                <w:szCs w:val="5"/>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Aircraft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(Airframe)</w:t>
            </w:r>
          </w:p>
        </w:tc>
        <w:tc>
          <w:tcPr>
            <w:tcW w:w="660" w:type="dxa"/>
            <w:vAlign w:val="bottom"/>
            <w:tcBorders>
              <w:right w:val="single" w:sz="8" w:color="auto"/>
            </w:tcBorders>
            <w:shd w:val="clear" w:color="auto" w:fill="C0C0C0"/>
          </w:tcPr>
          <w:p>
            <w:pPr>
              <w:spacing w:after="0"/>
              <w:rPr>
                <w:sz w:val="5"/>
                <w:szCs w:val="5"/>
                <w:color w:val="auto"/>
              </w:rPr>
            </w:pPr>
          </w:p>
        </w:tc>
        <w:tc>
          <w:tcPr>
            <w:tcW w:w="78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Month</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 Per A/P</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1"/>
        </w:trPr>
        <w:tc>
          <w:tcPr>
            <w:tcW w:w="82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vMerge w:val="continue"/>
          </w:tcPr>
          <w:p>
            <w:pPr>
              <w:spacing w:after="0"/>
              <w:rPr>
                <w:sz w:val="13"/>
                <w:szCs w:val="13"/>
                <w:color w:val="auto"/>
              </w:rPr>
            </w:pPr>
          </w:p>
        </w:tc>
        <w:tc>
          <w:tcPr>
            <w:tcW w:w="1120" w:type="dxa"/>
            <w:vAlign w:val="bottom"/>
            <w:tcBorders>
              <w:bottom w:val="single" w:sz="8" w:color="auto"/>
              <w:right w:val="single" w:sz="8" w:color="auto"/>
            </w:tcBorders>
            <w:vMerge w:val="continue"/>
          </w:tcPr>
          <w:p>
            <w:pPr>
              <w:spacing w:after="0"/>
              <w:rPr>
                <w:sz w:val="13"/>
                <w:szCs w:val="13"/>
                <w:color w:val="auto"/>
              </w:rPr>
            </w:pPr>
          </w:p>
        </w:tc>
        <w:tc>
          <w:tcPr>
            <w:tcW w:w="660" w:type="dxa"/>
            <w:vAlign w:val="bottom"/>
            <w:tcBorders>
              <w:bottom w:val="single" w:sz="8" w:color="auto"/>
              <w:right w:val="single" w:sz="8" w:color="auto"/>
            </w:tcBorders>
            <w:shd w:val="clear" w:color="auto" w:fill="C0C0C0"/>
          </w:tcPr>
          <w:p>
            <w:pPr>
              <w:spacing w:after="0"/>
              <w:rPr>
                <w:sz w:val="13"/>
                <w:szCs w:val="13"/>
                <w:color w:val="auto"/>
              </w:rPr>
            </w:pPr>
          </w:p>
        </w:tc>
        <w:tc>
          <w:tcPr>
            <w:tcW w:w="780" w:type="dxa"/>
            <w:vAlign w:val="bottom"/>
            <w:tcBorders>
              <w:bottom w:val="single" w:sz="8" w:color="auto"/>
              <w:right w:val="single" w:sz="8" w:color="auto"/>
            </w:tcBorders>
            <w:vMerge w:val="continue"/>
            <w:shd w:val="clear" w:color="auto" w:fill="C0C0C0"/>
          </w:tcPr>
          <w:p>
            <w:pPr>
              <w:spacing w:after="0"/>
              <w:rPr>
                <w:sz w:val="13"/>
                <w:szCs w:val="13"/>
                <w:color w:val="auto"/>
              </w:rPr>
            </w:pPr>
          </w:p>
        </w:tc>
        <w:tc>
          <w:tcPr>
            <w:tcW w:w="1480" w:type="dxa"/>
            <w:vAlign w:val="bottom"/>
            <w:tcBorders>
              <w:bottom w:val="single" w:sz="8" w:color="auto"/>
              <w:right w:val="single" w:sz="8" w:color="auto"/>
            </w:tcBorders>
            <w:vMerge w:val="continue"/>
          </w:tcPr>
          <w:p>
            <w:pPr>
              <w:spacing w:after="0"/>
              <w:rPr>
                <w:sz w:val="13"/>
                <w:szCs w:val="13"/>
                <w:color w:val="auto"/>
              </w:rPr>
            </w:pPr>
          </w:p>
        </w:tc>
        <w:tc>
          <w:tcPr>
            <w:tcW w:w="940" w:type="dxa"/>
            <w:vAlign w:val="bottom"/>
            <w:tcBorders>
              <w:bottom w:val="single" w:sz="8" w:color="auto"/>
              <w:right w:val="single" w:sz="8" w:color="auto"/>
            </w:tcBorders>
            <w:vMerge w:val="continue"/>
          </w:tcPr>
          <w:p>
            <w:pPr>
              <w:spacing w:after="0"/>
              <w:rPr>
                <w:sz w:val="13"/>
                <w:szCs w:val="13"/>
                <w:color w:val="auto"/>
              </w:rPr>
            </w:pPr>
          </w:p>
        </w:tc>
        <w:tc>
          <w:tcPr>
            <w:tcW w:w="880" w:type="dxa"/>
            <w:vAlign w:val="bottom"/>
            <w:tcBorders>
              <w:bottom w:val="single" w:sz="8" w:color="auto"/>
              <w:right w:val="single" w:sz="8" w:color="auto"/>
            </w:tcBorders>
            <w:vMerge w:val="continue"/>
          </w:tcPr>
          <w:p>
            <w:pPr>
              <w:spacing w:after="0"/>
              <w:rPr>
                <w:sz w:val="13"/>
                <w:szCs w:val="13"/>
                <w:color w:val="auto"/>
              </w:rPr>
            </w:pPr>
          </w:p>
        </w:tc>
        <w:tc>
          <w:tcPr>
            <w:tcW w:w="1220" w:type="dxa"/>
            <w:vAlign w:val="bottom"/>
            <w:tcBorders>
              <w:bottom w:val="single" w:sz="8" w:color="auto"/>
              <w:right w:val="single" w:sz="8" w:color="auto"/>
            </w:tcBorders>
            <w:vMerge w:val="continue"/>
          </w:tcPr>
          <w:p>
            <w:pPr>
              <w:spacing w:after="0"/>
              <w:rPr>
                <w:sz w:val="13"/>
                <w:szCs w:val="13"/>
                <w:color w:val="auto"/>
              </w:rPr>
            </w:pPr>
          </w:p>
        </w:tc>
        <w:tc>
          <w:tcPr>
            <w:tcW w:w="19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77"/>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5"/>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81"/>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[****]-2029</w:t>
            </w:r>
          </w:p>
        </w:tc>
        <w:tc>
          <w:tcPr>
            <w:tcW w:w="8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660" w:type="dxa"/>
            <w:vAlign w:val="bottom"/>
            <w:tcBorders>
              <w:bottom w:val="single" w:sz="8" w:color="auto"/>
              <w:right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65"/>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Total:</w:t>
            </w:r>
          </w:p>
        </w:tc>
        <w:tc>
          <w:tcPr>
            <w:tcW w:w="80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w:t>
      </w:r>
    </w:p>
    <w:p>
      <w:pPr>
        <w:spacing w:after="0" w:line="35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Notes: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1 - [****]</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3320" w:val="left"/>
          <w:tab w:leader="none" w:pos="6520" w:val="left"/>
        </w:tabs>
        <w:rPr>
          <w:sz w:val="20"/>
          <w:szCs w:val="20"/>
          <w:color w:val="auto"/>
        </w:rPr>
      </w:pPr>
      <w:r>
        <w:rPr>
          <w:rFonts w:ascii="Times New Roman" w:cs="Times New Roman" w:eastAsia="Times New Roman" w:hAnsi="Times New Roman"/>
          <w:sz w:val="19"/>
          <w:szCs w:val="19"/>
          <w:color w:val="auto"/>
        </w:rPr>
        <w:t>AAL-PA-03735 122715-1F.txt</w:t>
      </w:r>
      <w:r>
        <w:rPr>
          <w:sz w:val="20"/>
          <w:szCs w:val="20"/>
          <w:color w:val="auto"/>
        </w:rPr>
        <w:tab/>
      </w:r>
      <w:r>
        <w:rPr>
          <w:rFonts w:ascii="Times New Roman" w:cs="Times New Roman" w:eastAsia="Times New Roman" w:hAnsi="Times New Roman"/>
          <w:sz w:val="22"/>
          <w:szCs w:val="22"/>
          <w:b w:val="1"/>
          <w:bCs w:val="1"/>
          <w:color w:val="auto"/>
        </w:rPr>
        <w:t>Boeing and American</w:t>
      </w:r>
      <w:r>
        <w:rPr>
          <w:sz w:val="20"/>
          <w:szCs w:val="20"/>
          <w:color w:val="auto"/>
        </w:rPr>
        <w:tab/>
      </w:r>
      <w:r>
        <w:rPr>
          <w:rFonts w:ascii="Times New Roman" w:cs="Times New Roman" w:eastAsia="Times New Roman" w:hAnsi="Times New Roman"/>
          <w:sz w:val="22"/>
          <w:szCs w:val="22"/>
          <w:color w:val="auto"/>
        </w:rPr>
        <w:t>SA-35</w:t>
      </w:r>
    </w:p>
    <w:p>
      <w:pPr>
        <w:ind w:left="9840"/>
        <w:spacing w:after="0"/>
        <w:rPr>
          <w:sz w:val="20"/>
          <w:szCs w:val="20"/>
          <w:color w:val="auto"/>
        </w:rPr>
      </w:pPr>
      <w:r>
        <w:rPr>
          <w:rFonts w:ascii="Times New Roman" w:cs="Times New Roman" w:eastAsia="Times New Roman" w:hAnsi="Times New Roman"/>
          <w:sz w:val="22"/>
          <w:szCs w:val="22"/>
          <w:color w:val="auto"/>
        </w:rPr>
        <w:t>Page 3</w:t>
      </w:r>
    </w:p>
    <w:p>
      <w:pPr>
        <w:sectPr>
          <w:pgSz w:w="11900" w:h="16838" w:orient="portrait"/>
          <w:cols w:equalWidth="0" w:num="1">
            <w:col w:w="11280"/>
          </w:cols>
          <w:pgMar w:left="300" w:top="183" w:right="319" w:bottom="1440" w:gutter="0" w:footer="0" w:header="0"/>
        </w:sectPr>
      </w:pPr>
    </w:p>
    <w:bookmarkStart w:id="120" w:name="page121"/>
    <w:bookmarkEnd w:id="120"/>
    <w:p>
      <w:pPr>
        <w:ind w:left="23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1391285" cy="3213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391285" cy="321310"/>
                    </a:xfrm>
                    <a:prstGeom prst="rect">
                      <a:avLst/>
                    </a:prstGeom>
                    <a:noFill/>
                  </pic:spPr>
                </pic:pic>
              </a:graphicData>
            </a:graphic>
          </wp:anchor>
        </w:drawing>
        <w:t>The Boeing Company</w:t>
      </w:r>
    </w:p>
    <w:p>
      <w:pPr>
        <w:spacing w:after="0" w:line="25" w:lineRule="exact"/>
        <w:rPr>
          <w:sz w:val="20"/>
          <w:szCs w:val="20"/>
          <w:color w:val="auto"/>
        </w:rPr>
      </w:pPr>
    </w:p>
    <w:p>
      <w:pPr>
        <w:ind w:left="184"/>
        <w:spacing w:after="0"/>
        <w:rPr>
          <w:sz w:val="20"/>
          <w:szCs w:val="20"/>
          <w:color w:val="auto"/>
        </w:rPr>
      </w:pPr>
      <w:r>
        <w:rPr>
          <w:rFonts w:ascii="Arial" w:cs="Arial" w:eastAsia="Arial" w:hAnsi="Arial"/>
          <w:sz w:val="16"/>
          <w:szCs w:val="16"/>
          <w:color w:val="auto"/>
        </w:rPr>
        <w:t>P.O. Box 3707</w:t>
      </w:r>
    </w:p>
    <w:p>
      <w:pPr>
        <w:spacing w:after="0" w:line="9" w:lineRule="exact"/>
        <w:rPr>
          <w:sz w:val="20"/>
          <w:szCs w:val="20"/>
          <w:color w:val="auto"/>
        </w:rPr>
      </w:pPr>
    </w:p>
    <w:p>
      <w:pPr>
        <w:ind w:left="184"/>
        <w:spacing w:after="0"/>
        <w:rPr>
          <w:sz w:val="20"/>
          <w:szCs w:val="20"/>
          <w:color w:val="auto"/>
        </w:rPr>
      </w:pPr>
      <w:r>
        <w:rPr>
          <w:rFonts w:ascii="Arial" w:cs="Arial" w:eastAsia="Arial" w:hAnsi="Arial"/>
          <w:sz w:val="16"/>
          <w:szCs w:val="16"/>
          <w:color w:val="auto"/>
        </w:rPr>
        <w:t>Seattle, WA 98124 2207</w:t>
      </w:r>
    </w:p>
    <w:p>
      <w:pPr>
        <w:spacing w:after="0" w:line="200" w:lineRule="exact"/>
        <w:rPr>
          <w:sz w:val="20"/>
          <w:szCs w:val="20"/>
          <w:color w:val="auto"/>
        </w:rPr>
      </w:pPr>
    </w:p>
    <w:p>
      <w:pPr>
        <w:spacing w:after="0" w:line="398" w:lineRule="exact"/>
        <w:rPr>
          <w:sz w:val="20"/>
          <w:szCs w:val="20"/>
          <w:color w:val="auto"/>
        </w:rPr>
      </w:pPr>
    </w:p>
    <w:p>
      <w:pPr>
        <w:ind w:left="4"/>
        <w:spacing w:after="0"/>
        <w:rPr>
          <w:sz w:val="20"/>
          <w:szCs w:val="20"/>
          <w:color w:val="auto"/>
        </w:rPr>
      </w:pPr>
      <w:r>
        <w:rPr>
          <w:rFonts w:ascii="Arial" w:cs="Arial" w:eastAsia="Arial" w:hAnsi="Arial"/>
          <w:sz w:val="19"/>
          <w:szCs w:val="19"/>
          <w:color w:val="auto"/>
        </w:rPr>
        <w:t>AAL-PA-03735-LA-2306975</w:t>
      </w:r>
      <w:r>
        <w:rPr>
          <w:rFonts w:ascii="Arial" w:cs="Arial" w:eastAsia="Arial" w:hAnsi="Arial"/>
          <w:sz w:val="19"/>
          <w:szCs w:val="19"/>
          <w:b w:val="1"/>
          <w:bCs w:val="1"/>
          <w:color w:val="auto"/>
        </w:rPr>
        <w:t>R1</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9"/>
          <w:szCs w:val="19"/>
          <w:color w:val="auto"/>
        </w:rPr>
        <w:t>American Airlines, Inc.</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9"/>
          <w:szCs w:val="19"/>
          <w:color w:val="auto"/>
        </w:rPr>
        <w:t>P.O. Box 619616</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9"/>
          <w:szCs w:val="19"/>
          <w:color w:val="auto"/>
        </w:rPr>
        <w:t>Dallas-Fort Worth Airport, Texas 75261-9616</w:t>
      </w:r>
    </w:p>
    <w:p>
      <w:pPr>
        <w:spacing w:after="0" w:line="213" w:lineRule="exact"/>
        <w:rPr>
          <w:sz w:val="20"/>
          <w:szCs w:val="20"/>
          <w:color w:val="auto"/>
        </w:rPr>
      </w:pPr>
    </w:p>
    <w:p>
      <w:pPr>
        <w:ind w:left="4"/>
        <w:spacing w:after="0"/>
        <w:tabs>
          <w:tab w:leader="none" w:pos="883" w:val="left"/>
        </w:tabs>
        <w:rPr>
          <w:sz w:val="20"/>
          <w:szCs w:val="20"/>
          <w:color w:val="auto"/>
        </w:rPr>
      </w:pPr>
      <w:r>
        <w:rPr>
          <w:rFonts w:ascii="Arial" w:cs="Arial" w:eastAsia="Arial" w:hAnsi="Arial"/>
          <w:sz w:val="19"/>
          <w:szCs w:val="19"/>
          <w:color w:val="auto"/>
        </w:rPr>
        <w:t>Subject:</w:t>
        <w:tab/>
        <w:t>[****] – [****]</w:t>
      </w:r>
    </w:p>
    <w:p>
      <w:pPr>
        <w:spacing w:after="0" w:line="227" w:lineRule="exact"/>
        <w:rPr>
          <w:sz w:val="20"/>
          <w:szCs w:val="20"/>
          <w:color w:val="auto"/>
        </w:rPr>
      </w:pPr>
    </w:p>
    <w:p>
      <w:pPr>
        <w:ind w:left="1164" w:right="20" w:hanging="1155"/>
        <w:spacing w:after="0" w:line="301" w:lineRule="auto"/>
        <w:tabs>
          <w:tab w:leader="none" w:pos="1143" w:val="left"/>
        </w:tabs>
        <w:rPr>
          <w:sz w:val="20"/>
          <w:szCs w:val="20"/>
          <w:color w:val="auto"/>
        </w:rPr>
      </w:pPr>
      <w:r>
        <w:rPr>
          <w:rFonts w:ascii="Arial" w:cs="Arial" w:eastAsia="Arial" w:hAnsi="Arial"/>
          <w:sz w:val="19"/>
          <w:szCs w:val="19"/>
          <w:color w:val="auto"/>
        </w:rPr>
        <w:t>Reference:</w:t>
        <w:tab/>
        <w:t>Purchase Agreement No. 03735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between The Boeing Company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relating to Model 737 MAX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319" w:lineRule="exact"/>
        <w:rPr>
          <w:sz w:val="20"/>
          <w:szCs w:val="20"/>
          <w:color w:val="auto"/>
        </w:rPr>
      </w:pPr>
    </w:p>
    <w:p>
      <w:pPr>
        <w:ind w:left="4" w:right="20" w:firstLine="578"/>
        <w:spacing w:after="0" w:line="303"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will have the same meaning as in the Purchase Agreement.</w:t>
      </w:r>
    </w:p>
    <w:p>
      <w:pPr>
        <w:spacing w:after="0" w:line="14" w:lineRule="exact"/>
        <w:rPr>
          <w:sz w:val="20"/>
          <w:szCs w:val="20"/>
          <w:color w:val="auto"/>
        </w:rPr>
      </w:pPr>
    </w:p>
    <w:p>
      <w:pPr>
        <w:ind w:left="944" w:hanging="366"/>
        <w:spacing w:after="0"/>
        <w:tabs>
          <w:tab w:leader="none" w:pos="94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Definitions.</w:t>
      </w:r>
    </w:p>
    <w:p>
      <w:pPr>
        <w:spacing w:after="0" w:line="203" w:lineRule="exact"/>
        <w:rPr>
          <w:sz w:val="20"/>
          <w:szCs w:val="20"/>
          <w:color w:val="auto"/>
        </w:rPr>
      </w:pPr>
    </w:p>
    <w:p>
      <w:pPr>
        <w:ind w:left="584"/>
        <w:spacing w:after="0"/>
        <w:rPr>
          <w:sz w:val="20"/>
          <w:szCs w:val="20"/>
          <w:color w:val="auto"/>
        </w:rPr>
      </w:pPr>
      <w:r>
        <w:rPr>
          <w:rFonts w:ascii="Arial" w:cs="Arial" w:eastAsia="Arial" w:hAnsi="Arial"/>
          <w:sz w:val="19"/>
          <w:szCs w:val="19"/>
          <w:color w:val="auto"/>
        </w:rPr>
        <w:t>[****] means [****] ([****]) and [****] pursuant to Letter Agreement No. AAL-PA-03735-LA-1106651R14 entitled “[****]”.</w:t>
      </w:r>
    </w:p>
    <w:p>
      <w:pPr>
        <w:spacing w:after="0" w:line="203" w:lineRule="exact"/>
        <w:rPr>
          <w:sz w:val="20"/>
          <w:szCs w:val="20"/>
          <w:color w:val="auto"/>
        </w:rPr>
      </w:pPr>
    </w:p>
    <w:p>
      <w:pPr>
        <w:ind w:left="584"/>
        <w:spacing w:after="0"/>
        <w:rPr>
          <w:sz w:val="20"/>
          <w:szCs w:val="20"/>
          <w:color w:val="auto"/>
        </w:rPr>
      </w:pPr>
      <w:r>
        <w:rPr>
          <w:rFonts w:ascii="Arial" w:cs="Arial" w:eastAsia="Arial" w:hAnsi="Arial"/>
          <w:sz w:val="19"/>
          <w:szCs w:val="19"/>
          <w:color w:val="auto"/>
        </w:rPr>
        <w:t>[****] means [****] pursuant to Letter Agreement No. AAL-PA-03735-LA-2306978 entitled “[****]”.</w:t>
      </w:r>
    </w:p>
    <w:p>
      <w:pPr>
        <w:spacing w:after="0" w:line="227" w:lineRule="exact"/>
        <w:rPr>
          <w:sz w:val="20"/>
          <w:szCs w:val="20"/>
          <w:color w:val="auto"/>
        </w:rPr>
      </w:pPr>
    </w:p>
    <w:p>
      <w:pPr>
        <w:ind w:left="224"/>
        <w:spacing w:after="0"/>
        <w:rPr>
          <w:sz w:val="20"/>
          <w:szCs w:val="20"/>
          <w:color w:val="auto"/>
        </w:rPr>
      </w:pPr>
      <w:r>
        <w:rPr>
          <w:rFonts w:ascii="Arial" w:cs="Arial" w:eastAsia="Arial" w:hAnsi="Arial"/>
          <w:sz w:val="19"/>
          <w:szCs w:val="19"/>
          <w:color w:val="auto"/>
        </w:rPr>
        <w:t>[****] means [****] to the Purchase Agreement as of the date of this Letter Agreement</w:t>
      </w:r>
      <w:r>
        <w:rPr>
          <w:rFonts w:ascii="Arial" w:cs="Arial" w:eastAsia="Arial" w:hAnsi="Arial"/>
          <w:sz w:val="12"/>
          <w:szCs w:val="12"/>
          <w:color w:val="auto"/>
        </w:rPr>
        <w:t>.</w:t>
      </w:r>
    </w:p>
    <w:p>
      <w:pPr>
        <w:spacing w:after="0" w:line="323" w:lineRule="exact"/>
        <w:rPr>
          <w:sz w:val="20"/>
          <w:szCs w:val="20"/>
          <w:color w:val="auto"/>
        </w:rPr>
      </w:pPr>
    </w:p>
    <w:p>
      <w:pPr>
        <w:ind w:left="4" w:hanging="4"/>
        <w:spacing w:after="0" w:line="303" w:lineRule="auto"/>
        <w:tabs>
          <w:tab w:leader="none" w:pos="39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 [****] Section 2.1 of the Purchase Agreement, Boeing will [****], [****], or [****]. However, if Boeing [****], [****], or [****] as set forth in the proceeding sentence, the [****], [****], or [****].</w:t>
      </w:r>
    </w:p>
    <w:p>
      <w:pPr>
        <w:spacing w:after="0" w:line="14" w:lineRule="exact"/>
        <w:rPr>
          <w:rFonts w:ascii="Arial" w:cs="Arial" w:eastAsia="Arial" w:hAnsi="Arial"/>
          <w:sz w:val="19"/>
          <w:szCs w:val="19"/>
          <w:color w:val="auto"/>
        </w:rPr>
      </w:pPr>
    </w:p>
    <w:p>
      <w:pPr>
        <w:ind w:left="384" w:hanging="384"/>
        <w:spacing w:after="0"/>
        <w:tabs>
          <w:tab w:leader="none" w:pos="384"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t>
      </w:r>
    </w:p>
    <w:p>
      <w:pPr>
        <w:spacing w:after="0" w:line="107" w:lineRule="exact"/>
        <w:rPr>
          <w:sz w:val="20"/>
          <w:szCs w:val="20"/>
          <w:color w:val="auto"/>
        </w:rPr>
      </w:pPr>
    </w:p>
    <w:p>
      <w:pPr>
        <w:ind w:left="584"/>
        <w:spacing w:after="0"/>
        <w:tabs>
          <w:tab w:leader="none" w:pos="1043" w:val="left"/>
        </w:tabs>
        <w:rPr>
          <w:sz w:val="20"/>
          <w:szCs w:val="20"/>
          <w:color w:val="auto"/>
        </w:rPr>
      </w:pPr>
      <w:r>
        <w:rPr>
          <w:rFonts w:ascii="Arial" w:cs="Arial" w:eastAsia="Arial" w:hAnsi="Arial"/>
          <w:sz w:val="19"/>
          <w:szCs w:val="19"/>
          <w:color w:val="auto"/>
        </w:rPr>
        <w:t>3.1</w:t>
        <w:tab/>
        <w:t>[****]</w:t>
      </w:r>
      <w:r>
        <w:rPr>
          <w:rFonts w:ascii="Arial" w:cs="Arial" w:eastAsia="Arial" w:hAnsi="Arial"/>
          <w:sz w:val="19"/>
          <w:szCs w:val="19"/>
          <w:u w:val="single" w:color="auto"/>
          <w:color w:val="auto"/>
        </w:rPr>
        <w:t>.</w:t>
      </w:r>
      <w:r>
        <w:rPr>
          <w:rFonts w:ascii="Arial" w:cs="Arial" w:eastAsia="Arial" w:hAnsi="Arial"/>
          <w:sz w:val="19"/>
          <w:szCs w:val="19"/>
          <w:color w:val="auto"/>
        </w:rPr>
        <w:t xml:space="preserve"> [****], Boeing will [****]:</w:t>
      </w:r>
    </w:p>
    <w:p>
      <w:pPr>
        <w:spacing w:after="0" w:line="107" w:lineRule="exact"/>
        <w:rPr>
          <w:sz w:val="20"/>
          <w:szCs w:val="20"/>
          <w:color w:val="auto"/>
        </w:rPr>
      </w:pPr>
    </w:p>
    <w:p>
      <w:pPr>
        <w:ind w:left="1164"/>
        <w:spacing w:after="0"/>
        <w:tabs>
          <w:tab w:leader="none" w:pos="1783" w:val="left"/>
        </w:tabs>
        <w:rPr>
          <w:sz w:val="20"/>
          <w:szCs w:val="20"/>
          <w:color w:val="auto"/>
        </w:rPr>
      </w:pPr>
      <w:r>
        <w:rPr>
          <w:rFonts w:ascii="Arial" w:cs="Arial" w:eastAsia="Arial" w:hAnsi="Arial"/>
          <w:sz w:val="19"/>
          <w:szCs w:val="19"/>
          <w:color w:val="auto"/>
        </w:rPr>
        <w:t>3.1.1</w:t>
        <w:tab/>
        <w:t>[****]. A [****] ([****]) in the [****] ([****]). The [****] ([****]) and will be [****].</w:t>
      </w:r>
    </w:p>
    <w:p>
      <w:pPr>
        <w:spacing w:after="0" w:line="107" w:lineRule="exact"/>
        <w:rPr>
          <w:sz w:val="20"/>
          <w:szCs w:val="20"/>
          <w:color w:val="auto"/>
        </w:rPr>
      </w:pPr>
    </w:p>
    <w:p>
      <w:pPr>
        <w:ind w:left="1164"/>
        <w:spacing w:after="0"/>
        <w:tabs>
          <w:tab w:leader="none" w:pos="1783" w:val="left"/>
        </w:tabs>
        <w:rPr>
          <w:sz w:val="20"/>
          <w:szCs w:val="20"/>
          <w:color w:val="auto"/>
        </w:rPr>
      </w:pPr>
      <w:r>
        <w:rPr>
          <w:rFonts w:ascii="Arial" w:cs="Arial" w:eastAsia="Arial" w:hAnsi="Arial"/>
          <w:sz w:val="19"/>
          <w:szCs w:val="19"/>
          <w:color w:val="auto"/>
        </w:rPr>
        <w:t>3.1.2</w:t>
        <w:tab/>
        <w:t>[****]</w:t>
      </w:r>
      <w:r>
        <w:rPr>
          <w:rFonts w:ascii="Arial" w:cs="Arial" w:eastAsia="Arial" w:hAnsi="Arial"/>
          <w:sz w:val="19"/>
          <w:szCs w:val="19"/>
          <w:u w:val="single" w:color="auto"/>
          <w:color w:val="auto"/>
        </w:rPr>
        <w:t>.</w:t>
      </w:r>
      <w:r>
        <w:rPr>
          <w:rFonts w:ascii="Arial" w:cs="Arial" w:eastAsia="Arial" w:hAnsi="Arial"/>
          <w:sz w:val="19"/>
          <w:szCs w:val="19"/>
          <w:color w:val="auto"/>
        </w:rPr>
        <w:t xml:space="preserve"> A [****] ([****]) in the [****] ([****]). Customer [****].</w:t>
      </w:r>
    </w:p>
    <w:p>
      <w:pPr>
        <w:spacing w:after="0" w:line="119" w:lineRule="exact"/>
        <w:rPr>
          <w:sz w:val="20"/>
          <w:szCs w:val="20"/>
          <w:color w:val="auto"/>
        </w:rPr>
      </w:pPr>
    </w:p>
    <w:p>
      <w:pPr>
        <w:jc w:val="both"/>
        <w:ind w:left="4" w:firstLine="1156"/>
        <w:spacing w:after="0" w:line="270" w:lineRule="auto"/>
        <w:rPr>
          <w:sz w:val="20"/>
          <w:szCs w:val="20"/>
          <w:color w:val="auto"/>
        </w:rPr>
      </w:pPr>
      <w:r>
        <w:rPr>
          <w:rFonts w:ascii="Arial" w:cs="Arial" w:eastAsia="Arial" w:hAnsi="Arial"/>
          <w:sz w:val="19"/>
          <w:szCs w:val="19"/>
          <w:color w:val="auto"/>
        </w:rPr>
        <w:t>3.1.3 [****]</w:t>
      </w:r>
      <w:r>
        <w:rPr>
          <w:rFonts w:ascii="Arial" w:cs="Arial" w:eastAsia="Arial" w:hAnsi="Arial"/>
          <w:sz w:val="19"/>
          <w:szCs w:val="19"/>
          <w:u w:val="single" w:color="auto"/>
          <w:color w:val="auto"/>
        </w:rPr>
        <w:t>.</w:t>
      </w:r>
      <w:r>
        <w:rPr>
          <w:rFonts w:ascii="Arial" w:cs="Arial" w:eastAsia="Arial" w:hAnsi="Arial"/>
          <w:sz w:val="19"/>
          <w:szCs w:val="19"/>
          <w:color w:val="auto"/>
        </w:rPr>
        <w:t xml:space="preserve"> A [****] ([****]) in the [****] ([****]), [****] ([****]) of [****] ([****]) of [****], and [****] ([****]) of [****], in [****]. The [****] ([****]) [****] to the Purchase Agreement in accordance with the terms and conditions of the Purchase Agreement. The [****] to the Purchase Agreement in accordance with the terms and conditions of the Purchase Agreement [****]. In the event [****].</w:t>
      </w:r>
    </w:p>
    <w:p>
      <w:pPr>
        <w:spacing w:after="0" w:line="200" w:lineRule="exact"/>
        <w:rPr>
          <w:sz w:val="20"/>
          <w:szCs w:val="20"/>
          <w:color w:val="auto"/>
        </w:rPr>
      </w:pPr>
    </w:p>
    <w:p>
      <w:pPr>
        <w:spacing w:after="0" w:line="204" w:lineRule="exact"/>
        <w:rPr>
          <w:sz w:val="20"/>
          <w:szCs w:val="20"/>
          <w:color w:val="auto"/>
        </w:rPr>
      </w:pPr>
    </w:p>
    <w:p>
      <w:pPr>
        <w:ind w:left="4"/>
        <w:spacing w:after="0"/>
        <w:tabs>
          <w:tab w:leader="none" w:pos="2823" w:val="left"/>
        </w:tabs>
        <w:rPr>
          <w:sz w:val="20"/>
          <w:szCs w:val="20"/>
          <w:color w:val="auto"/>
        </w:rPr>
      </w:pPr>
      <w:r>
        <w:rPr>
          <w:rFonts w:ascii="Arial" w:cs="Arial" w:eastAsia="Arial" w:hAnsi="Arial"/>
          <w:sz w:val="19"/>
          <w:szCs w:val="19"/>
          <w:color w:val="auto"/>
        </w:rPr>
        <w:t>AAL-PA-03735-LA-2306975</w:t>
      </w:r>
      <w:r>
        <w:rPr>
          <w:rFonts w:ascii="Arial" w:cs="Arial" w:eastAsia="Arial" w:hAnsi="Arial"/>
          <w:sz w:val="19"/>
          <w:szCs w:val="19"/>
          <w:b w:val="1"/>
          <w:bCs w:val="1"/>
          <w:color w:val="auto"/>
        </w:rPr>
        <w:t>R1</w:t>
      </w:r>
      <w:r>
        <w:rPr>
          <w:rFonts w:ascii="Arial" w:cs="Arial" w:eastAsia="Arial" w:hAnsi="Arial"/>
          <w:sz w:val="19"/>
          <w:szCs w:val="19"/>
          <w:color w:val="auto"/>
        </w:rPr>
        <w:tab/>
        <w:t>SA-3</w:t>
      </w:r>
      <w:r>
        <w:rPr>
          <w:rFonts w:ascii="Arial" w:cs="Arial" w:eastAsia="Arial" w:hAnsi="Arial"/>
          <w:sz w:val="19"/>
          <w:szCs w:val="19"/>
          <w:b w:val="1"/>
          <w:bCs w:val="1"/>
          <w:color w:val="auto"/>
        </w:rPr>
        <w:t>5</w:t>
      </w:r>
    </w:p>
    <w:p>
      <w:pPr>
        <w:spacing w:after="0" w:line="30" w:lineRule="exact"/>
        <w:rPr>
          <w:sz w:val="20"/>
          <w:szCs w:val="20"/>
          <w:color w:val="auto"/>
        </w:rPr>
      </w:pPr>
    </w:p>
    <w:p>
      <w:pPr>
        <w:ind w:left="4"/>
        <w:spacing w:after="0"/>
        <w:tabs>
          <w:tab w:leader="none" w:pos="603" w:val="left"/>
        </w:tabs>
        <w:rPr>
          <w:sz w:val="20"/>
          <w:szCs w:val="20"/>
          <w:color w:val="auto"/>
        </w:rPr>
      </w:pPr>
      <w:r>
        <w:rPr>
          <w:rFonts w:ascii="Arial" w:cs="Arial" w:eastAsia="Arial" w:hAnsi="Arial"/>
          <w:sz w:val="19"/>
          <w:szCs w:val="19"/>
          <w:color w:val="auto"/>
        </w:rPr>
        <w:t>[****]</w:t>
        <w:tab/>
        <w:t>Page 1</w:t>
      </w:r>
    </w:p>
    <w:p>
      <w:pPr>
        <w:spacing w:after="0" w:line="18"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BOEING AND AMERICAN PROPRIETARY</w:t>
      </w:r>
    </w:p>
    <w:p>
      <w:pPr>
        <w:sectPr>
          <w:pgSz w:w="11900" w:h="16838" w:orient="portrait"/>
          <w:cols w:equalWidth="0" w:num="1">
            <w:col w:w="11264"/>
          </w:cols>
          <w:pgMar w:left="316" w:top="532" w:right="319" w:bottom="1440" w:gutter="0" w:footer="0" w:header="0"/>
        </w:sectPr>
      </w:pPr>
    </w:p>
    <w:bookmarkStart w:id="121" w:name="page122"/>
    <w:bookmarkEnd w:id="121"/>
    <w:p>
      <w:pPr>
        <w:ind w:left="1164"/>
        <w:spacing w:after="0"/>
        <w:tabs>
          <w:tab w:leader="none" w:pos="1783"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1391285" cy="3206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391285" cy="320675"/>
                    </a:xfrm>
                    <a:prstGeom prst="rect">
                      <a:avLst/>
                    </a:prstGeom>
                    <a:noFill/>
                  </pic:spPr>
                </pic:pic>
              </a:graphicData>
            </a:graphic>
          </wp:anchor>
        </w:drawing>
        <w:t>3.1.4</w:t>
        <w:tab/>
        <w:t>[****]. An [****] ([****]) in the [****] ([****]). The [****].</w:t>
      </w:r>
    </w:p>
    <w:p>
      <w:pPr>
        <w:spacing w:after="0" w:line="105" w:lineRule="exact"/>
        <w:rPr>
          <w:sz w:val="20"/>
          <w:szCs w:val="20"/>
          <w:color w:val="auto"/>
        </w:rPr>
      </w:pPr>
    </w:p>
    <w:p>
      <w:pPr>
        <w:jc w:val="both"/>
        <w:ind w:left="4" w:firstLine="1156"/>
        <w:spacing w:after="0" w:line="245" w:lineRule="auto"/>
        <w:rPr>
          <w:sz w:val="20"/>
          <w:szCs w:val="20"/>
          <w:color w:val="auto"/>
        </w:rPr>
      </w:pPr>
      <w:r>
        <w:rPr>
          <w:rFonts w:ascii="Arial" w:cs="Arial" w:eastAsia="Arial" w:hAnsi="Arial"/>
          <w:sz w:val="19"/>
          <w:szCs w:val="19"/>
          <w:b w:val="1"/>
          <w:bCs w:val="1"/>
          <w:color w:val="auto"/>
        </w:rPr>
        <w:t xml:space="preserve">3.1.5 </w:t>
      </w:r>
      <w:r>
        <w:rPr>
          <w:rFonts w:ascii="Arial" w:cs="Arial" w:eastAsia="Arial" w:hAnsi="Arial"/>
          <w:sz w:val="25"/>
          <w:szCs w:val="25"/>
          <w:b w:val="1"/>
          <w:bCs w:val="1"/>
          <w:u w:val="single" w:color="auto"/>
          <w:color w:val="auto"/>
          <w:vertAlign w:val="superscript"/>
        </w:rPr>
        <w:t>1</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w:t>
      </w:r>
      <w:r>
        <w:rPr>
          <w:rFonts w:ascii="Arial" w:cs="Arial" w:eastAsia="Arial" w:hAnsi="Arial"/>
          <w:sz w:val="19"/>
          <w:szCs w:val="19"/>
          <w:b w:val="1"/>
          <w:bCs w:val="1"/>
          <w:color w:val="auto"/>
        </w:rPr>
        <w:t xml:space="preserve"> For [****] noted in [****] (as defined in the [****] LA, as defined below), Boeing will [****] in accordance with and as described in [****] of Letter Agreement No. AAL-PA-3735-2306984, as amended, entitled “[****]” (the [****] </w:t>
      </w:r>
      <w:r>
        <w:rPr>
          <w:rFonts w:ascii="Arial" w:cs="Arial" w:eastAsia="Arial" w:hAnsi="Arial"/>
          <w:sz w:val="19"/>
          <w:szCs w:val="19"/>
          <w:b w:val="1"/>
          <w:bCs w:val="1"/>
          <w:i w:val="1"/>
          <w:iCs w:val="1"/>
          <w:color w:val="auto"/>
        </w:rPr>
        <w:t>LA</w:t>
      </w:r>
      <w:r>
        <w:rPr>
          <w:rFonts w:ascii="Arial" w:cs="Arial" w:eastAsia="Arial" w:hAnsi="Arial"/>
          <w:sz w:val="19"/>
          <w:szCs w:val="19"/>
          <w:b w:val="1"/>
          <w:bCs w:val="1"/>
          <w:color w:val="auto"/>
        </w:rPr>
        <w:t>) in the [****] of [****] ([****]) on [****] (as defined in the [****] LA) as shown below:</w:t>
      </w:r>
    </w:p>
    <w:p>
      <w:pPr>
        <w:spacing w:after="0" w:line="73" w:lineRule="exact"/>
        <w:rPr>
          <w:sz w:val="20"/>
          <w:szCs w:val="20"/>
          <w:color w:val="auto"/>
        </w:rPr>
      </w:pPr>
    </w:p>
    <w:tbl>
      <w:tblPr>
        <w:tblLayout w:type="fixed"/>
        <w:tblInd w:w="14" w:type="dxa"/>
        <w:tblCellMar>
          <w:top w:w="0" w:type="dxa"/>
          <w:left w:w="0" w:type="dxa"/>
          <w:bottom w:w="0" w:type="dxa"/>
          <w:right w:w="0" w:type="dxa"/>
        </w:tblCellMar>
      </w:tblPr>
      <w:tr>
        <w:trPr>
          <w:trHeight w:val="253"/>
        </w:trPr>
        <w:tc>
          <w:tcPr>
            <w:tcW w:w="5640" w:type="dxa"/>
            <w:vAlign w:val="bottom"/>
            <w:tcBorders>
              <w:top w:val="single" w:sz="8" w:color="auto"/>
              <w:left w:val="single" w:sz="8" w:color="auto"/>
              <w:bottom w:val="single" w:sz="8" w:color="auto"/>
              <w:right w:val="single" w:sz="8" w:color="auto"/>
            </w:tcBorders>
          </w:tcPr>
          <w:p>
            <w:pPr>
              <w:jc w:val="right"/>
              <w:ind w:right="2524"/>
              <w:spacing w:after="0"/>
              <w:rPr>
                <w:sz w:val="20"/>
                <w:szCs w:val="20"/>
                <w:color w:val="auto"/>
              </w:rPr>
            </w:pPr>
            <w:r>
              <w:rPr>
                <w:rFonts w:ascii="Arial" w:cs="Arial" w:eastAsia="Arial" w:hAnsi="Arial"/>
                <w:sz w:val="19"/>
                <w:szCs w:val="19"/>
                <w:b w:val="1"/>
                <w:bCs w:val="1"/>
                <w:color w:val="auto"/>
              </w:rPr>
              <w:t>[****]</w:t>
            </w:r>
          </w:p>
        </w:tc>
        <w:tc>
          <w:tcPr>
            <w:tcW w:w="5640" w:type="dxa"/>
            <w:vAlign w:val="bottom"/>
            <w:tcBorders>
              <w:top w:val="single" w:sz="8" w:color="auto"/>
              <w:bottom w:val="single" w:sz="8" w:color="auto"/>
              <w:right w:val="single" w:sz="8" w:color="auto"/>
            </w:tcBorders>
          </w:tcPr>
          <w:p>
            <w:pPr>
              <w:jc w:val="right"/>
              <w:ind w:right="2524"/>
              <w:spacing w:after="0"/>
              <w:rPr>
                <w:sz w:val="20"/>
                <w:szCs w:val="20"/>
                <w:color w:val="auto"/>
              </w:rPr>
            </w:pPr>
            <w:r>
              <w:rPr>
                <w:rFonts w:ascii="Arial" w:cs="Arial" w:eastAsia="Arial" w:hAnsi="Arial"/>
                <w:sz w:val="19"/>
                <w:szCs w:val="19"/>
                <w:b w:val="1"/>
                <w:bCs w:val="1"/>
                <w:color w:val="auto"/>
              </w:rPr>
              <w:t>[****]</w:t>
            </w:r>
          </w:p>
        </w:tc>
      </w:tr>
      <w:tr>
        <w:trPr>
          <w:trHeight w:val="233"/>
        </w:trPr>
        <w:tc>
          <w:tcPr>
            <w:tcW w:w="5640" w:type="dxa"/>
            <w:vAlign w:val="bottom"/>
            <w:tcBorders>
              <w:left w:val="single" w:sz="8" w:color="auto"/>
              <w:bottom w:val="single" w:sz="8" w:color="auto"/>
              <w:right w:val="single" w:sz="8" w:color="auto"/>
            </w:tcBorders>
          </w:tcPr>
          <w:p>
            <w:pPr>
              <w:jc w:val="right"/>
              <w:ind w:right="2524"/>
              <w:spacing w:after="0"/>
              <w:rPr>
                <w:sz w:val="20"/>
                <w:szCs w:val="20"/>
                <w:color w:val="auto"/>
              </w:rPr>
            </w:pPr>
            <w:r>
              <w:rPr>
                <w:rFonts w:ascii="Arial" w:cs="Arial" w:eastAsia="Arial" w:hAnsi="Arial"/>
                <w:sz w:val="19"/>
                <w:szCs w:val="19"/>
                <w:b w:val="1"/>
                <w:bCs w:val="1"/>
                <w:color w:val="auto"/>
              </w:rPr>
              <w:t>[****]</w:t>
            </w:r>
          </w:p>
        </w:tc>
        <w:tc>
          <w:tcPr>
            <w:tcW w:w="5640" w:type="dxa"/>
            <w:vAlign w:val="bottom"/>
            <w:tcBorders>
              <w:bottom w:val="single" w:sz="8" w:color="auto"/>
              <w:right w:val="single" w:sz="8" w:color="auto"/>
            </w:tcBorders>
          </w:tcPr>
          <w:p>
            <w:pPr>
              <w:jc w:val="right"/>
              <w:ind w:right="2524"/>
              <w:spacing w:after="0"/>
              <w:rPr>
                <w:sz w:val="20"/>
                <w:szCs w:val="20"/>
                <w:color w:val="auto"/>
              </w:rPr>
            </w:pPr>
            <w:r>
              <w:rPr>
                <w:rFonts w:ascii="Arial" w:cs="Arial" w:eastAsia="Arial" w:hAnsi="Arial"/>
                <w:sz w:val="19"/>
                <w:szCs w:val="19"/>
                <w:b w:val="1"/>
                <w:bCs w:val="1"/>
                <w:color w:val="auto"/>
              </w:rPr>
              <w:t>[****]</w:t>
            </w:r>
          </w:p>
        </w:tc>
      </w:tr>
      <w:tr>
        <w:trPr>
          <w:trHeight w:val="233"/>
        </w:trPr>
        <w:tc>
          <w:tcPr>
            <w:tcW w:w="5640" w:type="dxa"/>
            <w:vAlign w:val="bottom"/>
            <w:tcBorders>
              <w:left w:val="single" w:sz="8" w:color="auto"/>
              <w:bottom w:val="single" w:sz="8" w:color="auto"/>
              <w:right w:val="single" w:sz="8" w:color="auto"/>
            </w:tcBorders>
          </w:tcPr>
          <w:p>
            <w:pPr>
              <w:jc w:val="right"/>
              <w:ind w:right="2524"/>
              <w:spacing w:after="0"/>
              <w:rPr>
                <w:sz w:val="20"/>
                <w:szCs w:val="20"/>
                <w:color w:val="auto"/>
              </w:rPr>
            </w:pPr>
            <w:r>
              <w:rPr>
                <w:rFonts w:ascii="Arial" w:cs="Arial" w:eastAsia="Arial" w:hAnsi="Arial"/>
                <w:sz w:val="19"/>
                <w:szCs w:val="19"/>
                <w:b w:val="1"/>
                <w:bCs w:val="1"/>
                <w:color w:val="auto"/>
              </w:rPr>
              <w:t>[****]</w:t>
            </w:r>
          </w:p>
        </w:tc>
        <w:tc>
          <w:tcPr>
            <w:tcW w:w="5640" w:type="dxa"/>
            <w:vAlign w:val="bottom"/>
            <w:tcBorders>
              <w:bottom w:val="single" w:sz="8" w:color="auto"/>
              <w:right w:val="single" w:sz="8" w:color="auto"/>
            </w:tcBorders>
          </w:tcPr>
          <w:p>
            <w:pPr>
              <w:jc w:val="right"/>
              <w:ind w:right="2524"/>
              <w:spacing w:after="0"/>
              <w:rPr>
                <w:sz w:val="20"/>
                <w:szCs w:val="20"/>
                <w:color w:val="auto"/>
              </w:rPr>
            </w:pPr>
            <w:r>
              <w:rPr>
                <w:rFonts w:ascii="Arial" w:cs="Arial" w:eastAsia="Arial" w:hAnsi="Arial"/>
                <w:sz w:val="19"/>
                <w:szCs w:val="19"/>
                <w:b w:val="1"/>
                <w:bCs w:val="1"/>
                <w:color w:val="auto"/>
              </w:rPr>
              <w:t>[****]</w:t>
            </w:r>
          </w:p>
        </w:tc>
      </w:tr>
      <w:tr>
        <w:trPr>
          <w:trHeight w:val="233"/>
        </w:trPr>
        <w:tc>
          <w:tcPr>
            <w:tcW w:w="5640" w:type="dxa"/>
            <w:vAlign w:val="bottom"/>
            <w:tcBorders>
              <w:left w:val="single" w:sz="8" w:color="auto"/>
              <w:bottom w:val="single" w:sz="8" w:color="auto"/>
              <w:right w:val="single" w:sz="8" w:color="auto"/>
            </w:tcBorders>
          </w:tcPr>
          <w:p>
            <w:pPr>
              <w:jc w:val="right"/>
              <w:ind w:right="2524"/>
              <w:spacing w:after="0"/>
              <w:rPr>
                <w:sz w:val="20"/>
                <w:szCs w:val="20"/>
                <w:color w:val="auto"/>
              </w:rPr>
            </w:pPr>
            <w:r>
              <w:rPr>
                <w:rFonts w:ascii="Arial" w:cs="Arial" w:eastAsia="Arial" w:hAnsi="Arial"/>
                <w:sz w:val="19"/>
                <w:szCs w:val="19"/>
                <w:b w:val="1"/>
                <w:bCs w:val="1"/>
                <w:color w:val="auto"/>
              </w:rPr>
              <w:t>[****]</w:t>
            </w:r>
          </w:p>
        </w:tc>
        <w:tc>
          <w:tcPr>
            <w:tcW w:w="5640" w:type="dxa"/>
            <w:vAlign w:val="bottom"/>
            <w:tcBorders>
              <w:bottom w:val="single" w:sz="8" w:color="auto"/>
              <w:right w:val="single" w:sz="8" w:color="auto"/>
            </w:tcBorders>
          </w:tcPr>
          <w:p>
            <w:pPr>
              <w:jc w:val="right"/>
              <w:ind w:right="2524"/>
              <w:spacing w:after="0"/>
              <w:rPr>
                <w:sz w:val="20"/>
                <w:szCs w:val="20"/>
                <w:color w:val="auto"/>
              </w:rPr>
            </w:pPr>
            <w:r>
              <w:rPr>
                <w:rFonts w:ascii="Arial" w:cs="Arial" w:eastAsia="Arial" w:hAnsi="Arial"/>
                <w:sz w:val="19"/>
                <w:szCs w:val="19"/>
                <w:b w:val="1"/>
                <w:bCs w:val="1"/>
                <w:color w:val="auto"/>
              </w:rPr>
              <w:t>[****]</w:t>
            </w:r>
          </w:p>
        </w:tc>
      </w:tr>
    </w:tbl>
    <w:p>
      <w:pPr>
        <w:spacing w:after="0" w:line="371" w:lineRule="exact"/>
        <w:rPr>
          <w:sz w:val="20"/>
          <w:szCs w:val="20"/>
          <w:color w:val="auto"/>
        </w:rPr>
      </w:pPr>
    </w:p>
    <w:p>
      <w:pPr>
        <w:ind w:left="584"/>
        <w:spacing w:after="0"/>
        <w:tabs>
          <w:tab w:leader="none" w:pos="1043" w:val="left"/>
        </w:tabs>
        <w:rPr>
          <w:sz w:val="20"/>
          <w:szCs w:val="20"/>
          <w:color w:val="auto"/>
        </w:rPr>
      </w:pPr>
      <w:r>
        <w:rPr>
          <w:rFonts w:ascii="Arial" w:cs="Arial" w:eastAsia="Arial" w:hAnsi="Arial"/>
          <w:sz w:val="19"/>
          <w:szCs w:val="19"/>
          <w:b w:val="1"/>
          <w:bCs w:val="1"/>
          <w:color w:val="auto"/>
        </w:rPr>
        <w:t>3.2</w:t>
        <w:tab/>
        <w:t>[****]. The [****] for any and all [****] will be [****] in accordance with Article 2.2(iii) of the [****] LA.</w:t>
      </w:r>
    </w:p>
    <w:p>
      <w:pPr>
        <w:spacing w:after="0" w:line="121" w:lineRule="exact"/>
        <w:rPr>
          <w:sz w:val="20"/>
          <w:szCs w:val="20"/>
          <w:color w:val="auto"/>
        </w:rPr>
      </w:pPr>
    </w:p>
    <w:p>
      <w:pPr>
        <w:ind w:left="384" w:hanging="384"/>
        <w:spacing w:after="0"/>
        <w:tabs>
          <w:tab w:leader="none" w:pos="38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-8255</wp:posOffset>
            </wp:positionV>
            <wp:extent cx="3365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3655" cy="7620"/>
                    </a:xfrm>
                    <a:prstGeom prst="rect">
                      <a:avLst/>
                    </a:prstGeom>
                    <a:noFill/>
                  </pic:spPr>
                </pic:pic>
              </a:graphicData>
            </a:graphic>
          </wp:anchor>
        </w:drawing>
      </w:r>
    </w:p>
    <w:p>
      <w:pPr>
        <w:spacing w:after="0" w:line="87" w:lineRule="exact"/>
        <w:rPr>
          <w:sz w:val="20"/>
          <w:szCs w:val="20"/>
          <w:color w:val="auto"/>
        </w:rPr>
      </w:pPr>
    </w:p>
    <w:p>
      <w:pPr>
        <w:ind w:left="584"/>
        <w:spacing w:after="0"/>
        <w:tabs>
          <w:tab w:leader="none" w:pos="1043" w:val="left"/>
        </w:tabs>
        <w:rPr>
          <w:sz w:val="20"/>
          <w:szCs w:val="20"/>
          <w:color w:val="auto"/>
        </w:rPr>
      </w:pPr>
      <w:r>
        <w:rPr>
          <w:rFonts w:ascii="Arial" w:cs="Arial" w:eastAsia="Arial" w:hAnsi="Arial"/>
          <w:sz w:val="19"/>
          <w:szCs w:val="19"/>
          <w:color w:val="auto"/>
        </w:rPr>
        <w:t>4.1</w:t>
        <w:tab/>
        <w:t>[****]. At the [****], Boeing will [****]:</w:t>
      </w:r>
    </w:p>
    <w:p>
      <w:pPr>
        <w:spacing w:after="0" w:line="107" w:lineRule="exact"/>
        <w:rPr>
          <w:sz w:val="20"/>
          <w:szCs w:val="20"/>
          <w:color w:val="auto"/>
        </w:rPr>
      </w:pPr>
    </w:p>
    <w:p>
      <w:pPr>
        <w:jc w:val="both"/>
        <w:ind w:left="4" w:firstLine="1156"/>
        <w:spacing w:after="0" w:line="290" w:lineRule="auto"/>
        <w:rPr>
          <w:sz w:val="20"/>
          <w:szCs w:val="20"/>
          <w:color w:val="auto"/>
        </w:rPr>
      </w:pPr>
      <w:r>
        <w:rPr>
          <w:rFonts w:ascii="Arial" w:cs="Arial" w:eastAsia="Arial" w:hAnsi="Arial"/>
          <w:sz w:val="19"/>
          <w:szCs w:val="19"/>
          <w:color w:val="auto"/>
        </w:rPr>
        <w:t>4.1.1 [****]. An [****] ([****]) in the [****] ([****]). The [****] ([****]) and will be [****] set forth in the Purchase Agreement and in accordance with the terms and conditions of the Purchase Agreement for the respective Incremental Aircraft.</w:t>
      </w:r>
    </w:p>
    <w:p>
      <w:pPr>
        <w:spacing w:after="0" w:line="26" w:lineRule="exact"/>
        <w:rPr>
          <w:sz w:val="20"/>
          <w:szCs w:val="20"/>
          <w:color w:val="auto"/>
        </w:rPr>
      </w:pPr>
    </w:p>
    <w:p>
      <w:pPr>
        <w:jc w:val="both"/>
        <w:ind w:left="4" w:firstLine="1156"/>
        <w:spacing w:after="0" w:line="272" w:lineRule="auto"/>
        <w:rPr>
          <w:sz w:val="20"/>
          <w:szCs w:val="20"/>
          <w:color w:val="auto"/>
        </w:rPr>
      </w:pPr>
      <w:r>
        <w:rPr>
          <w:rFonts w:ascii="Arial" w:cs="Arial" w:eastAsia="Arial" w:hAnsi="Arial"/>
          <w:sz w:val="19"/>
          <w:szCs w:val="19"/>
          <w:color w:val="auto"/>
        </w:rPr>
        <w:t>4.1.2 [****]. An [****] ([****]) in the [****] ([****]), [****]. The [****] set forth in the Purchase Agreement and in accordance with the terms and conditions of the Purchase Agreement for the [****]. The [****] ([****]) [****] set forth in the Purchase Agreement and in accordance with the terms and conditions of the Purchase Agreement for the [****]. In the event [****], [****] and [****], the [****].</w:t>
      </w:r>
    </w:p>
    <w:p>
      <w:pPr>
        <w:spacing w:after="0" w:line="280" w:lineRule="exact"/>
        <w:rPr>
          <w:sz w:val="20"/>
          <w:szCs w:val="20"/>
          <w:color w:val="auto"/>
        </w:rPr>
      </w:pPr>
    </w:p>
    <w:p>
      <w:pPr>
        <w:jc w:val="both"/>
        <w:ind w:left="4" w:firstLine="1156"/>
        <w:spacing w:after="0" w:line="290" w:lineRule="auto"/>
        <w:rPr>
          <w:sz w:val="20"/>
          <w:szCs w:val="20"/>
          <w:color w:val="auto"/>
        </w:rPr>
      </w:pPr>
      <w:r>
        <w:rPr>
          <w:rFonts w:ascii="Arial" w:cs="Arial" w:eastAsia="Arial" w:hAnsi="Arial"/>
          <w:sz w:val="19"/>
          <w:szCs w:val="19"/>
          <w:color w:val="auto"/>
        </w:rPr>
        <w:t>4.1.3 [****]. A [****] ([****]) in the [****] ([****]). The [****] set forth in the Purchase Agreement and in accordance with the terms and conditions of the Purchase Agreement for the [****].</w:t>
      </w:r>
    </w:p>
    <w:p>
      <w:pPr>
        <w:spacing w:after="0" w:line="26" w:lineRule="exact"/>
        <w:rPr>
          <w:sz w:val="20"/>
          <w:szCs w:val="20"/>
          <w:color w:val="auto"/>
        </w:rPr>
      </w:pPr>
    </w:p>
    <w:p>
      <w:pPr>
        <w:jc w:val="both"/>
        <w:ind w:left="4" w:firstLine="1156"/>
        <w:spacing w:after="0" w:line="303" w:lineRule="auto"/>
        <w:rPr>
          <w:sz w:val="20"/>
          <w:szCs w:val="20"/>
          <w:color w:val="auto"/>
        </w:rPr>
      </w:pPr>
      <w:r>
        <w:rPr>
          <w:rFonts w:ascii="Arial" w:cs="Arial" w:eastAsia="Arial" w:hAnsi="Arial"/>
          <w:sz w:val="19"/>
          <w:szCs w:val="19"/>
          <w:color w:val="auto"/>
        </w:rPr>
        <w:t>4.1.4 [****]. A [****] ([****]) in the [****] ([****]). The [****] set forth in the Purchase Agreement and in accordance with the terms and conditions of the Purchase Agreement for the [****].</w:t>
      </w:r>
    </w:p>
    <w:p>
      <w:pPr>
        <w:spacing w:after="0" w:line="14" w:lineRule="exact"/>
        <w:rPr>
          <w:sz w:val="20"/>
          <w:szCs w:val="20"/>
          <w:color w:val="auto"/>
        </w:rPr>
      </w:pPr>
    </w:p>
    <w:p>
      <w:pPr>
        <w:jc w:val="both"/>
        <w:ind w:left="4" w:right="20" w:firstLine="1156"/>
        <w:spacing w:after="0" w:line="290" w:lineRule="auto"/>
        <w:rPr>
          <w:sz w:val="20"/>
          <w:szCs w:val="20"/>
          <w:color w:val="auto"/>
        </w:rPr>
      </w:pPr>
      <w:r>
        <w:rPr>
          <w:rFonts w:ascii="Arial" w:cs="Arial" w:eastAsia="Arial" w:hAnsi="Arial"/>
          <w:sz w:val="19"/>
          <w:szCs w:val="19"/>
          <w:color w:val="auto"/>
        </w:rPr>
        <w:t>4.1.5 [****]. In [****] ([****]) in the [****] ([****]). The [****] set forth in the Purchase Agreement and in accordance with the terms and conditions of the Purchase Agreement for the [****].</w:t>
      </w:r>
    </w:p>
    <w:p>
      <w:pPr>
        <w:spacing w:after="0" w:line="26" w:lineRule="exact"/>
        <w:rPr>
          <w:sz w:val="20"/>
          <w:szCs w:val="20"/>
          <w:color w:val="auto"/>
        </w:rPr>
      </w:pPr>
    </w:p>
    <w:p>
      <w:pPr>
        <w:jc w:val="both"/>
        <w:ind w:left="4" w:right="20" w:firstLine="1156"/>
        <w:spacing w:after="0" w:line="290" w:lineRule="auto"/>
        <w:rPr>
          <w:sz w:val="20"/>
          <w:szCs w:val="20"/>
          <w:color w:val="auto"/>
        </w:rPr>
      </w:pPr>
      <w:r>
        <w:rPr>
          <w:rFonts w:ascii="Arial" w:cs="Arial" w:eastAsia="Arial" w:hAnsi="Arial"/>
          <w:sz w:val="19"/>
          <w:szCs w:val="19"/>
          <w:color w:val="auto"/>
        </w:rPr>
        <w:t>4.1.6 [****]. In [****] ([****]) in the [****] ([****]). The [****] set forth in the Purchase Agreement and in accordance with the terms and conditions of the Purchase Agreement for the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152908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529080" cy="7620"/>
                    </a:xfrm>
                    <a:prstGeom prst="rect">
                      <a:avLst/>
                    </a:prstGeom>
                    <a:noFill/>
                  </pic:spPr>
                </pic:pic>
              </a:graphicData>
            </a:graphic>
          </wp:anchor>
        </w:drawing>
      </w:r>
    </w:p>
    <w:p>
      <w:pPr>
        <w:spacing w:after="0" w:line="139" w:lineRule="exact"/>
        <w:rPr>
          <w:sz w:val="20"/>
          <w:szCs w:val="20"/>
          <w:color w:val="auto"/>
        </w:rPr>
      </w:pPr>
    </w:p>
    <w:p>
      <w:pPr>
        <w:ind w:left="104" w:hanging="104"/>
        <w:spacing w:after="0"/>
        <w:tabs>
          <w:tab w:leader="none" w:pos="104"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Articles that are bolded in their entirety are new as of R1 of this Letter Agreement.</w:t>
      </w:r>
    </w:p>
    <w:p>
      <w:pPr>
        <w:spacing w:after="0" w:line="200" w:lineRule="exact"/>
        <w:rPr>
          <w:sz w:val="20"/>
          <w:szCs w:val="20"/>
          <w:color w:val="auto"/>
        </w:rPr>
      </w:pPr>
    </w:p>
    <w:p>
      <w:pPr>
        <w:spacing w:after="0" w:line="362" w:lineRule="exact"/>
        <w:rPr>
          <w:sz w:val="20"/>
          <w:szCs w:val="20"/>
          <w:color w:val="auto"/>
        </w:rPr>
      </w:pPr>
    </w:p>
    <w:tbl>
      <w:tblPr>
        <w:tblLayout w:type="fixed"/>
        <w:tblInd w:w="4"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r>
              <w:rPr>
                <w:rFonts w:ascii="Arial" w:cs="Arial" w:eastAsia="Arial" w:hAnsi="Arial"/>
                <w:sz w:val="19"/>
                <w:szCs w:val="19"/>
                <w:color w:val="auto"/>
              </w:rPr>
              <w:t>AAL-PA-03735-LA-2306975</w:t>
            </w:r>
            <w:r>
              <w:rPr>
                <w:rFonts w:ascii="Arial" w:cs="Arial" w:eastAsia="Arial" w:hAnsi="Arial"/>
                <w:sz w:val="19"/>
                <w:szCs w:val="19"/>
                <w:b w:val="1"/>
                <w:bCs w:val="1"/>
                <w:color w:val="auto"/>
              </w:rPr>
              <w:t>R1</w:t>
            </w:r>
          </w:p>
        </w:tc>
        <w:tc>
          <w:tcPr>
            <w:tcW w:w="4320" w:type="dxa"/>
            <w:vAlign w:val="bottom"/>
          </w:tcPr>
          <w:p>
            <w:pPr>
              <w:ind w:left="1260"/>
              <w:spacing w:after="0"/>
              <w:rPr>
                <w:sz w:val="20"/>
                <w:szCs w:val="20"/>
                <w:color w:val="auto"/>
              </w:rPr>
            </w:pPr>
            <w:r>
              <w:rPr>
                <w:rFonts w:ascii="Arial" w:cs="Arial" w:eastAsia="Arial" w:hAnsi="Arial"/>
                <w:sz w:val="19"/>
                <w:szCs w:val="19"/>
                <w:color w:val="auto"/>
              </w:rPr>
              <w:t>SA-3</w:t>
            </w:r>
            <w:r>
              <w:rPr>
                <w:rFonts w:ascii="Arial" w:cs="Arial" w:eastAsia="Arial" w:hAnsi="Arial"/>
                <w:sz w:val="19"/>
                <w:szCs w:val="19"/>
                <w:b w:val="1"/>
                <w:bCs w:val="1"/>
                <w:color w:val="auto"/>
              </w:rPr>
              <w:t>5</w:t>
            </w: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0"/>
                <w:szCs w:val="20"/>
                <w:color w:val="auto"/>
              </w:rPr>
            </w:pPr>
            <w:r>
              <w:rPr>
                <w:rFonts w:ascii="Arial" w:cs="Arial" w:eastAsia="Arial" w:hAnsi="Arial"/>
                <w:sz w:val="19"/>
                <w:szCs w:val="19"/>
                <w:color w:val="auto"/>
              </w:rPr>
              <w:t>[****]  Page 2</w:t>
            </w:r>
          </w:p>
        </w:tc>
        <w:tc>
          <w:tcPr>
            <w:tcW w:w="4320" w:type="dxa"/>
            <w:vAlign w:val="bottom"/>
            <w:vMerge w:val="restart"/>
          </w:tcPr>
          <w:p>
            <w:pPr>
              <w:ind w:left="580"/>
              <w:spacing w:after="0"/>
              <w:rPr>
                <w:sz w:val="20"/>
                <w:szCs w:val="20"/>
                <w:color w:val="auto"/>
              </w:rPr>
            </w:pPr>
            <w:r>
              <w:rPr>
                <w:rFonts w:ascii="Arial" w:cs="Arial" w:eastAsia="Arial" w:hAnsi="Arial"/>
                <w:sz w:val="19"/>
                <w:szCs w:val="19"/>
                <w:b w:val="1"/>
                <w:bCs w:val="1"/>
                <w:color w:val="auto"/>
              </w:rPr>
              <w:t>BOEING AND AMERICAN PROPRIETARY</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1380" w:right="319" w:bottom="1440" w:gutter="0" w:footer="0" w:header="0"/>
        </w:sectPr>
      </w:pPr>
    </w:p>
    <w:bookmarkStart w:id="122" w:name="page123"/>
    <w:bookmarkEnd w:id="122"/>
    <w:p>
      <w:pPr>
        <w:jc w:val="both"/>
        <w:ind w:firstLine="1156"/>
        <w:spacing w:after="0" w:line="29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1391285" cy="3213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391285" cy="321310"/>
                    </a:xfrm>
                    <a:prstGeom prst="rect">
                      <a:avLst/>
                    </a:prstGeom>
                    <a:noFill/>
                  </pic:spPr>
                </pic:pic>
              </a:graphicData>
            </a:graphic>
          </wp:anchor>
        </w:drawing>
        <w:t>4.1.7 [****]. A [****] ([****]) in the [****] ([****]). The [****] set forth in the Purchase Agreement and in accordance with the terms and conditions of the Purchase Agreement for the [****].</w:t>
      </w:r>
    </w:p>
    <w:p>
      <w:pPr>
        <w:spacing w:after="0" w:line="26"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4.2</w:t>
        <w:tab/>
        <w:t>[****]. At the [****], Boeing will [****]:</w:t>
      </w:r>
    </w:p>
    <w:p>
      <w:pPr>
        <w:spacing w:after="0" w:line="119" w:lineRule="exact"/>
        <w:rPr>
          <w:sz w:val="20"/>
          <w:szCs w:val="20"/>
          <w:color w:val="auto"/>
        </w:rPr>
      </w:pPr>
    </w:p>
    <w:p>
      <w:pPr>
        <w:jc w:val="both"/>
        <w:ind w:firstLine="1156"/>
        <w:spacing w:after="0" w:line="290" w:lineRule="auto"/>
        <w:rPr>
          <w:sz w:val="20"/>
          <w:szCs w:val="20"/>
          <w:color w:val="auto"/>
        </w:rPr>
      </w:pPr>
      <w:r>
        <w:rPr>
          <w:rFonts w:ascii="Arial" w:cs="Arial" w:eastAsia="Arial" w:hAnsi="Arial"/>
          <w:sz w:val="19"/>
          <w:szCs w:val="19"/>
          <w:color w:val="auto"/>
        </w:rPr>
        <w:t>4.2.1 [****]. A [****] ([****]) in the [****] ([****]). The [****] set forth in the Purchase Agreement and in accordance with the terms and conditions of the Purchase Agreement for the [****].</w:t>
      </w:r>
    </w:p>
    <w:p>
      <w:pPr>
        <w:spacing w:after="0" w:line="26" w:lineRule="exact"/>
        <w:rPr>
          <w:sz w:val="20"/>
          <w:szCs w:val="20"/>
          <w:color w:val="auto"/>
        </w:rPr>
      </w:pPr>
    </w:p>
    <w:p>
      <w:pPr>
        <w:jc w:val="both"/>
        <w:ind w:firstLine="1156"/>
        <w:spacing w:after="0" w:line="270" w:lineRule="auto"/>
        <w:rPr>
          <w:sz w:val="20"/>
          <w:szCs w:val="20"/>
          <w:color w:val="auto"/>
        </w:rPr>
      </w:pPr>
      <w:r>
        <w:rPr>
          <w:rFonts w:ascii="Arial" w:cs="Arial" w:eastAsia="Arial" w:hAnsi="Arial"/>
          <w:sz w:val="19"/>
          <w:szCs w:val="19"/>
          <w:color w:val="auto"/>
        </w:rPr>
        <w:t>4.2.2 [****]. A [****] ([****]) in the [****] ([****]), [****]. The [****] set forth in the Purchase Agreement and in accordance with the terms and conditions of the Purchase Agreement for the [****]. The [****] ([****]) [****] set forth in the Purchase Agreement and in accordance with the terms and conditions of the Purchase Agreement. In the event [****].</w:t>
      </w:r>
    </w:p>
    <w:p>
      <w:pPr>
        <w:spacing w:after="0" w:line="57" w:lineRule="exact"/>
        <w:rPr>
          <w:sz w:val="20"/>
          <w:szCs w:val="20"/>
          <w:color w:val="auto"/>
        </w:rPr>
      </w:pPr>
    </w:p>
    <w:p>
      <w:pPr>
        <w:jc w:val="both"/>
        <w:ind w:firstLine="1156"/>
        <w:spacing w:after="0" w:line="290" w:lineRule="auto"/>
        <w:rPr>
          <w:sz w:val="20"/>
          <w:szCs w:val="20"/>
          <w:color w:val="auto"/>
        </w:rPr>
      </w:pPr>
      <w:r>
        <w:rPr>
          <w:rFonts w:ascii="Arial" w:cs="Arial" w:eastAsia="Arial" w:hAnsi="Arial"/>
          <w:sz w:val="19"/>
          <w:szCs w:val="19"/>
          <w:color w:val="auto"/>
        </w:rPr>
        <w:t>4.2.3 [****]. A [****] ([****]) in the [****] ([****]). The [****] set forth in the Purchase Agreement and in accordance with the terms and conditions of the Purchase Agreement for the [****].</w:t>
      </w:r>
    </w:p>
    <w:p>
      <w:pPr>
        <w:spacing w:after="0" w:line="26" w:lineRule="exact"/>
        <w:rPr>
          <w:sz w:val="20"/>
          <w:szCs w:val="20"/>
          <w:color w:val="auto"/>
        </w:rPr>
      </w:pPr>
    </w:p>
    <w:p>
      <w:pPr>
        <w:jc w:val="both"/>
        <w:ind w:firstLine="1156"/>
        <w:spacing w:after="0" w:line="290" w:lineRule="auto"/>
        <w:rPr>
          <w:sz w:val="20"/>
          <w:szCs w:val="20"/>
          <w:color w:val="auto"/>
        </w:rPr>
      </w:pPr>
      <w:r>
        <w:rPr>
          <w:rFonts w:ascii="Arial" w:cs="Arial" w:eastAsia="Arial" w:hAnsi="Arial"/>
          <w:sz w:val="19"/>
          <w:szCs w:val="19"/>
          <w:color w:val="auto"/>
        </w:rPr>
        <w:t>4.2.4 [****]. A [****] ([****]) in the [****] ([****]). The [****] set forth in the Purchase Agreement and in accordance with the terms and conditions of the Purchase Agreement for the for the [****].</w:t>
      </w:r>
    </w:p>
    <w:p>
      <w:pPr>
        <w:spacing w:after="0" w:line="26" w:lineRule="exact"/>
        <w:rPr>
          <w:sz w:val="20"/>
          <w:szCs w:val="20"/>
          <w:color w:val="auto"/>
        </w:rPr>
      </w:pPr>
    </w:p>
    <w:p>
      <w:pPr>
        <w:jc w:val="both"/>
        <w:ind w:right="20" w:firstLine="1156"/>
        <w:spacing w:after="0" w:line="290" w:lineRule="auto"/>
        <w:rPr>
          <w:sz w:val="20"/>
          <w:szCs w:val="20"/>
          <w:color w:val="auto"/>
        </w:rPr>
      </w:pPr>
      <w:r>
        <w:rPr>
          <w:rFonts w:ascii="Arial" w:cs="Arial" w:eastAsia="Arial" w:hAnsi="Arial"/>
          <w:sz w:val="19"/>
          <w:szCs w:val="19"/>
          <w:color w:val="auto"/>
        </w:rPr>
        <w:t>4.2.5 [****]. In [****] ([****]) in the [****] ([****]). The [****] set forth in the Purchase Agreement and in accordance with the terms and conditions of the Purchase Agreement for the [****].</w:t>
      </w:r>
    </w:p>
    <w:p>
      <w:pPr>
        <w:spacing w:after="0" w:line="38" w:lineRule="exact"/>
        <w:rPr>
          <w:sz w:val="20"/>
          <w:szCs w:val="20"/>
          <w:color w:val="auto"/>
        </w:rPr>
      </w:pPr>
    </w:p>
    <w:p>
      <w:pPr>
        <w:jc w:val="both"/>
        <w:ind w:firstLine="1156"/>
        <w:spacing w:after="0" w:line="290" w:lineRule="auto"/>
        <w:rPr>
          <w:sz w:val="20"/>
          <w:szCs w:val="20"/>
          <w:color w:val="auto"/>
        </w:rPr>
      </w:pPr>
      <w:r>
        <w:rPr>
          <w:rFonts w:ascii="Arial" w:cs="Arial" w:eastAsia="Arial" w:hAnsi="Arial"/>
          <w:sz w:val="19"/>
          <w:szCs w:val="19"/>
          <w:color w:val="auto"/>
        </w:rPr>
        <w:t>4.2.6 [****]. A [****] ([****]) in the [****] ([****]). The [****] set forth in the Purchase Agreement and in accordance with the terms and conditions of the Purchase Agreement for the [****].</w:t>
      </w:r>
    </w:p>
    <w:p>
      <w:pPr>
        <w:spacing w:after="0" w:line="26"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4.3</w:t>
        <w:tab/>
        <w:t>[****]. At the [****], Boeing will [****]:</w:t>
      </w:r>
    </w:p>
    <w:p>
      <w:pPr>
        <w:spacing w:after="0" w:line="107" w:lineRule="exact"/>
        <w:rPr>
          <w:sz w:val="20"/>
          <w:szCs w:val="20"/>
          <w:color w:val="auto"/>
        </w:rPr>
      </w:pPr>
    </w:p>
    <w:p>
      <w:pPr>
        <w:jc w:val="both"/>
        <w:ind w:firstLine="1156"/>
        <w:spacing w:after="0" w:line="290" w:lineRule="auto"/>
        <w:rPr>
          <w:sz w:val="20"/>
          <w:szCs w:val="20"/>
          <w:color w:val="auto"/>
        </w:rPr>
      </w:pPr>
      <w:r>
        <w:rPr>
          <w:rFonts w:ascii="Arial" w:cs="Arial" w:eastAsia="Arial" w:hAnsi="Arial"/>
          <w:sz w:val="19"/>
          <w:szCs w:val="19"/>
          <w:color w:val="auto"/>
        </w:rPr>
        <w:t>4.3.1 [****]. A [****] ([****]) in the [****] ([****]). The [****] set forth in the Purchase Agreement and in accordance with the terms and conditions of the Purchase Agreement for the [****].</w:t>
      </w:r>
    </w:p>
    <w:p>
      <w:pPr>
        <w:spacing w:after="0" w:line="38" w:lineRule="exact"/>
        <w:rPr>
          <w:sz w:val="20"/>
          <w:szCs w:val="20"/>
          <w:color w:val="auto"/>
        </w:rPr>
      </w:pPr>
    </w:p>
    <w:p>
      <w:pPr>
        <w:jc w:val="both"/>
        <w:ind w:firstLine="1156"/>
        <w:spacing w:after="0" w:line="270" w:lineRule="auto"/>
        <w:rPr>
          <w:sz w:val="20"/>
          <w:szCs w:val="20"/>
          <w:color w:val="auto"/>
        </w:rPr>
      </w:pPr>
      <w:r>
        <w:rPr>
          <w:rFonts w:ascii="Arial" w:cs="Arial" w:eastAsia="Arial" w:hAnsi="Arial"/>
          <w:sz w:val="19"/>
          <w:szCs w:val="19"/>
          <w:color w:val="auto"/>
        </w:rPr>
        <w:t>4.3.2 [****]. A [****] ([****]) in the [****] ([****]), [****]. The [****] set forth in the Purchase Agreement and in accordance with the terms and conditions of the Purchase Agreement for the [****]. In the event [****]. The [****] ([****]) [****] set forth in the Purchase Agreement and in accordance with the terms and conditions of the Purchase Agreement for the [****].</w:t>
      </w:r>
    </w:p>
    <w:p>
      <w:pPr>
        <w:spacing w:after="0" w:line="45" w:lineRule="exact"/>
        <w:rPr>
          <w:sz w:val="20"/>
          <w:szCs w:val="20"/>
          <w:color w:val="auto"/>
        </w:rPr>
      </w:pPr>
    </w:p>
    <w:p>
      <w:pPr>
        <w:jc w:val="both"/>
        <w:ind w:firstLine="1156"/>
        <w:spacing w:after="0" w:line="290" w:lineRule="auto"/>
        <w:rPr>
          <w:sz w:val="20"/>
          <w:szCs w:val="20"/>
          <w:color w:val="auto"/>
        </w:rPr>
      </w:pPr>
      <w:r>
        <w:rPr>
          <w:rFonts w:ascii="Arial" w:cs="Arial" w:eastAsia="Arial" w:hAnsi="Arial"/>
          <w:sz w:val="19"/>
          <w:szCs w:val="19"/>
          <w:color w:val="auto"/>
        </w:rPr>
        <w:t>4.3.3 [****]. A [****] ([****]) in the [****] ([****]). The [****] set forth in the Purchase Agreement and in accordance with the terms and conditions of the Purchase Agreement for the [****].</w:t>
      </w:r>
    </w:p>
    <w:p>
      <w:pPr>
        <w:spacing w:after="0" w:line="38" w:lineRule="exact"/>
        <w:rPr>
          <w:sz w:val="20"/>
          <w:szCs w:val="20"/>
          <w:color w:val="auto"/>
        </w:rPr>
      </w:pPr>
    </w:p>
    <w:p>
      <w:pPr>
        <w:jc w:val="both"/>
        <w:ind w:firstLine="1156"/>
        <w:spacing w:after="0" w:line="290" w:lineRule="auto"/>
        <w:rPr>
          <w:sz w:val="20"/>
          <w:szCs w:val="20"/>
          <w:color w:val="auto"/>
        </w:rPr>
      </w:pPr>
      <w:r>
        <w:rPr>
          <w:rFonts w:ascii="Arial" w:cs="Arial" w:eastAsia="Arial" w:hAnsi="Arial"/>
          <w:sz w:val="19"/>
          <w:szCs w:val="19"/>
          <w:color w:val="auto"/>
        </w:rPr>
        <w:t>4.3.4 [****]. A [****] ([****]) in the [****] ([****]). The [****] set forth in the Purchase Agreement and in accordance with the terms and conditions of the Purchase Agreement for the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r>
              <w:rPr>
                <w:rFonts w:ascii="Arial" w:cs="Arial" w:eastAsia="Arial" w:hAnsi="Arial"/>
                <w:sz w:val="19"/>
                <w:szCs w:val="19"/>
                <w:color w:val="auto"/>
              </w:rPr>
              <w:t>AAL-PA-03735-LA-2306975</w:t>
            </w:r>
            <w:r>
              <w:rPr>
                <w:rFonts w:ascii="Arial" w:cs="Arial" w:eastAsia="Arial" w:hAnsi="Arial"/>
                <w:sz w:val="19"/>
                <w:szCs w:val="19"/>
                <w:b w:val="1"/>
                <w:bCs w:val="1"/>
                <w:color w:val="auto"/>
              </w:rPr>
              <w:t>R1</w:t>
            </w:r>
          </w:p>
        </w:tc>
        <w:tc>
          <w:tcPr>
            <w:tcW w:w="4320" w:type="dxa"/>
            <w:vAlign w:val="bottom"/>
          </w:tcPr>
          <w:p>
            <w:pPr>
              <w:ind w:left="1260"/>
              <w:spacing w:after="0"/>
              <w:rPr>
                <w:sz w:val="20"/>
                <w:szCs w:val="20"/>
                <w:color w:val="auto"/>
              </w:rPr>
            </w:pPr>
            <w:r>
              <w:rPr>
                <w:rFonts w:ascii="Arial" w:cs="Arial" w:eastAsia="Arial" w:hAnsi="Arial"/>
                <w:sz w:val="19"/>
                <w:szCs w:val="19"/>
                <w:color w:val="auto"/>
              </w:rPr>
              <w:t>SA-3</w:t>
            </w:r>
            <w:r>
              <w:rPr>
                <w:rFonts w:ascii="Arial" w:cs="Arial" w:eastAsia="Arial" w:hAnsi="Arial"/>
                <w:sz w:val="19"/>
                <w:szCs w:val="19"/>
                <w:b w:val="1"/>
                <w:bCs w:val="1"/>
                <w:color w:val="auto"/>
              </w:rPr>
              <w:t>5</w:t>
            </w: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0"/>
                <w:szCs w:val="20"/>
                <w:color w:val="auto"/>
              </w:rPr>
            </w:pPr>
            <w:r>
              <w:rPr>
                <w:rFonts w:ascii="Arial" w:cs="Arial" w:eastAsia="Arial" w:hAnsi="Arial"/>
                <w:sz w:val="19"/>
                <w:szCs w:val="19"/>
                <w:color w:val="auto"/>
              </w:rPr>
              <w:t>[****]  Page 3</w:t>
            </w:r>
          </w:p>
        </w:tc>
        <w:tc>
          <w:tcPr>
            <w:tcW w:w="4320" w:type="dxa"/>
            <w:vAlign w:val="bottom"/>
            <w:vMerge w:val="restart"/>
          </w:tcPr>
          <w:p>
            <w:pPr>
              <w:ind w:left="580"/>
              <w:spacing w:after="0"/>
              <w:rPr>
                <w:sz w:val="20"/>
                <w:szCs w:val="20"/>
                <w:color w:val="auto"/>
              </w:rPr>
            </w:pPr>
            <w:r>
              <w:rPr>
                <w:rFonts w:ascii="Arial" w:cs="Arial" w:eastAsia="Arial" w:hAnsi="Arial"/>
                <w:sz w:val="19"/>
                <w:szCs w:val="19"/>
                <w:b w:val="1"/>
                <w:bCs w:val="1"/>
                <w:color w:val="auto"/>
              </w:rPr>
              <w:t>BOEING AND AMERICAN PROPRIETARY</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80" w:right="319" w:bottom="1440" w:gutter="0" w:footer="0" w:header="0"/>
        </w:sectPr>
      </w:pPr>
    </w:p>
    <w:bookmarkStart w:id="123" w:name="page124"/>
    <w:bookmarkEnd w:id="123"/>
    <w:p>
      <w:pPr>
        <w:ind w:left="384" w:hanging="384"/>
        <w:spacing w:after="0"/>
        <w:tabs>
          <w:tab w:leader="none" w:pos="38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1391285" cy="3206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391285" cy="320675"/>
                    </a:xfrm>
                    <a:prstGeom prst="rect">
                      <a:avLst/>
                    </a:prstGeom>
                    <a:noFill/>
                  </pic:spPr>
                </pic:pic>
              </a:graphicData>
            </a:graphic>
          </wp:anchor>
        </w:drawing>
        <w:t>[****].</w:t>
      </w:r>
    </w:p>
    <w:p>
      <w:pPr>
        <w:spacing w:after="0" w:line="107" w:lineRule="exact"/>
        <w:rPr>
          <w:sz w:val="20"/>
          <w:szCs w:val="20"/>
          <w:color w:val="auto"/>
        </w:rPr>
      </w:pPr>
    </w:p>
    <w:p>
      <w:pPr>
        <w:ind w:left="4" w:firstLine="578"/>
        <w:spacing w:after="0" w:line="290" w:lineRule="auto"/>
        <w:rPr>
          <w:sz w:val="20"/>
          <w:szCs w:val="20"/>
          <w:color w:val="auto"/>
        </w:rPr>
      </w:pPr>
      <w:r>
        <w:rPr>
          <w:rFonts w:ascii="Arial" w:cs="Arial" w:eastAsia="Arial" w:hAnsi="Arial"/>
          <w:sz w:val="19"/>
          <w:szCs w:val="19"/>
          <w:color w:val="auto"/>
        </w:rPr>
        <w:t>5.1 If [****] of the following [****] Aircraft that is to be delivered by Boeing to Customer, [****] Aircraft [****], Boeing [****] ([****]) in the [****] ([****]):</w:t>
      </w:r>
    </w:p>
    <w:p>
      <w:pPr>
        <w:spacing w:after="0" w:line="38" w:lineRule="exact"/>
        <w:rPr>
          <w:sz w:val="20"/>
          <w:szCs w:val="20"/>
          <w:color w:val="auto"/>
        </w:rPr>
      </w:pPr>
    </w:p>
    <w:p>
      <w:pPr>
        <w:ind w:left="904" w:hanging="326"/>
        <w:spacing w:after="0"/>
        <w:tabs>
          <w:tab w:leader="none" w:pos="904" w:val="left"/>
        </w:tabs>
        <w:numPr>
          <w:ilvl w:val="0"/>
          <w:numId w:val="77"/>
        </w:numPr>
        <w:rPr>
          <w:rFonts w:ascii="Arial" w:cs="Arial" w:eastAsia="Arial" w:hAnsi="Arial"/>
          <w:sz w:val="19"/>
          <w:szCs w:val="19"/>
          <w:color w:val="auto"/>
        </w:rPr>
      </w:pPr>
      <w:r>
        <w:rPr>
          <w:rFonts w:ascii="Arial" w:cs="Arial" w:eastAsia="Arial" w:hAnsi="Arial"/>
          <w:sz w:val="19"/>
          <w:szCs w:val="19"/>
          <w:color w:val="auto"/>
        </w:rPr>
        <w:t>[****]; and</w:t>
      </w:r>
    </w:p>
    <w:p>
      <w:pPr>
        <w:spacing w:after="0" w:line="28" w:lineRule="exact"/>
        <w:rPr>
          <w:rFonts w:ascii="Arial" w:cs="Arial" w:eastAsia="Arial" w:hAnsi="Arial"/>
          <w:sz w:val="19"/>
          <w:szCs w:val="19"/>
          <w:color w:val="auto"/>
        </w:rPr>
      </w:pPr>
    </w:p>
    <w:p>
      <w:pPr>
        <w:ind w:left="944" w:hanging="366"/>
        <w:spacing w:after="0"/>
        <w:tabs>
          <w:tab w:leader="none" w:pos="944" w:val="left"/>
        </w:tabs>
        <w:numPr>
          <w:ilvl w:val="0"/>
          <w:numId w:val="77"/>
        </w:numPr>
        <w:rPr>
          <w:rFonts w:ascii="Arial" w:cs="Arial" w:eastAsia="Arial" w:hAnsi="Arial"/>
          <w:sz w:val="19"/>
          <w:szCs w:val="19"/>
          <w:color w:val="auto"/>
        </w:rPr>
      </w:pPr>
      <w:r>
        <w:rPr>
          <w:rFonts w:ascii="Arial" w:cs="Arial" w:eastAsia="Arial" w:hAnsi="Arial"/>
          <w:sz w:val="19"/>
          <w:szCs w:val="19"/>
          <w:color w:val="auto"/>
        </w:rPr>
        <w:t>[****]; and</w:t>
      </w:r>
    </w:p>
    <w:p>
      <w:pPr>
        <w:spacing w:after="0" w:line="10" w:lineRule="exact"/>
        <w:rPr>
          <w:rFonts w:ascii="Arial" w:cs="Arial" w:eastAsia="Arial" w:hAnsi="Arial"/>
          <w:sz w:val="19"/>
          <w:szCs w:val="19"/>
          <w:color w:val="auto"/>
        </w:rPr>
      </w:pPr>
    </w:p>
    <w:p>
      <w:pPr>
        <w:ind w:left="984" w:hanging="406"/>
        <w:spacing w:after="0"/>
        <w:tabs>
          <w:tab w:leader="none" w:pos="98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w:t>
      </w:r>
    </w:p>
    <w:p>
      <w:pPr>
        <w:spacing w:after="0" w:line="89" w:lineRule="exact"/>
        <w:rPr>
          <w:sz w:val="20"/>
          <w:szCs w:val="20"/>
          <w:color w:val="auto"/>
        </w:rPr>
      </w:pPr>
    </w:p>
    <w:p>
      <w:pPr>
        <w:ind w:left="584"/>
        <w:spacing w:after="0"/>
        <w:tabs>
          <w:tab w:leader="none" w:pos="1043" w:val="left"/>
        </w:tabs>
        <w:rPr>
          <w:sz w:val="20"/>
          <w:szCs w:val="20"/>
          <w:color w:val="auto"/>
        </w:rPr>
      </w:pPr>
      <w:r>
        <w:rPr>
          <w:rFonts w:ascii="Arial" w:cs="Arial" w:eastAsia="Arial" w:hAnsi="Arial"/>
          <w:sz w:val="19"/>
          <w:szCs w:val="19"/>
          <w:color w:val="auto"/>
        </w:rPr>
        <w:t>5.2</w:t>
        <w:tab/>
        <w:t>The [****] ([****]).</w:t>
      </w:r>
    </w:p>
    <w:p>
      <w:pPr>
        <w:spacing w:after="0" w:line="107" w:lineRule="exact"/>
        <w:rPr>
          <w:sz w:val="20"/>
          <w:szCs w:val="20"/>
          <w:color w:val="auto"/>
        </w:rPr>
      </w:pPr>
    </w:p>
    <w:p>
      <w:pPr>
        <w:ind w:left="384" w:hanging="384"/>
        <w:spacing w:after="0"/>
        <w:tabs>
          <w:tab w:leader="none" w:pos="38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in the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Customer </w:t>
      </w:r>
      <w:r>
        <w:rPr>
          <w:rFonts w:ascii="Arial" w:cs="Arial" w:eastAsia="Arial" w:hAnsi="Arial"/>
          <w:sz w:val="19"/>
          <w:szCs w:val="19"/>
          <w:u w:val="single" w:color="auto"/>
          <w:color w:val="auto"/>
        </w:rPr>
        <w:t>[****]</w:t>
      </w:r>
      <w:r>
        <w:rPr>
          <w:rFonts w:ascii="Arial" w:cs="Arial" w:eastAsia="Arial" w:hAnsi="Arial"/>
          <w:sz w:val="19"/>
          <w:szCs w:val="19"/>
          <w:color w:val="auto"/>
        </w:rPr>
        <w:t xml:space="preserve"> for </w:t>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384" w:hanging="384"/>
        <w:spacing w:after="0"/>
        <w:tabs>
          <w:tab w:leader="none" w:pos="38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w:t>
      </w:r>
    </w:p>
    <w:p>
      <w:pPr>
        <w:spacing w:after="0" w:line="107" w:lineRule="exact"/>
        <w:rPr>
          <w:sz w:val="20"/>
          <w:szCs w:val="20"/>
          <w:color w:val="auto"/>
        </w:rPr>
      </w:pPr>
    </w:p>
    <w:p>
      <w:pPr>
        <w:ind w:left="4" w:firstLine="244"/>
        <w:spacing w:after="0" w:line="301" w:lineRule="auto"/>
        <w:rPr>
          <w:sz w:val="20"/>
          <w:szCs w:val="20"/>
          <w:color w:val="auto"/>
        </w:rPr>
      </w:pPr>
      <w:r>
        <w:rPr>
          <w:rFonts w:ascii="Arial" w:cs="Arial" w:eastAsia="Arial" w:hAnsi="Arial"/>
          <w:sz w:val="19"/>
          <w:szCs w:val="19"/>
          <w:color w:val="auto"/>
        </w:rPr>
        <w:t xml:space="preserve">Unless otherwise noted above,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pursuant to Article 3, Article 4, and Article 5 above may, </w:t>
      </w:r>
      <w:r>
        <w:rPr>
          <w:rFonts w:ascii="Arial" w:cs="Arial" w:eastAsia="Arial" w:hAnsi="Arial"/>
          <w:sz w:val="19"/>
          <w:szCs w:val="19"/>
          <w:u w:val="single" w:color="auto"/>
          <w:color w:val="auto"/>
        </w:rPr>
        <w:t>[****]</w:t>
      </w:r>
      <w:r>
        <w:rPr>
          <w:rFonts w:ascii="Arial" w:cs="Arial" w:eastAsia="Arial" w:hAnsi="Arial"/>
          <w:sz w:val="19"/>
          <w:szCs w:val="19"/>
          <w:color w:val="auto"/>
        </w:rPr>
        <w:t xml:space="preserve">, be </w:t>
      </w:r>
      <w:r>
        <w:rPr>
          <w:rFonts w:ascii="Arial" w:cs="Arial" w:eastAsia="Arial" w:hAnsi="Arial"/>
          <w:sz w:val="19"/>
          <w:szCs w:val="19"/>
          <w:u w:val="single" w:color="auto"/>
          <w:color w:val="auto"/>
        </w:rPr>
        <w:t>[****]</w:t>
      </w:r>
      <w:r>
        <w:rPr>
          <w:rFonts w:ascii="Arial" w:cs="Arial" w:eastAsia="Arial" w:hAnsi="Arial"/>
          <w:sz w:val="19"/>
          <w:szCs w:val="19"/>
          <w:color w:val="auto"/>
        </w:rPr>
        <w:t xml:space="preserve"> (i) </w:t>
      </w:r>
      <w:r>
        <w:rPr>
          <w:rFonts w:ascii="Arial" w:cs="Arial" w:eastAsia="Arial" w:hAnsi="Arial"/>
          <w:sz w:val="19"/>
          <w:szCs w:val="19"/>
          <w:u w:val="single" w:color="auto"/>
          <w:color w:val="auto"/>
        </w:rPr>
        <w:t>[****]</w:t>
      </w:r>
      <w:r>
        <w:rPr>
          <w:rFonts w:ascii="Arial" w:cs="Arial" w:eastAsia="Arial" w:hAnsi="Arial"/>
          <w:sz w:val="19"/>
          <w:szCs w:val="19"/>
          <w:color w:val="auto"/>
        </w:rPr>
        <w:t xml:space="preserve">, or (ii)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For the avoidance of doubt and notwithstanding the foregoing,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described in Article 3.1.5, above,</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b w:val="1"/>
          <w:bCs w:val="1"/>
          <w:color w:val="auto"/>
        </w:rPr>
        <w:t>.</w:t>
      </w:r>
    </w:p>
    <w:p>
      <w:pPr>
        <w:spacing w:after="0" w:line="6" w:lineRule="exact"/>
        <w:rPr>
          <w:sz w:val="20"/>
          <w:szCs w:val="20"/>
          <w:color w:val="auto"/>
        </w:rPr>
      </w:pPr>
    </w:p>
    <w:p>
      <w:pPr>
        <w:ind w:left="384" w:hanging="384"/>
        <w:spacing w:after="0"/>
        <w:tabs>
          <w:tab w:leader="none" w:pos="38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Assignment.</w:t>
      </w:r>
    </w:p>
    <w:p>
      <w:pPr>
        <w:spacing w:after="0" w:line="203" w:lineRule="exact"/>
        <w:rPr>
          <w:sz w:val="20"/>
          <w:szCs w:val="20"/>
          <w:color w:val="auto"/>
        </w:rPr>
      </w:pPr>
    </w:p>
    <w:p>
      <w:pPr>
        <w:ind w:left="4" w:firstLine="578"/>
        <w:spacing w:after="0" w:line="290" w:lineRule="auto"/>
        <w:rPr>
          <w:sz w:val="20"/>
          <w:szCs w:val="20"/>
          <w:color w:val="auto"/>
        </w:rPr>
      </w:pPr>
      <w:r>
        <w:rPr>
          <w:rFonts w:ascii="Arial" w:cs="Arial" w:eastAsia="Arial" w:hAnsi="Arial"/>
          <w:sz w:val="19"/>
          <w:szCs w:val="19"/>
          <w:color w:val="auto"/>
        </w:rPr>
        <w:t>The [****] described in this Letter Agreement are provided [****] and in consideration of Customer becoming the operator of the Aircraft. This Letter Agreement cannot be assigned, in whole or in part, without the prior written consent of Boeing.</w:t>
      </w:r>
    </w:p>
    <w:p>
      <w:pPr>
        <w:spacing w:after="0" w:line="38" w:lineRule="exact"/>
        <w:rPr>
          <w:sz w:val="20"/>
          <w:szCs w:val="20"/>
          <w:color w:val="auto"/>
        </w:rPr>
      </w:pPr>
    </w:p>
    <w:p>
      <w:pPr>
        <w:ind w:left="384" w:hanging="384"/>
        <w:spacing w:after="0"/>
        <w:tabs>
          <w:tab w:leader="none" w:pos="38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Confidentiality.</w:t>
      </w:r>
    </w:p>
    <w:p>
      <w:pPr>
        <w:spacing w:after="0" w:line="203" w:lineRule="exact"/>
        <w:rPr>
          <w:sz w:val="20"/>
          <w:szCs w:val="20"/>
          <w:color w:val="auto"/>
        </w:rPr>
      </w:pPr>
    </w:p>
    <w:p>
      <w:pPr>
        <w:jc w:val="both"/>
        <w:ind w:left="4" w:firstLine="578"/>
        <w:spacing w:after="0" w:line="270" w:lineRule="auto"/>
        <w:rPr>
          <w:sz w:val="20"/>
          <w:szCs w:val="20"/>
          <w:color w:val="auto"/>
        </w:rPr>
      </w:pPr>
      <w:r>
        <w:rPr>
          <w:rFonts w:ascii="Arial" w:cs="Arial" w:eastAsia="Arial" w:hAnsi="Arial"/>
          <w:sz w:val="19"/>
          <w:szCs w:val="19"/>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r>
              <w:rPr>
                <w:rFonts w:ascii="Arial" w:cs="Arial" w:eastAsia="Arial" w:hAnsi="Arial"/>
                <w:sz w:val="19"/>
                <w:szCs w:val="19"/>
                <w:color w:val="auto"/>
              </w:rPr>
              <w:t>AAL-PA-03735-LA-2306975</w:t>
            </w:r>
            <w:r>
              <w:rPr>
                <w:rFonts w:ascii="Arial" w:cs="Arial" w:eastAsia="Arial" w:hAnsi="Arial"/>
                <w:sz w:val="19"/>
                <w:szCs w:val="19"/>
                <w:b w:val="1"/>
                <w:bCs w:val="1"/>
                <w:color w:val="auto"/>
              </w:rPr>
              <w:t>R1</w:t>
            </w:r>
          </w:p>
        </w:tc>
        <w:tc>
          <w:tcPr>
            <w:tcW w:w="4320" w:type="dxa"/>
            <w:vAlign w:val="bottom"/>
          </w:tcPr>
          <w:p>
            <w:pPr>
              <w:ind w:left="1260"/>
              <w:spacing w:after="0"/>
              <w:rPr>
                <w:sz w:val="20"/>
                <w:szCs w:val="20"/>
                <w:color w:val="auto"/>
              </w:rPr>
            </w:pPr>
            <w:r>
              <w:rPr>
                <w:rFonts w:ascii="Arial" w:cs="Arial" w:eastAsia="Arial" w:hAnsi="Arial"/>
                <w:sz w:val="19"/>
                <w:szCs w:val="19"/>
                <w:color w:val="auto"/>
              </w:rPr>
              <w:t>SA-3</w:t>
            </w:r>
            <w:r>
              <w:rPr>
                <w:rFonts w:ascii="Arial" w:cs="Arial" w:eastAsia="Arial" w:hAnsi="Arial"/>
                <w:sz w:val="19"/>
                <w:szCs w:val="19"/>
                <w:b w:val="1"/>
                <w:bCs w:val="1"/>
                <w:color w:val="auto"/>
              </w:rPr>
              <w:t>5</w:t>
            </w: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0"/>
                <w:szCs w:val="20"/>
                <w:color w:val="auto"/>
              </w:rPr>
            </w:pPr>
            <w:r>
              <w:rPr>
                <w:rFonts w:ascii="Arial" w:cs="Arial" w:eastAsia="Arial" w:hAnsi="Arial"/>
                <w:sz w:val="19"/>
                <w:szCs w:val="19"/>
                <w:color w:val="auto"/>
              </w:rPr>
              <w:t>[****]  Page 4</w:t>
            </w:r>
          </w:p>
        </w:tc>
        <w:tc>
          <w:tcPr>
            <w:tcW w:w="4320" w:type="dxa"/>
            <w:vAlign w:val="bottom"/>
            <w:vMerge w:val="restart"/>
          </w:tcPr>
          <w:p>
            <w:pPr>
              <w:ind w:left="580"/>
              <w:spacing w:after="0"/>
              <w:rPr>
                <w:sz w:val="20"/>
                <w:szCs w:val="20"/>
                <w:color w:val="auto"/>
              </w:rPr>
            </w:pPr>
            <w:r>
              <w:rPr>
                <w:rFonts w:ascii="Arial" w:cs="Arial" w:eastAsia="Arial" w:hAnsi="Arial"/>
                <w:sz w:val="19"/>
                <w:szCs w:val="19"/>
                <w:b w:val="1"/>
                <w:bCs w:val="1"/>
                <w:color w:val="auto"/>
              </w:rPr>
              <w:t>BOEING AND AMERICAN PROPRIETARY</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4"/>
          </w:cols>
          <w:pgMar w:left="316" w:top="1380" w:right="339" w:bottom="1440" w:gutter="0" w:footer="0" w:header="0"/>
        </w:sectPr>
      </w:pPr>
    </w:p>
    <w:bookmarkStart w:id="124" w:name="page125"/>
    <w:bookmarkEnd w:id="124"/>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1391285" cy="3213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391285" cy="32131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54"/>
        </w:trPr>
        <w:tc>
          <w:tcPr>
            <w:tcW w:w="5060" w:type="dxa"/>
            <w:vAlign w:val="bottom"/>
            <w:gridSpan w:val="2"/>
          </w:tcPr>
          <w:p>
            <w:pPr>
              <w:spacing w:after="0"/>
              <w:rPr>
                <w:sz w:val="20"/>
                <w:szCs w:val="20"/>
                <w:color w:val="auto"/>
              </w:rPr>
            </w:pPr>
            <w:r>
              <w:rPr>
                <w:rFonts w:ascii="Arial" w:cs="Arial" w:eastAsia="Arial" w:hAnsi="Arial"/>
                <w:sz w:val="19"/>
                <w:szCs w:val="19"/>
                <w:color w:val="auto"/>
              </w:rPr>
              <w:t>ACCEPTED AND AGREED TO this</w:t>
            </w:r>
          </w:p>
        </w:tc>
        <w:tc>
          <w:tcPr>
            <w:tcW w:w="1400" w:type="dxa"/>
            <w:vAlign w:val="bottom"/>
          </w:tcPr>
          <w:p>
            <w:pPr>
              <w:spacing w:after="0"/>
              <w:rPr>
                <w:sz w:val="22"/>
                <w:szCs w:val="22"/>
                <w:color w:val="auto"/>
              </w:rPr>
            </w:pPr>
          </w:p>
        </w:tc>
        <w:tc>
          <w:tcPr>
            <w:tcW w:w="4680" w:type="dxa"/>
            <w:vAlign w:val="bottom"/>
          </w:tcPr>
          <w:p>
            <w:pPr>
              <w:spacing w:after="0"/>
              <w:rPr>
                <w:sz w:val="22"/>
                <w:szCs w:val="22"/>
                <w:color w:val="auto"/>
              </w:rPr>
            </w:pPr>
          </w:p>
        </w:tc>
      </w:tr>
      <w:tr>
        <w:trPr>
          <w:trHeight w:val="542"/>
        </w:trPr>
        <w:tc>
          <w:tcPr>
            <w:tcW w:w="940" w:type="dxa"/>
            <w:vAlign w:val="bottom"/>
          </w:tcPr>
          <w:p>
            <w:pPr>
              <w:spacing w:after="0"/>
              <w:rPr>
                <w:sz w:val="20"/>
                <w:szCs w:val="20"/>
                <w:color w:val="auto"/>
              </w:rPr>
            </w:pPr>
            <w:r>
              <w:rPr>
                <w:rFonts w:ascii="Arial" w:cs="Arial" w:eastAsia="Arial" w:hAnsi="Arial"/>
                <w:sz w:val="19"/>
                <w:szCs w:val="19"/>
                <w:color w:val="auto"/>
              </w:rPr>
              <w:t>Date:</w:t>
            </w:r>
          </w:p>
        </w:tc>
        <w:tc>
          <w:tcPr>
            <w:tcW w:w="4120" w:type="dxa"/>
            <w:vAlign w:val="bottom"/>
          </w:tcPr>
          <w:p>
            <w:pPr>
              <w:ind w:left="20"/>
              <w:spacing w:after="0"/>
              <w:rPr>
                <w:sz w:val="20"/>
                <w:szCs w:val="20"/>
                <w:color w:val="auto"/>
              </w:rPr>
            </w:pPr>
            <w:r>
              <w:rPr>
                <w:rFonts w:ascii="Arial" w:cs="Arial" w:eastAsia="Arial" w:hAnsi="Arial"/>
                <w:sz w:val="19"/>
                <w:szCs w:val="19"/>
                <w:color w:val="auto"/>
              </w:rPr>
              <w:t>June 30, 2025</w:t>
            </w: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2"/>
        </w:trPr>
        <w:tc>
          <w:tcPr>
            <w:tcW w:w="94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r>
      <w:tr>
        <w:trPr>
          <w:trHeight w:val="499"/>
        </w:trPr>
        <w:tc>
          <w:tcPr>
            <w:tcW w:w="5060" w:type="dxa"/>
            <w:vAlign w:val="bottom"/>
            <w:gridSpan w:val="2"/>
          </w:tcPr>
          <w:p>
            <w:pPr>
              <w:spacing w:after="0"/>
              <w:rPr>
                <w:sz w:val="20"/>
                <w:szCs w:val="20"/>
                <w:color w:val="auto"/>
              </w:rPr>
            </w:pPr>
            <w:r>
              <w:rPr>
                <w:rFonts w:ascii="Arial" w:cs="Arial" w:eastAsia="Arial" w:hAnsi="Arial"/>
                <w:sz w:val="19"/>
                <w:szCs w:val="19"/>
                <w:color w:val="auto"/>
              </w:rPr>
              <w:t>AMERICAN AIRLINES, INC.</w:t>
            </w:r>
          </w:p>
        </w:tc>
        <w:tc>
          <w:tcPr>
            <w:tcW w:w="6080" w:type="dxa"/>
            <w:vAlign w:val="bottom"/>
            <w:gridSpan w:val="2"/>
          </w:tcPr>
          <w:p>
            <w:pPr>
              <w:ind w:left="440"/>
              <w:spacing w:after="0"/>
              <w:rPr>
                <w:sz w:val="20"/>
                <w:szCs w:val="20"/>
                <w:color w:val="auto"/>
              </w:rPr>
            </w:pPr>
            <w:r>
              <w:rPr>
                <w:rFonts w:ascii="Arial" w:cs="Arial" w:eastAsia="Arial" w:hAnsi="Arial"/>
                <w:sz w:val="19"/>
                <w:szCs w:val="19"/>
                <w:color w:val="auto"/>
              </w:rPr>
              <w:t>THE BOEING COMPANY</w:t>
            </w:r>
          </w:p>
        </w:tc>
      </w:tr>
      <w:tr>
        <w:trPr>
          <w:trHeight w:val="542"/>
        </w:trPr>
        <w:tc>
          <w:tcPr>
            <w:tcW w:w="940" w:type="dxa"/>
            <w:vAlign w:val="bottom"/>
          </w:tcPr>
          <w:p>
            <w:pPr>
              <w:spacing w:after="0"/>
              <w:rPr>
                <w:sz w:val="20"/>
                <w:szCs w:val="20"/>
                <w:color w:val="auto"/>
              </w:rPr>
            </w:pPr>
            <w:r>
              <w:rPr>
                <w:rFonts w:ascii="Arial" w:cs="Arial" w:eastAsia="Arial" w:hAnsi="Arial"/>
                <w:sz w:val="19"/>
                <w:szCs w:val="19"/>
                <w:color w:val="auto"/>
              </w:rPr>
              <w:t>By:</w:t>
            </w:r>
          </w:p>
        </w:tc>
        <w:tc>
          <w:tcPr>
            <w:tcW w:w="4120" w:type="dxa"/>
            <w:vAlign w:val="bottom"/>
          </w:tcPr>
          <w:p>
            <w:pPr>
              <w:ind w:left="20"/>
              <w:spacing w:after="0"/>
              <w:rPr>
                <w:sz w:val="20"/>
                <w:szCs w:val="20"/>
                <w:color w:val="auto"/>
              </w:rPr>
            </w:pPr>
            <w:r>
              <w:rPr>
                <w:rFonts w:ascii="Arial" w:cs="Arial" w:eastAsia="Arial" w:hAnsi="Arial"/>
                <w:sz w:val="19"/>
                <w:szCs w:val="19"/>
                <w:color w:val="auto"/>
              </w:rPr>
              <w:t>/s/ American Airlines, Inc.</w:t>
            </w:r>
          </w:p>
        </w:tc>
        <w:tc>
          <w:tcPr>
            <w:tcW w:w="1400" w:type="dxa"/>
            <w:vAlign w:val="bottom"/>
          </w:tcPr>
          <w:p>
            <w:pPr>
              <w:ind w:left="440"/>
              <w:spacing w:after="0"/>
              <w:rPr>
                <w:sz w:val="20"/>
                <w:szCs w:val="20"/>
                <w:color w:val="auto"/>
              </w:rPr>
            </w:pPr>
            <w:r>
              <w:rPr>
                <w:rFonts w:ascii="Arial" w:cs="Arial" w:eastAsia="Arial" w:hAnsi="Arial"/>
                <w:sz w:val="19"/>
                <w:szCs w:val="19"/>
                <w:color w:val="auto"/>
              </w:rPr>
              <w:t>By:</w:t>
            </w:r>
          </w:p>
        </w:tc>
        <w:tc>
          <w:tcPr>
            <w:tcW w:w="4680" w:type="dxa"/>
            <w:vAlign w:val="bottom"/>
          </w:tcPr>
          <w:p>
            <w:pPr>
              <w:ind w:left="20"/>
              <w:spacing w:after="0"/>
              <w:rPr>
                <w:sz w:val="20"/>
                <w:szCs w:val="20"/>
                <w:color w:val="auto"/>
              </w:rPr>
            </w:pPr>
            <w:r>
              <w:rPr>
                <w:rFonts w:ascii="Arial" w:cs="Arial" w:eastAsia="Arial" w:hAnsi="Arial"/>
                <w:sz w:val="19"/>
                <w:szCs w:val="19"/>
                <w:color w:val="auto"/>
              </w:rPr>
              <w:t>/s/ The Boeing Company</w:t>
            </w:r>
          </w:p>
        </w:tc>
      </w:tr>
      <w:tr>
        <w:trPr>
          <w:trHeight w:val="22"/>
        </w:trPr>
        <w:tc>
          <w:tcPr>
            <w:tcW w:w="94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r>
      <w:tr>
        <w:trPr>
          <w:trHeight w:val="499"/>
        </w:trPr>
        <w:tc>
          <w:tcPr>
            <w:tcW w:w="940" w:type="dxa"/>
            <w:vAlign w:val="bottom"/>
          </w:tcPr>
          <w:p>
            <w:pPr>
              <w:spacing w:after="0"/>
              <w:rPr>
                <w:sz w:val="20"/>
                <w:szCs w:val="20"/>
                <w:color w:val="auto"/>
              </w:rPr>
            </w:pPr>
            <w:r>
              <w:rPr>
                <w:rFonts w:ascii="Arial" w:cs="Arial" w:eastAsia="Arial" w:hAnsi="Arial"/>
                <w:sz w:val="19"/>
                <w:szCs w:val="19"/>
                <w:color w:val="auto"/>
              </w:rPr>
              <w:t>Name:</w:t>
            </w:r>
          </w:p>
        </w:tc>
        <w:tc>
          <w:tcPr>
            <w:tcW w:w="4120" w:type="dxa"/>
            <w:vAlign w:val="bottom"/>
          </w:tcPr>
          <w:p>
            <w:pPr>
              <w:ind w:left="20"/>
              <w:spacing w:after="0"/>
              <w:rPr>
                <w:sz w:val="20"/>
                <w:szCs w:val="20"/>
                <w:color w:val="auto"/>
              </w:rPr>
            </w:pPr>
            <w:r>
              <w:rPr>
                <w:rFonts w:ascii="Arial" w:cs="Arial" w:eastAsia="Arial" w:hAnsi="Arial"/>
                <w:sz w:val="19"/>
                <w:szCs w:val="19"/>
                <w:color w:val="auto"/>
              </w:rPr>
              <w:t>American Airlines, Inc.</w:t>
            </w:r>
          </w:p>
        </w:tc>
        <w:tc>
          <w:tcPr>
            <w:tcW w:w="1400" w:type="dxa"/>
            <w:vAlign w:val="bottom"/>
          </w:tcPr>
          <w:p>
            <w:pPr>
              <w:ind w:left="440"/>
              <w:spacing w:after="0"/>
              <w:rPr>
                <w:sz w:val="20"/>
                <w:szCs w:val="20"/>
                <w:color w:val="auto"/>
              </w:rPr>
            </w:pPr>
            <w:r>
              <w:rPr>
                <w:rFonts w:ascii="Arial" w:cs="Arial" w:eastAsia="Arial" w:hAnsi="Arial"/>
                <w:sz w:val="19"/>
                <w:szCs w:val="19"/>
                <w:color w:val="auto"/>
              </w:rPr>
              <w:t>Name:</w:t>
            </w:r>
          </w:p>
        </w:tc>
        <w:tc>
          <w:tcPr>
            <w:tcW w:w="4680" w:type="dxa"/>
            <w:vAlign w:val="bottom"/>
          </w:tcPr>
          <w:p>
            <w:pPr>
              <w:ind w:left="20"/>
              <w:spacing w:after="0"/>
              <w:rPr>
                <w:sz w:val="20"/>
                <w:szCs w:val="20"/>
                <w:color w:val="auto"/>
              </w:rPr>
            </w:pPr>
            <w:r>
              <w:rPr>
                <w:rFonts w:ascii="Arial" w:cs="Arial" w:eastAsia="Arial" w:hAnsi="Arial"/>
                <w:sz w:val="19"/>
                <w:szCs w:val="19"/>
                <w:color w:val="auto"/>
              </w:rPr>
              <w:t>The Boeing Company</w:t>
            </w:r>
          </w:p>
        </w:tc>
      </w:tr>
      <w:tr>
        <w:trPr>
          <w:trHeight w:val="22"/>
        </w:trPr>
        <w:tc>
          <w:tcPr>
            <w:tcW w:w="94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r>
      <w:tr>
        <w:trPr>
          <w:trHeight w:val="499"/>
        </w:trPr>
        <w:tc>
          <w:tcPr>
            <w:tcW w:w="940" w:type="dxa"/>
            <w:vAlign w:val="bottom"/>
          </w:tcPr>
          <w:p>
            <w:pPr>
              <w:spacing w:after="0"/>
              <w:rPr>
                <w:sz w:val="20"/>
                <w:szCs w:val="20"/>
                <w:color w:val="auto"/>
              </w:rPr>
            </w:pPr>
            <w:r>
              <w:rPr>
                <w:rFonts w:ascii="Arial" w:cs="Arial" w:eastAsia="Arial" w:hAnsi="Arial"/>
                <w:sz w:val="19"/>
                <w:szCs w:val="19"/>
                <w:color w:val="auto"/>
              </w:rPr>
              <w:t>Title:</w:t>
            </w:r>
          </w:p>
        </w:tc>
        <w:tc>
          <w:tcPr>
            <w:tcW w:w="4120" w:type="dxa"/>
            <w:vAlign w:val="bottom"/>
          </w:tcPr>
          <w:p>
            <w:pPr>
              <w:ind w:left="20"/>
              <w:spacing w:after="0"/>
              <w:rPr>
                <w:sz w:val="20"/>
                <w:szCs w:val="20"/>
                <w:color w:val="auto"/>
              </w:rPr>
            </w:pPr>
            <w:r>
              <w:rPr>
                <w:rFonts w:ascii="Arial" w:cs="Arial" w:eastAsia="Arial" w:hAnsi="Arial"/>
                <w:sz w:val="19"/>
                <w:szCs w:val="19"/>
                <w:color w:val="auto"/>
              </w:rPr>
              <w:t>VP, Financial Planning &amp; Analysis</w:t>
            </w:r>
          </w:p>
        </w:tc>
        <w:tc>
          <w:tcPr>
            <w:tcW w:w="1400" w:type="dxa"/>
            <w:vAlign w:val="bottom"/>
          </w:tcPr>
          <w:p>
            <w:pPr>
              <w:ind w:left="440"/>
              <w:spacing w:after="0"/>
              <w:rPr>
                <w:sz w:val="20"/>
                <w:szCs w:val="20"/>
                <w:color w:val="auto"/>
              </w:rPr>
            </w:pPr>
            <w:r>
              <w:rPr>
                <w:rFonts w:ascii="Arial" w:cs="Arial" w:eastAsia="Arial" w:hAnsi="Arial"/>
                <w:sz w:val="19"/>
                <w:szCs w:val="19"/>
                <w:color w:val="auto"/>
              </w:rPr>
              <w:t>Title:</w:t>
            </w:r>
          </w:p>
        </w:tc>
        <w:tc>
          <w:tcPr>
            <w:tcW w:w="4680" w:type="dxa"/>
            <w:vAlign w:val="bottom"/>
          </w:tcPr>
          <w:p>
            <w:pPr>
              <w:ind w:left="20"/>
              <w:spacing w:after="0"/>
              <w:rPr>
                <w:sz w:val="20"/>
                <w:szCs w:val="20"/>
                <w:color w:val="auto"/>
              </w:rPr>
            </w:pPr>
            <w:r>
              <w:rPr>
                <w:rFonts w:ascii="Arial" w:cs="Arial" w:eastAsia="Arial" w:hAnsi="Arial"/>
                <w:sz w:val="19"/>
                <w:szCs w:val="19"/>
                <w:color w:val="auto"/>
              </w:rPr>
              <w:t>Attorney-In-Fact</w:t>
            </w:r>
          </w:p>
        </w:tc>
      </w:tr>
      <w:tr>
        <w:trPr>
          <w:trHeight w:val="22"/>
        </w:trPr>
        <w:tc>
          <w:tcPr>
            <w:tcW w:w="94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r>
              <w:rPr>
                <w:rFonts w:ascii="Arial" w:cs="Arial" w:eastAsia="Arial" w:hAnsi="Arial"/>
                <w:sz w:val="19"/>
                <w:szCs w:val="19"/>
                <w:color w:val="auto"/>
              </w:rPr>
              <w:t>AAL-PA-03735-LA-2306975</w:t>
            </w:r>
            <w:r>
              <w:rPr>
                <w:rFonts w:ascii="Arial" w:cs="Arial" w:eastAsia="Arial" w:hAnsi="Arial"/>
                <w:sz w:val="19"/>
                <w:szCs w:val="19"/>
                <w:b w:val="1"/>
                <w:bCs w:val="1"/>
                <w:color w:val="auto"/>
              </w:rPr>
              <w:t>R1</w:t>
            </w:r>
          </w:p>
        </w:tc>
        <w:tc>
          <w:tcPr>
            <w:tcW w:w="4320" w:type="dxa"/>
            <w:vAlign w:val="bottom"/>
          </w:tcPr>
          <w:p>
            <w:pPr>
              <w:ind w:left="1260"/>
              <w:spacing w:after="0"/>
              <w:rPr>
                <w:sz w:val="20"/>
                <w:szCs w:val="20"/>
                <w:color w:val="auto"/>
              </w:rPr>
            </w:pPr>
            <w:r>
              <w:rPr>
                <w:rFonts w:ascii="Arial" w:cs="Arial" w:eastAsia="Arial" w:hAnsi="Arial"/>
                <w:sz w:val="19"/>
                <w:szCs w:val="19"/>
                <w:color w:val="auto"/>
              </w:rPr>
              <w:t>SA-3</w:t>
            </w:r>
            <w:r>
              <w:rPr>
                <w:rFonts w:ascii="Arial" w:cs="Arial" w:eastAsia="Arial" w:hAnsi="Arial"/>
                <w:sz w:val="19"/>
                <w:szCs w:val="19"/>
                <w:b w:val="1"/>
                <w:bCs w:val="1"/>
                <w:color w:val="auto"/>
              </w:rPr>
              <w:t>5</w:t>
            </w: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0"/>
                <w:szCs w:val="20"/>
                <w:color w:val="auto"/>
              </w:rPr>
            </w:pPr>
            <w:r>
              <w:rPr>
                <w:rFonts w:ascii="Arial" w:cs="Arial" w:eastAsia="Arial" w:hAnsi="Arial"/>
                <w:sz w:val="19"/>
                <w:szCs w:val="19"/>
                <w:color w:val="auto"/>
              </w:rPr>
              <w:t>[****]  Page 5</w:t>
            </w:r>
          </w:p>
        </w:tc>
        <w:tc>
          <w:tcPr>
            <w:tcW w:w="4320" w:type="dxa"/>
            <w:vAlign w:val="bottom"/>
            <w:vMerge w:val="restart"/>
          </w:tcPr>
          <w:p>
            <w:pPr>
              <w:ind w:left="580"/>
              <w:spacing w:after="0"/>
              <w:rPr>
                <w:sz w:val="20"/>
                <w:szCs w:val="20"/>
                <w:color w:val="auto"/>
              </w:rPr>
            </w:pPr>
            <w:r>
              <w:rPr>
                <w:rFonts w:ascii="Arial" w:cs="Arial" w:eastAsia="Arial" w:hAnsi="Arial"/>
                <w:sz w:val="19"/>
                <w:szCs w:val="19"/>
                <w:b w:val="1"/>
                <w:bCs w:val="1"/>
                <w:color w:val="auto"/>
              </w:rPr>
              <w:t>BOEING AND AMERICAN PROPRIETARY</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440" w:right="4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CEO 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Robert D. Isom, certify that:</w:t>
      </w:r>
    </w:p>
    <w:p>
      <w:pPr>
        <w:spacing w:after="0" w:line="225" w:lineRule="exact"/>
        <w:rPr>
          <w:sz w:val="20"/>
          <w:szCs w:val="20"/>
          <w:color w:val="auto"/>
        </w:rPr>
      </w:pPr>
    </w:p>
    <w:p>
      <w:pPr>
        <w:ind w:left="560" w:hanging="275"/>
        <w:spacing w:after="0"/>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04" w:lineRule="exact"/>
        <w:rPr>
          <w:rFonts w:ascii="Arial" w:cs="Arial" w:eastAsia="Arial" w:hAnsi="Arial"/>
          <w:sz w:val="16"/>
          <w:szCs w:val="16"/>
          <w:color w:val="auto"/>
        </w:rPr>
      </w:pPr>
    </w:p>
    <w:p>
      <w:pPr>
        <w:jc w:val="both"/>
        <w:ind w:left="580" w:right="20" w:hanging="295"/>
        <w:spacing w:after="0" w:line="269" w:lineRule="auto"/>
        <w:tabs>
          <w:tab w:leader="none" w:pos="569"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6"/>
          <w:szCs w:val="16"/>
          <w:color w:val="auto"/>
        </w:rPr>
      </w:pPr>
    </w:p>
    <w:p>
      <w:pPr>
        <w:ind w:left="580" w:right="20" w:hanging="295"/>
        <w:spacing w:after="0" w:line="286" w:lineRule="auto"/>
        <w:tabs>
          <w:tab w:leader="none" w:pos="569"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jc w:val="both"/>
        <w:ind w:left="580" w:right="20" w:hanging="295"/>
        <w:spacing w:after="0" w:line="269" w:lineRule="auto"/>
        <w:tabs>
          <w:tab w:leader="none" w:pos="56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6"/>
          <w:szCs w:val="16"/>
          <w:color w:val="auto"/>
        </w:rPr>
      </w:pPr>
    </w:p>
    <w:p>
      <w:pPr>
        <w:jc w:val="both"/>
        <w:ind w:left="1160" w:right="20" w:hanging="297"/>
        <w:spacing w:after="0" w:line="269" w:lineRule="auto"/>
        <w:tabs>
          <w:tab w:leader="none" w:pos="1151"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6"/>
          <w:szCs w:val="16"/>
          <w:color w:val="auto"/>
        </w:rPr>
      </w:pPr>
    </w:p>
    <w:p>
      <w:pPr>
        <w:jc w:val="both"/>
        <w:ind w:left="1160" w:right="20" w:hanging="297"/>
        <w:spacing w:after="0" w:line="269" w:lineRule="auto"/>
        <w:tabs>
          <w:tab w:leader="none" w:pos="1151"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6"/>
          <w:szCs w:val="16"/>
          <w:color w:val="auto"/>
        </w:rPr>
      </w:pPr>
    </w:p>
    <w:p>
      <w:pPr>
        <w:ind w:left="1160" w:hanging="297"/>
        <w:spacing w:after="0" w:line="286" w:lineRule="auto"/>
        <w:tabs>
          <w:tab w:leader="none" w:pos="1154"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160" w:hanging="297"/>
        <w:spacing w:after="0" w:line="269" w:lineRule="auto"/>
        <w:tabs>
          <w:tab w:leader="none" w:pos="1151"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6"/>
          <w:szCs w:val="16"/>
          <w:color w:val="auto"/>
        </w:rPr>
      </w:pPr>
    </w:p>
    <w:p>
      <w:pPr>
        <w:ind w:left="580" w:right="20" w:hanging="295"/>
        <w:spacing w:after="0" w:line="286" w:lineRule="auto"/>
        <w:tabs>
          <w:tab w:leader="none" w:pos="56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160" w:right="20" w:hanging="297"/>
        <w:spacing w:after="0" w:line="286" w:lineRule="auto"/>
        <w:tabs>
          <w:tab w:leader="none" w:pos="1151"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160" w:right="20" w:hanging="297"/>
        <w:spacing w:after="0" w:line="286" w:lineRule="auto"/>
        <w:tabs>
          <w:tab w:leader="none" w:pos="1151"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Date: July 24, 2025</w:t>
      </w:r>
    </w:p>
    <w:p>
      <w:pPr>
        <w:spacing w:after="0" w:line="153"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15875</wp:posOffset>
            </wp:positionV>
            <wp:extent cx="212534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2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Name: Robert D. Isom</w:t>
      </w:r>
    </w:p>
    <w:p>
      <w:pPr>
        <w:spacing w:after="0" w:line="45" w:lineRule="exact"/>
        <w:rPr>
          <w:sz w:val="20"/>
          <w:szCs w:val="20"/>
          <w:color w:val="auto"/>
        </w:rPr>
      </w:pPr>
    </w:p>
    <w:p>
      <w:pPr>
        <w:ind w:left="6420"/>
        <w:spacing w:after="0"/>
        <w:tabs>
          <w:tab w:leader="none" w:pos="6920" w:val="left"/>
        </w:tabs>
        <w:rPr>
          <w:sz w:val="20"/>
          <w:szCs w:val="20"/>
          <w:color w:val="auto"/>
        </w:rPr>
      </w:pPr>
      <w:r>
        <w:rPr>
          <w:rFonts w:ascii="Arial" w:cs="Arial" w:eastAsia="Arial" w:hAnsi="Arial"/>
          <w:sz w:val="16"/>
          <w:szCs w:val="16"/>
          <w:color w:val="auto"/>
        </w:rPr>
        <w:t>Title:</w:t>
        <w:tab/>
        <w:t>Chief Executive Officer and President</w:t>
      </w:r>
    </w:p>
    <w:p>
      <w:pPr>
        <w:sectPr>
          <w:pgSz w:w="11900" w:h="16838" w:orient="portrait"/>
          <w:cols w:equalWidth="0" w:num="1">
            <w:col w:w="11260"/>
          </w:cols>
          <w:pgMar w:left="320" w:top="809"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CFO 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Devon E. May, certify that:</w:t>
      </w:r>
    </w:p>
    <w:p>
      <w:pPr>
        <w:spacing w:after="0" w:line="225" w:lineRule="exact"/>
        <w:rPr>
          <w:sz w:val="20"/>
          <w:szCs w:val="20"/>
          <w:color w:val="auto"/>
        </w:rPr>
      </w:pPr>
    </w:p>
    <w:p>
      <w:pPr>
        <w:ind w:left="560" w:hanging="275"/>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04" w:lineRule="exact"/>
        <w:rPr>
          <w:rFonts w:ascii="Arial" w:cs="Arial" w:eastAsia="Arial" w:hAnsi="Arial"/>
          <w:sz w:val="16"/>
          <w:szCs w:val="16"/>
          <w:color w:val="auto"/>
        </w:rPr>
      </w:pPr>
    </w:p>
    <w:p>
      <w:pPr>
        <w:jc w:val="both"/>
        <w:ind w:left="580" w:right="20" w:hanging="295"/>
        <w:spacing w:after="0" w:line="269" w:lineRule="auto"/>
        <w:tabs>
          <w:tab w:leader="none" w:pos="569"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6"/>
          <w:szCs w:val="16"/>
          <w:color w:val="auto"/>
        </w:rPr>
      </w:pPr>
    </w:p>
    <w:p>
      <w:pPr>
        <w:ind w:left="580" w:right="20" w:hanging="295"/>
        <w:spacing w:after="0" w:line="286" w:lineRule="auto"/>
        <w:tabs>
          <w:tab w:leader="none" w:pos="569"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jc w:val="both"/>
        <w:ind w:left="580" w:right="20" w:hanging="295"/>
        <w:spacing w:after="0" w:line="269" w:lineRule="auto"/>
        <w:tabs>
          <w:tab w:leader="none" w:pos="56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6"/>
          <w:szCs w:val="16"/>
          <w:color w:val="auto"/>
        </w:rPr>
      </w:pPr>
    </w:p>
    <w:p>
      <w:pPr>
        <w:jc w:val="both"/>
        <w:ind w:left="1160" w:right="20" w:hanging="297"/>
        <w:spacing w:after="0" w:line="269" w:lineRule="auto"/>
        <w:tabs>
          <w:tab w:leader="none" w:pos="1151"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6"/>
          <w:szCs w:val="16"/>
          <w:color w:val="auto"/>
        </w:rPr>
      </w:pPr>
    </w:p>
    <w:p>
      <w:pPr>
        <w:jc w:val="both"/>
        <w:ind w:left="1160" w:right="20" w:hanging="297"/>
        <w:spacing w:after="0" w:line="269" w:lineRule="auto"/>
        <w:tabs>
          <w:tab w:leader="none" w:pos="1151"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6"/>
          <w:szCs w:val="16"/>
          <w:color w:val="auto"/>
        </w:rPr>
      </w:pPr>
    </w:p>
    <w:p>
      <w:pPr>
        <w:ind w:left="1160" w:hanging="297"/>
        <w:spacing w:after="0" w:line="286" w:lineRule="auto"/>
        <w:tabs>
          <w:tab w:leader="none" w:pos="1154"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160" w:hanging="297"/>
        <w:spacing w:after="0" w:line="269" w:lineRule="auto"/>
        <w:tabs>
          <w:tab w:leader="none" w:pos="1151"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6"/>
          <w:szCs w:val="16"/>
          <w:color w:val="auto"/>
        </w:rPr>
      </w:pPr>
    </w:p>
    <w:p>
      <w:pPr>
        <w:ind w:left="580" w:right="20" w:hanging="295"/>
        <w:spacing w:after="0" w:line="286" w:lineRule="auto"/>
        <w:tabs>
          <w:tab w:leader="none" w:pos="56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160" w:right="20" w:hanging="297"/>
        <w:spacing w:after="0" w:line="286" w:lineRule="auto"/>
        <w:tabs>
          <w:tab w:leader="none" w:pos="1151"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160" w:right="20" w:hanging="297"/>
        <w:spacing w:after="0" w:line="286" w:lineRule="auto"/>
        <w:tabs>
          <w:tab w:leader="none" w:pos="1151"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Date: July 24, 2025</w:t>
      </w:r>
    </w:p>
    <w:p>
      <w:pPr>
        <w:spacing w:after="0" w:line="153"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15875</wp:posOffset>
            </wp:positionV>
            <wp:extent cx="219392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193925" cy="7620"/>
                    </a:xfrm>
                    <a:prstGeom prst="rect">
                      <a:avLst/>
                    </a:prstGeom>
                    <a:noFill/>
                  </pic:spPr>
                </pic:pic>
              </a:graphicData>
            </a:graphic>
          </wp:anchor>
        </w:drawing>
      </w:r>
    </w:p>
    <w:p>
      <w:pPr>
        <w:sectPr>
          <w:pgSz w:w="11900" w:h="16838" w:orient="portrait"/>
          <w:cols w:equalWidth="0" w:num="1">
            <w:col w:w="11260"/>
          </w:cols>
          <w:pgMar w:left="320" w:top="809" w:right="319" w:bottom="1440" w:gutter="0" w:footer="0" w:header="0"/>
        </w:sectPr>
      </w:pPr>
    </w:p>
    <w:p>
      <w:pPr>
        <w:spacing w:after="0" w:line="4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Devon E. May</w:t>
      </w:r>
    </w:p>
    <w:p>
      <w:pPr>
        <w:spacing w:after="0" w:line="27" w:lineRule="exact"/>
        <w:rPr>
          <w:sz w:val="20"/>
          <w:szCs w:val="20"/>
          <w:color w:val="auto"/>
        </w:rPr>
      </w:pPr>
    </w:p>
    <w:p>
      <w:pPr>
        <w:sectPr>
          <w:pgSz w:w="11900" w:h="16838" w:orient="portrait"/>
          <w:cols w:equalWidth="0" w:num="2">
            <w:col w:w="6780" w:space="140"/>
            <w:col w:w="4340"/>
          </w:cols>
          <w:pgMar w:left="320" w:top="809" w:right="319" w:bottom="1440" w:gutter="0" w:footer="0" w:header="0"/>
          <w:type w:val="continuous"/>
        </w:sectPr>
      </w:pPr>
    </w:p>
    <w:p>
      <w:pPr>
        <w:ind w:left="63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2">
            <w:col w:w="6640" w:space="280"/>
            <w:col w:w="4340"/>
          </w:cols>
          <w:pgMar w:left="320" w:top="809" w:right="31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31.3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CEO 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Robert D. Isom, certify that:</w:t>
      </w:r>
    </w:p>
    <w:p>
      <w:pPr>
        <w:spacing w:after="0" w:line="225" w:lineRule="exact"/>
        <w:rPr>
          <w:sz w:val="20"/>
          <w:szCs w:val="20"/>
          <w:color w:val="auto"/>
        </w:rPr>
      </w:pPr>
    </w:p>
    <w:p>
      <w:pPr>
        <w:ind w:left="560" w:hanging="275"/>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04" w:lineRule="exact"/>
        <w:rPr>
          <w:rFonts w:ascii="Arial" w:cs="Arial" w:eastAsia="Arial" w:hAnsi="Arial"/>
          <w:sz w:val="16"/>
          <w:szCs w:val="16"/>
          <w:color w:val="auto"/>
        </w:rPr>
      </w:pPr>
    </w:p>
    <w:p>
      <w:pPr>
        <w:jc w:val="both"/>
        <w:ind w:left="580" w:right="20" w:hanging="295"/>
        <w:spacing w:after="0" w:line="269" w:lineRule="auto"/>
        <w:tabs>
          <w:tab w:leader="none" w:pos="569"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6"/>
          <w:szCs w:val="16"/>
          <w:color w:val="auto"/>
        </w:rPr>
      </w:pPr>
    </w:p>
    <w:p>
      <w:pPr>
        <w:ind w:left="580" w:right="20" w:hanging="295"/>
        <w:spacing w:after="0" w:line="286" w:lineRule="auto"/>
        <w:tabs>
          <w:tab w:leader="none" w:pos="569"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jc w:val="both"/>
        <w:ind w:left="580" w:right="20" w:hanging="295"/>
        <w:spacing w:after="0" w:line="269" w:lineRule="auto"/>
        <w:tabs>
          <w:tab w:leader="none" w:pos="56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6"/>
          <w:szCs w:val="16"/>
          <w:color w:val="auto"/>
        </w:rPr>
      </w:pPr>
    </w:p>
    <w:p>
      <w:pPr>
        <w:jc w:val="both"/>
        <w:ind w:left="1160" w:right="20" w:hanging="297"/>
        <w:spacing w:after="0" w:line="269" w:lineRule="auto"/>
        <w:tabs>
          <w:tab w:leader="none" w:pos="1151"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6"/>
          <w:szCs w:val="16"/>
          <w:color w:val="auto"/>
        </w:rPr>
      </w:pPr>
    </w:p>
    <w:p>
      <w:pPr>
        <w:jc w:val="both"/>
        <w:ind w:left="1160" w:right="20" w:hanging="297"/>
        <w:spacing w:after="0" w:line="269" w:lineRule="auto"/>
        <w:tabs>
          <w:tab w:leader="none" w:pos="1151"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6"/>
          <w:szCs w:val="16"/>
          <w:color w:val="auto"/>
        </w:rPr>
      </w:pPr>
    </w:p>
    <w:p>
      <w:pPr>
        <w:ind w:left="1160" w:hanging="297"/>
        <w:spacing w:after="0" w:line="286" w:lineRule="auto"/>
        <w:tabs>
          <w:tab w:leader="none" w:pos="1154"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160" w:hanging="297"/>
        <w:spacing w:after="0" w:line="269" w:lineRule="auto"/>
        <w:tabs>
          <w:tab w:leader="none" w:pos="1151"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6"/>
          <w:szCs w:val="16"/>
          <w:color w:val="auto"/>
        </w:rPr>
      </w:pPr>
    </w:p>
    <w:p>
      <w:pPr>
        <w:ind w:left="580" w:right="20" w:hanging="295"/>
        <w:spacing w:after="0" w:line="286" w:lineRule="auto"/>
        <w:tabs>
          <w:tab w:leader="none" w:pos="56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160" w:right="20" w:hanging="297"/>
        <w:spacing w:after="0" w:line="286" w:lineRule="auto"/>
        <w:tabs>
          <w:tab w:leader="none" w:pos="1151"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160" w:right="20" w:hanging="297"/>
        <w:spacing w:after="0" w:line="286" w:lineRule="auto"/>
        <w:tabs>
          <w:tab w:leader="none" w:pos="1151"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Date: July 24, 2025</w:t>
      </w:r>
    </w:p>
    <w:p>
      <w:pPr>
        <w:spacing w:after="0" w:line="153"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15875</wp:posOffset>
            </wp:positionV>
            <wp:extent cx="211709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117090" cy="7620"/>
                    </a:xfrm>
                    <a:prstGeom prst="rect">
                      <a:avLst/>
                    </a:prstGeom>
                    <a:noFill/>
                  </pic:spPr>
                </pic:pic>
              </a:graphicData>
            </a:graphic>
          </wp:anchor>
        </w:drawing>
      </w:r>
    </w:p>
    <w:p>
      <w:pPr>
        <w:spacing w:after="0" w:line="2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Name: Robert D. Isom</w:t>
      </w:r>
    </w:p>
    <w:p>
      <w:pPr>
        <w:spacing w:after="0" w:line="4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Title: Chief Executive Officer and President</w:t>
      </w:r>
    </w:p>
    <w:p>
      <w:pPr>
        <w:sectPr>
          <w:pgSz w:w="11900" w:h="16838" w:orient="portrait"/>
          <w:cols w:equalWidth="0" w:num="1">
            <w:col w:w="11260"/>
          </w:cols>
          <w:pgMar w:left="320" w:top="809" w:right="3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31.4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CFO 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Devon E. May, certify that:</w:t>
      </w:r>
    </w:p>
    <w:p>
      <w:pPr>
        <w:spacing w:after="0" w:line="225" w:lineRule="exact"/>
        <w:rPr>
          <w:sz w:val="20"/>
          <w:szCs w:val="20"/>
          <w:color w:val="auto"/>
        </w:rPr>
      </w:pPr>
    </w:p>
    <w:p>
      <w:pPr>
        <w:ind w:left="560" w:hanging="275"/>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04" w:lineRule="exact"/>
        <w:rPr>
          <w:rFonts w:ascii="Arial" w:cs="Arial" w:eastAsia="Arial" w:hAnsi="Arial"/>
          <w:sz w:val="16"/>
          <w:szCs w:val="16"/>
          <w:color w:val="auto"/>
        </w:rPr>
      </w:pPr>
    </w:p>
    <w:p>
      <w:pPr>
        <w:jc w:val="both"/>
        <w:ind w:left="580" w:right="20" w:hanging="295"/>
        <w:spacing w:after="0" w:line="269" w:lineRule="auto"/>
        <w:tabs>
          <w:tab w:leader="none" w:pos="569"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6"/>
          <w:szCs w:val="16"/>
          <w:color w:val="auto"/>
        </w:rPr>
      </w:pPr>
    </w:p>
    <w:p>
      <w:pPr>
        <w:ind w:left="580" w:right="20" w:hanging="295"/>
        <w:spacing w:after="0" w:line="286" w:lineRule="auto"/>
        <w:tabs>
          <w:tab w:leader="none" w:pos="569"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jc w:val="both"/>
        <w:ind w:left="580" w:right="20" w:hanging="295"/>
        <w:spacing w:after="0" w:line="269" w:lineRule="auto"/>
        <w:tabs>
          <w:tab w:leader="none" w:pos="56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6"/>
          <w:szCs w:val="16"/>
          <w:color w:val="auto"/>
        </w:rPr>
      </w:pPr>
    </w:p>
    <w:p>
      <w:pPr>
        <w:jc w:val="both"/>
        <w:ind w:left="1160" w:right="20" w:hanging="297"/>
        <w:spacing w:after="0" w:line="269" w:lineRule="auto"/>
        <w:tabs>
          <w:tab w:leader="none" w:pos="1151"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6"/>
          <w:szCs w:val="16"/>
          <w:color w:val="auto"/>
        </w:rPr>
      </w:pPr>
    </w:p>
    <w:p>
      <w:pPr>
        <w:jc w:val="both"/>
        <w:ind w:left="1160" w:right="20" w:hanging="297"/>
        <w:spacing w:after="0" w:line="269" w:lineRule="auto"/>
        <w:tabs>
          <w:tab w:leader="none" w:pos="1151"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6"/>
          <w:szCs w:val="16"/>
          <w:color w:val="auto"/>
        </w:rPr>
      </w:pPr>
    </w:p>
    <w:p>
      <w:pPr>
        <w:ind w:left="1160" w:hanging="297"/>
        <w:spacing w:after="0" w:line="286" w:lineRule="auto"/>
        <w:tabs>
          <w:tab w:leader="none" w:pos="1154"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160" w:hanging="297"/>
        <w:spacing w:after="0" w:line="269" w:lineRule="auto"/>
        <w:tabs>
          <w:tab w:leader="none" w:pos="1151" w:val="left"/>
        </w:tabs>
        <w:numPr>
          <w:ilvl w:val="1"/>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6"/>
          <w:szCs w:val="16"/>
          <w:color w:val="auto"/>
        </w:rPr>
      </w:pPr>
    </w:p>
    <w:p>
      <w:pPr>
        <w:ind w:left="580" w:right="20" w:hanging="295"/>
        <w:spacing w:after="0" w:line="286" w:lineRule="auto"/>
        <w:tabs>
          <w:tab w:leader="none" w:pos="56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160" w:right="20" w:hanging="297"/>
        <w:spacing w:after="0" w:line="286" w:lineRule="auto"/>
        <w:tabs>
          <w:tab w:leader="none" w:pos="1151"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160" w:right="20" w:hanging="297"/>
        <w:spacing w:after="0" w:line="286" w:lineRule="auto"/>
        <w:tabs>
          <w:tab w:leader="none" w:pos="1151"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Date: July 24, 2025</w:t>
      </w:r>
    </w:p>
    <w:p>
      <w:pPr>
        <w:spacing w:after="0" w:line="200" w:lineRule="exact"/>
        <w:rPr>
          <w:sz w:val="20"/>
          <w:szCs w:val="20"/>
          <w:color w:val="auto"/>
        </w:rPr>
      </w:pPr>
    </w:p>
    <w:p>
      <w:pPr>
        <w:spacing w:after="0" w:line="242"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15875</wp:posOffset>
            </wp:positionV>
            <wp:extent cx="219392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193925" cy="7620"/>
                    </a:xfrm>
                    <a:prstGeom prst="rect">
                      <a:avLst/>
                    </a:prstGeom>
                    <a:noFill/>
                  </pic:spPr>
                </pic:pic>
              </a:graphicData>
            </a:graphic>
          </wp:anchor>
        </w:drawing>
      </w:r>
    </w:p>
    <w:p>
      <w:pPr>
        <w:sectPr>
          <w:pgSz w:w="11900" w:h="16838" w:orient="portrait"/>
          <w:cols w:equalWidth="0" w:num="1">
            <w:col w:w="11260"/>
          </w:cols>
          <w:pgMar w:left="320" w:top="809" w:right="319" w:bottom="1440" w:gutter="0" w:footer="0" w:header="0"/>
        </w:sectPr>
      </w:pPr>
    </w:p>
    <w:p>
      <w:pPr>
        <w:spacing w:after="0" w:line="4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Devon E. May</w:t>
      </w:r>
    </w:p>
    <w:p>
      <w:pPr>
        <w:spacing w:after="0" w:line="27" w:lineRule="exact"/>
        <w:rPr>
          <w:sz w:val="20"/>
          <w:szCs w:val="20"/>
          <w:color w:val="auto"/>
        </w:rPr>
      </w:pPr>
    </w:p>
    <w:p>
      <w:pPr>
        <w:sectPr>
          <w:pgSz w:w="11900" w:h="16838" w:orient="portrait"/>
          <w:cols w:equalWidth="0" w:num="2">
            <w:col w:w="6780" w:space="140"/>
            <w:col w:w="4340"/>
          </w:cols>
          <w:pgMar w:left="320" w:top="809" w:right="319" w:bottom="1440" w:gutter="0" w:footer="0" w:header="0"/>
          <w:type w:val="continuous"/>
        </w:sectPr>
      </w:pPr>
    </w:p>
    <w:p>
      <w:pPr>
        <w:ind w:left="63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2">
            <w:col w:w="6640" w:space="280"/>
            <w:col w:w="4340"/>
          </w:cols>
          <w:pgMar w:left="320" w:top="809" w:right="31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connection with the Quarterly Report on Form 10-Q of American Airlines Group Inc. (the “Company”) for the quarterly period ended June 30, 2025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181" w:lineRule="exact"/>
        <w:rPr>
          <w:sz w:val="20"/>
          <w:szCs w:val="20"/>
          <w:color w:val="auto"/>
        </w:rPr>
      </w:pPr>
    </w:p>
    <w:p>
      <w:pPr>
        <w:ind w:left="560" w:hanging="275"/>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04" w:lineRule="exact"/>
        <w:rPr>
          <w:rFonts w:ascii="Arial" w:cs="Arial" w:eastAsia="Arial" w:hAnsi="Arial"/>
          <w:sz w:val="16"/>
          <w:szCs w:val="16"/>
          <w:color w:val="auto"/>
        </w:rPr>
      </w:pPr>
    </w:p>
    <w:p>
      <w:pPr>
        <w:ind w:left="560" w:hanging="275"/>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72923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729230" cy="762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Robert D. Isom</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Chief Executive Officer and President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July 24, 2025</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72923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729230" cy="762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Devon E. May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Executive Vice President and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July 24, 2025</w:t>
      </w:r>
    </w:p>
    <w:p>
      <w:pPr>
        <w:spacing w:after="0" w:line="298"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60"/>
          </w:cols>
          <w:pgMar w:left="320" w:top="809"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connection with the Quarterly Report on Form 10-Q of American Airlines, Inc. (the “Company”) for the quarterly period ended June 30, 2025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181" w:lineRule="exact"/>
        <w:rPr>
          <w:sz w:val="20"/>
          <w:szCs w:val="20"/>
          <w:color w:val="auto"/>
        </w:rPr>
      </w:pPr>
    </w:p>
    <w:p>
      <w:pPr>
        <w:ind w:left="560" w:hanging="275"/>
        <w:spacing w:after="0"/>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04" w:lineRule="exact"/>
        <w:rPr>
          <w:rFonts w:ascii="Arial" w:cs="Arial" w:eastAsia="Arial" w:hAnsi="Arial"/>
          <w:sz w:val="16"/>
          <w:szCs w:val="16"/>
          <w:color w:val="auto"/>
        </w:rPr>
      </w:pPr>
    </w:p>
    <w:p>
      <w:pPr>
        <w:ind w:left="560" w:hanging="275"/>
        <w:spacing w:after="0"/>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72923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729230" cy="762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Robert D. Isom</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Chief Executive Officer and President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July 24, 2025</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72923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729230" cy="762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Devon E. May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Executive Vice President and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July 24, 2025</w:t>
      </w:r>
    </w:p>
    <w:p>
      <w:pPr>
        <w:spacing w:after="0" w:line="298"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60"/>
      </w:cols>
      <w:pgMar w:left="320" w:top="8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1"/>
    </w:lvl>
    <w:lvl w:ilvl="1">
      <w:lvlJc w:val="left"/>
      <w:lvlText w:val="(%2)"/>
      <w:numFmt w:val="lowerLetter"/>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1."/>
      <w:numFmt w:val="decimal"/>
      <w:start w:val="4"/>
    </w:lvl>
  </w:abstractNum>
  <w:abstractNum w:abstractNumId="10">
    <w:nsid w:val="32FFF902"/>
    <w:multiLevelType w:val="hybridMultilevel"/>
    <w:lvl w:ilvl="0">
      <w:lvlJc w:val="left"/>
      <w:lvlText w:val="(%1)"/>
      <w:numFmt w:val="decimal"/>
      <w:start w:val="1"/>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lvl w:ilvl="1">
      <w:lvlJc w:val="left"/>
      <w:lvlText w:val="(%2)"/>
      <w:numFmt w:val="lowerLetter"/>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decimal"/>
      <w:start w:val="3"/>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lowerLetter"/>
      <w:start w:val="1"/>
    </w:lvl>
  </w:abstractNum>
  <w:abstractNum w:abstractNumId="37">
    <w:nsid w:val="61574095"/>
    <w:multiLevelType w:val="hybridMultilevel"/>
    <w:lvl w:ilvl="0">
      <w:lvlJc w:val="left"/>
      <w:lvlText w:val="(%1)"/>
      <w:numFmt w:val="lowerLetter"/>
      <w:start w:val="5"/>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lowerLetter"/>
      <w:start w:val="1"/>
    </w:lvl>
  </w:abstractNum>
  <w:abstractNum w:abstractNumId="40">
    <w:nsid w:val="579BE4F1"/>
    <w:multiLevelType w:val="hybridMultilevel"/>
    <w:lvl w:ilvl="0">
      <w:lvlJc w:val="left"/>
      <w:lvlText w:val="(%1)"/>
      <w:numFmt w:val="lowerLetter"/>
      <w:start w:val="1"/>
    </w:lvl>
  </w:abstractNum>
  <w:abstractNum w:abstractNumId="41">
    <w:nsid w:val="310C50B3"/>
    <w:multiLevelType w:val="hybridMultilevel"/>
    <w:lvl w:ilvl="0">
      <w:lvlJc w:val="left"/>
      <w:lvlText w:val="(%1)"/>
      <w:numFmt w:val="lowerLetter"/>
      <w:start w:val="1"/>
    </w:lvl>
  </w:abstractNum>
  <w:abstractNum w:abstractNumId="42">
    <w:nsid w:val="5FF87E05"/>
    <w:multiLevelType w:val="hybridMultilevel"/>
    <w:lvl w:ilvl="0">
      <w:lvlJc w:val="left"/>
      <w:lvlText w:val="1"/>
      <w:numFmt w:val="bullet"/>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Letter"/>
      <w:start w:val="1"/>
    </w:lvl>
  </w:abstractNum>
  <w:abstractNum w:abstractNumId="45">
    <w:nsid w:val="1DBABF00"/>
    <w:multiLevelType w:val="hybridMultilevel"/>
    <w:lvl w:ilvl="0">
      <w:lvlJc w:val="left"/>
      <w:lvlText w:val="%1"/>
      <w:numFmt w:val="lowerRoman"/>
      <w:start w:val="1"/>
    </w:lvl>
    <w:lvl w:ilvl="1">
      <w:lvlJc w:val="left"/>
      <w:lvlText w:val="(%2)"/>
      <w:numFmt w:val="lowerLetter"/>
      <w:start w:val="1"/>
    </w:lvl>
  </w:abstractNum>
  <w:abstractNum w:abstractNumId="46">
    <w:nsid w:val="4AD084E9"/>
    <w:multiLevelType w:val="hybridMultilevel"/>
    <w:lvl w:ilvl="0">
      <w:lvlJc w:val="left"/>
      <w:lvlText w:val="(%1)"/>
      <w:numFmt w:val="lowerRoman"/>
      <w:start w:val="6"/>
    </w:lvl>
    <w:lvl w:ilvl="1">
      <w:lvlJc w:val="left"/>
      <w:lvlText w:val="%2"/>
      <w:numFmt w:val="lowerLetter"/>
      <w:start w:val="1"/>
    </w:lvl>
  </w:abstractNum>
  <w:abstractNum w:abstractNumId="47">
    <w:nsid w:val="1F48EAA1"/>
    <w:multiLevelType w:val="hybridMultilevel"/>
    <w:lvl w:ilvl="0">
      <w:lvlJc w:val="left"/>
      <w:lvlText w:val="(%1)"/>
      <w:numFmt w:val="lowerLetter"/>
      <w:start w:val="1"/>
    </w:lvl>
  </w:abstractNum>
  <w:abstractNum w:abstractNumId="48">
    <w:nsid w:val="1381823A"/>
    <w:multiLevelType w:val="hybridMultilevel"/>
    <w:lvl w:ilvl="0">
      <w:lvlJc w:val="left"/>
      <w:lvlText w:val="%1"/>
      <w:numFmt w:val="lowerLetter"/>
      <w:start w:val="1"/>
    </w:lvl>
    <w:lvl w:ilvl="1">
      <w:lvlJc w:val="left"/>
      <w:lvlText w:val="(%2)"/>
      <w:numFmt w:val="lowerLetter"/>
      <w:start w:val="2"/>
    </w:lvl>
  </w:abstractNum>
  <w:abstractNum w:abstractNumId="49">
    <w:nsid w:val="5DB70AE5"/>
    <w:multiLevelType w:val="hybridMultilevel"/>
    <w:lvl w:ilvl="0">
      <w:lvlJc w:val="left"/>
      <w:lvlText w:val="(%1)"/>
      <w:numFmt w:val="lowerLetter"/>
      <w:start w:val="9"/>
    </w:lvl>
    <w:lvl w:ilvl="1">
      <w:lvlJc w:val="left"/>
      <w:lvlText w:val="%2"/>
      <w:numFmt w:val="lowerLetter"/>
      <w:start w:val="1"/>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3"/>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1)"/>
      <w:numFmt w:val="lowerLetter"/>
      <w:start w:val="2"/>
    </w:lvl>
  </w:abstractNum>
  <w:abstractNum w:abstractNumId="54">
    <w:nsid w:val="98A3148"/>
    <w:multiLevelType w:val="hybridMultilevel"/>
    <w:lvl w:ilvl="0">
      <w:lvlJc w:val="left"/>
      <w:lvlText w:val="(%1)"/>
      <w:numFmt w:val="lowerLetter"/>
      <w:start w:val="35"/>
    </w:lvl>
    <w:lvl w:ilvl="1">
      <w:lvlJc w:val="left"/>
      <w:lvlText w:val="(%2)"/>
      <w:numFmt w:val="lowerLetter"/>
      <w:start w:val="1"/>
    </w:lvl>
  </w:abstractNum>
  <w:abstractNum w:abstractNumId="55">
    <w:nsid w:val="799D0247"/>
    <w:multiLevelType w:val="hybridMultilevel"/>
    <w:lvl w:ilvl="0">
      <w:lvlJc w:val="left"/>
      <w:lvlText w:val="(%1)"/>
      <w:numFmt w:val="lowerLetter"/>
      <w:start w:val="5"/>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upperLetter"/>
      <w:start w:val="1"/>
    </w:lvl>
    <w:lvl w:ilvl="1">
      <w:lvlJc w:val="left"/>
      <w:lvlText w:val="(%2)"/>
      <w:numFmt w:val="lowerLetter"/>
      <w:start w:val="2"/>
    </w:lvl>
  </w:abstractNum>
  <w:abstractNum w:abstractNumId="58">
    <w:nsid w:val="168E121F"/>
    <w:multiLevelType w:val="hybridMultilevel"/>
    <w:lvl w:ilvl="0">
      <w:lvlJc w:val="left"/>
      <w:lvlText w:val="(%1)"/>
      <w:numFmt w:val="upperLetter"/>
      <w:start w:val="1"/>
    </w:lvl>
    <w:lvl w:ilvl="1">
      <w:lvlJc w:val="left"/>
      <w:lvlText w:val="(%2)"/>
      <w:numFmt w:val="lowerLetter"/>
      <w:start w:val="3"/>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lowerLetter"/>
      <w:start w:val="1"/>
    </w:lvl>
    <w:lvl w:ilvl="1">
      <w:lvlJc w:val="left"/>
      <w:lvlText w:val="(%2)"/>
      <w:numFmt w:val="lowerLetter"/>
      <w:start w:val="2"/>
    </w:lvl>
  </w:abstractNum>
  <w:abstractNum w:abstractNumId="62">
    <w:nsid w:val="540A471C"/>
    <w:multiLevelType w:val="hybridMultilevel"/>
    <w:lvl w:ilvl="0">
      <w:lvlJc w:val="left"/>
      <w:lvlText w:val="(%1)"/>
      <w:numFmt w:val="lowerLetter"/>
      <w:start w:val="61"/>
    </w:lvl>
    <w:lvl w:ilvl="1">
      <w:lvlJc w:val="left"/>
      <w:lvlText w:val="%2"/>
      <w:numFmt w:val="lowerLetter"/>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2"/>
    </w:lvl>
  </w:abstractNum>
  <w:abstractNum w:abstractNumId="65">
    <w:nsid w:val="613EFDC5"/>
    <w:multiLevelType w:val="hybridMultilevel"/>
    <w:lvl w:ilvl="0">
      <w:lvlJc w:val="left"/>
      <w:lvlText w:val="%1."/>
      <w:numFmt w:val="decimal"/>
      <w:start w:val="3"/>
    </w:lvl>
  </w:abstractNum>
  <w:abstractNum w:abstractNumId="66">
    <w:nsid w:val="BF72B14"/>
    <w:multiLevelType w:val="hybridMultilevel"/>
    <w:lvl w:ilvl="0">
      <w:lvlJc w:val="left"/>
      <w:lvlText w:val="%1."/>
      <w:numFmt w:val="decimal"/>
      <w:start w:val="4"/>
    </w:lvl>
  </w:abstractNum>
  <w:abstractNum w:abstractNumId="67">
    <w:nsid w:val="11447B73"/>
    <w:multiLevelType w:val="hybridMultilevel"/>
    <w:lvl w:ilvl="0">
      <w:lvlJc w:val="left"/>
      <w:lvlText w:val="%1."/>
      <w:numFmt w:val="decimal"/>
      <w:start w:val="5"/>
    </w:lvl>
  </w:abstractNum>
  <w:abstractNum w:abstractNumId="68">
    <w:nsid w:val="42963E5A"/>
    <w:multiLevelType w:val="hybridMultilevel"/>
    <w:lvl w:ilvl="0">
      <w:lvlJc w:val="left"/>
      <w:lvlText w:val="1"/>
      <w:numFmt w:val="bullet"/>
      <w:start w:val="1"/>
    </w:lvl>
  </w:abstractNum>
  <w:abstractNum w:abstractNumId="69">
    <w:nsid w:val="A0382C5"/>
    <w:multiLevelType w:val="hybridMultilevel"/>
    <w:lvl w:ilvl="0">
      <w:lvlJc w:val="left"/>
      <w:lvlText w:val="%1."/>
      <w:numFmt w:val="upperLetter"/>
      <w:start w:val="2"/>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2"/>
    </w:lvl>
  </w:abstractNum>
  <w:abstractNum w:abstractNumId="73">
    <w:nsid w:val="68EB2F63"/>
    <w:multiLevelType w:val="hybridMultilevel"/>
    <w:lvl w:ilvl="0">
      <w:lvlJc w:val="left"/>
      <w:lvlText w:val="%1."/>
      <w:numFmt w:val="decimal"/>
      <w:start w:val="4"/>
    </w:lvl>
  </w:abstractNum>
  <w:abstractNum w:abstractNumId="74">
    <w:nsid w:val="4962813B"/>
    <w:multiLevelType w:val="hybridMultilevel"/>
    <w:lvl w:ilvl="0">
      <w:lvlJc w:val="left"/>
      <w:lvlText w:val="1"/>
      <w:numFmt w:val="bullet"/>
      <w:start w:val="1"/>
    </w:lvl>
  </w:abstractNum>
  <w:abstractNum w:abstractNumId="75">
    <w:nsid w:val="60B6DF70"/>
    <w:multiLevelType w:val="hybridMultilevel"/>
    <w:lvl w:ilvl="0">
      <w:lvlJc w:val="left"/>
      <w:lvlText w:val="%1."/>
      <w:numFmt w:val="decimal"/>
      <w:start w:val="5"/>
    </w:lvl>
  </w:abstractNum>
  <w:abstractNum w:abstractNumId="76">
    <w:nsid w:val="6A5EE64"/>
    <w:multiLevelType w:val="hybridMultilevel"/>
    <w:lvl w:ilvl="0">
      <w:lvlJc w:val="left"/>
      <w:lvlText w:val="%1)"/>
      <w:numFmt w:val="lowerRoman"/>
      <w:start w:val="1"/>
    </w:lvl>
  </w:abstractNum>
  <w:abstractNum w:abstractNumId="77">
    <w:nsid w:val="14330624"/>
    <w:multiLevelType w:val="hybridMultilevel"/>
    <w:lvl w:ilvl="0">
      <w:lvlJc w:val="left"/>
      <w:lvlText w:val="%1."/>
      <w:numFmt w:val="decimal"/>
      <w:start w:val="6"/>
    </w:lvl>
  </w:abstractNum>
  <w:abstractNum w:abstractNumId="78">
    <w:nsid w:val="7FFFCA11"/>
    <w:multiLevelType w:val="hybridMultilevel"/>
    <w:lvl w:ilvl="0">
      <w:lvlJc w:val="left"/>
      <w:lvlText w:val="%1."/>
      <w:numFmt w:val="decimal"/>
      <w:start w:val="8"/>
    </w:lvl>
  </w:abstractNum>
  <w:abstractNum w:abstractNumId="79">
    <w:nsid w:val="1A27709E"/>
    <w:multiLevelType w:val="hybridMultilevel"/>
    <w:lvl w:ilvl="0">
      <w:lvlJc w:val="left"/>
      <w:lvlText w:val="%1."/>
      <w:numFmt w:val="decimal"/>
      <w:start w:val="9"/>
    </w:lvl>
  </w:abstractNum>
  <w:abstractNum w:abstractNumId="80">
    <w:nsid w:val="71EA1109"/>
    <w:multiLevelType w:val="hybridMultilevel"/>
    <w:lvl w:ilvl="0">
      <w:lvlJc w:val="left"/>
      <w:lvlText w:val="%1."/>
      <w:numFmt w:val="decimal"/>
      <w:start w:val="1"/>
    </w:lvl>
    <w:lvl w:ilvl="1">
      <w:lvlJc w:val="left"/>
      <w:lvlText w:val="(%2)"/>
      <w:numFmt w:val="lowerLetter"/>
      <w:start w:val="1"/>
    </w:lvl>
  </w:abstractNum>
  <w:abstractNum w:abstractNumId="81">
    <w:nsid w:val="100F59DC"/>
    <w:multiLevelType w:val="hybridMultilevel"/>
    <w:lvl w:ilvl="0">
      <w:lvlJc w:val="left"/>
      <w:lvlText w:val="%1."/>
      <w:numFmt w:val="decimal"/>
      <w:start w:val="1"/>
    </w:lvl>
    <w:lvl w:ilvl="1">
      <w:lvlJc w:val="left"/>
      <w:lvlText w:val="(%2)"/>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54" Type="http://schemas.openxmlformats.org/officeDocument/2006/relationships/hyperlink" Target="https://www.sec.gov/Archives/edgar/data/6201/000119312525130155/d9191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2025-07-24T06:08:05Z</dcterms:created>
  <dcterms:modified xsi:type="dcterms:W3CDTF">2025-07-24T06:08:05Z</dcterms:modified>
</cp:coreProperties>
</file>