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6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66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Airlines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3"/>
              </w:rPr>
              <w:t>Delaware</w:t>
            </w:r>
          </w:p>
        </w:tc>
        <w:tc>
          <w:tcPr>
            <w:tcW w:w="4340" w:type="dxa"/>
            <w:vAlign w:val="bottom"/>
          </w:tcPr>
          <w:p>
            <w:pPr>
              <w:jc w:val="right"/>
              <w:ind w:right="1119"/>
              <w:spacing w:after="0"/>
              <w:rPr>
                <w:sz w:val="20"/>
                <w:szCs w:val="20"/>
                <w:color w:val="auto"/>
              </w:rPr>
            </w:pPr>
            <w:r>
              <w:rPr>
                <w:rFonts w:ascii="Arial" w:cs="Arial" w:eastAsia="Arial" w:hAnsi="Arial"/>
                <w:sz w:val="18"/>
                <w:szCs w:val="18"/>
                <w:b w:val="1"/>
                <w:bCs w:val="1"/>
                <w:color w:val="auto"/>
              </w:rPr>
              <w:t>75-1825172</w:t>
            </w:r>
          </w:p>
        </w:tc>
      </w:tr>
      <w:tr>
        <w:trPr>
          <w:trHeight w:val="186"/>
        </w:trPr>
        <w:tc>
          <w:tcPr>
            <w:tcW w:w="5000" w:type="dxa"/>
            <w:vAlign w:val="bottom"/>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40" w:type="dxa"/>
            <w:vAlign w:val="bottom"/>
          </w:tcPr>
          <w:p>
            <w:pPr>
              <w:jc w:val="center"/>
              <w:ind w:left="10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4"/>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4340" w:type="dxa"/>
            <w:vAlign w:val="bottom"/>
          </w:tcPr>
          <w:p>
            <w:pPr>
              <w:jc w:val="right"/>
              <w:ind w:right="979"/>
              <w:spacing w:after="0"/>
              <w:rPr>
                <w:sz w:val="20"/>
                <w:szCs w:val="20"/>
                <w:color w:val="auto"/>
              </w:rPr>
            </w:pPr>
            <w:r>
              <w:rPr>
                <w:rFonts w:ascii="Arial" w:cs="Arial" w:eastAsia="Arial" w:hAnsi="Arial"/>
                <w:sz w:val="18"/>
                <w:szCs w:val="18"/>
                <w:b w:val="1"/>
                <w:bCs w:val="1"/>
                <w:color w:val="auto"/>
              </w:rPr>
              <w:t>(817) 963-1234</w:t>
            </w:r>
          </w:p>
        </w:tc>
      </w:tr>
      <w:tr>
        <w:trPr>
          <w:trHeight w:val="186"/>
        </w:trPr>
        <w:tc>
          <w:tcPr>
            <w:tcW w:w="5000" w:type="dxa"/>
            <w:vAlign w:val="bottom"/>
          </w:tcPr>
          <w:p>
            <w:pPr>
              <w:jc w:val="center"/>
              <w:ind w:right="9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4340" w:type="dxa"/>
            <w:vAlign w:val="bottom"/>
          </w:tcPr>
          <w:p>
            <w:pPr>
              <w:jc w:val="center"/>
              <w:ind w:left="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Airlines,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3"/>
              </w:rPr>
              <w:t>Delaware</w:t>
            </w:r>
          </w:p>
        </w:tc>
        <w:tc>
          <w:tcPr>
            <w:tcW w:w="4340" w:type="dxa"/>
            <w:vAlign w:val="bottom"/>
          </w:tcPr>
          <w:p>
            <w:pPr>
              <w:jc w:val="right"/>
              <w:ind w:right="1119"/>
              <w:spacing w:after="0"/>
              <w:rPr>
                <w:sz w:val="20"/>
                <w:szCs w:val="20"/>
                <w:color w:val="auto"/>
              </w:rPr>
            </w:pPr>
            <w:r>
              <w:rPr>
                <w:rFonts w:ascii="Arial" w:cs="Arial" w:eastAsia="Arial" w:hAnsi="Arial"/>
                <w:sz w:val="18"/>
                <w:szCs w:val="18"/>
                <w:b w:val="1"/>
                <w:bCs w:val="1"/>
                <w:color w:val="auto"/>
              </w:rPr>
              <w:t>13-1502798</w:t>
            </w:r>
          </w:p>
        </w:tc>
      </w:tr>
      <w:tr>
        <w:trPr>
          <w:trHeight w:val="186"/>
        </w:trPr>
        <w:tc>
          <w:tcPr>
            <w:tcW w:w="5000" w:type="dxa"/>
            <w:vAlign w:val="bottom"/>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40" w:type="dxa"/>
            <w:vAlign w:val="bottom"/>
          </w:tcPr>
          <w:p>
            <w:pPr>
              <w:jc w:val="center"/>
              <w:ind w:left="10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4"/>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4340" w:type="dxa"/>
            <w:vAlign w:val="bottom"/>
          </w:tcPr>
          <w:p>
            <w:pPr>
              <w:jc w:val="right"/>
              <w:ind w:right="979"/>
              <w:spacing w:after="0"/>
              <w:rPr>
                <w:sz w:val="20"/>
                <w:szCs w:val="20"/>
                <w:color w:val="auto"/>
              </w:rPr>
            </w:pPr>
            <w:r>
              <w:rPr>
                <w:rFonts w:ascii="Arial" w:cs="Arial" w:eastAsia="Arial" w:hAnsi="Arial"/>
                <w:sz w:val="18"/>
                <w:szCs w:val="18"/>
                <w:b w:val="1"/>
                <w:bCs w:val="1"/>
                <w:color w:val="auto"/>
              </w:rPr>
              <w:t>(817) 963-1234</w:t>
            </w:r>
          </w:p>
        </w:tc>
      </w:tr>
      <w:tr>
        <w:trPr>
          <w:trHeight w:val="186"/>
        </w:trPr>
        <w:tc>
          <w:tcPr>
            <w:tcW w:w="5000" w:type="dxa"/>
            <w:vAlign w:val="bottom"/>
          </w:tcPr>
          <w:p>
            <w:pPr>
              <w:jc w:val="center"/>
              <w:ind w:right="9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4340" w:type="dxa"/>
            <w:vAlign w:val="bottom"/>
          </w:tcPr>
          <w:p>
            <w:pPr>
              <w:jc w:val="center"/>
              <w:ind w:left="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9" w:lineRule="exact"/>
        <w:rPr>
          <w:sz w:val="24"/>
          <w:szCs w:val="24"/>
          <w:color w:val="auto"/>
        </w:rPr>
      </w:pPr>
    </w:p>
    <w:p>
      <w:pPr>
        <w:spacing w:after="0" w:line="30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sectPr>
      </w:pP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jc w:val="both"/>
        <w:ind w:right="20"/>
        <w:spacing w:after="0" w:line="21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2" w:lineRule="exact"/>
        <w:rPr>
          <w:sz w:val="24"/>
          <w:szCs w:val="24"/>
          <w:color w:val="auto"/>
        </w:rPr>
      </w:pPr>
    </w:p>
    <w:p>
      <w:pPr>
        <w:sectPr>
          <w:pgSz w:w="11900" w:h="16838" w:orient="portrait"/>
          <w:cols w:equalWidth="0" w:num="3">
            <w:col w:w="9580" w:space="720"/>
            <w:col w:w="460" w:space="220"/>
            <w:col w:w="440"/>
          </w:cols>
          <w:pgMar w:left="240" w:top="230" w:right="239" w:bottom="1440" w:gutter="0" w:footer="0" w:header="0"/>
          <w:type w:val="continuous"/>
        </w:sect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jc w:val="both"/>
        <w:ind w:right="20"/>
        <w:spacing w:after="0" w:line="215"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2" w:lineRule="exact"/>
        <w:rPr>
          <w:sz w:val="24"/>
          <w:szCs w:val="24"/>
          <w:color w:val="auto"/>
        </w:rPr>
      </w:pPr>
    </w:p>
    <w:p>
      <w:pPr>
        <w:sectPr>
          <w:pgSz w:w="11900" w:h="16838" w:orient="portrait"/>
          <w:cols w:equalWidth="0" w:num="3">
            <w:col w:w="9580" w:space="720"/>
            <w:col w:w="460" w:space="220"/>
            <w:col w:w="440"/>
          </w:cols>
          <w:pgMar w:left="240" w:top="230" w:right="239" w:bottom="1440" w:gutter="0" w:footer="0" w:header="0"/>
          <w:type w:val="continuous"/>
        </w:sectPr>
      </w:pPr>
    </w:p>
    <w:p>
      <w:pPr>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“accelerated filer,” “large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jc w:val="both"/>
        <w:spacing w:after="0" w:line="20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Large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Large Accelerated Filer</w:t>
      </w:r>
    </w:p>
    <w:p>
      <w:pPr>
        <w:spacing w:after="0" w:line="20" w:lineRule="exact"/>
        <w:rPr>
          <w:sz w:val="24"/>
          <w:szCs w:val="24"/>
          <w:color w:val="auto"/>
        </w:rPr>
      </w:pPr>
      <w:r>
        <w:rPr>
          <w:sz w:val="24"/>
          <w:szCs w:val="24"/>
          <w:color w:val="auto"/>
        </w:rPr>
        <w:br w:type="column"/>
      </w:r>
    </w:p>
    <w:p>
      <w:pPr>
        <w:jc w:val="both"/>
        <w:spacing w:after="0" w:line="20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10"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p>
      <w:pPr>
        <w:spacing w:after="0" w:line="20" w:lineRule="exact"/>
        <w:rPr>
          <w:sz w:val="24"/>
          <w:szCs w:val="24"/>
          <w:color w:val="auto"/>
        </w:rPr>
      </w:pPr>
      <w:r>
        <w:rPr>
          <w:sz w:val="24"/>
          <w:szCs w:val="24"/>
          <w:color w:val="auto"/>
        </w:rPr>
        <w:br w:type="column"/>
      </w:r>
    </w:p>
    <w:p>
      <w:pPr>
        <w:jc w:val="both"/>
        <w:ind w:right="340"/>
        <w:spacing w:after="0" w:line="20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Smaller Reporting Company</w:t>
      </w:r>
    </w:p>
    <w:p>
      <w:pPr>
        <w:spacing w:after="0" w:line="33" w:lineRule="exact"/>
        <w:rPr>
          <w:sz w:val="24"/>
          <w:szCs w:val="24"/>
          <w:color w:val="auto"/>
        </w:rPr>
      </w:pPr>
    </w:p>
    <w:p>
      <w:pPr>
        <w:sectPr>
          <w:pgSz w:w="11900" w:h="16838" w:orient="portrait"/>
          <w:cols w:equalWidth="0" w:num="5">
            <w:col w:w="2480" w:space="720"/>
            <w:col w:w="1760" w:space="360"/>
            <w:col w:w="1360" w:space="320"/>
            <w:col w:w="1620" w:space="360"/>
            <w:col w:w="2440"/>
          </w:cols>
          <w:pgMar w:left="240" w:top="230" w:right="23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both"/>
        <w:ind w:right="20"/>
        <w:spacing w:after="0" w:line="22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2" w:lineRule="exact"/>
        <w:rPr>
          <w:sz w:val="24"/>
          <w:szCs w:val="24"/>
          <w:color w:val="auto"/>
        </w:rPr>
      </w:pPr>
    </w:p>
    <w:p>
      <w:pPr>
        <w:sectPr>
          <w:pgSz w:w="11900" w:h="16838" w:orient="portrait"/>
          <w:cols w:equalWidth="0" w:num="3">
            <w:col w:w="9580" w:space="720"/>
            <w:col w:w="460" w:space="220"/>
            <w:col w:w="440"/>
          </w:cols>
          <w:pgMar w:left="240" w:top="230" w:right="239" w:bottom="1440" w:gutter="0" w:footer="0" w:header="0"/>
          <w:type w:val="continuous"/>
        </w:sectPr>
      </w:pPr>
    </w:p>
    <w:p>
      <w:pPr>
        <w:spacing w:after="0" w:line="288" w:lineRule="auto"/>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0220" w:type="dxa"/>
            <w:vAlign w:val="bottom"/>
          </w:tcPr>
          <w:p>
            <w:pPr>
              <w:spacing w:after="0"/>
              <w:rPr>
                <w:sz w:val="20"/>
                <w:szCs w:val="20"/>
                <w:color w:val="auto"/>
              </w:rPr>
            </w:pPr>
            <w:r>
              <w:rPr>
                <w:rFonts w:ascii="Arial" w:cs="Arial" w:eastAsia="Arial" w:hAnsi="Arial"/>
                <w:sz w:val="16"/>
                <w:szCs w:val="16"/>
                <w:color w:val="auto"/>
              </w:rPr>
              <w:t>American Airlines Group Inc.</w:t>
            </w:r>
          </w:p>
        </w:tc>
        <w:tc>
          <w:tcPr>
            <w:tcW w:w="64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tc>
        <w:tc>
          <w:tcPr>
            <w:tcW w:w="560" w:type="dxa"/>
            <w:vAlign w:val="bottom"/>
          </w:tcPr>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54"/>
        </w:trPr>
        <w:tc>
          <w:tcPr>
            <w:tcW w:w="10220" w:type="dxa"/>
            <w:vAlign w:val="bottom"/>
          </w:tcPr>
          <w:p>
            <w:pPr>
              <w:spacing w:after="0"/>
              <w:rPr>
                <w:sz w:val="20"/>
                <w:szCs w:val="20"/>
                <w:color w:val="auto"/>
              </w:rPr>
            </w:pPr>
            <w:r>
              <w:rPr>
                <w:rFonts w:ascii="Arial" w:cs="Arial" w:eastAsia="Arial" w:hAnsi="Arial"/>
                <w:sz w:val="16"/>
                <w:szCs w:val="16"/>
                <w:color w:val="auto"/>
              </w:rPr>
              <w:t>American Airlines, Inc.</w:t>
            </w:r>
          </w:p>
        </w:tc>
        <w:tc>
          <w:tcPr>
            <w:tcW w:w="64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tc>
        <w:tc>
          <w:tcPr>
            <w:tcW w:w="560" w:type="dxa"/>
            <w:vAlign w:val="bottom"/>
          </w:tcPr>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39"/>
        </w:trPr>
        <w:tc>
          <w:tcPr>
            <w:tcW w:w="10220" w:type="dxa"/>
            <w:vAlign w:val="bottom"/>
          </w:tcPr>
          <w:p>
            <w:pPr>
              <w:spacing w:after="0"/>
              <w:rPr>
                <w:sz w:val="20"/>
                <w:szCs w:val="20"/>
                <w:color w:val="auto"/>
              </w:rPr>
            </w:pPr>
            <w:r>
              <w:rPr>
                <w:rFonts w:ascii="Arial" w:cs="Arial" w:eastAsia="Arial" w:hAnsi="Arial"/>
                <w:sz w:val="16"/>
                <w:szCs w:val="16"/>
                <w:color w:val="auto"/>
              </w:rPr>
              <w:t>As of July 15, 2016, there were 529,913,365 shares of American Airlines Group Inc. common stock outstanding.</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7"/>
        </w:trPr>
        <w:tc>
          <w:tcPr>
            <w:tcW w:w="10220" w:type="dxa"/>
            <w:vAlign w:val="bottom"/>
          </w:tcPr>
          <w:p>
            <w:pPr>
              <w:spacing w:after="0"/>
              <w:rPr>
                <w:sz w:val="20"/>
                <w:szCs w:val="20"/>
                <w:color w:val="auto"/>
              </w:rPr>
            </w:pPr>
            <w:r>
              <w:rPr>
                <w:rFonts w:ascii="Arial" w:cs="Arial" w:eastAsia="Arial" w:hAnsi="Arial"/>
                <w:sz w:val="16"/>
                <w:szCs w:val="16"/>
                <w:color w:val="auto"/>
                <w:w w:val="94"/>
              </w:rPr>
              <w:t>As of July 15, 2016, there were 1,000 shares of American Airlines, Inc. common stock outstanding, all of which were held by American Airlines Group Inc.</w:t>
            </w: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87"/>
        </w:trPr>
        <w:tc>
          <w:tcPr>
            <w:tcW w:w="10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48"/>
        </w:trPr>
        <w:tc>
          <w:tcPr>
            <w:tcW w:w="10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Period Ended June 30, 2016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vMerge w:val="restart"/>
          </w:tcPr>
          <w:p>
            <w:pPr>
              <w:spacing w:after="0"/>
              <w:rPr>
                <w:sz w:val="14"/>
                <w:szCs w:val="14"/>
                <w:color w:val="auto"/>
              </w:rPr>
            </w:pPr>
          </w:p>
        </w:tc>
        <w:tc>
          <w:tcPr>
            <w:tcW w:w="6900" w:type="dxa"/>
            <w:vAlign w:val="bottom"/>
            <w:gridSpan w:val="13"/>
            <w:vMerge w:val="restart"/>
          </w:tcPr>
          <w:p>
            <w:pPr>
              <w:jc w:val="center"/>
              <w:ind w:right="382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6900" w:type="dxa"/>
            <w:vAlign w:val="bottom"/>
            <w:gridSpan w:val="1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57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Financial Statements of American Airlines Group Inc.</w:t>
              </w:r>
            </w:hyperlink>
          </w:p>
        </w:tc>
        <w:tc>
          <w:tcPr>
            <w:tcW w:w="42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w:t>
              </w:r>
            </w:hyperlink>
          </w:p>
        </w:tc>
        <w:tc>
          <w:tcPr>
            <w:tcW w:w="54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53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Condensed Consolidated Financial Statements of American Airlines, Inc.</w:t>
              </w:r>
            </w:hyperlink>
          </w:p>
        </w:tc>
        <w:tc>
          <w:tcPr>
            <w:tcW w:w="472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Condensed Consolidated Statements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Condensed Consolidated Statements of Comprehensive Income</w:t>
              </w:r>
            </w:hyperlink>
          </w:p>
        </w:tc>
        <w:tc>
          <w:tcPr>
            <w:tcW w:w="54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2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2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6"/>
          </w:tcPr>
          <w:p>
            <w:pPr>
              <w:spacing w:after="0"/>
              <w:rPr>
                <w:sz w:val="17"/>
                <w:szCs w:val="17"/>
                <w:color w:val="auto"/>
              </w:rPr>
            </w:pPr>
          </w:p>
        </w:tc>
        <w:tc>
          <w:tcPr>
            <w:tcW w:w="35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00" w:type="dxa"/>
            <w:vAlign w:val="bottom"/>
            <w:gridSpan w:val="13"/>
          </w:tcPr>
          <w:p>
            <w:pPr>
              <w:jc w:val="center"/>
              <w:ind w:right="3800"/>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3280" w:type="dxa"/>
            <w:vAlign w:val="bottom"/>
            <w:gridSpan w:val="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2780" w:type="dxa"/>
            <w:vAlign w:val="bottom"/>
            <w:tcBorders>
              <w:top w:val="single" w:sz="8" w:color="0000EE"/>
            </w:tcBorders>
            <w:gridSpan w:val="9"/>
          </w:tcPr>
          <w:p>
            <w:pPr>
              <w:spacing w:after="0"/>
              <w:rPr>
                <w:sz w:val="17"/>
                <w:szCs w:val="17"/>
                <w:color w:val="auto"/>
              </w:rPr>
            </w:pPr>
          </w:p>
        </w:tc>
        <w:tc>
          <w:tcPr>
            <w:tcW w:w="39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68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Unregistered Sales of Equity Securities and Use of Proceeds</w:t>
              </w:r>
            </w:hyperlink>
          </w:p>
        </w:tc>
        <w:tc>
          <w:tcPr>
            <w:tcW w:w="56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20" w:type="dxa"/>
            <w:vAlign w:val="bottom"/>
            <w:gridSpan w:val="2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87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0" w:type="dxa"/>
            <w:vAlign w:val="bottom"/>
            <w:gridSpan w:val="15"/>
          </w:tcPr>
          <w:p>
            <w:pPr>
              <w:jc w:val="right"/>
              <w:ind w:right="54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This combined Quarterly Report on Form 10-Q is filed by American Airlines Group Inc. (formerly named AMR Corporation) (AAG) and its wholly-owned subsidiary American Airlines, Inc. (American). References in this Quarterly Report on Form 10-Q to “we,” “us,” “our” and similar terms refer to AAG and its consolidated subsidiaries. On December 9, 2013, a subsidiary of AMR Corporation merged with and into US Airways Group, Inc. (US Airways Group), which survived as a wholly-owned subsidiary of AAG (the Merger). On December 30, 2015, in order to simplify AAG’s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subsidiary of US Airways Group, merged with and into American, with American as the surviving corporation. For financial reporting purposes, this transaction constituted a transfer of assets between entities under common control and is reflected in this Quarterly Report on Form 10-Q as though the transaction had occurred on December 9, 2013, the effective date of the Merger, which represents the earliest date that American and US Airways were under common control. Thus, information in this Quarterly Report on Form 10-Q regarding American’s condensed consolidated results of operations is comprised of the results of US Airways and American for all periods presented. “AMR” or “AMR Corporation” refers to AAG during the period of time prior to its acquisition of US Airways Group. References to “US Airways Group” and “US Airways” represent the entities during the period of time prior to December 30, 2015. References in this Quarterly Report on Form 10-Q to “mainline” refer to the operations of American, as applicable, and exclude regional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2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benefits of the Merger, including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II, Item 1A. Risk Factors and the following: significant operating losses in the future; downturns in economic conditions that adversely affect our business; the impact of continued periods of high volatility in fuel costs, increased fuel prices and significant disruptions in the supply of aircraft fuel; competitive practices in the industry, including the impact of low-cost carriers, airline alliances and industry consolidation; the challenges and costs of integrating operations and realizing anticipated synergies and other benefits of the Merger; costs of ongoing data security compliance requirements and the impact of any significant data security breach; our substantial indebtedness and other obligations and the effect they could have on our business and liquidity; an inability to obtain sufficient financing or other capital to operate successfully and in accordance with our current business plan; increased costs of financing, a reduction in the availability of financing and fluctuations in interest rates; the effect our high level of fixed obligations may have on our ability to fund general corporate requirements, obtain additional financing and respond to competitive developments and adverse economic and industry conditions; our significant pension and other postretirement benefit funding obligations; the impact of any failure to comply with the covenants contained in financing arrangements; provisions in credit card processing and other commercial agreements that may materially reduce our liquidity; the impact of union disputes, employee strikes and other labor-related disruptions; any inability to maintain labor costs at competitive levels; interruptions or disruptions in service at one or more of our hub airports; any inability to obtain and maintain adequate facilities, infrastructure and slots to operate our flight schedule and expand or change our route network;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extensive government regulation, which may result in increases in our costs, disruptions to our operations, limits on our operating flexibility, reductions in the demand for air travel, and competitive disadvantages; the impact of the heavy taxation on the airline industry; changes to our business model that may not successfully increase revenues and may cause operational difficulties or decreased demand; the loss of key personnel or inability to attract and retain additional qualified personnel; the impact of conflicts overseas, terrorist attacks and ongoing security concerns;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the impact of environmental and noise regulation; the impact associated with climate change, including increased regulation to reduce emissions of greenhouse gases; our reliance on technology and automated systems and the impact of any failure of these technologies or systems; challenges in integrating our computer, communications and other technology systems; losses and adverse publicity stemming from any accident involving any of our aircraft or the aircraft of our regional or codeshare operators; delays in scheduled aircraft deliveries, or other loss of anticipated fleet capacity, and failure of new aircraft to perform as expected; our dependence on a limited number of suppliers for aircraft, aircraft engines and parts; the impact of changing economic and other conditions beyond our control, including global events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that affect travel behavior such as an outbreak of a contagious disease, and volatility and fluctuations in our results of operations due to seasonality; the effect of a higher than normal number of pilot retirements, more stringent duty time regulations, increased flight hour requirements for commercial airline pilots and other factors that have caused a shortage of pilots; the impact of possible future increases in insurance costs or reductions in available insurance coverage; the effect on our financial position and liquidity of being party to or involved in litigation; an inability to use net operating losses (NOLs) carried over from prior taxable years (NOL Carryforwards); any impairment in the amount of our goodwill and an inability to realize the full value of our intangible or long-lived assets and any material impairment charges that would be recorded as a result; price volatility of our common stock; the effects of our capital deployment program and the limitation, suspension or discontinuation of our share repurchase programs or dividend payments thereunder; delay or prevention of stockholders’ ability to change the composition of our Board of Directors and the effect this may have on takeover attempts that some of our stockholders might consider beneficial; the effect of provisions of our Restated Certificate of Incorporation (the Certificate of Incorporation) and Amended and Restated Bylaws (the Bylaws) that limit ownership and voting of our equity interests, including our common stock; the effect of limitations in our Certificate of Incorporation on acquisitions and dispositions of our common stock designed to protect our NOL Carryforwards and certain other tax attributes, which may limit the liquidity of our common stock; and other economic, business, competitive, and/or regulatory factors affecting our business, including those set forth in this Quarterly Report on Form 10-Q (especially in Part II, Item 1A. Risk Factors and Part I, Item 2. Management’s Discussion and Analysis of Financial Condition and Results of Operations) and in our other filings with the Securities and Exchange Commission (the SEC), and other risks and uncertainties listed from time to time in our filings with the SEC.</w:t>
      </w:r>
    </w:p>
    <w:p>
      <w:pPr>
        <w:spacing w:after="0" w:line="183"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combined Quarterly Report on Form 10-Q is filed by both AAG and American and includes the condensed consolidated financial statements of each company in Item 1A and Item 1B,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tab/>
        <w:t>CONDENSED CONSOLIDATED FINANCIAL STATEMENTS OF AMERICAN AIRLINES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7,209</w:t>
            </w:r>
          </w:p>
        </w:tc>
        <w:tc>
          <w:tcPr>
            <w:tcW w:w="4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7,655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13,773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Cargo</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10,363</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10,827</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8,612</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8,906</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1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1.68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Basic</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563,000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688,727</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584,622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566,040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707,611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588,764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712,270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Cash dividends declared per common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retiree medical and other postretirement benefits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into earnings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Unrealized gain (loss) on investments: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value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740" w:type="dxa"/>
            <w:vAlign w:val="bottom"/>
          </w:tcPr>
          <w:p>
            <w:pPr>
              <w:ind w:left="1060"/>
              <w:spacing w:after="0"/>
              <w:rPr>
                <w:sz w:val="20"/>
                <w:szCs w:val="20"/>
                <w:color w:val="auto"/>
              </w:rPr>
            </w:pPr>
            <w:r>
              <w:rPr>
                <w:rFonts w:ascii="Arial" w:cs="Arial" w:eastAsia="Arial" w:hAnsi="Arial"/>
                <w:sz w:val="18"/>
                <w:szCs w:val="18"/>
                <w:b w:val="1"/>
                <w:bCs w:val="1"/>
                <w:color w:val="auto"/>
              </w:rPr>
              <w:t>Total other comprehensive loss, net of tax</w:t>
            </w:r>
          </w:p>
        </w:tc>
        <w:tc>
          <w:tcPr>
            <w:tcW w:w="1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1,619</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June 30, 2016</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3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6,672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1,593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Flight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35,553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33,185</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Ground 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6,726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purchase deposits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3"/>
        </w:trPr>
        <w:tc>
          <w:tcPr>
            <w:tcW w:w="8620" w:type="dxa"/>
            <w:vAlign w:val="bottom"/>
          </w:tcPr>
          <w:p>
            <w:pPr>
              <w:ind w:left="720"/>
              <w:spacing w:after="0"/>
              <w:rPr>
                <w:sz w:val="20"/>
                <w:szCs w:val="20"/>
                <w:color w:val="auto"/>
              </w:rPr>
            </w:pPr>
            <w:r>
              <w:rPr>
                <w:rFonts w:ascii="Arial" w:cs="Arial" w:eastAsia="Arial" w:hAnsi="Arial"/>
                <w:sz w:val="18"/>
                <w:szCs w:val="18"/>
                <w:color w:val="auto"/>
              </w:rPr>
              <w:t>Total property and equipment, at cost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(13,804)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(13,144)</w:t>
            </w:r>
          </w:p>
        </w:tc>
        <w:tc>
          <w:tcPr>
            <w:tcW w:w="0" w:type="dxa"/>
            <w:vAlign w:val="bottom"/>
          </w:tcPr>
          <w:p>
            <w:pPr>
              <w:spacing w:after="0"/>
              <w:rPr>
                <w:sz w:val="1"/>
                <w:szCs w:val="1"/>
                <w:color w:val="auto"/>
              </w:rPr>
            </w:pPr>
          </w:p>
        </w:tc>
      </w:tr>
      <w:tr>
        <w:trPr>
          <w:trHeight w:val="223"/>
        </w:trPr>
        <w:tc>
          <w:tcPr>
            <w:tcW w:w="8620" w:type="dxa"/>
            <w:vAlign w:val="bottom"/>
          </w:tcPr>
          <w:p>
            <w:pPr>
              <w:ind w:left="72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4,091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 net of accumulated amortization of $538 and $502, respectively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1,965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30"/>
        </w:trPr>
        <w:tc>
          <w:tcPr>
            <w:tcW w:w="8620" w:type="dxa"/>
            <w:vAlign w:val="bottom"/>
          </w:tcPr>
          <w:p>
            <w:pPr>
              <w:ind w:left="720"/>
              <w:spacing w:after="0"/>
              <w:rPr>
                <w:sz w:val="20"/>
                <w:szCs w:val="20"/>
                <w:color w:val="auto"/>
              </w:rPr>
            </w:pPr>
            <w:r>
              <w:rPr>
                <w:rFonts w:ascii="Arial" w:cs="Arial" w:eastAsia="Arial" w:hAnsi="Arial"/>
                <w:sz w:val="18"/>
                <w:szCs w:val="18"/>
                <w:color w:val="auto"/>
              </w:rPr>
              <w:t>Total other assets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51,051</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48,415</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Current maturities of long-term debt and capital leases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1,715</w:t>
            </w:r>
          </w:p>
        </w:tc>
        <w:tc>
          <w:tcPr>
            <w:tcW w:w="360" w:type="dxa"/>
            <w:vAlign w:val="bottom"/>
          </w:tcPr>
          <w:p>
            <w:pPr>
              <w:spacing w:after="0"/>
              <w:rPr>
                <w:sz w:val="18"/>
                <w:szCs w:val="18"/>
                <w:color w:val="auto"/>
              </w:rPr>
            </w:pPr>
          </w:p>
        </w:tc>
        <w:tc>
          <w:tcPr>
            <w:tcW w:w="6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Accrued salaries and wages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1,327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 traffic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Loyalty program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2,511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23"/>
        </w:trPr>
        <w:tc>
          <w:tcPr>
            <w:tcW w:w="86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Long-term debt and capital leases, net of current maturities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21,131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postretirement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Deferred gains and credits,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23"/>
        </w:trPr>
        <w:tc>
          <w:tcPr>
            <w:tcW w:w="862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$0.01 par value; 1,750,000,000 shares authorized, 537,141,492 shares issued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at June 30, 2016; 624,622,381 shares issued and outstanding at December 31, 2015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8,351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(4,763)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Retained earnings (deficit)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108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and aircraft purchase deposits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Decrease in restricted cash and short-term investments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an investment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Payments on long-term debt and capital leases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repurchases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Dividend payments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of bankruptcy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2015.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December 9, 2013 (the Effective Date), AMR Merger Sub, Inc. merged with and into US Airways Group, Inc. (US Airways Group) (the Merger), with US Airways Group surviving as a wholly-owned subsidiary of AAG, a Delaware corporation (formerly known as AMR Corporation or AMR) following the Merger.</w:t>
      </w:r>
    </w:p>
    <w:p>
      <w:pPr>
        <w:spacing w:after="0" w:line="18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December 30, 2015, in order to simplify our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Delaware corporation and wholly-owned subsidiary of US Airways Group,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was accounted for at historical cost.</w:t>
      </w:r>
    </w:p>
    <w:p>
      <w:pPr>
        <w:spacing w:after="0" w:line="193"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pensions, retiree medical and other postretirement benefits.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guidance on principal versus agent considerations, identifying performance obligations, assessing collectability, presentation of sales taxes and other similar taxes collected from customers, non-cash consideration, contract modifications and completed contracts at transition. These ASUs apply to all companies that enter into contracts with customers to transfer goods or services. These ASUs are effective for public entities for interim and annual reporting periods beginning after December 15, 2017. Early adoption is permitted, but not before interim and annual reporting periods beginning after December 15, 2016. Entities have the choice to apply these ASUs either retrospectively to each reporting period presented or by recognizing the cumulative effect of applying these standards at the date of initial application and not adjusting comparative information. We are currently evaluating the requirements of these standards and have not yet determined the impact on our condensed consolidated financial statements.</w:t>
      </w:r>
    </w:p>
    <w:p>
      <w:pPr>
        <w:spacing w:after="0" w:line="169"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We are currently evaluating the requirements of ASU 2016-02 and have not yet determined its impact on our condensed consolidated financial statements.</w:t>
      </w:r>
    </w:p>
    <w:p>
      <w:pPr>
        <w:spacing w:after="0" w:line="18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ASU 2016-09 is effective for fiscal years beginning after December 15, 2016, including interim periods within those fiscal years. Early adoption is permitted. We early adopted this standard in the three months ended June 30, 2016. The adoption of this standard results in the recognition of $418 million of previously unrecognized excess tax benefits in deferred tax assets and an increase to retained earnings on the condensed consolidated balance sheet as of the beginning of the current year and the recognition of $9 million of excess tax benefits to the income tax provision for each of the three and six months ended June 30, 2016,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4"/>
              </w:rPr>
              <w:t>Three Months Ended June 30,</w:t>
            </w:r>
          </w:p>
        </w:tc>
        <w:tc>
          <w:tcPr>
            <w:tcW w:w="2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1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2016</w:t>
            </w:r>
          </w:p>
        </w:tc>
        <w:tc>
          <w:tcPr>
            <w:tcW w:w="1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(1)</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7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72"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7"/>
          <w:szCs w:val="17"/>
          <w:color w:val="auto"/>
        </w:rPr>
        <w:t>The 2016 second quarter mainline operating special items totaled a net charge of $62 million, which principally included $112 million of merger integration expenses, offset in part by a $56 million net credit for bankruptcy related items principally consisting of fair value adjustments for bankruptcy settlement obligations. The 2016 six month period mainline operating special items totaled a net charge of $161 million, which principally included $242 million of merger integration expenses, offset in part by a $61 million net credit for bankruptcy related items principally consisting of fair value adjustments for bankruptcy settlement obligations. For the 2016 second quarter and six month periods, merger integration expenses included costs related to information technology, alignment of labor union contracts, fleet restructuring, re-branding of aircraft, airport facilities and uniforms, professional fees, severance, as well as relocation and training.</w:t>
      </w:r>
    </w:p>
    <w:p>
      <w:pPr>
        <w:spacing w:after="0" w:line="69" w:lineRule="exact"/>
        <w:rPr>
          <w:rFonts w:ascii="Arial" w:cs="Arial" w:eastAsia="Arial" w:hAnsi="Arial"/>
          <w:sz w:val="14"/>
          <w:szCs w:val="14"/>
          <w:color w:val="auto"/>
        </w:rPr>
      </w:pPr>
    </w:p>
    <w:p>
      <w:pPr>
        <w:jc w:val="both"/>
        <w:ind w:left="460"/>
        <w:spacing w:after="0" w:line="272" w:lineRule="auto"/>
        <w:rPr>
          <w:rFonts w:ascii="Arial" w:cs="Arial" w:eastAsia="Arial" w:hAnsi="Arial"/>
          <w:sz w:val="14"/>
          <w:szCs w:val="14"/>
          <w:color w:val="auto"/>
        </w:rPr>
      </w:pPr>
      <w:r>
        <w:rPr>
          <w:rFonts w:ascii="Arial" w:cs="Arial" w:eastAsia="Arial" w:hAnsi="Arial"/>
          <w:sz w:val="17"/>
          <w:szCs w:val="17"/>
          <w:color w:val="auto"/>
        </w:rPr>
        <w:t>The 2015 second quarter mainline operating special items totaled a net charge of $144 million, which principally included $224 million of merger integration expenses, offset in part by a $68 million net credit for bankruptcy related items principally consisting of fair value adjustments for bankruptcy settlement obligations. The 2015 six month period mainline operating special items totaled a net charge of $447 million, which principally included $543 million of merger integration expenses, offset in part by a $73 million net credit for bankruptcy related items principally consisting of fair value adjustments for bankruptcy settlement obligations. For the 2015 second quarter and six month periods, merger integration expenses included costs related to alignment of labor union contracts, fleet restructuring, information technology, professional fees, severance, re-branding of aircraft, airport facilities and uniforms, relocation and training, as well as share-based compensation.</w:t>
      </w:r>
    </w:p>
    <w:p>
      <w:pPr>
        <w:spacing w:after="0" w:line="177"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The following additional amounts are also included in the condensed consolidated statements of operations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4"/>
                <w:szCs w:val="14"/>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6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Regional operating special items,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special items, net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308"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7"/>
          <w:szCs w:val="17"/>
          <w:color w:val="auto"/>
        </w:rPr>
        <w:t>In connection with a bond refinancing, we recorded a $36 million nonoperating special charge in the 2016 second quarter and six month periods related to non-cash write offs of unamortized bond discounts and issuance costs as well as payments of redemption premiums and fees.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computation of basic and diluted earnings per common share (EPS) (in millions, except share and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4"/>
                <w:szCs w:val="14"/>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EPS: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950</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1,704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(in thousands)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688,727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584,622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692,571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Basic EPS</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income for purposes of computing diluted EPS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950</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1,704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Share computation for diluted EPS (in thousands):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Basic weighted average common shares outstanding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563,000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688,727</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584,622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692,571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awards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18,884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230"/>
        </w:trPr>
        <w:tc>
          <w:tcPr>
            <w:tcW w:w="6460" w:type="dxa"/>
            <w:vAlign w:val="bottom"/>
          </w:tcPr>
          <w:p>
            <w:pPr>
              <w:ind w:left="720"/>
              <w:spacing w:after="0"/>
              <w:rPr>
                <w:sz w:val="20"/>
                <w:szCs w:val="20"/>
                <w:color w:val="auto"/>
              </w:rPr>
            </w:pPr>
            <w:r>
              <w:rPr>
                <w:rFonts w:ascii="Arial" w:cs="Arial" w:eastAsia="Arial" w:hAnsi="Arial"/>
                <w:sz w:val="18"/>
                <w:szCs w:val="18"/>
                <w:color w:val="auto"/>
              </w:rPr>
              <w:t>Diluted weighted average common shares outstanding</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566,040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707,611</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588,764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712,270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Diluted EPS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The following were excluded from the calculation of diluted EPS (in thousands):</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Stock options, stock appreciation rights and restricted stock unit awards because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inclusion would be antidilutive</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Since July 2014, our Board of Directors has approved several share repurchase programs aggregating $9.0 billion of authority of which, as of June 30, 2016, $1.2 billion remained unused under repurchase programs that expire on December 31, 2017.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three months ended June 30, 2016, we repurchased 50.2 million shares of AAG common stock for $1.7 billion at a weighted average cost per share of $33.55. During the six months ended June 30, 2016, we repurchased 89.5 million shares of AAG common stock for $3.2 billion at a weighted average cost per share of $36.28. Since the inception of the share repurchase programs in July 2014, we have repurchased 198.1 million shares of AAG common stock for $7.8 billion at a weighted average cost per share of $39.54.</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declared the following cash dividends during the first six months of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500" w:type="dxa"/>
            <w:vAlign w:val="bottom"/>
          </w:tcPr>
          <w:p>
            <w:pPr>
              <w:spacing w:after="0"/>
              <w:rPr>
                <w:sz w:val="14"/>
                <w:szCs w:val="14"/>
                <w:color w:val="auto"/>
              </w:rPr>
            </w:pPr>
          </w:p>
        </w:tc>
        <w:tc>
          <w:tcPr>
            <w:tcW w:w="10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7"/>
              </w:rPr>
              <w:t>Per share</w:t>
            </w:r>
          </w:p>
        </w:tc>
        <w:tc>
          <w:tcPr>
            <w:tcW w:w="17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For stockholders</w:t>
            </w:r>
          </w:p>
        </w:tc>
        <w:tc>
          <w:tcPr>
            <w:tcW w:w="18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Payable on</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Cash paid</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7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of record as of</w:t>
            </w:r>
          </w:p>
        </w:tc>
        <w:tc>
          <w:tcPr>
            <w:tcW w:w="1800" w:type="dxa"/>
            <w:vAlign w:val="bottom"/>
            <w:gridSpan w:val="3"/>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w:t>
            </w: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February 10,</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2016</w:t>
            </w:r>
          </w:p>
        </w:tc>
        <w:tc>
          <w:tcPr>
            <w:tcW w:w="4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February 24,</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2016</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6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1000" w:type="dxa"/>
            <w:vAlign w:val="bottom"/>
          </w:tcPr>
          <w:p>
            <w:pPr>
              <w:jc w:val="right"/>
              <w:spacing w:after="0"/>
              <w:rPr>
                <w:sz w:val="20"/>
                <w:szCs w:val="20"/>
                <w:color w:val="auto"/>
              </w:rPr>
            </w:pPr>
            <w:r>
              <w:rPr>
                <w:rFonts w:ascii="Arial" w:cs="Arial" w:eastAsia="Arial" w:hAnsi="Arial"/>
                <w:sz w:val="18"/>
                <w:szCs w:val="18"/>
                <w:color w:val="auto"/>
              </w:rPr>
              <w:t>May 4,</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2016</w:t>
            </w:r>
          </w:p>
        </w:tc>
        <w:tc>
          <w:tcPr>
            <w:tcW w:w="1020" w:type="dxa"/>
            <w:vAlign w:val="bottom"/>
          </w:tcPr>
          <w:p>
            <w:pPr>
              <w:jc w:val="right"/>
              <w:spacing w:after="0"/>
              <w:rPr>
                <w:sz w:val="20"/>
                <w:szCs w:val="20"/>
                <w:color w:val="auto"/>
              </w:rPr>
            </w:pPr>
            <w:r>
              <w:rPr>
                <w:rFonts w:ascii="Arial" w:cs="Arial" w:eastAsia="Arial" w:hAnsi="Arial"/>
                <w:sz w:val="18"/>
                <w:szCs w:val="18"/>
                <w:color w:val="auto"/>
              </w:rPr>
              <w:t>May 18,</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June 30, 2016</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2013 Credit Facilities, variable interest rate of 3.25%, installments through 2020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c>
          <w:tcPr>
            <w:tcW w:w="6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Credit Facilities, variable interest rate of 3.50%, installments through 2021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2016 Credit Facilities, variable interest rate of 3.50%, installments through 2023</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2013 Citicorp Credit Facility tranche B-1, variable interest rate of 3.50%, installments through 2019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2013 Citicorp Credit Facility tranche B-2</w:t>
            </w:r>
          </w:p>
        </w:tc>
        <w:tc>
          <w:tcPr>
            <w:tcW w:w="220" w:type="dxa"/>
            <w:vAlign w:val="bottom"/>
          </w:tcPr>
          <w:p>
            <w:pPr>
              <w:spacing w:after="0"/>
              <w:rPr>
                <w:sz w:val="18"/>
                <w:szCs w:val="18"/>
                <w:color w:val="auto"/>
              </w:rPr>
            </w:pPr>
          </w:p>
        </w:tc>
        <w:tc>
          <w:tcPr>
            <w:tcW w:w="13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Aircraft enhanced equipment trust certificates (EETCs), fixed interest rates ranging from 3.20% to 9.75%,</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from 2017 to 2028</w:t>
            </w:r>
          </w:p>
        </w:tc>
        <w:tc>
          <w:tcPr>
            <w:tcW w:w="2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10,076</w:t>
            </w: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340"/>
              <w:spacing w:after="0" w:line="201" w:lineRule="exact"/>
              <w:rPr>
                <w:sz w:val="20"/>
                <w:szCs w:val="20"/>
                <w:color w:val="auto"/>
              </w:rPr>
            </w:pPr>
            <w:r>
              <w:rPr>
                <w:rFonts w:ascii="Arial" w:cs="Arial" w:eastAsia="Arial" w:hAnsi="Arial"/>
                <w:sz w:val="18"/>
                <w:szCs w:val="18"/>
                <w:color w:val="auto"/>
                <w:w w:val="98"/>
              </w:rPr>
              <w:t>Equipment loans and other notes payable, fixed and variable interest rates ranging from 1.85% to 8.48%,</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520"/>
              <w:spacing w:after="0"/>
              <w:rPr>
                <w:sz w:val="20"/>
                <w:szCs w:val="20"/>
                <w:color w:val="auto"/>
              </w:rPr>
            </w:pPr>
            <w:r>
              <w:rPr>
                <w:rFonts w:ascii="Arial" w:cs="Arial" w:eastAsia="Arial" w:hAnsi="Arial"/>
                <w:sz w:val="18"/>
                <w:szCs w:val="18"/>
                <w:color w:val="auto"/>
              </w:rPr>
              <w:t>maturing from 2016 to 2028</w:t>
            </w:r>
          </w:p>
        </w:tc>
        <w:tc>
          <w:tcPr>
            <w:tcW w:w="2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4,904</w:t>
            </w: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Special facility revenue bonds, fixed interest rates ranging from 5.00% to 8.00%, maturing from 2017 to</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2035</w:t>
            </w:r>
          </w:p>
        </w:tc>
        <w:tc>
          <w:tcPr>
            <w:tcW w:w="2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340"/>
              <w:spacing w:after="0" w:line="201" w:lineRule="exact"/>
              <w:rPr>
                <w:sz w:val="20"/>
                <w:szCs w:val="20"/>
                <w:color w:val="auto"/>
              </w:rPr>
            </w:pPr>
            <w:r>
              <w:rPr>
                <w:rFonts w:ascii="Arial" w:cs="Arial" w:eastAsia="Arial" w:hAnsi="Arial"/>
                <w:sz w:val="18"/>
                <w:szCs w:val="18"/>
                <w:color w:val="auto"/>
              </w:rPr>
              <w:t>Other secured obligations, fixed interest rates ranging from 3.60% to 12.24%, maturing from 2016 to</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540"/>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19,057</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i w:val="1"/>
                <w:iCs w:val="1"/>
                <w:color w:val="auto"/>
              </w:rPr>
              <w:t>Unsecured</w:t>
            </w: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5.50% senior notes, interest only payments until due in 2019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6.125% senior notes, interest only payments until due in 2018</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4.625% senior notes, interest only payments until due in 2020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23,057</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Less: Total unamortized debt discount and debt issuance costs</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1,715</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140" w:type="dxa"/>
            <w:vAlign w:val="bottom"/>
            <w:gridSpan w:val="5"/>
          </w:tcPr>
          <w:p>
            <w:pPr>
              <w:ind w:left="440"/>
              <w:spacing w:after="0"/>
              <w:rPr>
                <w:sz w:val="20"/>
                <w:szCs w:val="20"/>
                <w:color w:val="auto"/>
              </w:rPr>
            </w:pPr>
            <w:r>
              <w:rPr>
                <w:rFonts w:ascii="Arial" w:cs="Arial" w:eastAsia="Arial" w:hAnsi="Arial"/>
                <w:sz w:val="18"/>
                <w:szCs w:val="18"/>
                <w:color w:val="auto"/>
                <w:w w:val="96"/>
              </w:rPr>
              <w:t>The table below shows availability under revolving credit facilities, all of which were undrawn, as of June 30, 2016 (in millions):</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2013 Revolving Facility</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2014 Revolving Facility</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2016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2016-1 EETCs</w:t>
      </w:r>
    </w:p>
    <w:p>
      <w:pPr>
        <w:spacing w:after="0" w:line="11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In January 2016, American created three pass-through trusts which issued approximately $1.1 billion aggregate face amount of Series 2016-1 Class AA, Class A and Class B EETCs (the 2016-1 EETCs) in connection with the financing of 22 aircraft owned by American (the 2016-1 EETC Aircraft).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the proceeds received from the sale of the 2016-1 EETCs have been used to purchase equipment notes issued by American in three series: Series</w:t>
      </w:r>
    </w:p>
    <w:p>
      <w:pPr>
        <w:spacing w:after="0" w:line="46" w:lineRule="exact"/>
        <w:rPr>
          <w:sz w:val="20"/>
          <w:szCs w:val="20"/>
          <w:color w:val="auto"/>
        </w:rPr>
      </w:pPr>
    </w:p>
    <w:p>
      <w:pPr>
        <w:jc w:val="both"/>
        <w:ind w:firstLine="8"/>
        <w:spacing w:after="0" w:line="253" w:lineRule="auto"/>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equipment notes in the principal amount of $584 million bearing interest at 3.575% per annum, Series A equipment notes in the principal amount of $262 million bearing interest at 4.10% per annum and Series B equipment notes in the principal amount of $228 million bearing interest at 5.25% per annum. Interest and principal payments on the equipment notes are payable semi-annually in January and July of each year, beginning in July 2016. The final payments on the Series AA and Series A equipment notes are due in January 2028 and the final payment on the Series B equipment notes is due in January 2024. These equipment notes are secured by liens on the 2016-1 EETC Aircraft.</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2016-2 EETCs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May 2016, American created two pass-through trusts which issued approximately $829 million aggregate face amount of Series 2016-2 Class AA and Class A EETCs (the 2016-2 EETCs) in connection with the financing of 22 aircraft owned by American or scheduled to be delivered to American in July 2016 and August 2016 (the 2016-2 EETC Aircraft). Proceeds received from the sale of the 2016-2 EETCs were deposited in escrow for the benefit of holders of the 2016-2 EETCs until such time as American issues equipment notes to the pass-through trusts, which will purchase the notes with a portion of the escrowed funds. These escrowed funds are not guaranteed by American and are not reported as debt on our condensed consolidated balance sheet because the proceeds held by the depository are not American’s assets.</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As of June 30, 2016, $595 million of the escrowed proceeds from the 2016-2 EETCs have been used to purchase equipment notes issued by American in two series: Series AA equipment notes in the amount of $407 million bearing interest at 3.20% per annum and Series A equipment notes in the amount of $188 million bearing interest at 3.65% per annum. Interest and principal on the equipment notes are payable semi-annually in June and December of each year, with interest payments beginning in December 2016 and principal payments beginning in June 2017. The final payments on the Series AA and Series A equipment notes are due in June 2028. These equipment notes are secured by liens on 14 of the 2016-2 EETC Aircraft. The remaining $234 million of escrowed proceeds will be used to purchase equipment notes as the remaining eight aircraft are delivered.</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 Credit Facilities</w:t>
      </w:r>
    </w:p>
    <w:p>
      <w:pPr>
        <w:spacing w:after="0" w:line="11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On April 29, 2016, American and AAG entered into a Credit and Guaranty Agreement (the 2016 Credit Agreement), among American, as the borrower, AAG as parent and guarantor, and Barclays Bank PLC, as administrative agent and collateral agent. The 2016 Credit Agreement provides for a $1.0 billion term loan facility (the 2016 Term Loan Facility) and a revolving credit facility that may be established in the future (the 2016 Revolving Credit Facility, and together with the 2016 Term Loan Facility, the 2016 Credit Facilities). As of June 30, 2016, $1.0 billion was outstanding under the 2016 Term Loan Facility.</w:t>
      </w:r>
    </w:p>
    <w:p>
      <w:pPr>
        <w:spacing w:after="0" w:line="154"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proceeds from the 2016 Term Loan Facility were used to repay approximately $588 million in remaining principal plus accrued and unpaid interest of the 2013 Citicorp Credit Facility Tranche B-2 with the remainder of the proceeds to be used for general corporate purposes.</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2016 Term Loan Facility matures in April 2023, unless otherwise extended by the applicable parties, and is repayable in annual installments in an amount equal to 1.00% of the original principal balance with any unpaid balance due on the maturity date of the 2016 Term Loan Facility. Voluntary prepayments may be made by American at any time, with a premium of 1.0% applicable to certain prepayments made prior to the date that is six months following April 29, 2016.</w:t>
      </w:r>
    </w:p>
    <w:p>
      <w:pPr>
        <w:spacing w:after="0" w:line="18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Borrowings under the 2016 Term Loan Facility bear interest at an index rate plus an applicable index margin or, at American’s option, LIBOR (subject to a floor of 0.75%) plus an applicable LIBOR margin. The applicable LIBOR margin is 2.75% for borrowings under the 2016 Term Loan Facility.</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obligations of American under the 2016 Credit Agreement are secured by a lien on aircraft spare parts owned by American. American has the ability to add or release certain types of collateral, subject to certain conditions, at its discretion. The obligations of American under the 2016 Credit Facilities are guaranteed by AAG.</w:t>
      </w:r>
    </w:p>
    <w:p>
      <w:pPr>
        <w:spacing w:after="0" w:line="18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American is required to periodically appraise the value of its collateral and calculate the collateral coverage ratio. If the calculated collateral coverage ratio is below 1.6 to 1.0, American may be required either to provide additional collateral (which may include cash collateral) to secure its obligations under the 2016 Credit Agreement or repay the loans under the 2016 Credit Agreement or certain other indebtedness, in such amounts that the recalculated collateral coverage ratio, after giving effect to any such additional collateral or repayment, is at least 1.6 to 1.0.</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2016 Credit Facilities contain events of default customary for similar financings, including cross default to other material indebtedness. Upon the occurrence of an event of default, the outstanding obligations under the 2016 Credit Facilities may be accelerated and become due and payable immediately. In addition, if a “change of control” (as defined in the 2016 Credit Agreement) occurs with respect to AAG, American will (absent an amendment or waiver) be required to repay at par the loans outstanding under the 2016 Credit Facilities and terminate the 2016 Revolving Facility. The 2016 Credit Facilities also include covenants that, among other things, require AAG to maintain a minimum aggregate liquidity (as defined in the 2016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Obligations Associated with Special Facility Revenue Bonds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In June 2016, the New York Transportation Development Corporation (NYTDC) issued approximately $844 million of special facility revenue refunding bonds (the 2016 JFK Bonds) on behalf of American. The net proceeds from the 2016 JFK Bonds generally were used to provide a portion of the funds to refinance $1.0 billion of the existing outstanding special facility revenue bonds (Prior JFK Bonds). The net proceeds from the Prior JFK Bonds partially financed the construction of a terminal used by American at John F. Kennedy International Airport (JFK) (the Terminal).</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American is required to pay debt service on the 2016 JFK Bonds through payments under a loan agreement with NYTDC, and American and AAG guarantee the 2016 JFK Bonds. American’s and AAG’s obligations under these guarantees are secured by a mortgage on American’s lease of the Terminal and related property from the Port Authority of New York and New Jersey.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 2016 JFK Bonds, in aggregate, were priced at approximately 107% of par value. The gross proceeds from the issuance of the 2016 JFK Bonds were approximately $907 million. Of this amount, approximately $895 million was used to partially fund the redemption of the Prior JFK Bonds. The 2016 JFK Bonds bear interest at 5.0% per annum and are comprised of $212 million of serial bonds, portions of which mature annually from August 1, 2017 to August 1, 2021, and $632 million of term bonds, $278 million of which matures on August 1, 2026 and $354 million of which matures on August 1, 2031. In connection with the refinancing of the Prior JFK Bonds, American recorded a special nonoperating charge of $36 million consisting of non-cash write offs of unamortized bond discounts and issuance costs as well as payments of redemption premiums and fees.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Aircraft Financing Transactions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first six months of 2016, American entered into loan agreements to borrow $1.0 billion in connection with the financing of certain aircraft. Debt incurred under these loan agreements matures in 2026 through 2028.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2015, we had approximately $8.0 billion of gross net operating losses (NOLs) carried over from prior taxable years (NOL Carryforwards) to reduce future federal taxable income, substantially all of which are expected to be available for use in 2016. The federal NOL Carryforwards will expire beginning in 2023 if unused. We also had approximately $4.0 billion of NOL Carryforwards to reduce future state taxable income at December 31, 2015, which will expire in years 2016 through 2034 if unused.</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At December 31, 2015, we had an Alternative Minimum Tax credit carryforward of approximately $341 million available for federal income tax purposes, which is available for an indefinite period.</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preparation of our financial statements for the fourth quarter of 2015, we determined that it was more likely than not that substantially all of our deferred tax assets, which include our NOLs, would be realized. Accordingly, we reversed $3.0 billion of the valuation allowance as of December 31, 2015.</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Beginning in the first six months of 2016, we recorded income tax expense with an effective rate of approximately 38%, which is substantially non-cash as we utilized the NOLs described above. For purposes of taxation, substantially all of our income before income taxes is attributable to the United States.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six months ended June 30, 2016.</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13"/>
          </w:tcPr>
          <w:p>
            <w:pPr>
              <w:ind w:left="60"/>
              <w:spacing w:after="0"/>
              <w:rPr>
                <w:sz w:val="20"/>
                <w:szCs w:val="20"/>
                <w:color w:val="auto"/>
              </w:rPr>
            </w:pPr>
            <w:r>
              <w:rPr>
                <w:rFonts w:ascii="Arial" w:cs="Arial" w:eastAsia="Arial" w:hAnsi="Arial"/>
                <w:sz w:val="14"/>
                <w:szCs w:val="14"/>
                <w:b w:val="1"/>
                <w:bCs w:val="1"/>
                <w:color w:val="auto"/>
              </w:rPr>
              <w:t>Fair Value Measurements as of June 30, 2016</w:t>
            </w:r>
          </w:p>
        </w:tc>
      </w:tr>
      <w:tr>
        <w:trPr>
          <w:trHeight w:val="142"/>
        </w:trPr>
        <w:tc>
          <w:tcPr>
            <w:tcW w:w="8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7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2"/>
                <w:szCs w:val="12"/>
                <w:color w:val="auto"/>
              </w:rPr>
            </w:pPr>
          </w:p>
        </w:tc>
      </w:tr>
      <w:tr>
        <w:trPr>
          <w:trHeight w:val="196"/>
        </w:trPr>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709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color w:val="auto"/>
              </w:rPr>
              <w:t>Bank notes/certificates of deposit/time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2,529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6,672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709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4"/>
              </w:rPr>
              <w:t>5,963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7,312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1,349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5,963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All short-term investments are classified as available-for-sale and stated at fair value. Our short-term investments mature in one year or less except for $235 million of bank notes/certificates of deposit/time deposits and $230 million of corporate obligations.</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Level 1 to Level 2 transfers during the six months ended June 30, 2016.</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1640" w:type="dxa"/>
            <w:vAlign w:val="bottom"/>
            <w:gridSpan w:val="4"/>
          </w:tcPr>
          <w:p>
            <w:pPr>
              <w:ind w:left="32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4"/>
                <w:szCs w:val="14"/>
                <w:color w:val="auto"/>
              </w:rPr>
            </w:pPr>
          </w:p>
        </w:tc>
        <w:tc>
          <w:tcPr>
            <w:tcW w:w="158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 2015</w:t>
            </w:r>
          </w:p>
        </w:tc>
      </w:tr>
      <w:tr>
        <w:trPr>
          <w:trHeight w:val="119"/>
        </w:trPr>
        <w:tc>
          <w:tcPr>
            <w:tcW w:w="804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Carrying</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Carrying</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804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22,846</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23,452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20,561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21,111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Short-term Investments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cash and short-term investments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operate a 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additional discussion of this and other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risks.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Benefits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components of net periodic benefit cost (income)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4"/>
                <w:szCs w:val="14"/>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Retiree Medical and Other</w:t>
            </w:r>
          </w:p>
        </w:tc>
        <w:tc>
          <w:tcPr>
            <w:tcW w:w="0" w:type="dxa"/>
            <w:vAlign w:val="bottom"/>
          </w:tcPr>
          <w:p>
            <w:pPr>
              <w:spacing w:after="0"/>
              <w:rPr>
                <w:sz w:val="1"/>
                <w:szCs w:val="1"/>
                <w:color w:val="auto"/>
              </w:rPr>
            </w:pPr>
          </w:p>
        </w:tc>
      </w:tr>
      <w:tr>
        <w:trPr>
          <w:trHeight w:val="171"/>
        </w:trPr>
        <w:tc>
          <w:tcPr>
            <w:tcW w:w="7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142"/>
        </w:trPr>
        <w:tc>
          <w:tcPr>
            <w:tcW w:w="7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5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188</w:t>
            </w:r>
          </w:p>
        </w:tc>
        <w:tc>
          <w:tcPr>
            <w:tcW w:w="10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(187)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(213)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Each of the 2016 and 2015 second quarters’ prior service cost does not include amortization of $1 million related to other postretirement benefits.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w w:val="89"/>
              </w:rPr>
              <w:t>Pension Benefits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4"/>
              </w:rPr>
              <w:t>Retiree Medical and Other</w:t>
            </w:r>
          </w:p>
        </w:tc>
        <w:tc>
          <w:tcPr>
            <w:tcW w:w="0" w:type="dxa"/>
            <w:vAlign w:val="bottom"/>
          </w:tcPr>
          <w:p>
            <w:pPr>
              <w:spacing w:after="0"/>
              <w:rPr>
                <w:sz w:val="1"/>
                <w:szCs w:val="1"/>
                <w:color w:val="auto"/>
              </w:rPr>
            </w:pPr>
          </w:p>
        </w:tc>
      </w:tr>
      <w:tr>
        <w:trPr>
          <w:trHeight w:val="17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2"/>
              </w:rPr>
              <w:t>Six Months Ended June 30,</w:t>
            </w:r>
          </w:p>
        </w:tc>
        <w:tc>
          <w:tcPr>
            <w:tcW w:w="60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Postretirement Benefits</w:t>
            </w:r>
          </w:p>
        </w:tc>
        <w:tc>
          <w:tcPr>
            <w:tcW w:w="0" w:type="dxa"/>
            <w:vAlign w:val="bottom"/>
          </w:tcPr>
          <w:p>
            <w:pPr>
              <w:spacing w:after="0"/>
              <w:rPr>
                <w:sz w:val="1"/>
                <w:szCs w:val="1"/>
                <w:color w:val="auto"/>
              </w:rPr>
            </w:pPr>
          </w:p>
        </w:tc>
      </w:tr>
      <w:tr>
        <w:trPr>
          <w:trHeight w:val="149"/>
        </w:trPr>
        <w:tc>
          <w:tcPr>
            <w:tcW w:w="1700" w:type="dxa"/>
            <w:vAlign w:val="bottom"/>
            <w:tcBorders>
              <w:bottom w:val="single" w:sz="8" w:color="auto"/>
            </w:tcBorders>
            <w:vMerge w:val="continue"/>
          </w:tcPr>
          <w:p>
            <w:pPr>
              <w:spacing w:after="0"/>
              <w:rPr>
                <w:sz w:val="12"/>
                <w:szCs w:val="12"/>
                <w:color w:val="auto"/>
              </w:rPr>
            </w:pPr>
          </w:p>
        </w:tc>
        <w:tc>
          <w:tcPr>
            <w:tcW w:w="6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820" w:hanging="452"/>
        <w:spacing w:after="0" w:line="461" w:lineRule="auto"/>
        <w:tabs>
          <w:tab w:leader="none" w:pos="449" w:val="left"/>
        </w:tabs>
        <w:numPr>
          <w:ilvl w:val="0"/>
          <w:numId w:val="8"/>
        </w:numPr>
        <w:rPr>
          <w:rFonts w:ascii="Arial" w:cs="Arial" w:eastAsia="Arial" w:hAnsi="Arial"/>
          <w:sz w:val="15"/>
          <w:szCs w:val="15"/>
          <w:color w:val="auto"/>
        </w:rPr>
      </w:pPr>
      <w:r>
        <w:rPr>
          <w:rFonts w:ascii="Arial" w:cs="Arial" w:eastAsia="Arial" w:hAnsi="Arial"/>
          <w:sz w:val="18"/>
          <w:szCs w:val="18"/>
          <w:color w:val="auto"/>
        </w:rPr>
        <w:t>Each of the 2016 and 2015 six months’ prior service cost does not include amortization of $1 million related to other postretirement benefits. Effective November 1, 2012, substantially all of our defined benefit pension plans were frozen.</w:t>
      </w:r>
    </w:p>
    <w:p>
      <w:pPr>
        <w:sectPr>
          <w:pgSz w:w="11900" w:h="16838" w:orient="portrait"/>
          <w:cols w:equalWidth="0" w:num="1">
            <w:col w:w="11420"/>
          </w:cols>
          <w:pgMar w:left="240" w:top="459"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132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comprehensive income (loss) before reclassifications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Amounts reclassified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Pension, Retiree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Medical and</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3"/>
              </w:rPr>
              <w:t>Unrealized</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Tax</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4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100" w:type="dxa"/>
            <w:vAlign w:val="bottom"/>
          </w:tcPr>
          <w:p>
            <w:pPr>
              <w:spacing w:after="0"/>
              <w:rPr>
                <w:sz w:val="12"/>
                <w:szCs w:val="12"/>
                <w:color w:val="auto"/>
              </w:rPr>
            </w:pPr>
          </w:p>
        </w:tc>
        <w:tc>
          <w:tcPr>
            <w:tcW w:w="1080" w:type="dxa"/>
            <w:vAlign w:val="bottom"/>
            <w:gridSpan w:val="2"/>
          </w:tcPr>
          <w:p>
            <w:pPr>
              <w:jc w:val="right"/>
              <w:ind w:right="523"/>
              <w:spacing w:after="0" w:line="149" w:lineRule="exact"/>
              <w:rPr>
                <w:sz w:val="20"/>
                <w:szCs w:val="20"/>
                <w:color w:val="auto"/>
              </w:rPr>
            </w:pPr>
            <w:r>
              <w:rPr>
                <w:rFonts w:ascii="Arial" w:cs="Arial" w:eastAsia="Arial" w:hAnsi="Arial"/>
                <w:sz w:val="14"/>
                <w:szCs w:val="14"/>
                <w:b w:val="1"/>
                <w:bCs w:val="1"/>
                <w:color w:val="auto"/>
                <w:w w:val="96"/>
              </w:rPr>
              <w:t>Benefit</w:t>
            </w:r>
          </w:p>
        </w:tc>
        <w:tc>
          <w:tcPr>
            <w:tcW w:w="24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Benefits</w:t>
            </w: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Investments</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(Provision)</w:t>
            </w:r>
          </w:p>
        </w:tc>
        <w:tc>
          <w:tcPr>
            <w:tcW w:w="2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(3,842)</w:t>
            </w:r>
          </w:p>
        </w:tc>
        <w:tc>
          <w:tcPr>
            <w:tcW w:w="52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w:t>
            </w: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(880)</w:t>
            </w:r>
          </w:p>
        </w:tc>
        <w:tc>
          <w:tcPr>
            <w:tcW w:w="480" w:type="dxa"/>
            <w:vAlign w:val="bottom"/>
          </w:tcPr>
          <w:p>
            <w:pPr>
              <w:jc w:val="right"/>
              <w:ind w:right="163"/>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3"/>
              </w:rPr>
              <w:t>$(4,732)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80" w:type="dxa"/>
            <w:vAlign w:val="bottom"/>
            <w:gridSpan w:val="2"/>
          </w:tcPr>
          <w:p>
            <w:pPr>
              <w:jc w:val="right"/>
              <w:ind w:right="483"/>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3"/>
              <w:spacing w:after="0"/>
              <w:rPr>
                <w:sz w:val="20"/>
                <w:szCs w:val="20"/>
                <w:color w:val="auto"/>
              </w:rPr>
            </w:pPr>
            <w:r>
              <w:rPr>
                <w:rFonts w:ascii="Arial" w:cs="Arial" w:eastAsia="Arial" w:hAnsi="Arial"/>
                <w:sz w:val="18"/>
                <w:szCs w:val="18"/>
                <w:color w:val="auto"/>
              </w:rPr>
              <w:t>18</w:t>
            </w:r>
            <w:r>
              <w:rPr>
                <w:rFonts w:ascii="Arial" w:cs="Arial" w:eastAsia="Arial" w:hAnsi="Arial"/>
                <w:sz w:val="15"/>
                <w:szCs w:val="15"/>
                <w:color w:val="auto"/>
              </w:rPr>
              <w:t>(2)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820" w:space="540"/>
            <w:col w:w="50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700"/>
              <w:spacing w:after="0" w:line="203" w:lineRule="exact"/>
              <w:rPr>
                <w:sz w:val="20"/>
                <w:szCs w:val="20"/>
                <w:color w:val="auto"/>
              </w:rPr>
            </w:pPr>
            <w:r>
              <w:rPr>
                <w:rFonts w:ascii="Arial" w:cs="Arial" w:eastAsia="Arial" w:hAnsi="Arial"/>
                <w:sz w:val="18"/>
                <w:szCs w:val="18"/>
                <w:color w:val="auto"/>
              </w:rPr>
              <w:t>Net current-period other comprehensive income (loss)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(55)</w:t>
            </w:r>
          </w:p>
        </w:tc>
        <w:tc>
          <w:tcPr>
            <w:tcW w:w="420" w:type="dxa"/>
            <w:vAlign w:val="bottom"/>
          </w:tcPr>
          <w:p>
            <w:pPr>
              <w:spacing w:after="0"/>
              <w:rPr>
                <w:sz w:val="17"/>
                <w:szCs w:val="17"/>
                <w:color w:val="auto"/>
              </w:rPr>
            </w:pPr>
          </w:p>
        </w:tc>
        <w:tc>
          <w:tcPr>
            <w:tcW w:w="102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18</w:t>
            </w:r>
          </w:p>
        </w:tc>
        <w:tc>
          <w:tcPr>
            <w:tcW w:w="10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(3,897)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(862)</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obligations that will not be recognized in net income until the obligations are fully extinguished.</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obligations and is recognized within the income tax provision on the condensed consolidated statement of operations.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AOCI for the three and six months ended June 30, 2016 and 2015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Amounts reclassified from AOCI</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Affected line items on condensed</w:t>
            </w: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6"/>
          </w:tcPr>
          <w:p>
            <w:pPr>
              <w:jc w:val="right"/>
              <w:ind w:right="340"/>
              <w:spacing w:after="0" w:line="119" w:lineRule="exact"/>
              <w:rPr>
                <w:sz w:val="20"/>
                <w:szCs w:val="20"/>
                <w:color w:val="auto"/>
              </w:rPr>
            </w:pPr>
            <w:r>
              <w:rPr>
                <w:rFonts w:ascii="Arial" w:cs="Arial" w:eastAsia="Arial" w:hAnsi="Arial"/>
                <w:sz w:val="13"/>
                <w:szCs w:val="13"/>
                <w:b w:val="1"/>
                <w:bCs w:val="1"/>
                <w:color w:val="auto"/>
              </w:rPr>
              <w:t>Three Months Ended June 30,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4"/>
          </w:tcPr>
          <w:p>
            <w:pPr>
              <w:jc w:val="right"/>
              <w:ind w:right="33"/>
              <w:spacing w:after="0" w:line="119" w:lineRule="exact"/>
              <w:rPr>
                <w:sz w:val="20"/>
                <w:szCs w:val="20"/>
                <w:color w:val="auto"/>
              </w:rPr>
            </w:pPr>
            <w:r>
              <w:rPr>
                <w:rFonts w:ascii="Arial" w:cs="Arial" w:eastAsia="Arial" w:hAnsi="Arial"/>
                <w:sz w:val="13"/>
                <w:szCs w:val="13"/>
                <w:b w:val="1"/>
                <w:bCs w:val="1"/>
                <w:color w:val="auto"/>
                <w:w w:val="99"/>
              </w:rPr>
              <w:t>Six Months Ended June 30,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AOCI Components</w:t>
            </w:r>
          </w:p>
        </w:tc>
        <w:tc>
          <w:tcPr>
            <w:tcW w:w="2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consolidated statement of operations</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Amortization of pension, retiree medical</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other postretirement benefits:</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360"/>
              <w:spacing w:after="0"/>
              <w:rPr>
                <w:sz w:val="20"/>
                <w:szCs w:val="20"/>
                <w:color w:val="auto"/>
              </w:rPr>
            </w:pPr>
            <w:r>
              <w:rPr>
                <w:rFonts w:ascii="Arial" w:cs="Arial" w:eastAsia="Arial" w:hAnsi="Arial"/>
                <w:sz w:val="18"/>
                <w:szCs w:val="18"/>
                <w:color w:val="auto"/>
              </w:rPr>
              <w:t>Prior service cost (benefit)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3500" w:type="dxa"/>
            <w:vAlign w:val="bottom"/>
            <w:gridSpan w:val="2"/>
          </w:tcPr>
          <w:p>
            <w:pPr>
              <w:ind w:left="180"/>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flow hedges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value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nonoperating, net</w:t>
            </w:r>
          </w:p>
        </w:tc>
        <w:tc>
          <w:tcPr>
            <w:tcW w:w="0" w:type="dxa"/>
            <w:vAlign w:val="bottom"/>
          </w:tcPr>
          <w:p>
            <w:pPr>
              <w:spacing w:after="0"/>
              <w:rPr>
                <w:sz w:val="1"/>
                <w:szCs w:val="1"/>
                <w:color w:val="auto"/>
              </w:rPr>
            </w:pPr>
          </w:p>
        </w:tc>
      </w:tr>
      <w:tr>
        <w:trPr>
          <w:trHeight w:val="209"/>
        </w:trPr>
        <w:tc>
          <w:tcPr>
            <w:tcW w:w="330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of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12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Expenses associated with our wholly-owned regional airlines and third-party regional carriers operating under the brand name American Eagle are classified as regional expenses on the condensed consolidated statements of operations. Regional expenses consist of the following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2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Three Months Ended June 30,</w:t>
            </w:r>
          </w:p>
        </w:tc>
        <w:tc>
          <w:tcPr>
            <w:tcW w:w="200" w:type="dxa"/>
            <w:vAlign w:val="bottom"/>
          </w:tcPr>
          <w:p>
            <w:pPr>
              <w:spacing w:after="0"/>
              <w:rPr>
                <w:sz w:val="14"/>
                <w:szCs w:val="14"/>
                <w:color w:val="auto"/>
              </w:rPr>
            </w:pPr>
          </w:p>
        </w:tc>
        <w:tc>
          <w:tcPr>
            <w:tcW w:w="19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70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Maintenance, materials and repairs</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Aircraft rent</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7"/>
        </w:trPr>
        <w:tc>
          <w:tcPr>
            <w:tcW w:w="7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expenses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 xml:space="preserve">Chapter 11 Cases. </w:t>
      </w:r>
      <w:r>
        <w:rPr>
          <w:rFonts w:ascii="Arial" w:cs="Arial" w:eastAsia="Arial" w:hAnsi="Arial"/>
          <w:sz w:val="18"/>
          <w:szCs w:val="18"/>
          <w:color w:val="auto"/>
        </w:rPr>
        <w:t>On November 29, 2011, AMR, American, and certain of AMR’s other direct and indirect domestic subsidiaries (the Debtors) filed</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ectPr>
          <w:pgSz w:w="11900" w:h="16838" w:orient="portrait"/>
          <w:cols w:equalWidth="0" w:num="1">
            <w:col w:w="11420"/>
          </w:cols>
          <w:pgMar w:left="240" w:top="459" w:right="2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As of June 30, 2016,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as of the Effective Date.</w:t>
      </w:r>
    </w:p>
    <w:p>
      <w:pPr>
        <w:spacing w:after="0" w:line="16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i w:val="1"/>
          <w:iCs w:val="1"/>
          <w:color w:val="auto"/>
        </w:rPr>
        <w:t xml:space="preserve">DOJ Antitrust Civil Investigative Demand. </w:t>
      </w:r>
      <w:r>
        <w:rPr>
          <w:rFonts w:ascii="Arial" w:cs="Arial" w:eastAsia="Arial" w:hAnsi="Arial"/>
          <w:sz w:val="17"/>
          <w:szCs w:val="17"/>
          <w:color w:val="auto"/>
        </w:rPr>
        <w:t>In June 2015, we received a Civil Investigative Demand (CID) from the United States Department of Justice</w:t>
      </w:r>
      <w:r>
        <w:rPr>
          <w:rFonts w:ascii="Arial" w:cs="Arial" w:eastAsia="Arial" w:hAnsi="Arial"/>
          <w:sz w:val="17"/>
          <w:szCs w:val="17"/>
          <w:i w:val="1"/>
          <w:iCs w:val="1"/>
          <w:color w:val="auto"/>
        </w:rPr>
        <w:t xml:space="preserve"> </w:t>
      </w:r>
      <w:r>
        <w:rPr>
          <w:rFonts w:ascii="Arial" w:cs="Arial" w:eastAsia="Arial" w:hAnsi="Arial"/>
          <w:sz w:val="17"/>
          <w:szCs w:val="17"/>
          <w:color w:val="auto"/>
        </w:rPr>
        <w:t>(DOJ)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investigation and these lawsuits are in their very early stages and we intend to defend the lawsuits vigorously.</w:t>
      </w:r>
    </w:p>
    <w:p>
      <w:pPr>
        <w:spacing w:after="0" w:line="179"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a schedule for the remainder of the case has not yet been set. We believe this lawsuit is without merit and intend to vigorously defend against the allegations.</w:t>
      </w:r>
    </w:p>
    <w:p>
      <w:pPr>
        <w:spacing w:after="0" w:line="18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 and 2011</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investigation.</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 liquidity</w:t>
      </w:r>
      <w:r>
        <w:rPr>
          <w:rFonts w:ascii="Arial" w:cs="Arial" w:eastAsia="Arial" w:hAnsi="Arial"/>
          <w:sz w:val="18"/>
          <w:szCs w:val="18"/>
          <w:color w:val="auto"/>
        </w:rPr>
        <w:t>” for additional discussion.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Co-branded Credit Card Agreements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July 12, 2016, American, Citi, Barclaycard US and MasterCard issued a joint press release announcing entry into new agreements relating to American’s co-branded credit card program. Under the new arrangements, American will partner with two banks to provide co-branded credit cards. Citi and Barclaycard US will both issue AAdvantage co-branded credit cards commencing in January 2017. American also announced a new exclusive partnership and direct relationship with MasterCard. All new AAdvantage co-branded credit cards will be affiliated with MasterCard going forward. Consistent with our prior co-branded credit card agreements, we will account for these new agreements in accordance with ASU 2009-13, “Revenue Recognition (Topic 605) – Multiple-Deliverable Revenue Arrangements” as disclosed in our critical accounting policies and the consolidated financial statements and accompanying notes contained in our 2015 Form 10-K.</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2016-2 Class B EETCs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July 2016, American created one additional pass-through trust which issued approximately $227 million aggregate face amount of 2016-2 Class B EETCs (the 2016-2 Class B EETCs) in connection with the financing of the 2016-2 EETC Aircraft. A portion of the proceeds received from the sale of the 2016-2 Class B EETCs were used on the date of issuance of the 2016-2 Class B EETCs to acquire Series B equipment notes issued by American to the pass-through trust and the balance of such proceeds are being held in escrow for the benefit of the holders of the 2016-2 Class B EETCs until such time as American issues additional Series B equipment notes to the pass-through trust, which will purchase the notes with a portion of the escrowed funds. These escrowed funds are not guaranteed by American and are not reported as debt on our condensed consolidated balance sheet because the proceeds held by the depository are not American’s assets.</w:t>
      </w:r>
    </w:p>
    <w:p>
      <w:pPr>
        <w:spacing w:after="0" w:line="18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Series B equipment notes bear interest at 4.375% per annum. Interest and principal on the equipment notes will be payable semi-annually in June and December of each year, with interest payments beginning in December 2016 and principal payments beginning in June 2017. The final payments on the Series B equipment notes are due in June 2024.</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Declaration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July 2016, we announced that our Board of Directors had declared a $0.10 per share dividend for stockholders of record on August 5, 2016, and payable on August 19, 2016.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CONDENSEDCONSOLIDATED FINANCIAL STATEMENTS OF 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Three Months Ended June 30,</w:t>
            </w:r>
          </w:p>
        </w:tc>
        <w:tc>
          <w:tcPr>
            <w:tcW w:w="120" w:type="dxa"/>
            <w:vAlign w:val="bottom"/>
          </w:tcPr>
          <w:p>
            <w:pPr>
              <w:spacing w:after="0"/>
              <w:rPr>
                <w:sz w:val="14"/>
                <w:szCs w:val="14"/>
                <w:color w:val="auto"/>
              </w:rPr>
            </w:pPr>
          </w:p>
        </w:tc>
        <w:tc>
          <w:tcPr>
            <w:tcW w:w="19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20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7,209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7,655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13,773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Cargo</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10,450</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1,314</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9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8,693</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19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retiree medical and other postretirement benefits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into earnings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Unrealized gain (loss) on investments: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value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740" w:type="dxa"/>
            <w:vAlign w:val="bottom"/>
          </w:tcPr>
          <w:p>
            <w:pPr>
              <w:ind w:left="1060"/>
              <w:spacing w:after="0"/>
              <w:rPr>
                <w:sz w:val="20"/>
                <w:szCs w:val="20"/>
                <w:color w:val="auto"/>
              </w:rPr>
            </w:pPr>
            <w:r>
              <w:rPr>
                <w:rFonts w:ascii="Arial" w:cs="Arial" w:eastAsia="Arial" w:hAnsi="Arial"/>
                <w:sz w:val="18"/>
                <w:szCs w:val="18"/>
                <w:b w:val="1"/>
                <w:bCs w:val="1"/>
                <w:color w:val="auto"/>
              </w:rPr>
              <w:t>Total other comprehensive loss, net of tax</w:t>
            </w:r>
          </w:p>
        </w:tc>
        <w:tc>
          <w:tcPr>
            <w:tcW w:w="1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1,652</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7"/>
              </w:rPr>
              <w:t>June 30, 2016</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r>
      <w:tr>
        <w:trPr>
          <w:trHeight w:val="142"/>
        </w:trPr>
        <w:tc>
          <w:tcPr>
            <w:tcW w:w="7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425</w:t>
            </w:r>
          </w:p>
        </w:tc>
        <w:tc>
          <w:tcPr>
            <w:tcW w:w="6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6,669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5,862</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1,590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related parties, net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5,386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928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r>
      <w:tr>
        <w:trPr>
          <w:trHeight w:val="223"/>
        </w:trPr>
        <w:tc>
          <w:tcPr>
            <w:tcW w:w="74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11,858</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Flight equipment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35,191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32,838</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Ground property and equipment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6,542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6,224</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Equipment purchase deposits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1,136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r>
      <w:tr>
        <w:trPr>
          <w:trHeight w:val="27"/>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property and equipment, at cost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42,869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40,129</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(13,539)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(12,893)</w:t>
            </w:r>
          </w:p>
        </w:tc>
      </w:tr>
      <w:tr>
        <w:trPr>
          <w:trHeight w:val="27"/>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property and equipment, net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29,330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27,236</w:t>
            </w: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Intangibles, net of accumulated amortization of $538 and $502, respectively</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2,213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2,932</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1,939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2,073</w:t>
            </w:r>
          </w:p>
        </w:tc>
      </w:tr>
      <w:tr>
        <w:trPr>
          <w:trHeight w:val="27"/>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assets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10,641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11,345</w:t>
            </w:r>
          </w:p>
        </w:tc>
      </w:tr>
      <w:tr>
        <w:trPr>
          <w:trHeight w:val="223"/>
        </w:trPr>
        <w:tc>
          <w:tcPr>
            <w:tcW w:w="740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50,439</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 and capital leases</w:t>
            </w:r>
          </w:p>
        </w:tc>
        <w:tc>
          <w:tcPr>
            <w:tcW w:w="1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1,718</w:t>
            </w:r>
          </w:p>
        </w:tc>
        <w:tc>
          <w:tcPr>
            <w:tcW w:w="6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1,900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wages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Air traffic liability</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4,984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3,747</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Loyalty program liability</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2,253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2,198</w:t>
            </w:r>
          </w:p>
        </w:tc>
      </w:tr>
      <w:tr>
        <w:trPr>
          <w:trHeight w:val="27"/>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14,642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13,377</w:t>
            </w: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and capital leases, net of current maturities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19,364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16,592</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7,385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7,410</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gains and credits, net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2,640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2,695</w:t>
            </w:r>
          </w:p>
        </w:tc>
      </w:tr>
      <w:tr>
        <w:trPr>
          <w:trHeight w:val="27"/>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29,979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27,364</w:t>
            </w: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Common stock, $1.00 par value; 1,000 shares authorized, issued and outstanding</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16,568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16,521</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(4,862)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(4,831)</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(deficit)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(1,992)</w:t>
            </w:r>
          </w:p>
        </w:tc>
      </w:tr>
      <w:tr>
        <w:trPr>
          <w:trHeight w:val="230"/>
        </w:trPr>
        <w:tc>
          <w:tcPr>
            <w:tcW w:w="74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Pr>
          <w:p>
            <w:pPr>
              <w:spacing w:after="0"/>
              <w:rPr>
                <w:sz w:val="20"/>
                <w:szCs w:val="20"/>
                <w:color w:val="auto"/>
              </w:rPr>
            </w:pPr>
          </w:p>
        </w:tc>
      </w:tr>
      <w:tr>
        <w:trPr>
          <w:trHeight w:val="216"/>
        </w:trPr>
        <w:tc>
          <w:tcPr>
            <w:tcW w:w="7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stockholder’s equity</w:t>
            </w:r>
          </w:p>
        </w:tc>
        <w:tc>
          <w:tcPr>
            <w:tcW w:w="1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56,436</w:t>
            </w:r>
          </w:p>
        </w:tc>
        <w:tc>
          <w:tcPr>
            <w:tcW w:w="6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50,439</w:t>
            </w:r>
          </w:p>
        </w:tc>
      </w:tr>
      <w:tr>
        <w:trPr>
          <w:trHeight w:val="20"/>
        </w:trPr>
        <w:tc>
          <w:tcPr>
            <w:tcW w:w="7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9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(3,104)</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(5,093)</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Decrease in restricted cash and short-term investments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Other investing activities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(4,716)</w:t>
            </w:r>
          </w:p>
        </w:tc>
      </w:tr>
      <w:tr>
        <w:trPr>
          <w:trHeight w:val="216"/>
        </w:trPr>
        <w:tc>
          <w:tcPr>
            <w:tcW w:w="9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capital leases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(1,107)</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4,522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Other financing activities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Cash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Settlement of bankruptcy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 of amounts capitalized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r>
      <w:tr>
        <w:trPr>
          <w:trHeight w:val="230"/>
        </w:trPr>
        <w:tc>
          <w:tcPr>
            <w:tcW w:w="936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2015. American is the principal wholly-owned subsidiary of American Airlines Group Inc. (AAG). All significant intercompany transactions have been eliminated.</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December 9, 2013 (the Effective Date), AMR Merger Sub, Inc. merged with and into US Airways Group, Inc. (US Airways Group) (the Merger), with US Airways Group surviving as a wholly-owned subsidiary of AAG, a Delaware corporation (formerly known as AMR Corporation or AMR) following the Merger.</w:t>
      </w:r>
    </w:p>
    <w:p>
      <w:pPr>
        <w:spacing w:after="0" w:line="181"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On December 30, 2015, in order to simplify AAG’s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Delaware corporation and wholly-owned subsidiary of US Airways Group, merged with and into American, with American as the surviving corporation. As a result of the merger of US Airways and American, US Airways transferred all of its assets and liabilities, including obligations with respect to certain pass through trusts and the leases of related aircraft and engines, as well as its off-balance sheet commitments, to American. For financial reporting purposes, this transaction constituted a transfer of assets between entities under common control and is reflected in American’s condensed consolidated financial statements as though the transaction had occurred on December 9, 2013, when a subsidiary of AMR merged with and into US Airways Group, which represents the earliest date that American and US Airways were under common control. Thus, all periods presented in Part I, Item 1B of this Quarterly Report on Form 10-Q are comprised of the condensed consolidated financial data of American and US Airways. This transaction was accounted for in a manner similar to the pooling of interests method of accounting. Under this method, the carrying amount of net assets recognized in the balance sheets of each combining entity are carried forward to the balance sheet of the combined entity and no other assets or liabilities are recognized.</w:t>
      </w:r>
    </w:p>
    <w:p>
      <w:pPr>
        <w:spacing w:after="0" w:line="180"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pensions, retiree medical and other postretirement benefits.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guidance on principal versus agent considerations, identifying performance obligations, assessing collectability, presentation of sales taxes and other similar taxes collected from customers, non-cash consideration, contract modifications and completed contracts at transition. These ASUs apply to all companies that enter into contracts with customers to transfer goods or services. These ASUs are effective for public entities for interim and annual reporting periods beginning after December 15, 2017. Early adoption is permitted, but not before interim and annual reporting periods beginning after December 15, 2016. Entities have the choice to apply these ASUs either retrospectively to each reporting period presented or by recognizing the cumulative effect of applying these standards at the date of initial application and not adjusting comparative information. American is currently evaluating the requirements of these standards and has not yet determined the impact on its condensed consolidated financial statements.</w:t>
      </w:r>
    </w:p>
    <w:p>
      <w:pPr>
        <w:spacing w:after="0" w:line="18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American is currently evaluating the requirements of ASU 2016-02 and has not yet determined its impact on its condensed consolidated financial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ASU 2016-09 is effective for fiscal years beginning after December 15, 2016, including interim periods within those fiscal years. Early adoption is permitted. American early adopted this standard in the three months ended June 30, 2016. The adoption of this standard results in the recognition of $418 million of previously unrecognized excess tax benefits in deferred tax assets and an increase to retained earnings on the condensed consolidated balance sheet as of the beginning of the current year and the recognition of $9 million of excess tax benefits to the income tax provision for each of the three and six months ended June 30, 2016,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72"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7"/>
          <w:szCs w:val="17"/>
          <w:color w:val="auto"/>
        </w:rPr>
        <w:t>The 2016 second quarter mainline operating special items totaled a net charge of $62 million, which principally included $112 million of merger integration expenses, offset in part by a $56 million net credit for bankruptcy related items principally consisting of fair value adjustments for bankruptcy settlement obligations. The 2016 six month period mainline operating special items totaled a net charge of $161 million, which principally included $242 million of merger integration expenses, offset in part by a $61 million net credit for bankruptcy related items principally consisting of fair value adjustments for bankruptcy settlement obligations. For the 2016 second quarter and six month periods, merger integration expenses included costs related to information technology, alignment of labor union contracts, fleet restructuring, re-branding of aircraft, airport facilities and uniforms, professional fees, severance, as well as relocation and training.</w:t>
      </w:r>
    </w:p>
    <w:p>
      <w:pPr>
        <w:spacing w:after="0" w:line="177" w:lineRule="exact"/>
        <w:rPr>
          <w:rFonts w:ascii="Arial" w:cs="Arial" w:eastAsia="Arial" w:hAnsi="Arial"/>
          <w:sz w:val="14"/>
          <w:szCs w:val="14"/>
          <w:color w:val="auto"/>
        </w:rPr>
      </w:pPr>
    </w:p>
    <w:p>
      <w:pPr>
        <w:jc w:val="both"/>
        <w:ind w:left="460"/>
        <w:spacing w:after="0" w:line="272" w:lineRule="auto"/>
        <w:rPr>
          <w:rFonts w:ascii="Arial" w:cs="Arial" w:eastAsia="Arial" w:hAnsi="Arial"/>
          <w:sz w:val="14"/>
          <w:szCs w:val="14"/>
          <w:color w:val="auto"/>
        </w:rPr>
      </w:pPr>
      <w:r>
        <w:rPr>
          <w:rFonts w:ascii="Arial" w:cs="Arial" w:eastAsia="Arial" w:hAnsi="Arial"/>
          <w:sz w:val="17"/>
          <w:szCs w:val="17"/>
          <w:color w:val="auto"/>
        </w:rPr>
        <w:t>The 2015 second quarter mainline operating special items totaled a net charge of $144 million, which principally included $224 million of merger integration expenses, offset in part by a $68 million net credit for bankruptcy related items principally consisting of fair value adjustments for bankruptcy settlement obligations. The 2015 six month period mainline operating special items totaled a net charge of $447 million, which principally included $543 million of merger integration expenses, offset in part by a $73 million net credit for bankruptcy related items principally consisting of fair value adjustments for bankruptcy settlement obligations. For the 2015 second quarter and six month periods, merger integration expenses included costs related to alignment of labor union contracts, fleet restructuring, information technology, professional fees, severance, re-branding of aircraft, airport facilities and uniforms, relocation and training, as well as share-based compensation.</w:t>
      </w:r>
    </w:p>
    <w:p>
      <w:pPr>
        <w:spacing w:after="0" w:line="177"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The following additional amounts are also included in the condensed consolidated statements of operations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 June 30,</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Regional operating special items,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w w:val="79"/>
              </w:rPr>
              <w:t>11</w:t>
            </w:r>
          </w:p>
        </w:tc>
        <w:tc>
          <w:tcPr>
            <w:tcW w:w="14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special items, net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308"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7"/>
          <w:szCs w:val="17"/>
          <w:color w:val="auto"/>
        </w:rPr>
        <w:t>In connection with a bond refinancing, American recorded a $36 million nonoperating special charge in the 2016 second quarter and six month periods related to non-cash write offs of unamortized bond discounts and issuance costs as well as payments of redemption premiums and fees.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June 30, 2016</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2013 Credit Facilities, variable interest rate of 3.25%, installments through 2020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c>
          <w:tcPr>
            <w:tcW w:w="6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Credit Facilities, variable interest rate of 3.50%, installments through 2021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2016 Credit Facilities, variable interest rate of 3.50%, installments through 2023</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2013 Citicorp Credit Facility tranche B-1, variable interest rate of 3.50%, installments through 2019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2013 Citicorp Credit Facility tranche B-2</w:t>
            </w:r>
          </w:p>
        </w:tc>
        <w:tc>
          <w:tcPr>
            <w:tcW w:w="220" w:type="dxa"/>
            <w:vAlign w:val="bottom"/>
          </w:tcPr>
          <w:p>
            <w:pPr>
              <w:spacing w:after="0"/>
              <w:rPr>
                <w:sz w:val="18"/>
                <w:szCs w:val="18"/>
                <w:color w:val="auto"/>
              </w:rPr>
            </w:pPr>
          </w:p>
        </w:tc>
        <w:tc>
          <w:tcPr>
            <w:tcW w:w="13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Aircraft enhanced equipment trust certificates (EETCs), fixed interest rates ranging from 3.20% to 9.75%,</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from 2017 to 2028</w:t>
            </w:r>
          </w:p>
        </w:tc>
        <w:tc>
          <w:tcPr>
            <w:tcW w:w="2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10,076</w:t>
            </w: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340"/>
              <w:spacing w:after="0" w:line="201" w:lineRule="exact"/>
              <w:rPr>
                <w:sz w:val="20"/>
                <w:szCs w:val="20"/>
                <w:color w:val="auto"/>
              </w:rPr>
            </w:pPr>
            <w:r>
              <w:rPr>
                <w:rFonts w:ascii="Arial" w:cs="Arial" w:eastAsia="Arial" w:hAnsi="Arial"/>
                <w:sz w:val="18"/>
                <w:szCs w:val="18"/>
                <w:color w:val="auto"/>
                <w:w w:val="98"/>
              </w:rPr>
              <w:t>Equipment loans and other notes payable, fixed and variable interest rates ranging from 1.85% to 8.48%,</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520"/>
              <w:spacing w:after="0"/>
              <w:rPr>
                <w:sz w:val="20"/>
                <w:szCs w:val="20"/>
                <w:color w:val="auto"/>
              </w:rPr>
            </w:pPr>
            <w:r>
              <w:rPr>
                <w:rFonts w:ascii="Arial" w:cs="Arial" w:eastAsia="Arial" w:hAnsi="Arial"/>
                <w:sz w:val="18"/>
                <w:szCs w:val="18"/>
                <w:color w:val="auto"/>
              </w:rPr>
              <w:t>maturing from 2016 to 2028</w:t>
            </w:r>
          </w:p>
        </w:tc>
        <w:tc>
          <w:tcPr>
            <w:tcW w:w="2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4,904</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Special facility revenue bonds, fixed interest rates ranging from 5.00% to 5.50%, maturing from 2017 to</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2035</w:t>
            </w:r>
          </w:p>
        </w:tc>
        <w:tc>
          <w:tcPr>
            <w:tcW w:w="2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340"/>
              <w:spacing w:after="0" w:line="201" w:lineRule="exact"/>
              <w:rPr>
                <w:sz w:val="20"/>
                <w:szCs w:val="20"/>
                <w:color w:val="auto"/>
              </w:rPr>
            </w:pPr>
            <w:r>
              <w:rPr>
                <w:rFonts w:ascii="Arial" w:cs="Arial" w:eastAsia="Arial" w:hAnsi="Arial"/>
                <w:sz w:val="18"/>
                <w:szCs w:val="18"/>
                <w:color w:val="auto"/>
              </w:rPr>
              <w:t>Other secured obligations, fixed interest rates ranging from 3.60% to 12.24%, maturing from 2016 to</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540"/>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879</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19,027</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i w:val="1"/>
                <w:iCs w:val="1"/>
                <w:color w:val="auto"/>
              </w:rPr>
              <w:t>Unsecured</w:t>
            </w: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Affiliate unsecured obligations</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21,277</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Less: Total unamortized debt discount and debt issuance costs</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1,718</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140" w:type="dxa"/>
            <w:vAlign w:val="bottom"/>
            <w:gridSpan w:val="5"/>
          </w:tcPr>
          <w:p>
            <w:pPr>
              <w:ind w:left="440"/>
              <w:spacing w:after="0"/>
              <w:rPr>
                <w:sz w:val="20"/>
                <w:szCs w:val="20"/>
                <w:color w:val="auto"/>
              </w:rPr>
            </w:pPr>
            <w:r>
              <w:rPr>
                <w:rFonts w:ascii="Arial" w:cs="Arial" w:eastAsia="Arial" w:hAnsi="Arial"/>
                <w:sz w:val="18"/>
                <w:szCs w:val="18"/>
                <w:color w:val="auto"/>
                <w:w w:val="96"/>
              </w:rPr>
              <w:t>The table below shows availability under revolving credit facilities, all of which were undrawn, as of June 30, 2016 (in millions):</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2013 Revolving Facility</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2014 Revolving Facility</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2016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2016-1 EETCs</w:t>
      </w:r>
    </w:p>
    <w:p>
      <w:pPr>
        <w:spacing w:after="0" w:line="11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In January 2016, American created three pass-through trusts which issued approximately $1.1 billion aggregate face amount of Series 2016-1 Class AA, Class A and Class B EETCs (the 2016-1 EETCs) in connection with the financing of 22 aircraft owned by American (the 2016-1 EETC Aircraft).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the proceeds received from the sale of the 2016-1 EETCs have been used to purchase equipment notes issued by American in three series: Series</w:t>
      </w:r>
    </w:p>
    <w:p>
      <w:pPr>
        <w:spacing w:after="0" w:line="46" w:lineRule="exact"/>
        <w:rPr>
          <w:sz w:val="20"/>
          <w:szCs w:val="20"/>
          <w:color w:val="auto"/>
        </w:rPr>
      </w:pPr>
    </w:p>
    <w:p>
      <w:pPr>
        <w:jc w:val="both"/>
        <w:ind w:firstLine="8"/>
        <w:spacing w:after="0" w:line="253" w:lineRule="auto"/>
        <w:tabs>
          <w:tab w:leader="none" w:pos="3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equipment notes in the principal amount of $584 million bearing interest at 3.575% per annum, Series A equipment notes in the principal amount of $262 million bearing interest at 4.10% per annum and Series B equipment notes in the principal amount of $228 million bearing interest at 5.25% per annum. Interest and principal payments on the equipment notes are payable semi-annually in January and July of each year, beginning in July 2016. The final payments on the Series AA and Series A equipment notes are due in January 2028 and the final payment on the Series B equipment notes is due in January 2024. These equipment notes are secured by liens on the 2016-1 EETC Aircraft.</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2016-2 EETCs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May 2016, American created two pass-through trusts which issued approximately $829 million aggregate face amount of Series 2016-2 Class AA and Class A EETCs (the 2016-2 EETCs) in connection with the financing of 22 aircraft owned by American or scheduled to be delivered to American in July 2016 and August 2016 (the 2016-2 EETC Aircraft). Proceeds received from the sale of the 2016-2 EETCs were deposited in escrow for the benefit of holders of the 2016-2 EETCs until such time as American issues equipment notes to the pass-through trusts, which will purchase the notes with a portion of the escrowed funds. These escrowed funds are not guaranteed by American and are not reported as debt on its condensed consolidated balance sheet because the proceeds held by the depository are not American’s assets.</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As of June 30, 2016, $595 million of the escrowed proceeds from the 2016-2 EETCs have been used to purchase equipment notes issued by American in two series: Series AA equipment notes in the amount of $407 million bearing interest at 3.20% per annum and Series A equipment notes in the amount of $188 million bearing interest at 3.65% per annum. Interest and principal on the equipment notes are payable semi-annually in June and December of each year, with interest payments beginning in December 2016 and principal payments beginning in June 2017. The final payments on the Series AA and Series A equipment notes are due in June 2028. These equipment notes are secured by liens on 14 of the 2016-2 EETC Aircraft. The remaining $234 million of escrowed proceeds will be used to purchase equipment notes as the remaining eight aircraft are delivered.</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 Credit Facilities</w:t>
      </w:r>
    </w:p>
    <w:p>
      <w:pPr>
        <w:spacing w:after="0" w:line="11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On April 29, 2016, American and AAG entered into a Credit and Guaranty Agreement (the 2016 Credit Agreement), among American, as the borrower, AAG as parent and guarantor, and Barclays Bank PLC, as administrative agent and collateral agent. The 2016 Credit Agreement provides for a $1.0 billion term loan facility (the 2016 Term Loan Facility) and a revolving credit facility that may be established in the future (the 2016 Revolving Credit Facility, and together with the 2016 Term Loan Facility, the 2016 Credit Facilities). As of June 30, 2016, $1.0 billion was outstanding under the 2016 Term Loan Facility.</w:t>
      </w:r>
    </w:p>
    <w:p>
      <w:pPr>
        <w:spacing w:after="0" w:line="154"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proceeds from the 2016 Term Loan Facility were used to repay approximately $588 million in remaining principal plus accrued and unpaid interest of the 2013 Citicorp Credit Facility Tranche B-2 with the remainder of the proceeds to be used for general corporate purposes.</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2016 Term Loan Facility matures in April 2023, unless otherwise extended by the applicable parties, and is repayable in annual installments in an amount equal to 1.00% of the original principal balance with any unpaid balance due on the maturity date of the 2016 Term Loan Facility. Voluntary prepayments may be made by American at any time, with a premium of 1.0% applicable to certain prepayments made prior to the date that is six months following April 29, 2016.</w:t>
      </w:r>
    </w:p>
    <w:p>
      <w:pPr>
        <w:spacing w:after="0" w:line="18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Borrowings under the 2016 Term Loan Facility bear interest at an index rate plus an applicable index margin or, at American’s option, LIBOR (subject to a floor of 0.75%) plus an applicable LIBOR margin. The applicable LIBOR margin is 2.75% for borrowings under the 2016 Term Loan Facility.</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obligations of American under the 2016 Credit Agreement are secured by a lien on aircraft spare parts owned by American. American has the ability to add or release certain types of collateral, subject to certain conditions, at its discretion. The obligations of American under the 2016 Credit Facilities are guaranteed by AAG.</w:t>
      </w:r>
    </w:p>
    <w:p>
      <w:pPr>
        <w:spacing w:after="0" w:line="18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American is required to periodically appraise the value of its collateral and calculate the collateral coverage ratio. If the calculated collateral coverage ratio is below 1.6 to 1.0, American may be required either to provide additional collateral (which may include cash collateral) to secure its obligations under the 2016 Credit Agreement or repay the loans under the 2016 Credit Agreement or certain other indebtedness, in such amounts that the recalculated collateral coverage ratio, after giving effect to any such additional collateral or repayment, is at least 1.6 to 1.0.</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2016 Credit Facilities contain events of default customary for similar financings, including cross default to other material indebtedness. Upon the occurrence of an event of default, the outstanding obligations under the 2016 Credit Facilities may be accelerated and become due and payable immediately. In addition, if a “change of control” (as defined in the 2016 Credit Agreement) occurs with respect to AAG, American will (absent an amendment or waiver) be required to repay at par the loans outstanding under the 2016 Credit Facilities and terminate the 2016 Revolving Facility. The 2016 Credit Facilities also include covenants that, among other things, require AAG to maintain a minimum aggregate liquidity (as defined in the 2016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Obligations Associated with Special Facility Revenue Bonds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In June 2016, the New York Transportation Development Corporation (NYTDC) issued approximately $844 million of special facility revenue refunding bonds (the 2016 JFK Bonds) on behalf of American. The net proceeds from the 2016 JFK Bonds generally were used to provide a portion of the funds to refinance $1.0 billion of the existing outstanding special facility revenue bonds (Prior JFK Bonds). The net proceeds from the Prior JFK Bonds partially financed the construction of a terminal used by American at John F. Kennedy International Airport (JFK) (the Terminal).</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American is required to pay debt service on the 2016 JFK Bonds through payments under a loan agreement with NYTDC, and American and AAG guarantee the 2016 JFK Bonds. American’s and AAG’s obligations under these guarantees are secured by a mortgage on American’s lease of the Terminal and related property from the Port Authority of New York and New Jersey.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 2016 JFK Bonds, in aggregate, were priced at approximately 107% of par value. The gross proceeds from the issuance of the 2016 JFK Bonds were approximately $907 million. Of this amount, approximately $895 million was used to partially fund the redemption of the Prior JFK Bonds. The 2016 JFK Bonds bear interest at 5.0% per annum and are comprised of $212 million of serial bonds, portions of which mature annually from August 1, 2017 to August 1, 2021, and $632 million of term bonds, $278 million of which matures on August 1, 2026 and $354 million of which matures on August 1, 2031. In connection with the refinancing of the Prior JFK Bonds, American recorded a special nonoperating charge of $36 million consisting of non-cash write offs of unamortized bond discounts and issuance costs as well as payments of redemption premiums and fees.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Aircraft Financing Transactions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first six months of 2016, American entered into loan agreements to borrow $1.0 billion in connection with the financing of certain aircraft. Debt incurred under these loan agreements matures in 2026 through 2028.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At December 31, 2015, American had approximately $8.8 billion of gross net operating losses (NOLs) carried over from prior taxable years (NOL Carryforwards) to reduce future federal taxable income, substantially all of which are expected to be available for use in 2016. American is a member of AAG’s consolidated federal and certain state income tax returns. The amount of federal NOL Carryforwards available in those returns is $8.0 billion, substantially all of which is expected to be available for use in 2016. The federal NOL Carryforwards will expire beginning in 2023 if unused. American also had approximately $3.7 billion of NOL Carryforwards to reduce future state taxable income at December 31, 2015, which will expire in years 2016 through 2034 if unused.</w:t>
      </w:r>
    </w:p>
    <w:p>
      <w:pPr>
        <w:spacing w:after="0" w:line="19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At December 31, 2015, American had an Alternative Minimum Tax credit carryforward of approximately $458 million available for federal income tax purposes, which is available for an indefinite period.</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preparation of American’s financial statements for the fourth quarter of 2015, management determined that it was more likely than not that substantially all of its deferred tax assets, which include its NOLs, would be realized. Accordingly, American reversed $3.5 billion of the valuation allowance as of December 31, 2015.</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Beginning in the first six months of 2016, American recorded income tax expense with an effective rate of approximately 38%, which is substantially non-cash as American utilized the NOLs described above. For purposes of taxation, substantially all of American’s income before income taxes is attributable to the United States.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six months ended June 30, 2016.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13"/>
          </w:tcPr>
          <w:p>
            <w:pPr>
              <w:ind w:left="60"/>
              <w:spacing w:after="0"/>
              <w:rPr>
                <w:sz w:val="20"/>
                <w:szCs w:val="20"/>
                <w:color w:val="auto"/>
              </w:rPr>
            </w:pPr>
            <w:r>
              <w:rPr>
                <w:rFonts w:ascii="Arial" w:cs="Arial" w:eastAsia="Arial" w:hAnsi="Arial"/>
                <w:sz w:val="14"/>
                <w:szCs w:val="14"/>
                <w:b w:val="1"/>
                <w:bCs w:val="1"/>
                <w:color w:val="auto"/>
              </w:rPr>
              <w:t>Fair Value Measurements as of June 30, 2016</w:t>
            </w:r>
          </w:p>
        </w:tc>
      </w:tr>
      <w:tr>
        <w:trPr>
          <w:trHeight w:val="142"/>
        </w:trPr>
        <w:tc>
          <w:tcPr>
            <w:tcW w:w="8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7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2"/>
                <w:szCs w:val="12"/>
                <w:color w:val="auto"/>
              </w:rPr>
            </w:pPr>
          </w:p>
        </w:tc>
      </w:tr>
      <w:tr>
        <w:trPr>
          <w:trHeight w:val="196"/>
        </w:trPr>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707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color w:val="auto"/>
              </w:rPr>
              <w:t>Bank notes/certificates of deposit/time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2,528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6,669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707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4"/>
              </w:rPr>
              <w:t>5,962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7,309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1,347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5,962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7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hanging="452"/>
        <w:spacing w:after="0" w:line="27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All short-term investments are classified as available-for-sale and stated at fair value. American’s short-term investments mature in one year or less except for $235 million of bank notes/certificates of deposit/time deposits and $230 million of corporate obligations.</w:t>
      </w:r>
    </w:p>
    <w:p>
      <w:pPr>
        <w:spacing w:after="0" w:line="17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There were no Level 1 to Level 2 transfers during the six months ended June 30, 2016.</w:t>
      </w:r>
    </w:p>
    <w:p>
      <w:pPr>
        <w:spacing w:after="0" w:line="33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800" w:type="dxa"/>
            <w:vAlign w:val="bottom"/>
            <w:gridSpan w:val="4"/>
          </w:tcPr>
          <w:p>
            <w:pPr>
              <w:ind w:left="320"/>
              <w:spacing w:after="0"/>
              <w:rPr>
                <w:sz w:val="20"/>
                <w:szCs w:val="20"/>
                <w:color w:val="auto"/>
              </w:rPr>
            </w:pPr>
            <w:r>
              <w:rPr>
                <w:rFonts w:ascii="Arial" w:cs="Arial" w:eastAsia="Arial" w:hAnsi="Arial"/>
                <w:sz w:val="14"/>
                <w:szCs w:val="14"/>
                <w:b w:val="1"/>
                <w:bCs w:val="1"/>
                <w:color w:val="auto"/>
              </w:rPr>
              <w:t>June 30, 2016</w:t>
            </w: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2015</w:t>
            </w:r>
          </w:p>
        </w:tc>
      </w:tr>
      <w:tr>
        <w:trPr>
          <w:trHeight w:val="119"/>
        </w:trPr>
        <w:tc>
          <w:tcPr>
            <w:tcW w:w="802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Carrying</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Carrying</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80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21,082</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21,683</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18,826</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Short-term Investments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American and can significantly affect the value of American’s cash and short-term investments located outside the United States. These conditions, as well as any further delays, devaluations or imposition of more stringent repatriation restrictions, may materially adversely affect American’s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 additional discussion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and other currency risks.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Retirement Benefits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components of net periodic benefit cost (income)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w w:val="95"/>
              </w:rPr>
              <w:t>Pension Benefits</w:t>
            </w:r>
          </w:p>
        </w:tc>
        <w:tc>
          <w:tcPr>
            <w:tcW w:w="120" w:type="dxa"/>
            <w:vAlign w:val="bottom"/>
          </w:tcPr>
          <w:p>
            <w:pPr>
              <w:spacing w:after="0"/>
              <w:rPr>
                <w:sz w:val="14"/>
                <w:szCs w:val="14"/>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Retiree Medical and Other</w:t>
            </w:r>
          </w:p>
        </w:tc>
        <w:tc>
          <w:tcPr>
            <w:tcW w:w="0" w:type="dxa"/>
            <w:vAlign w:val="bottom"/>
          </w:tcPr>
          <w:p>
            <w:pPr>
              <w:spacing w:after="0"/>
              <w:rPr>
                <w:sz w:val="1"/>
                <w:szCs w:val="1"/>
                <w:color w:val="auto"/>
              </w:rPr>
            </w:pPr>
          </w:p>
        </w:tc>
      </w:tr>
      <w:tr>
        <w:trPr>
          <w:trHeight w:val="171"/>
        </w:trPr>
        <w:tc>
          <w:tcPr>
            <w:tcW w:w="7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142"/>
        </w:trPr>
        <w:tc>
          <w:tcPr>
            <w:tcW w:w="7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5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(212)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7"/>
          <w:szCs w:val="17"/>
          <w:color w:val="auto"/>
        </w:rPr>
        <w:t>Each of the 2016 and 2015 second quarters’ prior service cost does not include amortization of $1 million related to other postretirement benefits.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w w:val="89"/>
              </w:rPr>
              <w:t>Pension Benefits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4"/>
              </w:rPr>
              <w:t>Retiree Medical and Other</w:t>
            </w:r>
          </w:p>
        </w:tc>
        <w:tc>
          <w:tcPr>
            <w:tcW w:w="0" w:type="dxa"/>
            <w:vAlign w:val="bottom"/>
          </w:tcPr>
          <w:p>
            <w:pPr>
              <w:spacing w:after="0"/>
              <w:rPr>
                <w:sz w:val="1"/>
                <w:szCs w:val="1"/>
                <w:color w:val="auto"/>
              </w:rPr>
            </w:pPr>
          </w:p>
        </w:tc>
      </w:tr>
      <w:tr>
        <w:trPr>
          <w:trHeight w:val="17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2"/>
              </w:rPr>
              <w:t>Six Months Ended June 30,</w:t>
            </w:r>
          </w:p>
        </w:tc>
        <w:tc>
          <w:tcPr>
            <w:tcW w:w="60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Postretirement Benefits</w:t>
            </w:r>
          </w:p>
        </w:tc>
        <w:tc>
          <w:tcPr>
            <w:tcW w:w="0" w:type="dxa"/>
            <w:vAlign w:val="bottom"/>
          </w:tcPr>
          <w:p>
            <w:pPr>
              <w:spacing w:after="0"/>
              <w:rPr>
                <w:sz w:val="1"/>
                <w:szCs w:val="1"/>
                <w:color w:val="auto"/>
              </w:rPr>
            </w:pPr>
          </w:p>
        </w:tc>
      </w:tr>
      <w:tr>
        <w:trPr>
          <w:trHeight w:val="149"/>
        </w:trPr>
        <w:tc>
          <w:tcPr>
            <w:tcW w:w="1700" w:type="dxa"/>
            <w:vAlign w:val="bottom"/>
            <w:tcBorders>
              <w:bottom w:val="single" w:sz="8" w:color="auto"/>
            </w:tcBorders>
            <w:vMerge w:val="continue"/>
          </w:tcPr>
          <w:p>
            <w:pPr>
              <w:spacing w:after="0"/>
              <w:rPr>
                <w:sz w:val="12"/>
                <w:szCs w:val="12"/>
                <w:color w:val="auto"/>
              </w:rPr>
            </w:pPr>
          </w:p>
        </w:tc>
        <w:tc>
          <w:tcPr>
            <w:tcW w:w="6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7"/>
          <w:szCs w:val="17"/>
          <w:color w:val="auto"/>
        </w:rPr>
        <w:t>Each of the 2016 and 2015 six months’ prior service cost does not include amortization of $1 million related to other postretirement benefits.</w:t>
      </w:r>
    </w:p>
    <w:p>
      <w:pPr>
        <w:sectPr>
          <w:pgSz w:w="11900" w:h="16838" w:orient="portrait"/>
          <w:cols w:equalWidth="0" w:num="1">
            <w:col w:w="11420"/>
          </w:cols>
          <w:pgMar w:left="240" w:top="459"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comprehensive income (loss) before reclassifications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Amounts reclassified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Pension, Retiree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Medical and</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3"/>
              </w:rPr>
              <w:t>Unrealized</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Tax</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4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100" w:type="dxa"/>
            <w:vAlign w:val="bottom"/>
          </w:tcPr>
          <w:p>
            <w:pPr>
              <w:spacing w:after="0"/>
              <w:rPr>
                <w:sz w:val="12"/>
                <w:szCs w:val="12"/>
                <w:color w:val="auto"/>
              </w:rPr>
            </w:pPr>
          </w:p>
        </w:tc>
        <w:tc>
          <w:tcPr>
            <w:tcW w:w="1080" w:type="dxa"/>
            <w:vAlign w:val="bottom"/>
            <w:gridSpan w:val="2"/>
          </w:tcPr>
          <w:p>
            <w:pPr>
              <w:jc w:val="right"/>
              <w:ind w:right="523"/>
              <w:spacing w:after="0" w:line="149" w:lineRule="exact"/>
              <w:rPr>
                <w:sz w:val="20"/>
                <w:szCs w:val="20"/>
                <w:color w:val="auto"/>
              </w:rPr>
            </w:pPr>
            <w:r>
              <w:rPr>
                <w:rFonts w:ascii="Arial" w:cs="Arial" w:eastAsia="Arial" w:hAnsi="Arial"/>
                <w:sz w:val="14"/>
                <w:szCs w:val="14"/>
                <w:b w:val="1"/>
                <w:bCs w:val="1"/>
                <w:color w:val="auto"/>
                <w:w w:val="96"/>
              </w:rPr>
              <w:t>Benefit</w:t>
            </w:r>
          </w:p>
        </w:tc>
        <w:tc>
          <w:tcPr>
            <w:tcW w:w="240" w:type="dxa"/>
            <w:vAlign w:val="bottom"/>
          </w:tcPr>
          <w:p>
            <w:pPr>
              <w:spacing w:after="0"/>
              <w:rPr>
                <w:sz w:val="12"/>
                <w:szCs w:val="12"/>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Benefits</w:t>
            </w:r>
          </w:p>
        </w:tc>
        <w:tc>
          <w:tcPr>
            <w:tcW w:w="5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54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(Provision)</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(3,831)</w:t>
            </w:r>
          </w:p>
        </w:tc>
        <w:tc>
          <w:tcPr>
            <w:tcW w:w="52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(9)</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(991)</w:t>
            </w:r>
          </w:p>
        </w:tc>
        <w:tc>
          <w:tcPr>
            <w:tcW w:w="480" w:type="dxa"/>
            <w:vAlign w:val="bottom"/>
          </w:tcPr>
          <w:p>
            <w:pPr>
              <w:jc w:val="right"/>
              <w:ind w:right="163"/>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83"/>
              </w:rPr>
              <w:t>$(4,831)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80" w:type="dxa"/>
            <w:vAlign w:val="bottom"/>
            <w:gridSpan w:val="2"/>
          </w:tcPr>
          <w:p>
            <w:pPr>
              <w:jc w:val="right"/>
              <w:ind w:right="483"/>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3"/>
              <w:spacing w:after="0"/>
              <w:rPr>
                <w:sz w:val="20"/>
                <w:szCs w:val="20"/>
                <w:color w:val="auto"/>
              </w:rPr>
            </w:pPr>
            <w:r>
              <w:rPr>
                <w:rFonts w:ascii="Arial" w:cs="Arial" w:eastAsia="Arial" w:hAnsi="Arial"/>
                <w:sz w:val="18"/>
                <w:szCs w:val="18"/>
                <w:color w:val="auto"/>
              </w:rPr>
              <w:t>18</w:t>
            </w:r>
            <w:r>
              <w:rPr>
                <w:rFonts w:ascii="Arial" w:cs="Arial" w:eastAsia="Arial" w:hAnsi="Arial"/>
                <w:sz w:val="15"/>
                <w:szCs w:val="15"/>
                <w:color w:val="auto"/>
              </w:rPr>
              <w:t>(2)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820" w:space="540"/>
            <w:col w:w="50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700"/>
              <w:spacing w:after="0" w:line="203" w:lineRule="exact"/>
              <w:rPr>
                <w:sz w:val="20"/>
                <w:szCs w:val="20"/>
                <w:color w:val="auto"/>
              </w:rPr>
            </w:pPr>
            <w:r>
              <w:rPr>
                <w:rFonts w:ascii="Arial" w:cs="Arial" w:eastAsia="Arial" w:hAnsi="Arial"/>
                <w:sz w:val="18"/>
                <w:szCs w:val="18"/>
                <w:color w:val="auto"/>
              </w:rPr>
              <w:t>Net current-period other comprehensive income (loss)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(55)</w:t>
            </w:r>
          </w:p>
        </w:tc>
        <w:tc>
          <w:tcPr>
            <w:tcW w:w="420" w:type="dxa"/>
            <w:vAlign w:val="bottom"/>
          </w:tcPr>
          <w:p>
            <w:pPr>
              <w:spacing w:after="0"/>
              <w:rPr>
                <w:sz w:val="17"/>
                <w:szCs w:val="17"/>
                <w:color w:val="auto"/>
              </w:rPr>
            </w:pPr>
          </w:p>
        </w:tc>
        <w:tc>
          <w:tcPr>
            <w:tcW w:w="102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18</w:t>
            </w:r>
          </w:p>
        </w:tc>
        <w:tc>
          <w:tcPr>
            <w:tcW w:w="10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(3,886)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obligations that will not be recognized in net income until the obligations are fully extinguished.</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obligations and is recognized within the income tax provision on the condensed consolidated statement of operations.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AOCI for the three and six months ended June 30, 2016 and 2015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Amounts reclassified from AOCI</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6"/>
          </w:tcPr>
          <w:p>
            <w:pPr>
              <w:jc w:val="right"/>
              <w:ind w:right="120"/>
              <w:spacing w:after="0" w:line="119" w:lineRule="exact"/>
              <w:rPr>
                <w:sz w:val="20"/>
                <w:szCs w:val="20"/>
                <w:color w:val="auto"/>
              </w:rPr>
            </w:pPr>
            <w:r>
              <w:rPr>
                <w:rFonts w:ascii="Arial" w:cs="Arial" w:eastAsia="Arial" w:hAnsi="Arial"/>
                <w:sz w:val="13"/>
                <w:szCs w:val="13"/>
                <w:b w:val="1"/>
                <w:bCs w:val="1"/>
                <w:color w:val="auto"/>
                <w:w w:val="99"/>
              </w:rPr>
              <w:t>Three Months Ended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right"/>
              <w:ind w:right="33"/>
              <w:spacing w:after="0" w:line="119" w:lineRule="exact"/>
              <w:rPr>
                <w:sz w:val="20"/>
                <w:szCs w:val="20"/>
                <w:color w:val="auto"/>
              </w:rPr>
            </w:pPr>
            <w:r>
              <w:rPr>
                <w:rFonts w:ascii="Arial" w:cs="Arial" w:eastAsia="Arial" w:hAnsi="Arial"/>
                <w:sz w:val="13"/>
                <w:szCs w:val="13"/>
                <w:b w:val="1"/>
                <w:bCs w:val="1"/>
                <w:color w:val="auto"/>
              </w:rPr>
              <w:t>Six Months Ended</w:t>
            </w:r>
          </w:p>
        </w:tc>
        <w:tc>
          <w:tcPr>
            <w:tcW w:w="400" w:type="dxa"/>
            <w:vAlign w:val="bottom"/>
          </w:tcPr>
          <w:p>
            <w:pPr>
              <w:spacing w:after="0"/>
              <w:rPr>
                <w:sz w:val="10"/>
                <w:szCs w:val="10"/>
                <w:color w:val="auto"/>
              </w:rPr>
            </w:pPr>
          </w:p>
        </w:tc>
        <w:tc>
          <w:tcPr>
            <w:tcW w:w="37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Affected line items on condensed</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AOCI Components</w:t>
            </w:r>
          </w:p>
        </w:tc>
        <w:tc>
          <w:tcPr>
            <w:tcW w:w="27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consolidated statement of operations</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2015</w:t>
            </w:r>
          </w:p>
        </w:tc>
        <w:tc>
          <w:tcPr>
            <w:tcW w:w="400" w:type="dxa"/>
            <w:vAlign w:val="bottom"/>
          </w:tcPr>
          <w:p>
            <w:pPr>
              <w:spacing w:after="0"/>
              <w:rPr>
                <w:sz w:val="12"/>
                <w:szCs w:val="12"/>
                <w:color w:val="auto"/>
              </w:rPr>
            </w:pPr>
          </w:p>
        </w:tc>
        <w:tc>
          <w:tcPr>
            <w:tcW w:w="3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Amortization of pension, retiree medical and other</w:t>
            </w: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Prior service cost (benefit)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59"/>
              <w:spacing w:after="0"/>
              <w:rPr>
                <w:sz w:val="20"/>
                <w:szCs w:val="20"/>
                <w:color w:val="auto"/>
              </w:rPr>
            </w:pPr>
            <w:r>
              <w:rPr>
                <w:rFonts w:ascii="Arial" w:cs="Arial" w:eastAsia="Arial" w:hAnsi="Arial"/>
                <w:sz w:val="18"/>
                <w:szCs w:val="18"/>
                <w:color w:val="auto"/>
              </w:rPr>
              <w:t>(67)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37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flow hedges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value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net</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9"/>
              </w:rPr>
              <w:t>30</w:t>
            </w: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Regional Expenses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Expenses associated with regional carriers operating under the brand name American Eagle are classified as regional expenses on the condensed consolidated statements of operations. Regional expenses consist of the following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38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6"/>
              </w:rPr>
              <w:t>Three Months Ended June 30,</w:t>
            </w:r>
          </w:p>
        </w:tc>
        <w:tc>
          <w:tcPr>
            <w:tcW w:w="40" w:type="dxa"/>
            <w:vAlign w:val="bottom"/>
          </w:tcPr>
          <w:p>
            <w:pPr>
              <w:spacing w:after="0"/>
              <w:rPr>
                <w:sz w:val="14"/>
                <w:szCs w:val="14"/>
                <w:color w:val="auto"/>
              </w:rPr>
            </w:pPr>
          </w:p>
        </w:tc>
        <w:tc>
          <w:tcPr>
            <w:tcW w:w="19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170"/>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Maintenance, materials and repairs</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Aircraft rent</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expenses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1,580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3,107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9. Transactions with Related Parties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tcPr>
          <w:p>
            <w:pPr>
              <w:ind w:left="460"/>
              <w:spacing w:after="0"/>
              <w:rPr>
                <w:sz w:val="20"/>
                <w:szCs w:val="20"/>
                <w:color w:val="auto"/>
              </w:rPr>
            </w:pPr>
            <w:r>
              <w:rPr>
                <w:rFonts w:ascii="Arial" w:cs="Arial" w:eastAsia="Arial" w:hAnsi="Arial"/>
                <w:sz w:val="18"/>
                <w:szCs w:val="18"/>
                <w:color w:val="auto"/>
                <w:w w:val="96"/>
              </w:rPr>
              <w:t>The following represents the net receivables (payables) to related parties (in millions):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June 30, 2016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8"/>
              </w:rPr>
              <w:t>December 31, 2015</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AAG </w:t>
            </w:r>
            <w:r>
              <w:rPr>
                <w:rFonts w:ascii="Arial" w:cs="Arial" w:eastAsia="Arial" w:hAnsi="Arial"/>
                <w:sz w:val="15"/>
                <w:szCs w:val="15"/>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(2,616)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The increase in American’s net related party receivable from AAG is primarily due to American providing the cash funding for AAG’s share repurchase programs.</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Proceedings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 xml:space="preserve">Chapter 11 Cases. </w:t>
      </w:r>
      <w:r>
        <w:rPr>
          <w:rFonts w:ascii="Arial" w:cs="Arial" w:eastAsia="Arial" w:hAnsi="Arial"/>
          <w:sz w:val="18"/>
          <w:szCs w:val="18"/>
          <w:color w:val="auto"/>
        </w:rPr>
        <w:t>On November 29, 2011, AMR, American, and certain of AMR’s other direct and indirect domestic subsidiaries (the Debtors) filed</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As of June 30, 2016,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AAG but rather will be distributed to former AMR stockholders as of the Effective Date.</w:t>
      </w:r>
    </w:p>
    <w:p>
      <w:pPr>
        <w:spacing w:after="0" w:line="16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i w:val="1"/>
          <w:iCs w:val="1"/>
          <w:color w:val="auto"/>
        </w:rPr>
        <w:t xml:space="preserve">DOJ Antitrust Civil Investigative Demand. </w:t>
      </w:r>
      <w:r>
        <w:rPr>
          <w:rFonts w:ascii="Arial" w:cs="Arial" w:eastAsia="Arial" w:hAnsi="Arial"/>
          <w:sz w:val="17"/>
          <w:szCs w:val="17"/>
          <w:color w:val="auto"/>
        </w:rPr>
        <w:t>In June 2015, American received a Civil Investigative Demand (CID) from the United States Department of</w:t>
      </w:r>
      <w:r>
        <w:rPr>
          <w:rFonts w:ascii="Arial" w:cs="Arial" w:eastAsia="Arial" w:hAnsi="Arial"/>
          <w:sz w:val="17"/>
          <w:szCs w:val="17"/>
          <w:i w:val="1"/>
          <w:iCs w:val="1"/>
          <w:color w:val="auto"/>
        </w:rPr>
        <w:t xml:space="preserve"> </w:t>
      </w:r>
      <w:r>
        <w:rPr>
          <w:rFonts w:ascii="Arial" w:cs="Arial" w:eastAsia="Arial" w:hAnsi="Arial"/>
          <w:sz w:val="17"/>
          <w:szCs w:val="17"/>
          <w:color w:val="auto"/>
        </w:rPr>
        <w:t>Justice (DOJ) as part of an investigation into whether there have been illegal agreements or coordination of air passenger capacity. The CID seeks documents and other information from American, and other airlines have announced that they have received similar requests. American is cooperating fully with the DOJ investigation. In addition, subsequent to announcement of the delivery of CIDs by the DOJ, American,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investigation and these lawsuits are in their very early stages and American intends to defend the lawsuits vigorously.</w:t>
      </w:r>
    </w:p>
    <w:p>
      <w:pPr>
        <w:spacing w:after="0" w:line="179"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a schedule for the remainder of the case has not yet been set. American believes this lawsuit is without merit and intends to vigorously defend against the allegations.</w:t>
      </w:r>
    </w:p>
    <w:p>
      <w:pPr>
        <w:spacing w:after="0" w:line="18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American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American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investigation.</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w:t>
      </w:r>
      <w:r>
        <w:rPr>
          <w:rFonts w:ascii="Arial" w:cs="Arial" w:eastAsia="Arial" w:hAnsi="Arial"/>
          <w:sz w:val="18"/>
          <w:szCs w:val="18"/>
          <w:color w:val="auto"/>
        </w:rPr>
        <w:t>” for additional discussion.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Co-branded Credit Card Agreements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On July 12, 2016, American, Citi, Barclaycard US and MasterCard issued a joint press release announcing entry into new agreements relating to American’s co-branded credit card program. Under the new arrangements, American will partner with two banks to provide co-branded credit cards. Citi and Barclaycard US will both issue AAdvantage co-branded credit cards commencing in January 2017. American also announced a new exclusive partnership and direct relationship with MasterCard. All new AAdvantage co-branded credit cards will be affiliated with MasterCard going forward. Consistent with American’s prior co-branded credit card agreements, American will account for these new agreements in accordance with ASU 2009-13, “Revenue Recognition (Topic 605) – Multiple-Deliverable Revenue Arrangements” as disclosed in American’s critical accounting policies and the consolidated financial statements and accompanying notes contained in American’s 2015 Form 10-K.</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2016-2 Class B EETCs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July 2016, American created one additional pass-through trust which issued approximately $227 million aggregate face amount of 2016-2 Class B EETCs (the 2016-2 Class B EETCs) in connection with the financing of the 2016-2 EETC Aircraft. A portion of the proceeds received from the sale of the 2016-2 Class B EETCs were used on the date of issuance of the 2016-2 Class B EETCs to acquire Series B equipment notes issued by American to the pass-through trust and the balance of such proceeds are being held in escrow for the benefit of the holders of the 2016-2 Class B EETCs until such time as American issues additional Series B equipment notes to the pass-through trust, which will purchase the notes with a portion of the escrowed funds. These escrowed funds are not guaranteed by American and are not reported as debt on its condensed consolidated balance sheet because the proceeds held by the depository are not American’s assets.</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Series B equipment notes bear interest at 4.375% per annum. Interest and principal on the equipment notes will be payable semi-annually in June and December of each year, with interest payments beginning in December 2016 and principal payments beginning in June 2017. The final payments on the Series B equipment notes are due in June 2024.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2015 (the 2015 Form 10-K). The information contained herein is not a comprehensive discussion and analysis of the financial condition and results of operations of AAG and American, but rather updates disclosures made in the 2015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 xml:space="preserve">American Airlines and American Eagle offer an average of nearly 6,700 flights per day to nearly 350 destinations in more than 50 countries. American has hubs in Charlotte, Chicago, Dallas/Fort Worth, Los Angeles, Miami, New York, Philadelphia, Phoenix and Washington, D.C. American is a founding member of the </w:t>
      </w:r>
      <w:r>
        <w:rPr>
          <w:rFonts w:ascii="Arial" w:cs="Arial" w:eastAsia="Arial" w:hAnsi="Arial"/>
          <w:sz w:val="16"/>
          <w:szCs w:val="16"/>
          <w:b w:val="1"/>
          <w:bCs w:val="1"/>
          <w:color w:val="auto"/>
        </w:rPr>
        <w:t>one</w:t>
      </w:r>
      <w:r>
        <w:rPr>
          <w:rFonts w:ascii="Arial" w:cs="Arial" w:eastAsia="Arial" w:hAnsi="Arial"/>
          <w:sz w:val="16"/>
          <w:szCs w:val="16"/>
          <w:color w:val="auto"/>
        </w:rPr>
        <w:t>world alliance, whose members serve more than 1,000 destinations with about 14,250 daily flights to over 150 countries. In the second quarter of 2016, approximately 52 million passengers boarded our mainline and regional flights. As of June 30, 2016, we operated 947 mainline aircraft and were supported by our regional airline subsidiaries and third-party regional carriers, which operated an additional 600 regional aircraft.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second quarter of 2016, the U.S. airline industry continued to benefit from lower fuel prices. However, the reductions in fuel costs were offset in part by another quarter of year-over-year declines in revenue driven by reduced yields. Domestic markets continued to be impacted by competitive capacity growth. They did, however, perform better than international markets, which also have been impacted by competitive capacity growth as well as continued global macroeconomic softness and foreign currency weakness.</w:t>
      </w:r>
    </w:p>
    <w:p>
      <w:pPr>
        <w:spacing w:after="0" w:line="18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Jet fuel prices closely follow the price of Brent crude oil. On average, the price of Brent crude oil per barrel was approximately 26% lower in the second quarter of 2016 as compared to 2015. The average daily spot price for Brent crude oil during the second quarter of 2016 was $46 per barrel as compared to an average daily spot price of $62 per barrel during the second quarter of 2015. Fuel prices were however 35% higher when compared to the first quarter of 2016 when the average daily spot price was $34 per barrel. On a daily basis, Brent crude oil prices fluctuated during the second quarter between a high of $51 per barrel to a low of $36 per barrel, and closed the quarter on June 30, 2016 at $48 per barrel.</w:t>
      </w:r>
    </w:p>
    <w:p>
      <w:pPr>
        <w:spacing w:after="0" w:line="1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While jet fuel prices have declined quarter-over-quarter as described above, uncertainty exists regarding the economic conditions driving these declines. See Part II, Item 1A. Risk Factors – </w:t>
      </w:r>
      <w:r>
        <w:rPr>
          <w:rFonts w:ascii="Arial" w:cs="Arial" w:eastAsia="Arial" w:hAnsi="Arial"/>
          <w:sz w:val="18"/>
          <w:szCs w:val="18"/>
          <w:i w:val="1"/>
          <w:iCs w:val="1"/>
          <w:color w:val="auto"/>
        </w:rPr>
        <w:t>“Downturns in economic conditions adversely affect our 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“Our business is dependent on the price</w:t>
      </w:r>
      <w:r>
        <w:rPr>
          <w:rFonts w:ascii="Arial" w:cs="Arial" w:eastAsia="Arial" w:hAnsi="Arial"/>
          <w:sz w:val="18"/>
          <w:szCs w:val="18"/>
          <w:color w:val="auto"/>
        </w:rPr>
        <w:t xml:space="preserve"> </w:t>
      </w:r>
      <w:r>
        <w:rPr>
          <w:rFonts w:ascii="Arial" w:cs="Arial" w:eastAsia="Arial" w:hAnsi="Arial"/>
          <w:sz w:val="18"/>
          <w:szCs w:val="18"/>
          <w:i w:val="1"/>
          <w:iCs w:val="1"/>
          <w:color w:val="auto"/>
        </w:rPr>
        <w:t>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Second Quarter 2016 Results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Three Months Ended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7"/>
          </w:tcPr>
          <w:p>
            <w:pPr>
              <w:jc w:val="right"/>
              <w:ind w:right="153"/>
              <w:spacing w:after="0" w:line="142" w:lineRule="exact"/>
              <w:rPr>
                <w:sz w:val="20"/>
                <w:szCs w:val="20"/>
                <w:color w:val="auto"/>
              </w:rPr>
            </w:pPr>
            <w:r>
              <w:rPr>
                <w:rFonts w:ascii="Arial" w:cs="Arial" w:eastAsia="Arial" w:hAnsi="Arial"/>
                <w:sz w:val="14"/>
                <w:szCs w:val="14"/>
                <w:b w:val="1"/>
                <w:bCs w:val="1"/>
                <w:color w:val="auto"/>
                <w:w w:val="94"/>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passenger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9,414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10,363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10,827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aircraft fuel and related taxes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8,612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8,906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Pre-tax income</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1,493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1,719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950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1,704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Pre-tax special items: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Operating special charges, net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Nonoperating special items, net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pre-tax special items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Pre-tax income excluding special items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9"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 xml:space="preserve">Our 2016 and 2015 second quarter results were impacted by net operating special charges of $65 million and $154 million, respectively, consisting principally of mainline and regional merger integration expenses, which were offset in part by net credits related to fair value adjustments for remaining bankruptcy settlement obligations. See Part I, Item 2. Management’s Discussion and Analysis of Financial Condition and Results of Operations – </w:t>
      </w:r>
      <w:r>
        <w:rPr>
          <w:rFonts w:ascii="Arial" w:cs="Arial" w:eastAsia="Arial" w:hAnsi="Arial"/>
          <w:sz w:val="18"/>
          <w:szCs w:val="18"/>
          <w:i w:val="1"/>
          <w:iCs w:val="1"/>
          <w:color w:val="auto"/>
        </w:rPr>
        <w:t xml:space="preserve">“AAG’s Results of Operations” </w:t>
      </w:r>
      <w:r>
        <w:rPr>
          <w:rFonts w:ascii="Arial" w:cs="Arial" w:eastAsia="Arial" w:hAnsi="Arial"/>
          <w:sz w:val="18"/>
          <w:szCs w:val="18"/>
          <w:color w:val="auto"/>
        </w:rPr>
        <w:t>of this report for more information on net special items.</w:t>
      </w:r>
    </w:p>
    <w:p>
      <w:pPr>
        <w:spacing w:after="0" w:line="294"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Pre-Tax Income and Net Income</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realized pre-tax income of $1.5 billion and $1.7 billion in the second quarters of 2016 and 2015, respectively. Excluding the effects of net special charges, we recognized pre-tax income of $1.6 billion and $1.9 billion in the second quarters of 2016 and 2015, respectively. Our 2016 second quarter results on both a GAAP basis and excluding net special charges benefited from the decline in fuel prices as a result of not hedging our fuel consumption. This benefit however, was offset by a decline in revenues driven by reduced yields and higher salaries, wages and benefits driven by new labor contracts and the addition of an employee profit sharing program effective January 1, 2016.</w:t>
      </w:r>
    </w:p>
    <w:p>
      <w:pPr>
        <w:spacing w:after="0" w:line="18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As of December 31, 2015, we had approximately $8.0 billion of federal net operating losses (NOLs) and $4.0 billion of state NOLs, substantially all of which are expected to be available in 2016 to reduce future federal and state taxable income. As of December 31, 2015, we reversed the valuation allowance on our deferred tax assets, which include our NOLs. As a result, we began to record a provision for income taxes in 2016. The provision is substantially non-cash due to the utilization of NOLs. For periods prior to 2016, we recognized only a nominal tax provision for certain states and international jurisdictions where NOLs were limited or not available to be used. Accordingly, as illustrated above, amounts reported in the second quarter of 2016 for income tax provision and net income are not comparable to the second quarter of 2015. Therefore, we are discussing pre-tax income and pre-tax income excluding special items in order to provide a more meaningful period-over-period comparison. The exclusion of special items provides investors the ability to measure financial performance in a way that is more indicative of our ongoing performance and is more comparable to financial measures presented by other airlines. Management uses pre-tax income excluding special items to evaluate our financial performance.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Revenue</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the second quarter of 2016, we reported operating revenues of $10.4 billion. Mainline and regional passenger revenues were $9.0 billion, a decrease of $419 million, or 4.4%, as compared to the 2015 period. The decline in revenues was driven by a 5.3% decrease in yield as compared to the second quarter of 2015 primarily due to competitive capacity growth, continued global macroeconomic softness and foreign currency weakness. Our mainline and regional passenger revenue per available seat mile (PRASM) was 12.71 cents in the second quarter of 2016, a 6.3% decrease as compared to 13.57 cents in the 2015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Fuel</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Mainline and regional fuel expense totaled $1.6 billion in the second quarter of 2016, which was $530 million, or 24.9%, lower as compared to the second quarter of 2015. This decrease was driven by a 25.2% decrease in the average price per gallon of fuel to $1.42 in the second quarter of 2016 from $1.90 in the 2015 period.</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As of June 30, 2016,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Cost per Available Seat Mile (CASM)</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We remain committed to actively managing our cost structure, which we believe is necessary in an industry whose economic prospects are heavily dependent upon two variables we cannot control: the health of the economy and the price of fuel. Our 2016 second quarter mainline CASM was 11.32 cents, a decrease of 4.6% as compared to the 2015 period. The decrease was primarily driven by lower fuel costs offset in part by higher salaries, wages and benefits driven by new labor contracts and the addition of an employee profit sharing program effective January 1, 2016.</w:t>
      </w:r>
    </w:p>
    <w:p>
      <w:pPr>
        <w:spacing w:after="0" w:line="17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Our second quarter mainline CASM excluding special items and fuel was 9.12 cents, an increase of 4.0% as compared to the 2015 period. The increase was primarily due to higher salaries, wages and benefits as described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mainline CASM for the three months ended June 30, 2016 and 2015: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8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32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060" w:type="dxa"/>
            <w:vAlign w:val="bottom"/>
            <w:gridSpan w:val="2"/>
          </w:tcPr>
          <w:p>
            <w:pPr>
              <w:jc w:val="center"/>
              <w:ind w:left="1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320" w:type="dxa"/>
            <w:vAlign w:val="bottom"/>
          </w:tcPr>
          <w:p>
            <w:pPr>
              <w:spacing w:after="0"/>
              <w:rPr>
                <w:sz w:val="12"/>
                <w:szCs w:val="12"/>
                <w:color w:val="auto"/>
              </w:rPr>
            </w:pPr>
          </w:p>
        </w:tc>
        <w:tc>
          <w:tcPr>
            <w:tcW w:w="3000" w:type="dxa"/>
            <w:vAlign w:val="bottom"/>
            <w:tcBorders>
              <w:top w:val="single" w:sz="8" w:color="auto"/>
            </w:tcBorders>
            <w:gridSpan w:val="6"/>
          </w:tcPr>
          <w:p>
            <w:pPr>
              <w:jc w:val="right"/>
              <w:ind w:right="278"/>
              <w:spacing w:after="0" w:line="142" w:lineRule="exact"/>
              <w:rPr>
                <w:sz w:val="20"/>
                <w:szCs w:val="20"/>
                <w:color w:val="auto"/>
              </w:rPr>
            </w:pPr>
            <w:r>
              <w:rPr>
                <w:rFonts w:ascii="Arial" w:cs="Arial" w:eastAsia="Arial" w:hAnsi="Arial"/>
                <w:sz w:val="14"/>
                <w:szCs w:val="14"/>
                <w:b w:val="1"/>
                <w:bCs w:val="1"/>
                <w:color w:val="auto"/>
              </w:rPr>
              <w:t>(In cents, except percentage changes)</w:t>
            </w: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Mainline CASM excluding special items and fuel:</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Total mainline CASM</w:t>
            </w:r>
          </w:p>
        </w:tc>
        <w:tc>
          <w:tcPr>
            <w:tcW w:w="1120" w:type="dxa"/>
            <w:vAlign w:val="bottom"/>
            <w:gridSpan w:val="2"/>
          </w:tcPr>
          <w:p>
            <w:pPr>
              <w:jc w:val="right"/>
              <w:ind w:right="468"/>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11.87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gridSpan w:val="2"/>
          </w:tcPr>
          <w:p>
            <w:pPr>
              <w:jc w:val="right"/>
              <w:ind w:right="408"/>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Mainline CASM, excluding special items and fuel </w:t>
            </w:r>
            <w:r>
              <w:rPr>
                <w:rFonts w:ascii="Arial" w:cs="Arial" w:eastAsia="Arial" w:hAnsi="Arial"/>
                <w:sz w:val="15"/>
                <w:szCs w:val="15"/>
                <w:color w:val="auto"/>
              </w:rPr>
              <w:t>(1)</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pacing w:after="0" w:line="296"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Customer Service</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are committed to consistently delivering safe, reliable and convenient service to our customers in every aspect of our operation. The table below summarizes the operating statistics we reported to the U.S. Department of Transportation (DOT) for our mainline operations for the second quarter of 2016 and 2015. We are working to continue to improve these metrics by making investments in our operations in the form of the hiring of additional personnel and expenditures for new equipment and technology. Our second quarter 2016 on-time performance was negatively impacted by severe weather in several of our hub locations.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Better (Worse)</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6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April</w:t>
            </w:r>
          </w:p>
        </w:tc>
        <w:tc>
          <w:tcPr>
            <w:tcW w:w="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May</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June</w:t>
            </w:r>
            <w:r>
              <w:rPr>
                <w:rFonts w:ascii="Arial" w:cs="Arial" w:eastAsia="Arial" w:hAnsi="Arial"/>
                <w:sz w:val="12"/>
                <w:szCs w:val="12"/>
                <w:b w:val="1"/>
                <w:bCs w:val="1"/>
                <w:color w:val="auto"/>
                <w:w w:val="88"/>
              </w:rPr>
              <w:t>(e)</w:t>
            </w:r>
          </w:p>
        </w:tc>
        <w:tc>
          <w:tcPr>
            <w:tcW w:w="260" w:type="dxa"/>
            <w:vAlign w:val="bottom"/>
          </w:tcPr>
          <w:p>
            <w:pPr>
              <w:spacing w:after="0"/>
              <w:rPr>
                <w:sz w:val="12"/>
                <w:szCs w:val="12"/>
                <w:color w:val="auto"/>
              </w:rPr>
            </w:pPr>
          </w:p>
        </w:tc>
        <w:tc>
          <w:tcPr>
            <w:tcW w:w="6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April</w:t>
            </w:r>
          </w:p>
        </w:tc>
        <w:tc>
          <w:tcPr>
            <w:tcW w:w="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May</w:t>
            </w:r>
          </w:p>
        </w:tc>
        <w:tc>
          <w:tcPr>
            <w:tcW w:w="3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7"/>
              </w:rPr>
              <w:t>June</w:t>
            </w:r>
          </w:p>
        </w:tc>
        <w:tc>
          <w:tcPr>
            <w:tcW w:w="260" w:type="dxa"/>
            <w:vAlign w:val="bottom"/>
          </w:tcPr>
          <w:p>
            <w:pPr>
              <w:spacing w:after="0"/>
              <w:rPr>
                <w:sz w:val="12"/>
                <w:szCs w:val="12"/>
                <w:color w:val="auto"/>
              </w:rPr>
            </w:pPr>
          </w:p>
        </w:tc>
        <w:tc>
          <w:tcPr>
            <w:tcW w:w="880" w:type="dxa"/>
            <w:vAlign w:val="bottom"/>
            <w:gridSpan w:val="2"/>
          </w:tcPr>
          <w:p>
            <w:pPr>
              <w:jc w:val="right"/>
              <w:ind w:right="439"/>
              <w:spacing w:after="0" w:line="142" w:lineRule="exact"/>
              <w:rPr>
                <w:sz w:val="20"/>
                <w:szCs w:val="20"/>
                <w:color w:val="auto"/>
              </w:rPr>
            </w:pPr>
            <w:r>
              <w:rPr>
                <w:rFonts w:ascii="Arial" w:cs="Arial" w:eastAsia="Arial" w:hAnsi="Arial"/>
                <w:sz w:val="14"/>
                <w:szCs w:val="14"/>
                <w:b w:val="1"/>
                <w:bCs w:val="1"/>
                <w:color w:val="auto"/>
              </w:rPr>
              <w:t>April</w:t>
            </w:r>
          </w:p>
        </w:tc>
        <w:tc>
          <w:tcPr>
            <w:tcW w:w="860" w:type="dxa"/>
            <w:vAlign w:val="bottom"/>
            <w:gridSpan w:val="2"/>
          </w:tcPr>
          <w:p>
            <w:pPr>
              <w:jc w:val="center"/>
              <w:ind w:right="425"/>
              <w:spacing w:after="0" w:line="142" w:lineRule="exact"/>
              <w:rPr>
                <w:sz w:val="20"/>
                <w:szCs w:val="20"/>
                <w:color w:val="auto"/>
              </w:rPr>
            </w:pPr>
            <w:r>
              <w:rPr>
                <w:rFonts w:ascii="Arial" w:cs="Arial" w:eastAsia="Arial" w:hAnsi="Arial"/>
                <w:sz w:val="14"/>
                <w:szCs w:val="14"/>
                <w:b w:val="1"/>
                <w:bCs w:val="1"/>
                <w:color w:val="auto"/>
              </w:rPr>
              <w:t>May</w:t>
            </w:r>
          </w:p>
        </w:tc>
        <w:tc>
          <w:tcPr>
            <w:tcW w:w="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June</w:t>
            </w:r>
          </w:p>
        </w:tc>
        <w:tc>
          <w:tcPr>
            <w:tcW w:w="320" w:type="dxa"/>
            <w:vAlign w:val="bottom"/>
          </w:tcPr>
          <w:p>
            <w:pPr>
              <w:spacing w:after="0"/>
              <w:rPr>
                <w:sz w:val="12"/>
                <w:szCs w:val="12"/>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On-time performance </w:t>
            </w:r>
            <w:r>
              <w:rPr>
                <w:rFonts w:ascii="Arial" w:cs="Arial" w:eastAsia="Arial" w:hAnsi="Arial"/>
                <w:sz w:val="15"/>
                <w:szCs w:val="15"/>
                <w:color w:val="auto"/>
              </w:rPr>
              <w:t>(a)</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80.9</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77.2</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0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pts</w:t>
            </w: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480" w:type="dxa"/>
            <w:vAlign w:val="bottom"/>
            <w:tcBorders>
              <w:top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2)pts</w:t>
            </w:r>
          </w:p>
        </w:tc>
        <w:tc>
          <w:tcPr>
            <w:tcW w:w="3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8)pts</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 xml:space="preserve">Completion factor </w:t>
            </w:r>
            <w:r>
              <w:rPr>
                <w:rFonts w:ascii="Arial" w:cs="Arial" w:eastAsia="Arial" w:hAnsi="Arial"/>
                <w:sz w:val="15"/>
                <w:szCs w:val="15"/>
                <w:color w:val="auto"/>
              </w:rPr>
              <w:t>(b)</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99.1</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99.4</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99.0</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99.3</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98.6</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98.9</w:t>
            </w:r>
          </w:p>
        </w:tc>
        <w:tc>
          <w:tcPr>
            <w:tcW w:w="880" w:type="dxa"/>
            <w:vAlign w:val="bottom"/>
            <w:gridSpan w:val="2"/>
          </w:tcPr>
          <w:p>
            <w:pPr>
              <w:jc w:val="right"/>
              <w:ind w:right="139"/>
              <w:spacing w:after="0"/>
              <w:rPr>
                <w:sz w:val="20"/>
                <w:szCs w:val="20"/>
                <w:color w:val="auto"/>
              </w:rPr>
            </w:pPr>
            <w:r>
              <w:rPr>
                <w:rFonts w:ascii="Arial" w:cs="Arial" w:eastAsia="Arial" w:hAnsi="Arial"/>
                <w:sz w:val="18"/>
                <w:szCs w:val="18"/>
                <w:color w:val="auto"/>
              </w:rPr>
              <w:t>(0.2)pts</w:t>
            </w:r>
          </w:p>
        </w:tc>
        <w:tc>
          <w:tcPr>
            <w:tcW w:w="860" w:type="dxa"/>
            <w:vAlign w:val="bottom"/>
            <w:gridSpan w:val="2"/>
          </w:tcPr>
          <w:p>
            <w:pPr>
              <w:jc w:val="right"/>
              <w:ind w:right="165"/>
              <w:spacing w:after="0"/>
              <w:rPr>
                <w:sz w:val="20"/>
                <w:szCs w:val="20"/>
                <w:color w:val="auto"/>
              </w:rPr>
            </w:pPr>
            <w:r>
              <w:rPr>
                <w:rFonts w:ascii="Arial" w:cs="Arial" w:eastAsia="Arial" w:hAnsi="Arial"/>
                <w:sz w:val="18"/>
                <w:szCs w:val="18"/>
                <w:color w:val="auto"/>
              </w:rPr>
              <w:t>0.8 pts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 pts</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Mishandled baggage </w:t>
            </w:r>
            <w:r>
              <w:rPr>
                <w:rFonts w:ascii="Arial" w:cs="Arial" w:eastAsia="Arial" w:hAnsi="Arial"/>
                <w:sz w:val="15"/>
                <w:szCs w:val="15"/>
                <w:color w:val="auto"/>
              </w:rPr>
              <w:t>(c)</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3.86</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4.33</w:t>
            </w:r>
          </w:p>
        </w:tc>
        <w:tc>
          <w:tcPr>
            <w:tcW w:w="8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w w:val="99"/>
              </w:rPr>
              <w:t>20.8 %</w:t>
            </w:r>
          </w:p>
        </w:tc>
        <w:tc>
          <w:tcPr>
            <w:tcW w:w="8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96"/>
              </w:rPr>
              <w:t>20.2 %</w:t>
            </w:r>
          </w:p>
        </w:tc>
        <w:tc>
          <w:tcPr>
            <w:tcW w:w="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11.5 %</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 xml:space="preserve">Customer complaints </w:t>
            </w:r>
            <w:r>
              <w:rPr>
                <w:rFonts w:ascii="Arial" w:cs="Arial" w:eastAsia="Arial" w:hAnsi="Arial"/>
                <w:sz w:val="15"/>
                <w:szCs w:val="15"/>
                <w:color w:val="auto"/>
              </w:rPr>
              <w:t>(d)</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1.99</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2.72</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2.90</w:t>
            </w:r>
          </w:p>
        </w:tc>
        <w:tc>
          <w:tcPr>
            <w:tcW w:w="880" w:type="dxa"/>
            <w:vAlign w:val="bottom"/>
            <w:gridSpan w:val="2"/>
          </w:tcPr>
          <w:p>
            <w:pPr>
              <w:jc w:val="right"/>
              <w:ind w:right="219"/>
              <w:spacing w:after="0"/>
              <w:rPr>
                <w:sz w:val="20"/>
                <w:szCs w:val="20"/>
                <w:color w:val="auto"/>
              </w:rPr>
            </w:pPr>
            <w:r>
              <w:rPr>
                <w:rFonts w:ascii="Arial" w:cs="Arial" w:eastAsia="Arial" w:hAnsi="Arial"/>
                <w:sz w:val="18"/>
                <w:szCs w:val="18"/>
                <w:color w:val="auto"/>
                <w:w w:val="99"/>
              </w:rPr>
              <w:t>22.5 %</w:t>
            </w:r>
          </w:p>
        </w:tc>
        <w:tc>
          <w:tcPr>
            <w:tcW w:w="860" w:type="dxa"/>
            <w:vAlign w:val="bottom"/>
            <w:gridSpan w:val="2"/>
          </w:tcPr>
          <w:p>
            <w:pPr>
              <w:jc w:val="right"/>
              <w:ind w:right="225"/>
              <w:spacing w:after="0"/>
              <w:rPr>
                <w:sz w:val="20"/>
                <w:szCs w:val="20"/>
                <w:color w:val="auto"/>
              </w:rPr>
            </w:pPr>
            <w:r>
              <w:rPr>
                <w:rFonts w:ascii="Arial" w:cs="Arial" w:eastAsia="Arial" w:hAnsi="Arial"/>
                <w:sz w:val="18"/>
                <w:szCs w:val="18"/>
                <w:color w:val="auto"/>
                <w:w w:val="96"/>
              </w:rPr>
              <w:t>26.8 %</w:t>
            </w:r>
          </w:p>
        </w:tc>
        <w:tc>
          <w:tcPr>
            <w:tcW w:w="700" w:type="dxa"/>
            <w:vAlign w:val="bottom"/>
            <w:gridSpan w:val="2"/>
          </w:tcPr>
          <w:p>
            <w:pPr>
              <w:jc w:val="right"/>
              <w:ind w:right="45"/>
              <w:spacing w:after="0"/>
              <w:rPr>
                <w:sz w:val="20"/>
                <w:szCs w:val="20"/>
                <w:color w:val="auto"/>
              </w:rPr>
            </w:pPr>
            <w:r>
              <w:rPr>
                <w:rFonts w:ascii="Arial" w:cs="Arial" w:eastAsia="Arial" w:hAnsi="Arial"/>
                <w:sz w:val="18"/>
                <w:szCs w:val="18"/>
                <w:color w:val="auto"/>
                <w:w w:val="99"/>
              </w:rPr>
              <w:t>10.3 %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Percentage of reported flight operations arriving less than 15 minutes after the scheduled arrival time.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Percentage of scheduled flight operations completed.</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Rate of mishandled baggage reports per 1,000 passengers.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Rate of customer complaints filed with the DOT per 100,000 enplanements.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740" w:hanging="452"/>
        <w:spacing w:after="0" w:line="501" w:lineRule="auto"/>
        <w:tabs>
          <w:tab w:leader="none" w:pos="449" w:val="left"/>
        </w:tabs>
        <w:numPr>
          <w:ilvl w:val="0"/>
          <w:numId w:val="22"/>
        </w:numPr>
        <w:rPr>
          <w:rFonts w:ascii="Arial" w:cs="Arial" w:eastAsia="Arial" w:hAnsi="Arial"/>
          <w:sz w:val="15"/>
          <w:szCs w:val="15"/>
          <w:color w:val="auto"/>
        </w:rPr>
      </w:pPr>
      <w:r>
        <w:rPr>
          <w:rFonts w:ascii="Arial" w:cs="Arial" w:eastAsia="Arial" w:hAnsi="Arial"/>
          <w:sz w:val="18"/>
          <w:szCs w:val="18"/>
          <w:color w:val="auto"/>
        </w:rPr>
        <w:t xml:space="preserve">June 2016 operating statistics are preliminary as the DOT has not issued its June 2016 Air Travel Consumer report as of the date of this filing. </w:t>
      </w:r>
      <w:r>
        <w:rPr>
          <w:rFonts w:ascii="Arial" w:cs="Arial" w:eastAsia="Arial" w:hAnsi="Arial"/>
          <w:sz w:val="18"/>
          <w:szCs w:val="18"/>
          <w:i w:val="1"/>
          <w:iCs w:val="1"/>
          <w:u w:val="single" w:color="auto"/>
          <w:color w:val="auto"/>
        </w:rPr>
        <w:t>Liquidity Position</w:t>
      </w:r>
    </w:p>
    <w:p>
      <w:pPr>
        <w:jc w:val="both"/>
        <w:ind w:firstLine="456"/>
        <w:spacing w:after="0" w:line="277" w:lineRule="auto"/>
        <w:rPr>
          <w:sz w:val="20"/>
          <w:szCs w:val="20"/>
          <w:color w:val="auto"/>
        </w:rPr>
      </w:pPr>
      <w:r>
        <w:rPr>
          <w:rFonts w:ascii="Arial" w:cs="Arial" w:eastAsia="Arial" w:hAnsi="Arial"/>
          <w:sz w:val="18"/>
          <w:szCs w:val="18"/>
          <w:color w:val="auto"/>
        </w:rPr>
        <w:t>As of June 30, 2016, we had approximately $9.5 billion in total available liquidity, consisting of unrestricted cash and short-term investments of $7.1 billion and $2.4 billion in undrawn revolver capacity. We also had restricted cash of $640 million.</w:t>
      </w:r>
    </w:p>
    <w:p>
      <w:pPr>
        <w:spacing w:after="0" w:line="17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the first six months of 2016, we utilized cash generated from operations to invest in our airline. As part of our fleet renewal program, we took delivery of 29 new mainline aircraft while retiring 28 aircraft. We also added 27 new regional aircraft to our fleet. Additionally, we returned $3.4 billion to our stockholders through the payment of $119 million in quarterly dividends and the repurchase of $3.2 billion of common stock, or 89.5 million shares. These cash outflows were offset in part by proceeds from financing transactions, which were principally aircraft mortgage related and included $1.7 billion in issuances of enhanced equipment trust certificates (EETCs). Additionally, we entered into a new term loan which generated net proceeds of approximately $400 million.</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described above, we ended the quarter with $9.5 billion in available liquidity (including available lines of credit), which remains well in excess of the $6.5 billion minimum liquidity we seek to maintain for the foreseeable future. We believe it is important to retain liquidity levels higher than our network peers given our overall leverage and the fact that we have not yet completed our fleet renewal program.</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See Part I, Item 2. Management’s Discussion and Analysis of Financial Condition and Results of Operations –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for further discussion of our contractual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We realized pre-tax income of $1.5 billion and $1.7 billion in the second quarters of 2016 and 2015, respectively. Excluding the effects of net special charges, we recognized pre-tax income of $1.6 billion and $1.9 billion in the second quarters of 2016 and 2015, respectively.</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We realized pre-tax income of $2.6 billion and $2.7 billion in the first six months of 2016 and 2015, respectively. Excluding the effects of net special charges, we recognized pre-tax income of $2.8 billion and $3.1 billion in the first six months of 2016 and 2015, respectively.</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Our 2016 second quarter and first six months results on both a GAAP basis and excluding net special charges benefited from the decline in fuel prices as a result of not hedging our fuel consumption; however, this benefit was offset by a decline in revenues driven by reduced yields as well as higher salaries, wages and benefits driven by new labor contracts and the addition of an employee profit sharing program effective January 1, 2016.</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details our pre-tax and net income excluding special items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Pre-tax special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Mainline operating special charges, net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Regional operating special charges,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Nonoperating special charges (credits), net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6960" w:type="dxa"/>
            <w:vAlign w:val="bottom"/>
          </w:tcPr>
          <w:p>
            <w:pPr>
              <w:ind w:left="720"/>
              <w:spacing w:after="0"/>
              <w:rPr>
                <w:sz w:val="20"/>
                <w:szCs w:val="20"/>
                <w:color w:val="auto"/>
              </w:rPr>
            </w:pPr>
            <w:r>
              <w:rPr>
                <w:rFonts w:ascii="Arial" w:cs="Arial" w:eastAsia="Arial" w:hAnsi="Arial"/>
                <w:sz w:val="18"/>
                <w:szCs w:val="18"/>
                <w:color w:val="auto"/>
              </w:rPr>
              <w:t>Total pre-tax special items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0"/>
                <w:szCs w:val="20"/>
                <w:color w:val="auto"/>
              </w:rPr>
            </w:pPr>
          </w:p>
        </w:tc>
      </w:tr>
      <w:tr>
        <w:trPr>
          <w:trHeight w:val="216"/>
        </w:trPr>
        <w:tc>
          <w:tcPr>
            <w:tcW w:w="69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Pre-tax income excluding special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950</w:t>
            </w:r>
          </w:p>
        </w:tc>
        <w:tc>
          <w:tcPr>
            <w:tcW w:w="4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1,650</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2,636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Total pre-tax special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special charges,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Net tax effect of special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special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r>
      <w:tr>
        <w:trPr>
          <w:trHeight w:val="223"/>
        </w:trPr>
        <w:tc>
          <w:tcPr>
            <w:tcW w:w="6960" w:type="dxa"/>
            <w:vAlign w:val="bottom"/>
          </w:tcPr>
          <w:p>
            <w:pPr>
              <w:ind w:left="1080"/>
              <w:spacing w:after="0"/>
              <w:rPr>
                <w:sz w:val="20"/>
                <w:szCs w:val="20"/>
                <w:color w:val="auto"/>
              </w:rPr>
            </w:pPr>
            <w:r>
              <w:rPr>
                <w:rFonts w:ascii="Arial" w:cs="Arial" w:eastAsia="Arial" w:hAnsi="Arial"/>
                <w:sz w:val="18"/>
                <w:szCs w:val="18"/>
                <w:color w:val="auto"/>
              </w:rPr>
              <w:t>Net income excluding special items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The 2016 second quarter mainline operating special items totaled a net charge of $62 million, which principally included $112 million of merger integration expenses, offset in part by a $56 million net credit for bankruptcy related items principally consisting of fair value adjustments for bankruptcy settlement obligations. The 2016 six month period mainline operating special items totaled a net charge of $161 million, which principally included $242 million of merger integration expenses, offset in part by a $61 million net credit for bankruptcy related items principally consisting of fair value adjustments for bankruptcy settlement</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obligations. For the 2016 second quarter and six month periods, merger integration expenses included costs related to information technology, alignment of labor union contracts, fleet restructuring, re-branding of aircraft, airport facilities and uniforms, professional fees, severance, as well as relocation and training.</w:t>
      </w:r>
    </w:p>
    <w:p>
      <w:pPr>
        <w:spacing w:after="0" w:line="73" w:lineRule="exact"/>
        <w:rPr>
          <w:sz w:val="20"/>
          <w:szCs w:val="20"/>
          <w:color w:val="auto"/>
        </w:rPr>
      </w:pPr>
    </w:p>
    <w:p>
      <w:pPr>
        <w:jc w:val="both"/>
        <w:ind w:left="460"/>
        <w:spacing w:after="0" w:line="272" w:lineRule="auto"/>
        <w:rPr>
          <w:sz w:val="20"/>
          <w:szCs w:val="20"/>
          <w:color w:val="auto"/>
        </w:rPr>
      </w:pPr>
      <w:r>
        <w:rPr>
          <w:rFonts w:ascii="Arial" w:cs="Arial" w:eastAsia="Arial" w:hAnsi="Arial"/>
          <w:sz w:val="17"/>
          <w:szCs w:val="17"/>
          <w:color w:val="auto"/>
        </w:rPr>
        <w:t>The 2015 second quarter mainline operating special items totaled a net charge of $144 million, which principally included $224 million of merger integration expenses, offset in part by a $68 million net credit for bankruptcy related items principally consisting of fair value adjustments for bankruptcy settlement obligations. The 2015 six month period mainline operating special items totaled a net charge of $447 million, which principally included $543 million of merger integration expenses, offset in part by a $73 million net credit for bankruptcy related items principally consisting of fair value adjustments for bankruptcy settlement obligations. For the 2015 second quarter and six month periods, merger integration expenses included costs related to alignment of labor union contracts, fleet restructuring, information technology, professional fees, severance, re-branding of aircraft, airport facilities and uniforms, relocation and training, as well as share-based compensation.</w:t>
      </w:r>
    </w:p>
    <w:p>
      <w:pPr>
        <w:spacing w:after="0" w:line="83" w:lineRule="exact"/>
        <w:rPr>
          <w:sz w:val="20"/>
          <w:szCs w:val="20"/>
          <w:color w:val="auto"/>
        </w:rPr>
      </w:pPr>
    </w:p>
    <w:p>
      <w:pPr>
        <w:ind w:left="460" w:right="20" w:hanging="452"/>
        <w:spacing w:after="0" w:line="308"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7"/>
          <w:szCs w:val="17"/>
          <w:color w:val="auto"/>
        </w:rPr>
        <w:t>In connection with a bond refinancing, we recorded a $36 million nonoperating special charge in the 2016 second quarter and six month periods related to non-cash write offs of unamortized bond discounts and issuance costs as well as payments of redemption premiums and fees.</w:t>
      </w:r>
    </w:p>
    <w:p>
      <w:pPr>
        <w:spacing w:after="0" w:line="25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At December 31, 2015, we had approximately $8.0 billion of gross NOLs carried over from prior taxable years (NOL Carryforwards) to reduce future federal taxable income, substantially all of which are expected to be available for use in 2016. The federal NOL Carryforwards will expire beginning in 2023 if unused. We also had approximately $4.0 billion of NOL Carryforwards to reduce future state taxable income at December 31, 2015, which will expire in years 2016 through 2034 if unused. Our ability to deduct our NOL Carryforwards and to utilize certain other available tax attributes can be substantially constrained under the general annual limitation rules of Section 382 of the Internal Revenue Code of 1986 (Section 382) where an “ownership change” has occurred. We experienced an ownership change in connection with our emergence from bankruptcy in 2013. The general limitation rules of Section 382 for a debtor in a bankruptcy case are liberalized where the ownership change occurs upon emergence from bankruptcy. We elected to be covered by certain special rules for federal income tax purposes that permitted approximately $9.0 billion (with $6.6 billion of unlimited NOL remaining at December 31, 2015) of our federal NOL Carryforwards to be utilized without regard to the Section 382 annual limitation rules. Substantially all of our remaining federal NOL Carryforwards are subject to limitation under Section 382; however, our ability to utilize such NOL Carryforwards is not anticipated to be effectively constrained as a result of such limitation. Similar limitations may apply for state income tax purposes. Our ability to utilize any new NOL Carryforwards arising after the 2013 ownership changes is not affected by the annual limitation rules imposed by Section 382 unless another ownership change occurs.</w:t>
      </w:r>
    </w:p>
    <w:p>
      <w:pPr>
        <w:spacing w:after="0" w:line="16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At December 31, 2015, we had an Alternative Minimum Tax credit carryforward of approximately $341 million available for federal income tax purposes, which is available for an indefinite period.</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preparation of our financial statements for the fourth quarter of 2015, we determined that it was more likely than not that substantially all of our deferred tax assets, which include our NOLs, would be realized. Accordingly, we reversed $3.0 billion of the valuation allowance as of December 31, 2015.</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Beginning in the first six months of 2016, we recorded income tax expense with an effective rate of approximately 38%, which is substantially non-cash as we utilized the NOLs described above. For purposes of taxation, substantially all of our income before income taxes is attributable to the United States.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selected mainline and regional operating data for the three and six months ended June 30, 2016 and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Increase</w:t>
            </w:r>
          </w:p>
        </w:tc>
        <w:tc>
          <w:tcPr>
            <w:tcW w:w="18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06"/>
        </w:trPr>
        <w:tc>
          <w:tcPr>
            <w:tcW w:w="5580" w:type="dxa"/>
            <w:vAlign w:val="bottom"/>
          </w:tcPr>
          <w:p>
            <w:pPr>
              <w:spacing w:after="0"/>
              <w:rPr>
                <w:sz w:val="9"/>
                <w:szCs w:val="9"/>
                <w:color w:val="auto"/>
              </w:rPr>
            </w:pPr>
          </w:p>
        </w:tc>
        <w:tc>
          <w:tcPr>
            <w:tcW w:w="64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66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(Decrease)</w:t>
            </w: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Mainline</w:t>
            </w: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51,927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51,632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98,147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96,481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62,670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61,920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120,234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117,773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82.9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83.4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(0.5)pts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81.6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81.9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(0.3)pts</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11.50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12.36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11.46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12.43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15"/>
                <w:szCs w:val="15"/>
                <w:color w:val="auto"/>
              </w:rPr>
              <w:t>(f)</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37,699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37,823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72,246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71,774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Departures (thousands)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947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963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947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963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Block hours (thousands) </w:t>
            </w:r>
            <w:r>
              <w:rPr>
                <w:rFonts w:ascii="Arial" w:cs="Arial" w:eastAsia="Arial" w:hAnsi="Arial"/>
                <w:sz w:val="15"/>
                <w:szCs w:val="15"/>
                <w:color w:val="auto"/>
              </w:rPr>
              <w:t>(h)</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Average stage length (miles) </w:t>
            </w:r>
            <w:r>
              <w:rPr>
                <w:rFonts w:ascii="Arial" w:cs="Arial" w:eastAsia="Arial" w:hAnsi="Arial"/>
                <w:sz w:val="15"/>
                <w:szCs w:val="15"/>
                <w:color w:val="auto"/>
              </w:rPr>
              <w:t>(i)</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1,241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1,236</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1,223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1,216</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w w:val="95"/>
              </w:rPr>
              <w:t>Average aircraft fuel price including related taxes (dollars per gallon)</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Full-time equivalent employees at end of period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103,100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100,700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103,100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100,700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 xml:space="preserve">Regional </w:t>
            </w:r>
            <w:r>
              <w:rPr>
                <w:rFonts w:ascii="Arial" w:cs="Arial" w:eastAsia="Arial" w:hAnsi="Arial"/>
                <w:sz w:val="15"/>
                <w:szCs w:val="15"/>
                <w:b w:val="1"/>
                <w:bCs w:val="1"/>
                <w:color w:val="auto"/>
              </w:rPr>
              <w:t>(j)</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11,959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8,081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7,481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15,581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14,417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(3.4)pts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(3.2)pts</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27.87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28.42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27.67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27.85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15"/>
                <w:szCs w:val="15"/>
                <w:color w:val="auto"/>
              </w:rPr>
              <w:t>(f)</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18.78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20.82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18.94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20.94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14,252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14,377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26,620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26,619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578</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578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w w:val="95"/>
              </w:rPr>
              <w:t>Average aircraft fuel price including related taxes (dollars per gallon)</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Full-time equivalent employees at end of period </w:t>
            </w:r>
            <w:r>
              <w:rPr>
                <w:rFonts w:ascii="Arial" w:cs="Arial" w:eastAsia="Arial" w:hAnsi="Arial"/>
                <w:sz w:val="15"/>
                <w:szCs w:val="15"/>
                <w:color w:val="auto"/>
              </w:rPr>
              <w:t>(k)</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Mainline and Regional</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58,336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57,821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110,106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108,011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70,751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69,401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135,815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132,190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Cargo ton miles (millions) </w:t>
            </w:r>
            <w:r>
              <w:rPr>
                <w:rFonts w:ascii="Arial" w:cs="Arial" w:eastAsia="Arial" w:hAnsi="Arial"/>
                <w:sz w:val="15"/>
                <w:szCs w:val="15"/>
                <w:color w:val="auto"/>
              </w:rPr>
              <w:t>(l)</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82.5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83.3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(0.8)pts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81.1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(0.6)pts</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12.71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13.57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12.58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13.51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15"/>
                <w:szCs w:val="15"/>
                <w:color w:val="auto"/>
              </w:rPr>
              <w:t>(m)</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Cargo yield per ton mile (cents) </w:t>
            </w:r>
            <w:r>
              <w:rPr>
                <w:rFonts w:ascii="Arial" w:cs="Arial" w:eastAsia="Arial" w:hAnsi="Arial"/>
                <w:sz w:val="15"/>
                <w:szCs w:val="15"/>
                <w:color w:val="auto"/>
              </w:rPr>
              <w:t>(n)</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28.48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32.62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29.09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33.83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51,951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98,866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98,393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1,547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1,541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1,547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1,541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1,118</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w w:val="95"/>
              </w:rPr>
              <w:t>Average aircraft fuel price including related taxes (dollars per gallon)</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Full-time equivalent employees at end of period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123,500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120,400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123,500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120,400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Available seat mile (ASM) – A basic measure of production. One ASM represents one seat flown one mile.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Passenger load factor – The percentage of available seats that are filled with revenue passengers.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Yield – A measure of airline revenue derived by dividing passenger revenue by RPMs.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Passenger revenue per available seat mile (PRASM) – Passenger revenues divided by ASMs.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Operating cost per available seat mile (CASM) – Operating expenses divided by ASMs.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Passenger enplanements – The number of passengers on board an aircraft, including local, connecting and through passengers.</w:t>
      </w:r>
    </w:p>
    <w:p>
      <w:pPr>
        <w:spacing w:after="0" w:line="9"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Block hours – The hours measured from the moment an aircraft first moves under its own power, including taxi time, for the purposes of flight until the aircraft is docked at the next point of landing and its power is shut down.</w:t>
      </w: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Average stage length – The average of the distances flown on each segment of every route.</w:t>
      </w:r>
    </w:p>
    <w:p>
      <w:pPr>
        <w:spacing w:after="0" w:line="9" w:lineRule="exact"/>
        <w:rPr>
          <w:rFonts w:ascii="Arial" w:cs="Arial" w:eastAsia="Arial" w:hAnsi="Arial"/>
          <w:sz w:val="15"/>
          <w:szCs w:val="15"/>
          <w:color w:val="auto"/>
        </w:rPr>
      </w:pPr>
    </w:p>
    <w:p>
      <w:pPr>
        <w:jc w:val="both"/>
        <w:ind w:left="460" w:hanging="452"/>
        <w:spacing w:after="0" w:line="250"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Regional statistics include our subsidiaries, Envoy Aviation Group Inc. (Envoy), Piedmont Airlines, Inc. (Piedmont) and PSA Airlines, Inc. (PSA), and operating statistics from our capacity purchase agreements with Air Wisconsin Airlines Corporation, ExpressJet Airlines, Inc., Mesa Airlines, Inc., Republic Airline Inc., SkyWest Airlines, Inc., Compass Airlines, LLC and Trans States Airlines, Inc.</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Regional full-time equivalent employees only include our wholly-owned regional airline subsidiaries, Envoy, Piedmont and PSA.</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Cargo ton miles – A basic measure of cargo transportation. One cargo ton mile represents one ton of cargo transported one mile.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Total revenue per available seat mile (RASM) – Total revenues divided by total mainline and regional ASMs.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Cargo yield per ton mile – Cargo revenues divided by total mainline and regional cargo ton miles.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to Three Months Ended June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7"/>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Regional passenger</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1,786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1,759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10,363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10,827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0"/>
        </w:trPr>
        <w:tc>
          <w:tcPr>
            <w:tcW w:w="5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revenues in the second quarter of 2016 decreased $464 million, or 4.3%, from the 2015 period driven by a decrease in yield primarily due to competitive capacity growth, continued global macroeconomic softness and foreign currency weakness. Significant changes in the components of operating revenues are as follows:</w:t>
      </w:r>
    </w:p>
    <w:p>
      <w:pPr>
        <w:spacing w:after="0" w:line="87" w:lineRule="exact"/>
        <w:rPr>
          <w:sz w:val="20"/>
          <w:szCs w:val="20"/>
          <w:color w:val="auto"/>
        </w:rPr>
      </w:pPr>
    </w:p>
    <w:p>
      <w:pPr>
        <w:jc w:val="both"/>
        <w:ind w:left="9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Mainline passenger revenues were $7.2 billion in the second quarter of 2016 as compared to $7.7 billion in the 2015 period. Mainline RPM’s increased 0.6% as mainline capacity, as measured by ASMs, increased 1.2%, resulting in a 0.5 point decrease in load factor to 82.9%. Mainline passenger yield decreased 6.4% to 13.88 cents in the second quarter of 2016 from 14.83 cents in the 2015 period. Mainline PRASM decreased 7.0% to 11.50 cents in the second quarter of 2016 from 12.36 cents in the 2015 period.</w:t>
      </w:r>
    </w:p>
    <w:p>
      <w:pPr>
        <w:spacing w:after="0" w:line="92"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Regional passenger revenues were $1.8 billion in each of the second quarters of 2016 and 2015. Regional RPM’s increased 3.5% as regional capacity, as measured by ASMs, increased 8.0%, resulting in a 3.4 point decrease in load factor to 79.3%. Regional passenger yield decreased 1.9% to 27.87 cents in the second quarter of 2016 from 28.42 cents in the 2015 period. Regional PRASM decreased 6.0% to 22.10 cents in the second quarter of 2016 from 23.51 cents in the 2015 period.</w:t>
      </w:r>
    </w:p>
    <w:p>
      <w:pPr>
        <w:spacing w:after="0" w:line="92"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Cargo revenue decreased $20 million, or 10.4%, in the second quarter of 2016 from the 2015 period driven primarily by a decrease in domestic and international freight yields.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7"/>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(In millions, except percentage changes)</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2,670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2,364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451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Selling expenses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Special items, net</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7,349</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Fuel</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349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0"/>
        </w:trPr>
        <w:tc>
          <w:tcPr>
            <w:tcW w:w="5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Total operating expenses were $8.6 billion in the second quarter of 2016, a decrease of $294 million, or 3.3%, from the 2015 period. The decrease in operating expenses was primarily driven by lower fuel costs offset in part by higher salaries, wages and benefits driven by new labor contracts and the addition of an employee profit sharing program effective January 1, 2016. See detailed explanations below relating to the other changes in operating costs.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mainline CASM decreased 0.55 cents, or 4.6%, from 11.87 cents in the second quarter of 2015 to 11.32 cents in the second quarter of 2016. Excluding special items and fuel, our mainline CASM increased 0.35 cents, or 4.0%, from 8.77 cents in the second quarter of 2015 to 9.12 cents in the second quarter of 2016, while mainline capacity increased 1.2%.</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table below sets forth the major components of our total mainline CASM and our mainline CASM excluding special items and fuel for the three months ended June 30, 2016 and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8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320" w:type="dxa"/>
            <w:vAlign w:val="bottom"/>
          </w:tcPr>
          <w:p>
            <w:pPr>
              <w:spacing w:after="0"/>
              <w:rPr>
                <w:sz w:val="12"/>
                <w:szCs w:val="12"/>
                <w:color w:val="auto"/>
              </w:rPr>
            </w:pPr>
          </w:p>
        </w:tc>
        <w:tc>
          <w:tcPr>
            <w:tcW w:w="5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060" w:type="dxa"/>
            <w:vAlign w:val="bottom"/>
            <w:gridSpan w:val="2"/>
          </w:tcPr>
          <w:p>
            <w:pPr>
              <w:jc w:val="center"/>
              <w:ind w:left="13"/>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320" w:type="dxa"/>
            <w:vAlign w:val="bottom"/>
          </w:tcPr>
          <w:p>
            <w:pPr>
              <w:spacing w:after="0"/>
              <w:rPr>
                <w:sz w:val="12"/>
                <w:szCs w:val="12"/>
                <w:color w:val="auto"/>
              </w:rPr>
            </w:pPr>
          </w:p>
        </w:tc>
        <w:tc>
          <w:tcPr>
            <w:tcW w:w="3000" w:type="dxa"/>
            <w:vAlign w:val="bottom"/>
            <w:tcBorders>
              <w:top w:val="single" w:sz="8" w:color="auto"/>
            </w:tcBorders>
            <w:gridSpan w:val="7"/>
          </w:tcPr>
          <w:p>
            <w:pPr>
              <w:jc w:val="right"/>
              <w:ind w:right="273"/>
              <w:spacing w:after="0" w:line="142" w:lineRule="exact"/>
              <w:rPr>
                <w:sz w:val="20"/>
                <w:szCs w:val="20"/>
                <w:color w:val="auto"/>
              </w:rPr>
            </w:pPr>
            <w:r>
              <w:rPr>
                <w:rFonts w:ascii="Arial" w:cs="Arial" w:eastAsia="Arial" w:hAnsi="Arial"/>
                <w:sz w:val="14"/>
                <w:szCs w:val="14"/>
                <w:b w:val="1"/>
                <w:bCs w:val="1"/>
                <w:color w:val="auto"/>
              </w:rPr>
              <w:t>(In cents, except percentage changes)</w:t>
            </w: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Mainline CASM:</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0.81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0.51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0.60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0.55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mainline CASM</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gridSpan w:val="3"/>
          </w:tcPr>
          <w:p>
            <w:pPr>
              <w:jc w:val="right"/>
              <w:ind w:right="408"/>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(0.23)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(57.9)</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23"/>
        </w:trPr>
        <w:tc>
          <w:tcPr>
            <w:tcW w:w="8320" w:type="dxa"/>
            <w:vAlign w:val="bottom"/>
          </w:tcPr>
          <w:p>
            <w:pPr>
              <w:ind w:left="720"/>
              <w:spacing w:after="0"/>
              <w:rPr>
                <w:sz w:val="20"/>
                <w:szCs w:val="20"/>
                <w:color w:val="auto"/>
              </w:rPr>
            </w:pPr>
            <w:r>
              <w:rPr>
                <w:rFonts w:ascii="Arial" w:cs="Arial" w:eastAsia="Arial" w:hAnsi="Arial"/>
                <w:sz w:val="18"/>
                <w:szCs w:val="18"/>
                <w:color w:val="auto"/>
              </w:rPr>
              <w:t xml:space="preserve">Mainline CASM, excluding special items and fuel </w:t>
            </w:r>
            <w:r>
              <w:rPr>
                <w:rFonts w:ascii="Arial" w:cs="Arial" w:eastAsia="Arial" w:hAnsi="Arial"/>
                <w:sz w:val="15"/>
                <w:szCs w:val="15"/>
                <w:color w:val="auto"/>
              </w:rPr>
              <w:t>(1)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operating expense per ASM are as follows:</w:t>
      </w:r>
    </w:p>
    <w:p>
      <w:pPr>
        <w:spacing w:after="0" w:line="131" w:lineRule="exact"/>
        <w:rPr>
          <w:sz w:val="20"/>
          <w:szCs w:val="20"/>
          <w:color w:val="auto"/>
        </w:rPr>
      </w:pPr>
    </w:p>
    <w:p>
      <w:pPr>
        <w:ind w:left="9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Aircraft fuel and related taxes per ASM decreased 26.8% primarily due to a 25.5% decrease in the average price per gallon of fuel to $1.41 in the second quarter of 2016 from $1.90 in the 2015 period.</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Salaries, wages and benefits per ASM increased 11.6% primarily due to increased costs associated with new labor contracts and the addition of an employee profit sharing program effective January 1, 2016. During the second quarter of 2016, we accrued $98 million for this profit sharing program.</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materials and repairs per ASM decreased 10.8% and was primarily driven by fewer engine overhauls due to the timing of maintenance cycles in the second quarter of 2016 as compared to the 2015 period.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Depreciation and amortization per ASM increased 8.8% primarily due to new purchased aircraft deliveries since the end of the second quarter of 2015 in connection with our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regional expenses decreased $39 million, or 2.5%, in the second quarter of 2016 to $1.5 billion from $1.6 billion in the 2015 period. The period-over-period decrease was primarily due to a $70 million decrease in fuel costs. The average price per gallon of fuel decreased 23.7% to $1.46 in the second quarter of 2016 from $1.91 in the 2015 period, on a 4.9% increase in consumption. See Note 10 to AAG’s condensed consolidated financial statements in Part I, Item 1A for more detail on regional operating expenses.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center"/>
              <w:ind w:left="7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2015</w:t>
            </w:r>
          </w:p>
        </w:tc>
        <w:tc>
          <w:tcPr>
            <w:tcW w:w="360" w:type="dxa"/>
            <w:vAlign w:val="bottom"/>
          </w:tcPr>
          <w:p>
            <w:pPr>
              <w:spacing w:after="0"/>
              <w:rPr>
                <w:sz w:val="12"/>
                <w:szCs w:val="12"/>
                <w:color w:val="auto"/>
              </w:rPr>
            </w:pPr>
          </w:p>
        </w:tc>
        <w:tc>
          <w:tcPr>
            <w:tcW w:w="1120" w:type="dxa"/>
            <w:vAlign w:val="bottom"/>
            <w:gridSpan w:val="2"/>
          </w:tcPr>
          <w:p>
            <w:pPr>
              <w:jc w:val="center"/>
              <w:ind w:left="7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8"/>
          </w:tcPr>
          <w:p>
            <w:pPr>
              <w:jc w:val="right"/>
              <w:ind w:right="358"/>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800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short-term investments in each period consisted of highly liquid investments which provided nominal returns.</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Interest expense, net of capitalized interest increased $26 million in the second quarter of 2016 as compared to the 2015 period primarily due to issuances of $5.3 billion in aircraft related financings since the end of the second quarter of 2015.</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nonoperating expense, net in the second quarter of 2016 included $36 million in special charges related to non-cash write offs of unamortized bond discounts and issuance costs as well as payments of redemption premiums and fees in connection with a bond refinancing, offset in part by $17 million of foreign currency gains. The foreign currency gains were driven primarily by the weakening of the U.S. dollar relative to other currencies, principally the Brazilian real, which appreciated 13% during the second quarter of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to Six Months Ended June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920" w:type="dxa"/>
            <w:vAlign w:val="bottom"/>
            <w:tcBorders>
              <w:top w:val="single" w:sz="8" w:color="auto"/>
            </w:tcBorders>
            <w:gridSpan w:val="6"/>
          </w:tcPr>
          <w:p>
            <w:pPr>
              <w:jc w:val="right"/>
              <w:ind w:right="157"/>
              <w:spacing w:after="0" w:line="142" w:lineRule="exact"/>
              <w:rPr>
                <w:sz w:val="20"/>
                <w:szCs w:val="20"/>
                <w:color w:val="auto"/>
              </w:rPr>
            </w:pPr>
            <w:r>
              <w:rPr>
                <w:rFonts w:ascii="Arial" w:cs="Arial" w:eastAsia="Arial" w:hAnsi="Arial"/>
                <w:sz w:val="14"/>
                <w:szCs w:val="14"/>
                <w:b w:val="1"/>
                <w:bCs w:val="1"/>
                <w:color w:val="auto"/>
                <w:w w:val="98"/>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5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$ 13,773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$ 14,644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Regional passenger</w:t>
            </w:r>
          </w:p>
        </w:tc>
        <w:tc>
          <w:tcPr>
            <w:tcW w:w="5380" w:type="dxa"/>
            <w:vAlign w:val="bottom"/>
            <w:gridSpan w:val="3"/>
          </w:tcPr>
          <w:p>
            <w:pPr>
              <w:jc w:val="right"/>
              <w:ind w:right="200"/>
              <w:spacing w:after="0"/>
              <w:rPr>
                <w:sz w:val="20"/>
                <w:szCs w:val="20"/>
                <w:color w:val="auto"/>
              </w:rPr>
            </w:pPr>
            <w:r>
              <w:rPr>
                <w:rFonts w:ascii="Arial" w:cs="Arial" w:eastAsia="Arial" w:hAnsi="Arial"/>
                <w:sz w:val="18"/>
                <w:szCs w:val="18"/>
                <w:color w:val="auto"/>
              </w:rPr>
              <w:t>3,309</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3,211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5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45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5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$ 19,798</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$ 20,654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520" w:type="dxa"/>
            <w:vAlign w:val="bottom"/>
            <w:vMerge w:val="restart"/>
          </w:tcPr>
          <w:p>
            <w:pPr>
              <w:jc w:val="right"/>
              <w:ind w:right="2510"/>
              <w:spacing w:after="0"/>
              <w:rPr>
                <w:sz w:val="20"/>
                <w:szCs w:val="20"/>
                <w:color w:val="auto"/>
              </w:rPr>
            </w:pPr>
            <w:r>
              <w:rPr>
                <w:rFonts w:ascii="Arial" w:cs="Arial" w:eastAsia="Arial" w:hAnsi="Arial"/>
                <w:sz w:val="18"/>
                <w:szCs w:val="18"/>
                <w:color w:val="auto"/>
              </w:rPr>
              <w:t>42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revenues in the first six months of 2016 decreased $856 million, or 4.1%, from the 2015 period driven by a decrease in yield primarily due to competitive capacity growth, continued global macroeconomic softness and foreign currency weakness. Significant changes in the components of operating revenues are as follows:</w:t>
      </w:r>
    </w:p>
    <w:p>
      <w:pPr>
        <w:spacing w:after="0" w:line="87" w:lineRule="exact"/>
        <w:rPr>
          <w:sz w:val="20"/>
          <w:szCs w:val="20"/>
          <w:color w:val="auto"/>
        </w:rPr>
      </w:pPr>
    </w:p>
    <w:p>
      <w:pPr>
        <w:jc w:val="both"/>
        <w:ind w:left="90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Mainline passenger revenues were $13.8 billion in the first six months of 2016 as compared to $14.6 billion in the 2015 period. Mainline RPM’s increased 1.7% as mainline capacity, as measured by ASMs, increased 2.1%, resulting in a 0.3 point decrease in load factor to 81.6%. Mainline passenger yield decreased 7.5% to 14.03 cents in the first six months of 2016 from 15.18 cents in the 2015 period. Mainline PRASM decreased 7.9% to 11.46 cents in the first six months of 2016 from 12.43 cents in the 2015 period.</w:t>
      </w:r>
    </w:p>
    <w:p>
      <w:pPr>
        <w:spacing w:after="0" w:line="92" w:lineRule="exact"/>
        <w:rPr>
          <w:rFonts w:ascii="Arial" w:cs="Arial" w:eastAsia="Arial" w:hAnsi="Arial"/>
          <w:sz w:val="18"/>
          <w:szCs w:val="18"/>
          <w:color w:val="auto"/>
        </w:rPr>
      </w:pPr>
    </w:p>
    <w:p>
      <w:pPr>
        <w:jc w:val="both"/>
        <w:ind w:left="900" w:hanging="325"/>
        <w:spacing w:after="0" w:line="279"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Regional passenger revenues were $3.3 billion in the first six months of 2016 as compared to $3.2 billion in the 2015 period. Regional RPM’s increased 3.7% as regional capacity, as measured by ASMs, increased 8.1%, resulting in a 3.2 point decrease in load factor to 76.8%. Regional passenger yield decreased 0.6% to 27.67 cents in the first six months of 2016 from 27.85 cents in the 2015 period. Regional PRASM decreased 4.6% to 21.24 cents in the first six months of 2016 from 22.27 cents in the 2015 period.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Cargo revenue decreased $52 million, or 13.6%, in the first six months of 2016 from the 2015 period driven primarily by a decrease in domestic and international freight yields.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3"/>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5,322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4,737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859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Selling expenses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686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Special items, net</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447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13,761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14,498</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Fuel</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660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16,711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17,517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0"/>
        </w:trPr>
        <w:tc>
          <w:tcPr>
            <w:tcW w:w="5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operating expenses were $16.7 billion in the first six months of 2016, a decrease of $806 million, or 4.6%, from the 2015 period. The decrease in operating expenses was primarily driven by lower aircraft fuel costs, offset in part by higher salaries, wages and benefits driven by new labor contracts and the addition of an employee profit sharing program effective January 1, 2016. See detailed explanations below relating to changes in operating costs per ASM.</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mainline CASM decreased 0.86 cents, or 7.0%, from 12.31 cents in the first six months of 2015 to 11.45 cents in the first six months of 2016. Excluding special items and aircraft fuel and related taxes, our mainline CASM increased 0.25 cents, or 2.7%, from 9.11 cents in the first six months of 2015 to 9.36 cents in the first six months of 2016, while mainline capacity increased 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sets forth the major components of our total mainline CASM and our mainline CASM excluding special items and fuel for the six months ended June 30, 2016 and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8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Six Months Ended</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520" w:type="dxa"/>
            <w:vAlign w:val="bottom"/>
          </w:tcPr>
          <w:p>
            <w:pPr>
              <w:spacing w:after="0"/>
              <w:rPr>
                <w:sz w:val="14"/>
                <w:szCs w:val="14"/>
                <w:color w:val="auto"/>
              </w:rPr>
            </w:pPr>
          </w:p>
        </w:tc>
        <w:tc>
          <w:tcPr>
            <w:tcW w:w="108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520" w:type="dxa"/>
            <w:vAlign w:val="bottom"/>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2"/>
                <w:szCs w:val="12"/>
                <w:color w:val="auto"/>
              </w:rPr>
            </w:pPr>
          </w:p>
        </w:tc>
        <w:tc>
          <w:tcPr>
            <w:tcW w:w="10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520" w:type="dxa"/>
            <w:vAlign w:val="bottom"/>
          </w:tcPr>
          <w:p>
            <w:pPr>
              <w:spacing w:after="0"/>
              <w:rPr>
                <w:sz w:val="12"/>
                <w:szCs w:val="12"/>
                <w:color w:val="auto"/>
              </w:rPr>
            </w:pPr>
          </w:p>
        </w:tc>
        <w:tc>
          <w:tcPr>
            <w:tcW w:w="2800" w:type="dxa"/>
            <w:vAlign w:val="bottom"/>
            <w:tcBorders>
              <w:top w:val="single" w:sz="8" w:color="auto"/>
            </w:tcBorders>
            <w:gridSpan w:val="7"/>
          </w:tcPr>
          <w:p>
            <w:pPr>
              <w:jc w:val="right"/>
              <w:ind w:right="173"/>
              <w:spacing w:after="0" w:line="142" w:lineRule="exact"/>
              <w:rPr>
                <w:sz w:val="20"/>
                <w:szCs w:val="20"/>
                <w:color w:val="auto"/>
              </w:rPr>
            </w:pPr>
            <w:r>
              <w:rPr>
                <w:rFonts w:ascii="Arial" w:cs="Arial" w:eastAsia="Arial" w:hAnsi="Arial"/>
                <w:sz w:val="14"/>
                <w:szCs w:val="14"/>
                <w:b w:val="1"/>
                <w:bCs w:val="1"/>
                <w:color w:val="auto"/>
                <w:w w:val="99"/>
              </w:rPr>
              <w:t>(In cents, except percentage changes)</w:t>
            </w:r>
          </w:p>
        </w:tc>
        <w:tc>
          <w:tcPr>
            <w:tcW w:w="100" w:type="dxa"/>
            <w:vAlign w:val="bottom"/>
          </w:tcPr>
          <w:p>
            <w:pPr>
              <w:spacing w:after="0"/>
              <w:rPr>
                <w:sz w:val="12"/>
                <w:szCs w:val="1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Mainline CASM:</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0.85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0.54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0.61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0.57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7"/>
        </w:trPr>
        <w:tc>
          <w:tcPr>
            <w:tcW w:w="8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mainline CASM</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Special items, net</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(64.8)</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r>
        <w:trPr>
          <w:trHeight w:val="223"/>
        </w:trPr>
        <w:tc>
          <w:tcPr>
            <w:tcW w:w="8520" w:type="dxa"/>
            <w:vAlign w:val="bottom"/>
          </w:tcPr>
          <w:p>
            <w:pPr>
              <w:ind w:left="720"/>
              <w:spacing w:after="0"/>
              <w:rPr>
                <w:sz w:val="20"/>
                <w:szCs w:val="20"/>
                <w:color w:val="auto"/>
              </w:rPr>
            </w:pPr>
            <w:r>
              <w:rPr>
                <w:rFonts w:ascii="Arial" w:cs="Arial" w:eastAsia="Arial" w:hAnsi="Arial"/>
                <w:sz w:val="18"/>
                <w:szCs w:val="18"/>
                <w:color w:val="auto"/>
              </w:rPr>
              <w:t xml:space="preserve">Mainline CASM, excluding special items and fuel </w:t>
            </w:r>
            <w:r>
              <w:rPr>
                <w:rFonts w:ascii="Arial" w:cs="Arial" w:eastAsia="Arial" w:hAnsi="Arial"/>
                <w:sz w:val="15"/>
                <w:szCs w:val="15"/>
                <w:color w:val="auto"/>
              </w:rPr>
              <w:t>(1)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0"/>
        </w:trPr>
        <w:tc>
          <w:tcPr>
            <w:tcW w:w="8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operating expense per ASM are as follows:</w:t>
      </w:r>
    </w:p>
    <w:p>
      <w:pPr>
        <w:spacing w:after="0" w:line="131" w:lineRule="exact"/>
        <w:rPr>
          <w:sz w:val="20"/>
          <w:szCs w:val="20"/>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Aircraft fuel and related taxes per ASM decreased 30.8% primarily due to a 29.6% decrease in the average price per gallon of fuel to $1.31 in the first six months of 2016 from an average price per gallon of $1.86 in the 2015 period.</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Salaries, wages and benefits per ASM increased 10.1% primarily due to increased costs associated with new labor contracts and the addition of an employee profit sharing program effective January 1, 2016. During the first six months of 2016, we accrued $171 million for this profit sharing program.</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Maintenance, materials and repairs per ASM decreased 14.3% and was primarily driven by fewer engine overhauls due to the timing of maintenance cycles in the first six months of 2016 as compared to the 2015 period.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Selling expenses per ASM decreased 8.3% primarily due to lower revenues in the first six months of 2016, resulting in lower commissions and credit card fees.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Depreciation and amortization per ASM increased 5.6% primarily due to new purchased aircraft deliveries since the end of the second quarter of 2015 in connection with our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Total regional expenses decreased $69 million, or 2.3%, in the first six months of 2016 from the 2015 period. The period-over-period decrease was primarily due to a $162 million decrease in fuel costs, offset in part by a $93 million increase in other regional operating expenses. The average price per gallon of fuel decreased 28.4% to $1.35 in the first six months of 2016 from $1.89 in the 2015 period, on a 5.4% increase in consumption. The increase in other regional operating expenses was principally due to increased regional capacity. See Note 10 to AAG’s condensed consolidated financial statements in Part I, Item 1A for more detail on regional operating expenses.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Pr>
          <w:p>
            <w:pPr>
              <w:spacing w:after="0"/>
              <w:rPr>
                <w:sz w:val="12"/>
                <w:szCs w:val="12"/>
                <w:color w:val="auto"/>
              </w:rPr>
            </w:pPr>
          </w:p>
        </w:tc>
        <w:tc>
          <w:tcPr>
            <w:tcW w:w="1140" w:type="dxa"/>
            <w:vAlign w:val="bottom"/>
            <w:gridSpan w:val="2"/>
          </w:tcPr>
          <w:p>
            <w:pPr>
              <w:jc w:val="center"/>
              <w:ind w:left="1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8"/>
          </w:tcPr>
          <w:p>
            <w:pPr>
              <w:jc w:val="right"/>
              <w:ind w:right="258"/>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10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760" w:type="dxa"/>
            <w:vAlign w:val="bottom"/>
            <w:gridSpan w:val="3"/>
          </w:tcPr>
          <w:p>
            <w:pPr>
              <w:jc w:val="right"/>
              <w:ind w:right="168"/>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(432)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300" w:type="dxa"/>
            <w:vAlign w:val="bottom"/>
            <w:gridSpan w:val="2"/>
          </w:tcPr>
          <w:p>
            <w:pPr>
              <w:jc w:val="right"/>
              <w:ind w:right="168"/>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0"/>
        </w:trPr>
        <w:tc>
          <w:tcPr>
            <w:tcW w:w="8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short-term investments in each period consisted of highly liquid investments which provided nominal returns.</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Interest expense, net of capitalized interest increased $56 million in the first six months of 2016 as compared to the 2015 period primarily due to issuances of $5.3 billion in aircraft related financings since the end of the second quarter of 2015.</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nonoperating expense, net in the first six months of 2016 included $36 million in special charges related to non-cash write offs of unamortized bond discounts and issuance costs as well as payments of redemption premiums and fees in connection with a bond refinancing, offset in part by $27 million of foreign currency gains. The foreign currency gains were driven primarily by the weakening of the U.S. dollar relative to other currencies, principally the Brazilian real, which appreciated 20% in the first six months of 2016.</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nonoperating expense, net in the first six months of 2015 included $82 million of foreign currency losses. The foreign currency losses during the first six months of 2015 were driven primarily by the strengthening of the U.S. dollar relative to other currencies, principally in Latin American and European markets, including a 14% decrease in the value of the Brazilian real, an 8% decrease in the value of the Euro and a 6% decrease in the value of the Canadian dollar.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2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On December 30, 2015, in order to simplify AAG’s internal corporate structure and as part of the integration efforts following the business combination of AAG and US Airways Group, US Airways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was accounted for at historical cost. As a result, American’s condensed consolidated financial statements as well as this management’s discussion and analysis of financial condition and results of operations in this Quarterly Report on Form 10-Q (unless otherwise indicated) are presented as though the transaction had occurred on December 9, 2013, when a subsidiary of AMR merged with and into US Airways Group, which represents the earliest date that American and US Airways were under common control. Thus, all periods presented below in </w:t>
      </w:r>
      <w:r>
        <w:rPr>
          <w:rFonts w:ascii="Arial" w:cs="Arial" w:eastAsia="Arial" w:hAnsi="Arial"/>
          <w:sz w:val="16"/>
          <w:szCs w:val="16"/>
          <w:i w:val="1"/>
          <w:iCs w:val="1"/>
          <w:color w:val="auto"/>
        </w:rPr>
        <w:t>American’s Results of Operations</w:t>
      </w:r>
      <w:r>
        <w:rPr>
          <w:rFonts w:ascii="Arial" w:cs="Arial" w:eastAsia="Arial" w:hAnsi="Arial"/>
          <w:sz w:val="16"/>
          <w:szCs w:val="16"/>
          <w:color w:val="auto"/>
        </w:rPr>
        <w:t xml:space="preserve"> are comprised of the financial data of American and US Airways.</w:t>
      </w:r>
    </w:p>
    <w:p>
      <w:pPr>
        <w:spacing w:after="0" w:line="166"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American realized pre-tax income of $1.5 billion and $1.7 billion in the second quarters of 2016 and 2015, respectively. Excluding the effects of net special charges, American recognized pre-tax income of $1.6 billion and $1.9 billion in the second quarters of 2016 and 2015, respectively.</w:t>
      </w:r>
    </w:p>
    <w:p>
      <w:pPr>
        <w:spacing w:after="0" w:line="14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American realized pre-tax income of $2.7 billion in each of the first six months of 2016 and 2015, respectively. Excluding the effects of net special charges, American recognized pre-tax income of $2.9 billion and $3.1 billion in the first six months of 2016 and 2015, respectively.</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American’s 2016 second quarter and first six months results on both a GAAP basis and excluding net special charges benefited from the decline in fuel prices as a result of not hedging its fuel consumption; however, this benefit was offset by a decline in revenues driven by reduced yields as well as higher salaries, wages and benefits driven by new labor contracts and the addition of an employee profit sharing program effective January 1, 2016.</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details American’s pre-tax and net income excluding special items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6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Pre-tax special items: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Mainline operating special charges, net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Regional operating special charges, net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Nonoperating special charges, net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Total pre-tax special items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Pre-tax income excluding special items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00" w:type="dxa"/>
            <w:vAlign w:val="bottom"/>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9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220" w:type="dxa"/>
            <w:vAlign w:val="bottom"/>
          </w:tcPr>
          <w:p>
            <w:pPr>
              <w:spacing w:after="0"/>
              <w:rPr>
                <w:sz w:val="24"/>
                <w:szCs w:val="24"/>
                <w:color w:val="auto"/>
              </w:rPr>
            </w:pP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1,683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4"/>
                <w:szCs w:val="24"/>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Total pre-tax special items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special charges, net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Net tax effect of special items</w:t>
            </w:r>
          </w:p>
        </w:tc>
        <w:tc>
          <w:tcPr>
            <w:tcW w:w="10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special items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r>
      <w:tr>
        <w:trPr>
          <w:trHeight w:val="223"/>
        </w:trPr>
        <w:tc>
          <w:tcPr>
            <w:tcW w:w="6980" w:type="dxa"/>
            <w:vAlign w:val="bottom"/>
          </w:tcPr>
          <w:p>
            <w:pPr>
              <w:ind w:left="1080"/>
              <w:spacing w:after="0"/>
              <w:rPr>
                <w:sz w:val="20"/>
                <w:szCs w:val="20"/>
                <w:color w:val="auto"/>
              </w:rPr>
            </w:pPr>
            <w:r>
              <w:rPr>
                <w:rFonts w:ascii="Arial" w:cs="Arial" w:eastAsia="Arial" w:hAnsi="Arial"/>
                <w:sz w:val="18"/>
                <w:szCs w:val="18"/>
                <w:color w:val="auto"/>
              </w:rPr>
              <w:t>Net income excluding special items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72" w:lineRule="auto"/>
        <w:tabs>
          <w:tab w:leader="none" w:pos="460" w:val="left"/>
        </w:tabs>
        <w:numPr>
          <w:ilvl w:val="0"/>
          <w:numId w:val="33"/>
        </w:numPr>
        <w:rPr>
          <w:rFonts w:ascii="Arial" w:cs="Arial" w:eastAsia="Arial" w:hAnsi="Arial"/>
          <w:sz w:val="14"/>
          <w:szCs w:val="14"/>
          <w:color w:val="auto"/>
        </w:rPr>
      </w:pPr>
      <w:r>
        <w:rPr>
          <w:rFonts w:ascii="Arial" w:cs="Arial" w:eastAsia="Arial" w:hAnsi="Arial"/>
          <w:sz w:val="17"/>
          <w:szCs w:val="17"/>
          <w:color w:val="auto"/>
        </w:rPr>
        <w:t>The 2016 second quarter mainline operating special items totaled a net charge of $62 million, which principally included $112 million of merger integration expenses, offset in part by a $56 million net credit for bankruptcy related items principally consisting of fair value adjustments for bankruptcy settlement obligations. The 2016 six month period mainline operating special items totaled a net charge of $161 million, which principally included $242 million of merger integration expenses, offset in part by a $61 million net credit for bankruptcy related items principally consisting of fair value adjustments for bankruptcy settlement obligations. For the 2016 second quarter and six month periods, merger integration expenses included costs related to information technology, alignment of labor union contracts, fleet restructuring, re-branding of aircraft, airport facilities and uniforms, professional fees, severance, as well as relocation and training.</w:t>
      </w:r>
    </w:p>
    <w:p>
      <w:pPr>
        <w:spacing w:after="0" w:line="69" w:lineRule="exact"/>
        <w:rPr>
          <w:rFonts w:ascii="Arial" w:cs="Arial" w:eastAsia="Arial" w:hAnsi="Arial"/>
          <w:sz w:val="14"/>
          <w:szCs w:val="14"/>
          <w:color w:val="auto"/>
        </w:rPr>
      </w:pPr>
    </w:p>
    <w:p>
      <w:pPr>
        <w:jc w:val="both"/>
        <w:ind w:left="460"/>
        <w:spacing w:after="0" w:line="272" w:lineRule="auto"/>
        <w:rPr>
          <w:rFonts w:ascii="Arial" w:cs="Arial" w:eastAsia="Arial" w:hAnsi="Arial"/>
          <w:sz w:val="14"/>
          <w:szCs w:val="14"/>
          <w:color w:val="auto"/>
        </w:rPr>
      </w:pPr>
      <w:r>
        <w:rPr>
          <w:rFonts w:ascii="Arial" w:cs="Arial" w:eastAsia="Arial" w:hAnsi="Arial"/>
          <w:sz w:val="17"/>
          <w:szCs w:val="17"/>
          <w:color w:val="auto"/>
        </w:rPr>
        <w:t>The 2015 second quarter mainline operating special items totaled a net charge of $144 million, which principally included $224 million of merger integration expenses, offset in part by a $68 million net credit for bankruptcy related items principally consisting of fair value adjustments for bankruptcy settlement obligations. The 2015 six month period mainline operating special items totaled a net charge of $447 million, which principally included $543 million of merger integration expenses, offset in part by a $73 million net credit for bankruptcy related items principally consisting of fair value adjustments for bankruptcy settlement obligations. For the 2015 second quarter and six month periods, merger integration expenses included costs related to alignment of labor union contracts, fleet restructuring, information technology, professional fees, severance, re-branding of aircraft, airport facilities and uniforms, relocation and training, as well as share-based compensation.</w:t>
      </w:r>
    </w:p>
    <w:p>
      <w:pPr>
        <w:spacing w:after="0" w:line="83" w:lineRule="exact"/>
        <w:rPr>
          <w:rFonts w:ascii="Arial" w:cs="Arial" w:eastAsia="Arial" w:hAnsi="Arial"/>
          <w:sz w:val="14"/>
          <w:szCs w:val="14"/>
          <w:color w:val="auto"/>
        </w:rPr>
      </w:pPr>
    </w:p>
    <w:p>
      <w:pPr>
        <w:ind w:left="460" w:hanging="452"/>
        <w:spacing w:after="0" w:line="308" w:lineRule="auto"/>
        <w:tabs>
          <w:tab w:leader="none" w:pos="460" w:val="left"/>
        </w:tabs>
        <w:numPr>
          <w:ilvl w:val="0"/>
          <w:numId w:val="33"/>
        </w:numPr>
        <w:rPr>
          <w:rFonts w:ascii="Arial" w:cs="Arial" w:eastAsia="Arial" w:hAnsi="Arial"/>
          <w:sz w:val="14"/>
          <w:szCs w:val="14"/>
          <w:color w:val="auto"/>
        </w:rPr>
      </w:pPr>
      <w:r>
        <w:rPr>
          <w:rFonts w:ascii="Arial" w:cs="Arial" w:eastAsia="Arial" w:hAnsi="Arial"/>
          <w:sz w:val="17"/>
          <w:szCs w:val="17"/>
          <w:color w:val="auto"/>
        </w:rPr>
        <w:t>In connection with a bond refinancing, American recorded a $36 million nonoperating special charge in the 2016 second quarter and six month periods related to non-cash write offs of unamortized bond discounts and issuance costs as well as payments of redemption premiums and fees.</w:t>
      </w:r>
    </w:p>
    <w:p>
      <w:pPr>
        <w:spacing w:after="0" w:line="25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At December 31, 2015, American had approximately $8.8 billion of gross NOL Carryforwards to reduce future federal taxable income, substantially all of which are expected to be available for use in 2016. American is a member of AAG’s consolidated federal and certain state income tax returns. The amount of federal NOL Carryforwards available in those returns is $8.0 billion, substantially all of which is expected to be available for use in 2016. The federal NOL Carryforwards will expire beginning in 2023 if unused. American also had approximately $3.7 billion of NOL Carryforwards to reduce future state taxable income at December 31, 2015, which will expire in years 2016 through 2034 if unused. American’s ability to deduct its NOL Carryforwards and to utilize certain other available tax attributes can be substantially constrained under the general annual limitation rules of Section 382 where an “ownership change” has occurred. American experienced an ownership change in connection with its emergence from bankruptcy in 2013. The general limitation rules of Section 382 for a debtor in a bankruptcy case are liberalized where the ownership change occurs upon emergence from bankruptcy. American elected to be covered by certain special rules for federal income tax purposes that permitted approximately $9.5 billion (with $7.3 billion of unlimited NOL remaining at December 31, 2015) of its federal NOL Carryforwards to be utilized without regard to the Section 382 annual limitation rules. Substantially all of American’s remaining federal NOL Carryforwards are subject to limitation under Section 382; however, American’s ability to utilize such NOL Carryforwards is not anticipated to be effectively constrained as a result of such limitation. Similar limitations may apply for state income tax purposes. American’s ability to utilize any new NOL Carryforwards arising after the 2013 ownership changes is not affected by the annual limitation rules imposed by Section 382 unless another ownership change occurs.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At December 31, 2015, American had an Alternative Minimum Tax credit carryforward of approximately $458 million available for federal income tax purposes, which is available for an indefinite period.</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preparation of American’s financial statements for the fourth quarter of 2015, management determined that it was more likely than not that substantially all of its deferred tax assets, which include its NOLs, would be realized. Accordingly, American reversed $3.5 billion of the valuation allowance as of December 31, 2015.</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Beginning in the first six months of 2016, American recorded income tax expense with an effective rate of approximately 38%, which is substantially non-cash as American utilized the NOLs described above. For purposes of taxation, substantially all of American’s income before income taxes is attributable to the United States.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to Three Months Ended June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7"/>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Regional passenger</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1,786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1,759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10,450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10,849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0"/>
        </w:trPr>
        <w:tc>
          <w:tcPr>
            <w:tcW w:w="5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revenues in the second quarter of 2016 decreased $399 million, or 3.7%, from the 2015 period driven by a decrease in yield primarily due to competitive capacity growth, continued global macroeconomic softness and foreign currency weakness. Significant changes in the components of operating revenues are as follows:</w:t>
      </w:r>
    </w:p>
    <w:p>
      <w:pPr>
        <w:spacing w:after="0" w:line="87" w:lineRule="exact"/>
        <w:rPr>
          <w:sz w:val="20"/>
          <w:szCs w:val="20"/>
          <w:color w:val="auto"/>
        </w:rPr>
      </w:pPr>
    </w:p>
    <w:p>
      <w:pPr>
        <w:ind w:left="9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Mainline passenger revenues decreased $446 million, or 5.8%, in the second quarter of 2016 from the 2015 period due to a decrease in yield, offset in part by higher ASMs.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Regional passenger revenues increased $27 million, or 1.6%, in the second quarter of 2016 from the 2015 period due to higher ASMs, offset in part by a decrease in yield.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Cargo revenue decreased $20 million, or 10.4%, in the second quarter of 2016 from the 2015 period driven primarily by a decrease in domestic and international freight yields.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7"/>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(In millions, except percentage changes)</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2,668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2,361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451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Selling expenses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Special items, net</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Fuel</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349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5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Total operating expenses in the second quarter of 2016 decreased $235 million, or 2.6%, from the 2015 period. Significant changes in the components of mainline operating expenses are as follows:</w:t>
      </w:r>
    </w:p>
    <w:p>
      <w:pPr>
        <w:spacing w:after="0" w:line="76" w:lineRule="exact"/>
        <w:rPr>
          <w:sz w:val="20"/>
          <w:szCs w:val="20"/>
          <w:color w:val="auto"/>
        </w:rPr>
      </w:pPr>
    </w:p>
    <w:p>
      <w:pPr>
        <w:ind w:left="9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Aircraft fuel and related taxes decreased $460 million, or 25.9%, in the second quarter of 2016 from the 2015 period primarily due to a decrease in the average price per gallon of fuel.</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Salaries, wages and benefits increased $307 million, or 13.0%, in the second quarter of 2016 from the 2015 period primarily due to increased costs associated with new labor contracts and the addition of an employee profit sharing program effective January 1, 2016. During the second quarter of 2016, American accrued $98 million for this profit sharing program.</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Maintenance, materials and repairs decreased $49 million, or 9.7%, and was primarily driven by fewer engine overhauls due to the timing of maintenance cycles in the second quarter of 2016 as compared to the 2015 period.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Depreciation and amortization increased $34 million, or 10.1%, primarily due to new purchased aircraft deliveries since the end of the second quarter of 2015 in connection with our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regional expenses increased $20 million, or 1.3%, in the second quarter of 2016 from the 2015 period. The period-over-period increase was primarily due to a $90 million increase in other regional operating expenses principally due to increased flying under capacity purchase agreements, offset in part by a $70 million decrease in fuel costs due to a decrease in the average price per gallon of fuel. See Note 8 to American’s condensed consolidated financial statements in Part I, Item 1B for more detail on regional operating expenses.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center"/>
              <w:ind w:left="7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2015</w:t>
            </w:r>
          </w:p>
        </w:tc>
        <w:tc>
          <w:tcPr>
            <w:tcW w:w="360" w:type="dxa"/>
            <w:vAlign w:val="bottom"/>
          </w:tcPr>
          <w:p>
            <w:pPr>
              <w:spacing w:after="0"/>
              <w:rPr>
                <w:sz w:val="12"/>
                <w:szCs w:val="12"/>
                <w:color w:val="auto"/>
              </w:rPr>
            </w:pPr>
          </w:p>
        </w:tc>
        <w:tc>
          <w:tcPr>
            <w:tcW w:w="1120" w:type="dxa"/>
            <w:vAlign w:val="bottom"/>
            <w:gridSpan w:val="2"/>
          </w:tcPr>
          <w:p>
            <w:pPr>
              <w:jc w:val="center"/>
              <w:ind w:left="7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8"/>
          </w:tcPr>
          <w:p>
            <w:pPr>
              <w:ind w:left="300"/>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(228)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800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American’s short-term investments in each period consisted of highly liquid investments which provided nominal returns.</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Interest expense, net of capitalized interest increased $28 million in the second quarter of 2016 as compared to the 2015 period primarily due to issuances of $5.3 billion in aircraft related financings since the end of the second quarter of 2015.</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nonoperating expense, net in the second quarter of 2016 included $36 million in special charges related to non-cash write offs of unamortized bond discounts and issuance costs as well as payments of redemption premiums and fees in connection with a bond refinancing, offset in part by $17 million of foreign currency gains. The foreign currency gains were driven primarily by the weakening of the U.S. dollar relative to other currencies, principally the Brazilian real, which appreciated 13% during the second quarter of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to Six Months Ended June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920" w:type="dxa"/>
            <w:vAlign w:val="bottom"/>
            <w:tcBorders>
              <w:top w:val="single" w:sz="8" w:color="auto"/>
            </w:tcBorders>
            <w:gridSpan w:val="6"/>
          </w:tcPr>
          <w:p>
            <w:pPr>
              <w:jc w:val="right"/>
              <w:ind w:right="157"/>
              <w:spacing w:after="0" w:line="142" w:lineRule="exact"/>
              <w:rPr>
                <w:sz w:val="20"/>
                <w:szCs w:val="20"/>
                <w:color w:val="auto"/>
              </w:rPr>
            </w:pPr>
            <w:r>
              <w:rPr>
                <w:rFonts w:ascii="Arial" w:cs="Arial" w:eastAsia="Arial" w:hAnsi="Arial"/>
                <w:sz w:val="14"/>
                <w:szCs w:val="14"/>
                <w:b w:val="1"/>
                <w:bCs w:val="1"/>
                <w:color w:val="auto"/>
                <w:w w:val="98"/>
              </w:rPr>
              <w:t>(In millions, except percentage changes)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$ 13,773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$ 14,644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Regional passenger</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3,309</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3,211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$ 19,947</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$ 20,691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0"/>
        </w:trPr>
        <w:tc>
          <w:tcPr>
            <w:tcW w:w="5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revenues in the first six months of 2016 decreased $744 million, or 3.6%, from the 2015 period driven by a decrease in yield primarily due to competitive capacity growth, continued global macroeconomic softness and foreign currency weakness. Significant changes in the components of operating revenues are as follows:</w:t>
      </w:r>
    </w:p>
    <w:p>
      <w:pPr>
        <w:spacing w:after="0" w:line="87" w:lineRule="exact"/>
        <w:rPr>
          <w:sz w:val="20"/>
          <w:szCs w:val="20"/>
          <w:color w:val="auto"/>
        </w:rPr>
      </w:pPr>
    </w:p>
    <w:p>
      <w:pPr>
        <w:ind w:left="9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Mainline passenger revenues decreased $871 million, or 5.9%, in the first six months of 2016 from the 2015 period due to a decrease in yield, offset in part by higher ASMs.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Regional passenger revenues increased $98 million, or 3.1%, in the first six months of 2016 from the 2015 period due to higher ASMs, offset in part by a decrease in yield.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Cargo revenue decreased $52 million, or 13.6%, in the first six months of 2016 from the 2015 period driven primarily by a decrease in domestic and international freight yields.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3"/>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5,318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4,732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859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Selling expenses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686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Special items, net</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447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13,760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14,494</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Fuel</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660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16,867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17,568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0"/>
        </w:trPr>
        <w:tc>
          <w:tcPr>
            <w:tcW w:w="5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Total operating expenses in the first six months of 2016 decreased $701 million, or 4.0%, from the 2015 period. Significant changes in the components of mainline operating expenses are as follows:</w:t>
      </w:r>
    </w:p>
    <w:p>
      <w:pPr>
        <w:spacing w:after="0" w:line="76" w:lineRule="exact"/>
        <w:rPr>
          <w:sz w:val="20"/>
          <w:szCs w:val="20"/>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Aircraft fuel and related taxes decreased $975 million, or 29.4%, in the first six months of 2016 from the 2015 period primarily due to a decrease in the average price per gallon of fuel.</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Salaries, wages and benefits increased $586 million, or 12.4%, in the first six months of 2016 from the 2015 period primarily due to increased costs associated with new labor contracts and the addition of an employee profit sharing program effective January 1, 2016. During the first six months of 2016, American accrued $171 million for this profit sharing program.</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Maintenance, materials and repairs decreased $124 million, or 12.5%, and was primarily driven by fewer engine overhauls due to the timing of maintenance cycles in the first six months of 2016 as compared to the 2015 period.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Selling expenses decreased $44 million, or 6.4%, in the first six months of 2016 from the 2015 period primarily due to lower revenues in the first six months of 2016, resulting in lower commissions and credit card fees.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Depreciation and amortization increased $53 million, or 7.8%, primarily due to new purchased aircraft deliveries since the end of the second quarter of 2015 in connection with our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regional expenses increased $33 million, or 1.1%, in the first six months of 2016 from the 2015 period. The period-over-period increase was primarily due to a $195 million increase in other regional operating expenses principally due to increased flying under capacity purchase agreements, offset in part by a $162 million decrease in fuel costs due to a decrease in the average price per gallon of fuel. See Note 8 to American’s condensed consolidated financial statements in Part I, Item 1B for more detail on regional operating expenses.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Pr>
          <w:p>
            <w:pPr>
              <w:spacing w:after="0"/>
              <w:rPr>
                <w:sz w:val="12"/>
                <w:szCs w:val="12"/>
                <w:color w:val="auto"/>
              </w:rPr>
            </w:pPr>
          </w:p>
        </w:tc>
        <w:tc>
          <w:tcPr>
            <w:tcW w:w="1140" w:type="dxa"/>
            <w:vAlign w:val="bottom"/>
            <w:gridSpan w:val="2"/>
          </w:tcPr>
          <w:p>
            <w:pPr>
              <w:jc w:val="center"/>
              <w:ind w:left="1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8"/>
          </w:tcPr>
          <w:p>
            <w:pPr>
              <w:jc w:val="right"/>
              <w:ind w:right="258"/>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10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760" w:type="dxa"/>
            <w:vAlign w:val="bottom"/>
            <w:gridSpan w:val="3"/>
          </w:tcPr>
          <w:p>
            <w:pPr>
              <w:jc w:val="right"/>
              <w:ind w:right="168"/>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00" w:type="dxa"/>
            <w:vAlign w:val="bottom"/>
            <w:gridSpan w:val="2"/>
          </w:tcPr>
          <w:p>
            <w:pPr>
              <w:jc w:val="right"/>
              <w:ind w:right="168"/>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8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American’s short-term investments in each period consisted of highly liquid investments which provided nominal returns.</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Interest expense, net of capitalized interest increased $55 million in the first six months of 2016 as compared to the 2015 period primarily due to issuances of $5.3 billion in aircraft related financings since the end of the second quarter of 2015.</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nonoperating expense, net in the first six months of 2016 included $36 million in special charges related to non-cash write offs of unamortized bond discounts and issuance costs as well as payments of redemption premiums and fees in connection with a bond refinancing, offset in part by $27 million of foreign currency gains. The foreign currency gains were driven primarily by the weakening of the U.S. dollar relative to other currencies, principally the Brazilian real, which appreciated 20% in the first six months of 2016.</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nonoperating expense, net in the first six months of 2015 included $82 million of foreign currency losses. The foreign currency losses during the first six months of 2015 were driven primarily by the strengthening of the U.S. dollar relative to other currencies, principally in Latin American and European markets, including a 14% decrease in the value of the Brazilian real, an 8% decrease in the value of the Euro and a 6% decrease in the value of the Canadian dollar.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Short-Term Investments and Restricted Cash</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As of June 30, 2016, AAG had approximately $9.5 billion in total available liquidity and $640 million in restricted cash. Additional detail of our available liquidity is provided in the table below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AAG</w:t>
            </w: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American</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2016</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2015</w:t>
            </w:r>
          </w:p>
        </w:tc>
        <w:tc>
          <w:tcPr>
            <w:tcW w:w="68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June 30, 2016</w:t>
            </w:r>
          </w:p>
        </w:tc>
        <w:tc>
          <w:tcPr>
            <w:tcW w:w="58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2015</w:t>
            </w:r>
          </w:p>
        </w:tc>
        <w:tc>
          <w:tcPr>
            <w:tcW w:w="100" w:type="dxa"/>
            <w:vAlign w:val="bottom"/>
          </w:tcPr>
          <w:p>
            <w:pPr>
              <w:spacing w:after="0"/>
              <w:rPr>
                <w:sz w:val="12"/>
                <w:szCs w:val="12"/>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6,672</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5,864</w:t>
            </w:r>
          </w:p>
        </w:tc>
        <w:tc>
          <w:tcPr>
            <w:tcW w:w="26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6,669</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Undrawn revolver capacity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2,425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2,425</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available liquidity</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9,543</w:t>
            </w:r>
          </w:p>
        </w:tc>
        <w:tc>
          <w:tcPr>
            <w:tcW w:w="6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4"/>
              </w:rPr>
              <w:t>9,519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8,651</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cash and short-term investments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operate a 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additional discussion of this and other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risks.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Since July 2014, our Board of Directors has approved several share repurchase programs aggregating $9.0 billion of authority of which, as of June 30, 2016, $1.2 billion remained unused under repurchase programs that expire on December 31, 2017.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three months ended June 30, 2016, we repurchased 50.2 million shares of AAG common stock for $1.7 billion at a weighted average cost per share of $33.55. During the six months ended June 30, 2016, we repurchased 89.5 million shares of AAG common stock for $3.2 billion at a weighted average cost per share of $36.28. Since the inception of the share repurchase programs in July 2014, we have repurchased 198.1 million shares of AAG common stock for $7.8 billion at a weighted average cost per share of $39.54.</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Paid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declared the following cash dividends during the first six months of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500" w:type="dxa"/>
            <w:vAlign w:val="bottom"/>
          </w:tcPr>
          <w:p>
            <w:pPr>
              <w:spacing w:after="0"/>
              <w:rPr>
                <w:sz w:val="14"/>
                <w:szCs w:val="14"/>
                <w:color w:val="auto"/>
              </w:rPr>
            </w:pPr>
          </w:p>
        </w:tc>
        <w:tc>
          <w:tcPr>
            <w:tcW w:w="10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7"/>
              </w:rPr>
              <w:t>Per share</w:t>
            </w:r>
          </w:p>
        </w:tc>
        <w:tc>
          <w:tcPr>
            <w:tcW w:w="17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For stockholders</w:t>
            </w:r>
          </w:p>
        </w:tc>
        <w:tc>
          <w:tcPr>
            <w:tcW w:w="18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Payable on</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Cash paid</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7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of record as of</w:t>
            </w:r>
          </w:p>
        </w:tc>
        <w:tc>
          <w:tcPr>
            <w:tcW w:w="1800" w:type="dxa"/>
            <w:vAlign w:val="bottom"/>
            <w:gridSpan w:val="3"/>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w:t>
            </w: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February 10,</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2016</w:t>
            </w:r>
          </w:p>
        </w:tc>
        <w:tc>
          <w:tcPr>
            <w:tcW w:w="4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February 24,</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2016</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6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1000" w:type="dxa"/>
            <w:vAlign w:val="bottom"/>
          </w:tcPr>
          <w:p>
            <w:pPr>
              <w:jc w:val="right"/>
              <w:spacing w:after="0"/>
              <w:rPr>
                <w:sz w:val="20"/>
                <w:szCs w:val="20"/>
                <w:color w:val="auto"/>
              </w:rPr>
            </w:pPr>
            <w:r>
              <w:rPr>
                <w:rFonts w:ascii="Arial" w:cs="Arial" w:eastAsia="Arial" w:hAnsi="Arial"/>
                <w:sz w:val="18"/>
                <w:szCs w:val="18"/>
                <w:color w:val="auto"/>
              </w:rPr>
              <w:t>May 4,</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2016</w:t>
            </w:r>
          </w:p>
        </w:tc>
        <w:tc>
          <w:tcPr>
            <w:tcW w:w="1020" w:type="dxa"/>
            <w:vAlign w:val="bottom"/>
          </w:tcPr>
          <w:p>
            <w:pPr>
              <w:jc w:val="right"/>
              <w:spacing w:after="0"/>
              <w:rPr>
                <w:sz w:val="20"/>
                <w:szCs w:val="20"/>
                <w:color w:val="auto"/>
              </w:rPr>
            </w:pPr>
            <w:r>
              <w:rPr>
                <w:rFonts w:ascii="Arial" w:cs="Arial" w:eastAsia="Arial" w:hAnsi="Arial"/>
                <w:sz w:val="18"/>
                <w:szCs w:val="18"/>
                <w:color w:val="auto"/>
              </w:rPr>
              <w:t>May 18,</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July 2016, we announced that our Board of Directors had declared a $0.10 per share dividend for stockholders of record on August 5, 2016 and payable on August 19, 2016.</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289" w:lineRule="exact"/>
        <w:rPr>
          <w:sz w:val="20"/>
          <w:szCs w:val="20"/>
          <w:color w:val="auto"/>
        </w:rPr>
      </w:pPr>
    </w:p>
    <w:p>
      <w:pPr>
        <w:jc w:val="right"/>
        <w:ind w:right="9480"/>
        <w:spacing w:after="0"/>
        <w:rPr>
          <w:sz w:val="20"/>
          <w:szCs w:val="20"/>
          <w:color w:val="auto"/>
        </w:rPr>
      </w:pPr>
      <w:r>
        <w:rPr>
          <w:rFonts w:ascii="Arial" w:cs="Arial" w:eastAsia="Arial" w:hAnsi="Arial"/>
          <w:sz w:val="15"/>
          <w:szCs w:val="15"/>
          <w:b w:val="1"/>
          <w:bCs w:val="1"/>
          <w:i w:val="1"/>
          <w:iCs w:val="1"/>
          <w:color w:val="auto"/>
        </w:rPr>
        <w:t>Sources and Uses of Cash</w:t>
      </w:r>
    </w:p>
    <w:p>
      <w:pPr>
        <w:spacing w:after="0" w:line="152" w:lineRule="exact"/>
        <w:rPr>
          <w:sz w:val="20"/>
          <w:szCs w:val="20"/>
          <w:color w:val="auto"/>
        </w:rPr>
      </w:pPr>
    </w:p>
    <w:p>
      <w:pPr>
        <w:jc w:val="right"/>
        <w:ind w:right="9480"/>
        <w:spacing w:after="0"/>
        <w:rPr>
          <w:sz w:val="20"/>
          <w:szCs w:val="20"/>
          <w:color w:val="auto"/>
        </w:rPr>
      </w:pPr>
      <w:r>
        <w:rPr>
          <w:rFonts w:ascii="Arial" w:cs="Arial" w:eastAsia="Arial" w:hAnsi="Arial"/>
          <w:sz w:val="18"/>
          <w:szCs w:val="18"/>
          <w:b w:val="1"/>
          <w:bCs w:val="1"/>
          <w:i w:val="1"/>
          <w:iCs w:val="1"/>
          <w:u w:val="single" w:color="auto"/>
          <w:color w:val="auto"/>
        </w:rPr>
        <w:t>AAG and American</w:t>
      </w:r>
    </w:p>
    <w:p>
      <w:pPr>
        <w:spacing w:after="0" w:line="117" w:lineRule="exact"/>
        <w:rPr>
          <w:sz w:val="20"/>
          <w:szCs w:val="20"/>
          <w:color w:val="auto"/>
        </w:rPr>
      </w:pPr>
    </w:p>
    <w:p>
      <w:pPr>
        <w:jc w:val="right"/>
        <w:ind w:right="950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AAG’s net cash provided by operating activities was $4.8 billion for each of the first six months of 2016 and 2015, respectively. AAG’s operating cash flows were relatively flat as compared to the 2015 period, driven by lower fuel costs that were substantially offset by lower revenues and higher salaries, wages and benefits.</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American’s net cash provided by operating activities was $1.4 billion and $4.3 billion for the first six months of 2016 and 2015, respectively, a period-over-period decrease of $2.8 billion. The decline in operating cash flows was primarily due to American’s increased cash funding of AAG’s share repurchases and dividend payments in the 2016 period. In addition, American received the proceeds of the $500 million senior notes issued by AAG during the first quarter of 2015, which also contributed to the period-over-period decline in operating cash flows.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AAG’s net cash used in investing activities was $3.8 billion and $4.7 billion for the first six months of 2016 and 2015, respectively. American’s net cash used in investing activities was $3.7 billion and $4.7 billion for the first six months of 2016 and 2015, respectively.</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AAG and American’s principal investing activities in the 2016 period included expenditures of $3.1 billion and $3.0 billion, respectively, for property and equipment, consisting primarily of the purchase of newly delivered aircraft including 15 Bombardier CRJ900 aircraft, 13 Airbus A321 aircraft, 12 Embraer 175 aircraft, 10 Boeing 737-800 aircraft, four Boeing 787 aircraft and two Boeing 777 aircraft, as well as $795 million in net purchases of short-term investments.</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AAG and American’s principal investing activities in the 2015 period each included expenditures of $3.1 billion for property and equipment, consisting primarily of the purchase of newly delivered aircraft including 16 Airbus A321 aircraft, 14 Bombardier CRJ900 aircraft, 10 Boeing 737-800 aircraft, seven Airbus A319 aircraft, six Boeing 787 aircraft, six Embraer 175 aircraft and one Boeing 777 aircraft, as well as $1.7 billion in net purchases of short-term investments.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AAG’s net cash used in financing activities was $1.0 billion and $188 million for the first six months of 2016 and 2015, respectively. American’s net cash provided by financing activities was $2.3 billion and $390 million for the first six months of 2016 and 2015, respectively.</w:t>
      </w:r>
    </w:p>
    <w:p>
      <w:pPr>
        <w:spacing w:after="0" w:line="170"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AAG and American’s principal financing activities in the 2016 period each included proceeds of $4.5 billion from the issuance of debt, primarily including the $1.7 billion issuance of EETCs by American, $1.0 billion provided under the 2016 Term Loan Facility, the $844 million issuance of special facility revenue refunding bonds related to JFK and an additional $1.0 billion borrowed in connection with the financing of certain aircraft. These cash inflows were offset in part by debt repayments of $2.2 billion by AAG and American, primarily including the repayment of approximately $588 million in remaining principal of the 2013 Citicorp Credit Facility Tranche B-2 and the refunding of approximately $1.0 billion of special facility revenue bonds related to JFK. In addition, AAG had cash outflows of $3.2 billion in share repurchases and $119 million in dividend payments.</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AAG and American’s principal financing activities in the 2015 period included proceeds from the issuance of debt of $2.0 billion and $1.5 billion, respectively, primarily including the $1.0 billion issuance of EETCs by American and the $500 million issuance of 4.625% senior notes by AAG. These cash inflows were offset in part by debt repayments of $1.1 billion by AAG and American, including the $400 million repayment of American’s AAdvantage loan with Citibank. In addition, AAG had cash outflows of $931 million in share repurchases and $140 million in dividend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As of June 30, 2016, AAG and American had $23.1 billion and $21.3 billion, respectively, in long-term debt and capital leases (including current maturities of $1.7 billion each). There have been no material changes in our significant indebtedness as discussed in our 2015 Form 10-K, except for our new 2016 Credit Facilities, the repayment of the 2013 Citicorp Credit Facility Tranche B-2, the refinancing of certain special facility revenue bonds related to JFK, and new aircraft related indebtedness. See Note 5 to AAG’s condensed consolidated financial statements in Part I, Item 1A and Note 3 to American’s condensed consolidated financial statements in Part I, Item 1B for all indebtedness as of June 30, 2016, as well as 2016 financing activities.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Collateral Related Covenants</w:t>
      </w:r>
    </w:p>
    <w:p>
      <w:pPr>
        <w:spacing w:after="0" w:line="11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Certain of our debt financing agreements contain loan to value ratio covenants and require us to annually appraise the related collateral. Pursuant to such agreements, if the loan to value ratio exceeds a specified threshold, we are required, as applicable, to pledge additional qualifying collateral (which in some cases may include cash collateral), or pay down such financing, in whole or in part. We were in compliance with the collateral coverage tests for the 2013 Credit Facilities, 2013 Citicorp Credit Facility, the 2014 Credit Facilities and the 2016 Credit Facilities as of the most recent measurement dates.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credit ratings as of June 30,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S&amp;P</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Fitch</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149"/>
        </w:trPr>
        <w:tc>
          <w:tcPr>
            <w:tcW w:w="1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Local Issuer</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Issuer Default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r>
      <w:tr>
        <w:trPr>
          <w:trHeight w:val="171"/>
        </w:trPr>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Credit Rating</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Credit Rating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Family Rating</w:t>
            </w:r>
          </w:p>
        </w:tc>
      </w:tr>
      <w:tr>
        <w:trPr>
          <w:trHeight w:val="210"/>
        </w:trPr>
        <w:tc>
          <w:tcPr>
            <w:tcW w:w="7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AAG</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c>
          <w:tcPr>
            <w:tcW w:w="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Ba3</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American</w:t>
            </w:r>
          </w:p>
        </w:tc>
        <w:tc>
          <w:tcPr>
            <w:tcW w:w="154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BB-</w:t>
            </w:r>
          </w:p>
        </w:tc>
        <w:tc>
          <w:tcPr>
            <w:tcW w:w="154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BB-</w:t>
            </w:r>
          </w:p>
        </w:tc>
        <w:tc>
          <w:tcPr>
            <w:tcW w:w="900" w:type="dxa"/>
            <w:vAlign w:val="bottom"/>
          </w:tcPr>
          <w:p>
            <w:pPr>
              <w:jc w:val="right"/>
              <w:ind w:right="321"/>
              <w:spacing w:after="0"/>
              <w:rPr>
                <w:sz w:val="20"/>
                <w:szCs w:val="20"/>
                <w:color w:val="auto"/>
              </w:rPr>
            </w:pPr>
            <w:r>
              <w:rPr>
                <w:rFonts w:ascii="Arial" w:cs="Arial" w:eastAsia="Arial" w:hAnsi="Arial"/>
                <w:sz w:val="18"/>
                <w:szCs w:val="18"/>
                <w:color w:val="auto"/>
              </w:rPr>
              <w:t>*</w:t>
            </w:r>
          </w:p>
        </w:tc>
      </w:tr>
      <w:tr>
        <w:trPr>
          <w:trHeight w:val="121"/>
        </w:trPr>
        <w:tc>
          <w:tcPr>
            <w:tcW w:w="1160" w:type="dxa"/>
            <w:vAlign w:val="bottom"/>
            <w:tcBorders>
              <w:bottom w:val="single" w:sz="8" w:color="auto"/>
            </w:tcBorders>
          </w:tcPr>
          <w:p>
            <w:pPr>
              <w:spacing w:after="0"/>
              <w:rPr>
                <w:sz w:val="10"/>
                <w:szCs w:val="10"/>
                <w:color w:val="auto"/>
              </w:rPr>
            </w:pPr>
          </w:p>
        </w:tc>
        <w:tc>
          <w:tcPr>
            <w:tcW w:w="6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7440" w:type="dxa"/>
            <w:vAlign w:val="bottom"/>
            <w:gridSpan w:val="2"/>
          </w:tcPr>
          <w:p>
            <w:pPr>
              <w:spacing w:after="0"/>
              <w:rPr>
                <w:sz w:val="20"/>
                <w:szCs w:val="20"/>
                <w:color w:val="auto"/>
              </w:rPr>
            </w:pPr>
            <w:r>
              <w:rPr>
                <w:rFonts w:ascii="Arial" w:cs="Arial" w:eastAsia="Arial" w:hAnsi="Arial"/>
                <w:sz w:val="18"/>
                <w:szCs w:val="18"/>
                <w:color w:val="auto"/>
              </w:rPr>
              <w:t>*  The credit agency does not rate this category for the respective entity.</w:t>
            </w: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0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 See Part II, Item 1A. Risk Factors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w:t>
      </w:r>
      <w:r>
        <w:rPr>
          <w:rFonts w:ascii="Arial" w:cs="Arial" w:eastAsia="Arial" w:hAnsi="Arial"/>
          <w:sz w:val="18"/>
          <w:szCs w:val="18"/>
          <w:i w:val="1"/>
          <w:iCs w:val="1"/>
          <w:color w:val="auto"/>
        </w:rPr>
        <w:t>Increased costs of financing, a reduction in the availability of financing and fluctuations in interest rates could adversely affect our liquidity,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and financial condition</w:t>
      </w:r>
      <w:r>
        <w:rPr>
          <w:rFonts w:ascii="Arial" w:cs="Arial" w:eastAsia="Arial" w:hAnsi="Arial"/>
          <w:sz w:val="18"/>
          <w:szCs w:val="18"/>
          <w:color w:val="auto"/>
        </w:rPr>
        <w:t>” for additional discussion.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June 30, 2016, we have definitive purchase agreements with Airbus, Boeing and other manufacturers for the acquisition of the following mainline and regional aircraft: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Remainder</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2021 and</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2016</w:t>
            </w: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Thereafter</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Airbus</w:t>
            </w:r>
          </w:p>
        </w:tc>
        <w:tc>
          <w:tcPr>
            <w:tcW w:w="604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A320 Family</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A320neo Family</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 xml:space="preserve">A350 XWB </w:t>
            </w:r>
            <w:r>
              <w:rPr>
                <w:rFonts w:ascii="Arial" w:cs="Arial" w:eastAsia="Arial" w:hAnsi="Arial"/>
                <w:sz w:val="15"/>
                <w:szCs w:val="15"/>
                <w:color w:val="auto"/>
              </w:rPr>
              <w:t>(1)</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1"/>
              </w:rPr>
              <w:t>Boeing</w:t>
            </w:r>
          </w:p>
        </w:tc>
        <w:tc>
          <w:tcPr>
            <w:tcW w:w="604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9"/>
              </w:rPr>
              <w:t>737-800</w:t>
            </w:r>
          </w:p>
        </w:tc>
        <w:tc>
          <w:tcPr>
            <w:tcW w:w="2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737 MAX Family</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787 Family</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Bombardier</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 xml:space="preserve">CRJ900 </w:t>
            </w:r>
            <w:r>
              <w:rPr>
                <w:rFonts w:ascii="Arial" w:cs="Arial" w:eastAsia="Arial" w:hAnsi="Arial"/>
                <w:sz w:val="15"/>
                <w:szCs w:val="15"/>
                <w:color w:val="auto"/>
              </w:rPr>
              <w:t>(2)</w:t>
            </w:r>
          </w:p>
        </w:tc>
        <w:tc>
          <w:tcPr>
            <w:tcW w:w="564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3</w:t>
            </w:r>
          </w:p>
        </w:tc>
        <w:tc>
          <w:tcPr>
            <w:tcW w:w="6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Embraer</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 xml:space="preserve">ERJ175 </w:t>
            </w:r>
            <w:r>
              <w:rPr>
                <w:rFonts w:ascii="Arial" w:cs="Arial" w:eastAsia="Arial" w:hAnsi="Arial"/>
                <w:sz w:val="15"/>
                <w:szCs w:val="15"/>
                <w:color w:val="auto"/>
              </w:rPr>
              <w:t>(2)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85"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6"/>
          <w:szCs w:val="16"/>
          <w:color w:val="auto"/>
        </w:rPr>
        <w:t>American and Airbus S.A.S. (Airbus) are parties to an Amended and Restated Airbus A350 XWB Purchase Agreement, dated as of October 2, 2007 (the Purchase Agreement) pursuant to which American agreed to acquire 22 A350 XWB aircraft (the A350s) from Airbus. On July 18, 2016, American and Airbus entered into an amendment to the Purchase Agreement (the Amendment), the principal purpose of which was to revise the delivery schedule of the A350s, and such revised delivery schedule is reflected in the table above. Prior to the effectiveness of the Amendment, the delivery schedule for the A350s was four in 2017, 10 in 2018, six in 2019 and two in 2020. The future payments schedule below reflects the Amendment.</w:t>
      </w:r>
    </w:p>
    <w:p>
      <w:pPr>
        <w:spacing w:after="0" w:line="2" w:lineRule="exact"/>
        <w:rPr>
          <w:rFonts w:ascii="Arial" w:cs="Arial" w:eastAsia="Arial" w:hAnsi="Arial"/>
          <w:sz w:val="14"/>
          <w:szCs w:val="14"/>
          <w:color w:val="auto"/>
        </w:rPr>
      </w:pPr>
    </w:p>
    <w:p>
      <w:pPr>
        <w:ind w:left="460" w:hanging="452"/>
        <w:spacing w:after="0" w:line="261"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These aircraft may be operated by wholly-owned subsidiaries or leased to third-party regional carriers which would operate the aircraft under capacity purchase arrangements.</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have agreements for 49 spare engines to be delivered in 2016 and beyond. Under all of our aircraft and engine purchase agreements, our total future commitments as of June 30, 2016 are expected to be as follows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Remainder</w:t>
            </w: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5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2021 and</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of 2016</w:t>
            </w: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Thereafter</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Payments for the above aircraft commitments and certain engines </w:t>
            </w:r>
            <w:r>
              <w:rPr>
                <w:rFonts w:ascii="Arial" w:cs="Arial" w:eastAsia="Arial" w:hAnsi="Arial"/>
                <w:sz w:val="15"/>
                <w:szCs w:val="15"/>
                <w:color w:val="auto"/>
              </w:rPr>
              <w:t>(1)</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1,931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$4,062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$2,199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$3,127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$3,146</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5,544</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64"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8"/>
          <w:szCs w:val="18"/>
          <w:color w:val="auto"/>
        </w:rPr>
        <w:t>These amounts are net of purchase deposits currently held by the manufacturers and include all commitments for regional aircraft. American has granted a security interest in its purchase deposits with Boeing. Our purchase deposits held by all manufacturers totaled $1.1 billion as of June 30, 2016.</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As of June 30, 2016, we did not have financing commitments for the following aircraft currently on order and scheduled to be delivered through 2017: eight Airbus A320 family aircraft in 2016 and 20 Airbus A320 family aircraft in 2017, four Boeing 787 family aircraft in 2016 and 13 Boeing 787 family aircraft in 2017, seven Boeing 737-800 aircraft in 2016 and five Boeing 737-800 aircraft in 2017 and four Boeing 737 MAX family aircraft in 2017. In addition, we do not have financing commitments in place for substantially all aircraft currently on order and scheduled to be delivered in 2018 and beyond. See Part II, Item 1A. Risk Factors – “</w:t>
      </w:r>
      <w:r>
        <w:rPr>
          <w:rFonts w:ascii="Arial" w:cs="Arial" w:eastAsia="Arial" w:hAnsi="Arial"/>
          <w:sz w:val="17"/>
          <w:szCs w:val="17"/>
          <w:i w:val="1"/>
          <w:iCs w:val="1"/>
          <w:color w:val="auto"/>
        </w:rPr>
        <w:t>We will need to obtain sufficient financing or other capital to operate successfully</w:t>
      </w:r>
      <w:r>
        <w:rPr>
          <w:rFonts w:ascii="Arial" w:cs="Arial" w:eastAsia="Arial" w:hAnsi="Arial"/>
          <w:sz w:val="17"/>
          <w:szCs w:val="17"/>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Labor Agreements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March 2016, we reached a tentative agreement with the Transport Workers Union (TWU) for a new five-year joint collective bargaining agreement applicable to dispatchers and operational specialists, which was ratified by TWU membership in April 2016 and provides immediate and significant pay increases.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2015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AAG 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our future cash contractual obligations as of June 30,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Remainder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0"/>
                <w:szCs w:val="10"/>
                <w:color w:val="auto"/>
              </w:rPr>
            </w:pPr>
          </w:p>
        </w:tc>
        <w:tc>
          <w:tcPr>
            <w:tcW w:w="9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2021 and</w:t>
            </w: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of 2016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American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 (3)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688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1,792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1,830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3,280</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10,863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21,277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 (3)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 xml:space="preserve">Commitments for aircraft and engine purchases </w:t>
            </w: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4,062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5,544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20,009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1,895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13,637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1,407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2,398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Retiree medical and other purchase obligations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American Contractual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8,258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10,695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10,380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29,896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75,436</w:t>
            </w:r>
          </w:p>
        </w:tc>
        <w:tc>
          <w:tcPr>
            <w:tcW w:w="0" w:type="dxa"/>
            <w:vAlign w:val="bottom"/>
          </w:tcPr>
          <w:p>
            <w:pPr>
              <w:spacing w:after="0"/>
              <w:rPr>
                <w:sz w:val="1"/>
                <w:szCs w:val="1"/>
                <w:color w:val="auto"/>
              </w:rPr>
            </w:pPr>
          </w:p>
        </w:tc>
      </w:tr>
      <w:tr>
        <w:trPr>
          <w:trHeight w:val="324"/>
        </w:trPr>
        <w:tc>
          <w:tcPr>
            <w:tcW w:w="5320" w:type="dxa"/>
            <w:vAlign w:val="bottom"/>
          </w:tcPr>
          <w:p>
            <w:pPr>
              <w:spacing w:after="0"/>
              <w:rPr>
                <w:sz w:val="20"/>
                <w:szCs w:val="20"/>
                <w:color w:val="auto"/>
              </w:rPr>
            </w:pPr>
            <w:r>
              <w:rPr>
                <w:rFonts w:ascii="Arial" w:cs="Arial" w:eastAsia="Arial" w:hAnsi="Arial"/>
                <w:sz w:val="18"/>
                <w:szCs w:val="18"/>
                <w:i w:val="1"/>
                <w:iCs w:val="1"/>
                <w:color w:val="auto"/>
              </w:rPr>
              <w:t>AAG and Other AAG Subsidiaries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Total AAG Contractual Obligations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10,766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8,846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11,513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10,900</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29,929</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77,555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58"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Amounts represent contractual amounts due. Excludes $195 million and $16 million of unamortized debt discount and debt issuance costs as of June 30, 2016 for American and AAG, respectively.</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For variable-rate debt, future interest obligations are estimated using the current forward rates at June 30, 2016.</w:t>
      </w:r>
    </w:p>
    <w:p>
      <w:pPr>
        <w:spacing w:after="0" w:line="9" w:lineRule="exact"/>
        <w:rPr>
          <w:rFonts w:ascii="Arial" w:cs="Arial" w:eastAsia="Arial" w:hAnsi="Arial"/>
          <w:sz w:val="15"/>
          <w:szCs w:val="15"/>
          <w:color w:val="auto"/>
        </w:rPr>
      </w:pPr>
    </w:p>
    <w:p>
      <w:pPr>
        <w:ind w:left="460" w:right="20" w:hanging="452"/>
        <w:spacing w:after="0" w:line="250"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Includes $10.1 billion of future principal payments and $2.6 billion of future interest payments, respectively, as of June 30, 2016, related to EETC notes associated with mortgage financings for the purchase of certain aircraft.</w:t>
      </w:r>
    </w:p>
    <w:p>
      <w:pPr>
        <w:ind w:left="460" w:hanging="452"/>
        <w:spacing w:after="0" w:line="250"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information about these obligations.</w:t>
      </w:r>
    </w:p>
    <w:p>
      <w:pPr>
        <w:ind w:left="460" w:hanging="452"/>
        <w:spacing w:after="0"/>
        <w:tabs>
          <w:tab w:leader="none" w:pos="460" w:val="left"/>
        </w:tabs>
        <w:numPr>
          <w:ilvl w:val="0"/>
          <w:numId w:val="42"/>
        </w:numPr>
        <w:rPr>
          <w:rFonts w:ascii="Arial" w:cs="Arial" w:eastAsia="Arial" w:hAnsi="Arial"/>
          <w:sz w:val="14"/>
          <w:szCs w:val="14"/>
          <w:color w:val="auto"/>
        </w:rPr>
      </w:pPr>
      <w:r>
        <w:rPr>
          <w:rFonts w:ascii="Arial" w:cs="Arial" w:eastAsia="Arial" w:hAnsi="Arial"/>
          <w:sz w:val="17"/>
          <w:szCs w:val="17"/>
          <w:color w:val="auto"/>
        </w:rPr>
        <w:t>Includes $1.6 billion of future minimum lease payments related to EETC leverage leased financings of certain aircraft as of June 30, 2016.</w:t>
      </w:r>
    </w:p>
    <w:p>
      <w:pPr>
        <w:spacing w:after="0" w:line="20" w:lineRule="exact"/>
        <w:rPr>
          <w:rFonts w:ascii="Arial" w:cs="Arial" w:eastAsia="Arial" w:hAnsi="Arial"/>
          <w:sz w:val="14"/>
          <w:szCs w:val="14"/>
          <w:color w:val="auto"/>
        </w:rPr>
      </w:pPr>
    </w:p>
    <w:p>
      <w:pPr>
        <w:ind w:left="460" w:hanging="452"/>
        <w:spacing w:after="0" w:line="265"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7"/>
          <w:szCs w:val="17"/>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jc w:val="both"/>
        <w:ind w:left="460" w:hanging="452"/>
        <w:spacing w:after="0" w:line="288"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6"/>
          <w:szCs w:val="16"/>
          <w:color w:val="auto"/>
        </w:rPr>
        <w:t>Includes minimum pension contributions based on actuarially determined estimates and other postretirement benefit payments and is based on estimated payments through 2025. We are required to make minimum contributions to our defined benefit pension plans under the minimum funding requirements of the Employee Retirement Income Security Act of 1974 and various other laws. Based on our current funding assumptions, we have no minimum required contributions until 2018. Currently, our minimum funding obligation for our pension plans is subject to favorable temporary funding rules that are scheduled to expire at the end of 2017. Our pension funding obligations are likely to increase materially following expiration of the temporary funding rules, when we will be required to make contributions relating to the 2018 fiscal year. The amount of these obligations will depend on the performance of our investments held in trust by the pension plans, interest rates for determining liabilities and our actuarial experience.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light of our significant financial commitments related to, among other things, new aircraft, the servicing and amortization of existing debt and equipment leasing arrangements, as well as future pension funding obligations, we and our subsidiaries will regularly consider, and enter into negotiations related to, capital raising activity, which may include the entry into leasing transactions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the 2013 Credit Facilities, the 2014 Credit Facilities, the 2013 Citicorp Credit Facility, the 2016 Credit Facilities and certain of our other financing arrangements contain significant minimum cash balance requirements. As a result, we cannot use all of our available cash to fund operations, capital expenditures and cash obligations without violating these requirements.</w:t>
      </w:r>
    </w:p>
    <w:p>
      <w:pPr>
        <w:spacing w:after="0" w:line="18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and may authorize additional share repurchase programs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second quarter of 2016, there were no changes to our critical accounting policies and estimates from those disclosed in the consolidated financial statements and accompanying notes contained in our 2015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See Note 1 to AAG’s condensed consolidated financial statements in Part I, Item 1A and Note 1 to American’s condensed consolidated financial statements in Part I, Item 1B for further information on recent accounting pronouncements.</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AAG and American’s Market Risk Sensitive Instruments and Positions</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2015 10-K except as updated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As of June 30, 2016,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Our 2016 forecasted mainline and regional fuel consumption is presently approximately 4.3 billion gallons, and based on this forecast, a one cent per gallon increase in aviation fuel price would result in a $43 million increase in annual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18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6"/>
          <w:szCs w:val="16"/>
          <w:i w:val="1"/>
          <w:iCs w:val="1"/>
          <w:color w:val="auto"/>
        </w:rPr>
        <w:t>“We operate a global business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this and other currency risks.</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June 30, 2016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June 30,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December 9, 2013, AAG acquired US Airways Group and its subsidiaries. We are in the process of integrating policies, processes, people, technology and operations for the post-Merger combined company, and we will continue to evaluate the impact of any related changes to our internal control over financial reporting. Except for any changes in internal controls related to the integration of US Airways Group and its subsidiaries into the post-Merger combined company, including the related adoption of common financial reporting and internal control practices for the combined company and associated updates and improvements to the combined control environment, during the quarter ended June 30, 2016, there has been no change in AAG’s or American’s internal control over financial reporting that has materially affected, or is reasonably likely to materially affect, AAG’s and American’s internal control over financial reporting.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June 30, 2016.</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 xml:space="preserve">Chapter 11 Cases. </w:t>
      </w:r>
      <w:r>
        <w:rPr>
          <w:rFonts w:ascii="Arial" w:cs="Arial" w:eastAsia="Arial" w:hAnsi="Arial"/>
          <w:sz w:val="18"/>
          <w:szCs w:val="18"/>
          <w:color w:val="auto"/>
        </w:rPr>
        <w:t>On November 29, 2011, AMR, American, and certain of AMR’s other direct and indirect domestic subsidiaries (the Debtors) filed</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As of June 30, 2016,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as of the Effective Date.</w:t>
      </w:r>
    </w:p>
    <w:p>
      <w:pPr>
        <w:spacing w:after="0" w:line="16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i w:val="1"/>
          <w:iCs w:val="1"/>
          <w:color w:val="auto"/>
        </w:rPr>
        <w:t xml:space="preserve">DOJ Antitrust Civil Investigative Demand. </w:t>
      </w:r>
      <w:r>
        <w:rPr>
          <w:rFonts w:ascii="Arial" w:cs="Arial" w:eastAsia="Arial" w:hAnsi="Arial"/>
          <w:sz w:val="17"/>
          <w:szCs w:val="17"/>
          <w:color w:val="auto"/>
        </w:rPr>
        <w:t>In June 2015, we received a Civil Investigative Demand (CID) from the United States Department of Justice</w:t>
      </w:r>
      <w:r>
        <w:rPr>
          <w:rFonts w:ascii="Arial" w:cs="Arial" w:eastAsia="Arial" w:hAnsi="Arial"/>
          <w:sz w:val="17"/>
          <w:szCs w:val="17"/>
          <w:i w:val="1"/>
          <w:iCs w:val="1"/>
          <w:color w:val="auto"/>
        </w:rPr>
        <w:t xml:space="preserve"> </w:t>
      </w:r>
      <w:r>
        <w:rPr>
          <w:rFonts w:ascii="Arial" w:cs="Arial" w:eastAsia="Arial" w:hAnsi="Arial"/>
          <w:sz w:val="17"/>
          <w:szCs w:val="17"/>
          <w:color w:val="auto"/>
        </w:rPr>
        <w:t>(DOJ)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Both the DOJ investigation and these lawsuits are in their very early stages and we intend to defend the lawsuits vigorously.</w:t>
      </w:r>
    </w:p>
    <w:p>
      <w:pPr>
        <w:spacing w:after="0" w:line="179"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a schedule for the remainder of the case has not yet been set. We believe this lawsuit is without merit and intend to vigorously defend against the allegations.</w:t>
      </w:r>
    </w:p>
    <w:p>
      <w:pPr>
        <w:spacing w:after="0" w:line="18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 and 2011</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investigation.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 liquidity</w:t>
      </w:r>
      <w:r>
        <w:rPr>
          <w:rFonts w:ascii="Arial" w:cs="Arial" w:eastAsia="Arial" w:hAnsi="Arial"/>
          <w:sz w:val="18"/>
          <w:szCs w:val="18"/>
          <w:color w:val="auto"/>
        </w:rPr>
        <w:t>” for additional discussion.</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 and Industry-Related Risks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experience significant operating losses in the future.</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For a number of reasons, including those addressed in these risk factors, we might fail to maintain profitability and might experience significant losses. In particular, the condition of the economy, the level and volatility of fuel prices, the state of travel demand and intense competition in the airline industry have had, and will continue to have, an impact on our operating results, and may increase the risk that we will experience losses.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Downturns in economic conditions adversely affect our business.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 xml:space="preserve">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our revenues. In addition, during challenging economic times, actions by our competitors to increase their revenues can have an adverse impact on our revenues. See </w:t>
      </w:r>
      <w:r>
        <w:rPr>
          <w:rFonts w:ascii="Arial" w:cs="Arial" w:eastAsia="Arial" w:hAnsi="Arial"/>
          <w:sz w:val="17"/>
          <w:szCs w:val="17"/>
          <w:i w:val="1"/>
          <w:iCs w:val="1"/>
          <w:color w:val="auto"/>
        </w:rPr>
        <w:t>“The airline industry is intensely competitive and dynamic”</w:t>
      </w:r>
      <w:r>
        <w:rPr>
          <w:rFonts w:ascii="Arial" w:cs="Arial" w:eastAsia="Arial" w:hAnsi="Arial"/>
          <w:sz w:val="17"/>
          <w:szCs w:val="17"/>
          <w:color w:val="auto"/>
        </w:rPr>
        <w:t xml:space="preserve"> below. Certain labor agreements to which we are a party limit our ability to reduce the number of aircraft in operation, and the utilization of such aircraft, below certain levels. As a result, we may not be able to optimize the number of aircraft in operation in response to a decrease in passenger demand for air travel.</w:t>
      </w:r>
    </w:p>
    <w:p>
      <w:pPr>
        <w:spacing w:after="0" w:line="286"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6"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w:t>
      </w:r>
    </w:p>
    <w:p>
      <w:pPr>
        <w:spacing w:after="0" w:line="124"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we can offer no assurance that we may be able to increase our fares, impose fuel surcharges or otherwise increase revenues sufficiently to offset fuel price increases. Similarly, we cannot predict the effect or the actions of our competitors if the current low fuel prices remain in place for a significant period of time.</w:t>
      </w:r>
    </w:p>
    <w:p>
      <w:pPr>
        <w:spacing w:after="0" w:line="154"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 large number of older aircraft in our fleet, and these aircraft are not as fuel efficient as more recent models of aircraft, including those we have on order. We intend to continue to execute our fleet renewal plans to, among other things, improve the fuel efficiency of our fleet, and we are dependent on a limited number of major aircraft manufacturers to deliver aircraft on schedule. If we experience delays in delivery of the more fuel efficient aircraft that we have on order, we will be adversely affected.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Prior to the closing of the Merger, we sought to manage the risk of fuel price increases by using derivative contracts. As of June 30, 2016, we did not have any fuel hedging contracts outstanding. As such, and assuming we do not enter into any future transactions to hedge our fuel consumption, we will continue to be fully exposed to fluctuations in fuel prices.</w:t>
      </w:r>
    </w:p>
    <w:p>
      <w:pPr>
        <w:spacing w:after="0" w:line="18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 xml:space="preserve">Our current policy is not to enter into transactions to hedge our fuel consumption, although we review that policy from time to time based on market conditions and other factors. If in the future we enter into derivative contracts to hedge our fuel consumption, 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adversely impact our short-term liquidity, because hedge counterparties could require that we post collateral in the form of cash or letters of credit. See also the discussion in Part I, Item 3. Quantitative and Qualitative Disclosures About Market Risk – </w:t>
      </w:r>
      <w:r>
        <w:rPr>
          <w:rFonts w:ascii="Arial" w:cs="Arial" w:eastAsia="Arial" w:hAnsi="Arial"/>
          <w:sz w:val="17"/>
          <w:szCs w:val="17"/>
          <w:i w:val="1"/>
          <w:iCs w:val="1"/>
          <w:color w:val="auto"/>
        </w:rPr>
        <w:t>“AAG and American’s Market Risk Sensitive Instruments and Positions – Aircraft Fuel.”</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65"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Some low-cost carriers, which have cost structures lower than ours, have better recent financial performance and have announced growth strategies including commitments to acquire significant numbers of aircraft for delivery in the next few years. These low-cost carriers are expected to continue to increase their market share through growth and, potentially, consolidation, and could continue to have an impact on our revenues and overall performance. For example, as a result of divestitures completed in connection with gaining regulatory approval for the Merger, low-fare, low-cost carriers have gained additional access in a number of markets, including Ronald Reagan Washington National Airport (DCA), a slot-controlled airport. The actions of the low-cost carriers, including those described above, could have a material adverse effect on our operations and financial performance.</w:t>
      </w:r>
    </w:p>
    <w:p>
      <w:pPr>
        <w:spacing w:after="0" w:line="182"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Our presence in international markets is not as extensive as that of some of our competitors. We derived approximately 30% of our operating revenues in 2015 from operations outside of the U.S., as measured and reported to the DOT. In providing international air transportation, we compete to provide scheduled passenger and cargo service between the U.S. and various overseas locations with U.S. airlines, foreign investor-owned airlines, and foreign state-owned or state-affiliated airlines, including carriers based in the Middle East, the three largest of which we believe benefit from significant government subsidies. Our international service exposes us to foreign economies and the potential for reduced demand, such as we have recently experienced in Brazil and Venezuela, when any foreign countries we serve suffer adverse local economic conditions. In addition, open skies agreements with an increasing number of countries around the world provide international airlines with open access to U.S. markets. See </w:t>
      </w:r>
      <w:r>
        <w:rPr>
          <w:rFonts w:ascii="Arial" w:cs="Arial" w:eastAsia="Arial" w:hAnsi="Arial"/>
          <w:sz w:val="17"/>
          <w:szCs w:val="17"/>
          <w:i w:val="1"/>
          <w:iCs w:val="1"/>
          <w:color w:val="auto"/>
        </w:rPr>
        <w:t>“Our business is subject to extensive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which may result in increases in our costs, disruptions to our operations, limits on our operating flexibility, reductions in the demand for air travel, and competitive disadvantages.”</w:t>
      </w:r>
    </w:p>
    <w:p>
      <w:pPr>
        <w:spacing w:after="0" w:line="18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are party to antitrust-immunized cooperation agreements with British Airways, Iberia, Finnair, Royal Jordanian, Japan Airlines, LAN Airlines and LAN Peru. As part of the antitrust-immunized relationships, we have also established joint business agreements (JBAs) with British Airways, Iberia, and Finnair, and separately with Japan Airlines. We have signed a revised JBA with Qantas Airways and have applied for antitrust immunity with the DOT for the revised relationship, which application is still pending before the DOT. In addition, we have signed JBAs with certain air carriers of the LATAM Airlines Group and have applied for approval in the relevant jurisdictions affected by such agreements, which applications are still pending before the relevant regulators. No assurances can be given as to any benefits that we may derive from such arrangements or any other arrangements that may ultimately be implemented.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integrate operations successfully and realize the anticipated synergies and other benefits of the Merger.</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Merger involved the combination of two companies that operated as independent public companies prior to the Merger, and each of which operated its own international network airline. Historically, the integration of separate airlines has often proven to be more time consuming and to require more resources than initially estimated. Although we received a single operating certificate from the FAA for American and US Airways on April 8, 2015, implemented a single integrated reservation system on October 17, 2015 and merged American and US Airways on December 30, 2015, we must continue to devote significant management attention and resources to integrating our business practices, cultures and operations. Potential difficulties we may encounter as part of the integration process include the following:</w:t>
      </w:r>
    </w:p>
    <w:p>
      <w:pPr>
        <w:spacing w:after="0" w:line="99" w:lineRule="exact"/>
        <w:rPr>
          <w:sz w:val="20"/>
          <w:szCs w:val="20"/>
          <w:color w:val="auto"/>
        </w:rPr>
      </w:pPr>
    </w:p>
    <w:p>
      <w:pPr>
        <w:ind w:left="900" w:right="2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businesses in a manner that permits us to achieve the synergies and other benefits anticipated to result from the Merger;</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challenge of integrating complex systems, operating procedures, regulatory compliance programs, technology, aircraft fleets, networks, and other assets (including, for example, our flight operations systems and technology which supports human resources functions) in a manner that minimizes any adverse impact on customers, suppliers, employees, and other constituencies;</w:t>
      </w:r>
    </w:p>
    <w:p>
      <w:pPr>
        <w:spacing w:after="0" w:line="86"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effects of divestitures and other operational commitments entered into in connection with the settlement of the litigation brought by the Department of Justice (DOJ) and certain states prior to the closing of the Merger, including those involving Dallas Love Field Airport and DCA;</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challenge of forming and maintaining an effective and cohesive management team;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diversion of the attention of our management and other key employees;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challenge of integrating workforces while maintaining focus on providing consistent, high quality customer service and running an efficient operation;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risks relating to integrating various computer, communications and other technology systems that will be necessary to operate American and US Airways as a single airline and to achieve cost synergies by eliminating redundancies in the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branding or rebranding initiatives may involve substantial costs and may not be favorably received by customers;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unknown liabilities, liabilities that are significantly larger than we currently anticipate and unforeseen increased expenses or delays associated with the Merger, including costs in excess of the cash transition costs that we currently anticipate.</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Accordingly, we may not be able to realize the contemplated benefits of the Merger fully, or it may take longer and cost more than expected to realize such benefits.</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Ongoing data security compliance requirements could increase our costs, and any significant data breach could disrupt our operations and harm our reputation, business, results of operations and financial condition.</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business requires the appropriate and secure utilization of customer, employee, business partner and other sensitive information. We cannot be certain that advances in criminal capabilities (including cyber-attacks or cyber intrusions over the Internet, malware, computer viruses and the like), discovery of new vulnerabilities or attempts to exploit existing vulnerabilities in our systems, other data thefts, physical system or network break-ins or inappropriate access, or other developments will not compromise or breach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technology protecting the networks that access and store sensitive information.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European Union (EU)), including requirements for varying levels of customer notification in the event of a data breach.</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 significant data security breach or our failure to comply with applicable U.S. or foreign data security regulations or other data security standards may expose us to litigation, claims for contract breach, fines, sanctions or other penalties, which could disrupt our operations, harm our reputation and materially and adversely affect our business, results of operations and financial condition. Failure to address these issues appropriately could also give rise to additional legal risks, which, in turn, could increase the size and number of litigation claims and damages asserted or subject us to enforcement actions, fines and penalties and cause us to incur further related costs and expenses.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indebtedness and other obligations are substantial and could adversely affect our business and liquidity.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9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our ability to respond to business opportunities and to withstand operating risks that are customary in the industry, particularly relative to competitors with lower relative levels of financial leverage;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75" w:lineRule="exact"/>
        <w:rPr>
          <w:rFonts w:ascii="Arial" w:cs="Arial" w:eastAsia="Arial" w:hAnsi="Arial"/>
          <w:sz w:val="18"/>
          <w:szCs w:val="18"/>
          <w:color w:val="auto"/>
        </w:rPr>
      </w:pPr>
    </w:p>
    <w:p>
      <w:pPr>
        <w:jc w:val="both"/>
        <w:ind w:left="1480" w:hanging="446"/>
        <w:spacing w:after="0" w:line="264"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86"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business plan contemplates significant investments in modernizing our fleet and integrating the American and US Airways businesses. Significant capital resources will be required to execute this plan. We estimate that, based on our commitments as of June 30, 2016, our planned aggregate expenditures for aircraft purchase commitments and certain engines on a consolidated basis for calendar years 2016-2020 would be approximately $14.5 billion. Accordingly, we will need substantial financing or other capital resources. In addition, as of the date of this report, we had not secured financing commitments for some of the aircraft that we have on order, and we cannot be assured of the availability or cost of that financing. In particular, as of June 30, 2016, we did not have financing commitments for the following aircraft currently on order and scheduled to be delivered through 2017: eight Airbus A320 family aircraft in 2016 and 20 Airbus A320 family aircraft in 2017, four Boeing 787 family aircraft in 2016 and 13 Boeing 787 family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aircraft in 2017, seven Boeing 737-800 aircraft in 2016 and five Boeing 737-800 aircraft in 2017 and four Boeing 737 MAX family aircraft in 2017. In addition, we do not have financing commitments in place for substantially all aircraft currently on order and scheduled to be delivered in 2018 and beyond. The number of aircraft for which we do not have financing may change as we exercise purchase options or otherwise change our purchase and delivery schedules.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only be available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7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Increased costs of financing, a reduction in the availability of financing and fluctuations in interest rates could adversely affect our liquidity, results of operations and financial condition.</w:t>
      </w:r>
    </w:p>
    <w:p>
      <w:pPr>
        <w:spacing w:after="0" w:line="62"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Concerns about the systemic impact of inflation, the availability and cost of credit, energy costs and geopolitical issues, combined with continued changes in business activity levels and consumer confidence, increased unemployment and volatile oil prices, have in the past and may in the future contribute to volatility in the capital and credit markets. These market conditions could result in illiquid credit markets and wider credit spreads. Any such changes in the domestic and global financial markets may increase our costs of financing and adversely affect our ability to obtain financing needed for the acquisition of aircraft that we have contractual commitments to purchase and for other types of financings we may seek in order to refinance debt maturities, raise capital or fund other types of obligations. Any downgrades to our credit rating may likewise increase the cost and reduce the availability of financing.</w:t>
      </w:r>
    </w:p>
    <w:p>
      <w:pPr>
        <w:spacing w:after="0" w:line="165"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 xml:space="preserve">Further, a substantial portion of our indebtedness bears interest at fluctuating interest rates, primarily based on the London interbank offered rate for deposits of U.S. dollars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our floating rate debt. Accordingly, our interest expense for any particular period will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II, Item 7A. Quantitative and Qualitative Disclosures About Market Risk – </w:t>
      </w:r>
      <w:r>
        <w:rPr>
          <w:rFonts w:ascii="Arial" w:cs="Arial" w:eastAsia="Arial" w:hAnsi="Arial"/>
          <w:sz w:val="17"/>
          <w:szCs w:val="17"/>
          <w:i w:val="1"/>
          <w:iCs w:val="1"/>
          <w:color w:val="auto"/>
        </w:rPr>
        <w:t>“AAG’s Market Risk Sensitive Instruments and Positions – Interest”</w:t>
      </w:r>
      <w:r>
        <w:rPr>
          <w:rFonts w:ascii="Arial" w:cs="Arial" w:eastAsia="Arial" w:hAnsi="Arial"/>
          <w:sz w:val="17"/>
          <w:szCs w:val="17"/>
          <w:color w:val="auto"/>
        </w:rPr>
        <w:t xml:space="preserve"> and “</w:t>
      </w:r>
      <w:r>
        <w:rPr>
          <w:rFonts w:ascii="Arial" w:cs="Arial" w:eastAsia="Arial" w:hAnsi="Arial"/>
          <w:sz w:val="17"/>
          <w:szCs w:val="17"/>
          <w:i w:val="1"/>
          <w:iCs w:val="1"/>
          <w:color w:val="auto"/>
        </w:rPr>
        <w:t>American’s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Sensitive Instruments and Positions – Interest” </w:t>
      </w:r>
      <w:r>
        <w:rPr>
          <w:rFonts w:ascii="Arial" w:cs="Arial" w:eastAsia="Arial" w:hAnsi="Arial"/>
          <w:sz w:val="17"/>
          <w:szCs w:val="17"/>
          <w:color w:val="auto"/>
        </w:rPr>
        <w:t>in our 2015 Form 10-K.</w:t>
      </w:r>
    </w:p>
    <w:p>
      <w:pPr>
        <w:spacing w:after="0" w:line="287"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Our high level of fixed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16"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a significant amount of fixed obligations, including debt, pension costs, aircraft leases and financings, aircraft purchase commitments, leases and developments of airport and other facilities and other cash obligations. We also have certain guaranteed costs associated with our regional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substantial fixed costs associated with these obligations:</w:t>
      </w:r>
    </w:p>
    <w:p>
      <w:pPr>
        <w:spacing w:after="0" w:line="13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in revenues results in a disproportionately greater percentage decrease in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have sufficient liquidity to fund all of these fixed obligations if our revenues decline or costs increase;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have to use our working capital to fund these fixed obligations instead of funding general corporate requirements, including capital expenditures.</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6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favorable temporary funding rules that are scheduled to expire at the end of 2017. 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pension funding obligations are likely to increase materially beginning in 2019, when we will be required to make contributions relating to the 2018 fiscal year. In addition, we may have significant obligations for other postretirement benefits, the ultimate amount of which depends on, among other things, the outcome of an adversary proceeding related to retiree medical and life insurance obligations filed in the Chapter 11 Cases.</w:t>
      </w:r>
    </w:p>
    <w:p>
      <w:pPr>
        <w:spacing w:after="0" w:line="274"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Any failure to comply with the covenants contained in our financing arrangements may have a material adverse effect on our business, results of operations and financial condition.</w:t>
      </w:r>
    </w:p>
    <w:p>
      <w:pPr>
        <w:spacing w:after="0" w:line="6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terms of the 2013 Credit Facilities, the 2013 Citicorp Credit Facility, the 2014 Credit Facilities and the 2016 Credit Facilities require AAG and American to ensure that AAG and its restricted subsidiaries maintain consolidated unrestricted cash and cash equivalents and amounts available to be drawn under revolving credit facilities in an aggregate amount not less than $2.0 billion, and the 2013 Citicorp Credit Facility also requires AAG and the other obligors thereunder to hold not less than $750 million (subject to partial reductions upon certain reductions in the outstanding amount of the loan) of that amount in accounts subject to control agreements.</w:t>
      </w:r>
    </w:p>
    <w:p>
      <w:pPr>
        <w:spacing w:after="0" w:line="188"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Our ability to comply with these liquidity covenants while paying the fixed costs associated with our contractual obligations and our other expenses, including significant pension and other postretirement funding obligations and cash transition costs associated with the Merger, will depend on our operating performance and cash flow, which are seasonal, as well as factors including fuel costs and general economic and political conditions.</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our credit facilities and certain other financing arrangements include covenants that, among other things, limit our ability to pay dividends and make certain other payments, make certain investments, incur additional indebtedness, enter into certain affiliate transactions and engage in certain business activities, in each case subject to certain exceptions.</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factors affecting our liquidity (and our ability to comply with related liquidity and other covenants) will remain subject to significant fluctuations and uncertainties, many of which are outside our control. Any breach of our liquidity and other covenants or failure to timely pay our obligations could result in a variety of adverse consequences, including the acceleration of our indebtedness, the withholding of credit card proceeds by our credit card processors and the exercise of remedies by our creditors and lessors. In such a situation, we may not be able to fulfill our contractual obligations, repay the accelerated indebtedness, make required lease payments or otherwise cover our fixed costs.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our financial condition worsens, provisions in our credit card processing and other commercial agreements may adversely affect our liquidity.</w:t>
      </w:r>
    </w:p>
    <w:p>
      <w:pPr>
        <w:spacing w:after="0" w:line="152"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company, but for which we have not yet provided the air transportation. We are not currently required to maintain any holdbacks pursuant to these requirements. These holdback requirements can be modified at the discretion of the processing companies upon the occurrence of specific events, including material adverse changes in our financial condition. An increase in the current holdbacks, up to and including 100% of relevant advanced ticket sales, could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 xml:space="preserve">“Employees and Labor Relations” </w:t>
      </w:r>
      <w:r>
        <w:rPr>
          <w:rFonts w:ascii="Arial" w:cs="Arial" w:eastAsia="Arial" w:hAnsi="Arial"/>
          <w:sz w:val="18"/>
          <w:szCs w:val="18"/>
          <w:color w:val="auto"/>
        </w:rPr>
        <w:t>in our 2015 Form 10-K.</w:t>
      </w:r>
    </w:p>
    <w:p>
      <w:pPr>
        <w:spacing w:after="0" w:line="18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2015 Form 10-K.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such as the employee profit sharing program we instituted effective January 1, 2016. As of December 31, 2015, approximately 82%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hub airports could have a material adverse impact on our operations.</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We operate principally through hubs in Charlotte, Chicago, Dallas/Fort Worth, Los Angeles, Miami, New York, Philadelphia, Phoenix and Washington, D.C. Substantially all of our flights either originate in or fly into one of these locations. A significant interruption or disruption in service at one of our hubs resulting from air traffic control (ATC) delays, weather conditions, natural disasters, growth constraints, relations with third-party service providers, failure of computer systems, facility disruptions,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266"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7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In order to operate our existing and proposed flight schedule and, where appropriate, add service along new or existing routes, we must be able to maintain and/or obtain adequate gates, ticketing facilities, operations areas, and office space. As airports around the world become more congested, we will not always be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17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addition, operations at four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FAA currently regulates the allocation of slots or slot exemptions at DCA and two New York City airports: John F. Kennedy International Airport and LaGuardia Airport (LGA). Our operations at these airports generally require the allocation of slots or similar regulatory authority. Similarly, our operations at international airports in Frankfurt, London Heathrow, Paris and other airports outside the U.S. are regulated by local slot authorities pursuant to the International Air Transport Association’s Worldwide Scheduling Guidelines and applicable local law. We cannot provide any assurance that regulatory changes regarding the allocation of slots or similar regulatory authority will not have a material adverse impact on our operations.</w:t>
      </w:r>
    </w:p>
    <w:p>
      <w:pPr>
        <w:spacing w:after="0" w:line="16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connection with the settlement of litigation relating to the Merger brought by the DOJ and certain states, we entered into settlement agreements that provide for certain asset divestitures including 52 slot pairs at DCA, 17 slot pairs at LGA and gates and related ground facilities necessary to operate those slot pairs, and two gates at each of Boston Logan International Airport, Chicago O’Hare International Airport, Dallas Love Field Airport, Los Angeles International Airport (LAX) and Miami International Airport. The settlement agreements also require us to maintain certain hub operations and continue to provide service to certain specified communities for limited periods of time. In addition, we entered into a related settlement with the DOT related to small community service from DCA. Further, as a consequence of the Merger clearance process in the EU, we made one pair of London Heathrow slots available for use by another carrier and, along with our JBA partners, we made one pair of London Heathrow slots available to competitors for use for up to six years in different markets.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ability to provide service can also be impaired at airports, such as Chicago O’Hare International Airport and LAX, where the airport gate and other facilities are inadequate to accommodate all of the service that we would like to provide, or airports such as Dallas Love Field Airport where we have no access to gates at all.</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slots (where applicable), or office space could have a material adverse effect on our business, results of operations and financial condition.</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the inability of third parties to hire or retain necessary personnel, including in particular pilots, and other risk factors, such as an out-of-court or bankruptcy restructuring of any of our regional operators. For example, one of our significant third-party operators of regional capacity, Republic Airways Holdings Inc. (Republic), commenced a Chapter 11 bankruptcy case on February 25, 2016. As part of its restructuring process, Republic has to date reduced the fleet capacity available to us by 18 E170 aircraft and three E175 aircraft. We are negotiating an amendment to our contractual relationship with Republic, which as currently proposed contemplates further reduction of aircraft operated by Republic on our behalf. No assurance can be given that we will be able to successfully complete this renegotiation. We have taken various actions to mitigate the effects of this reduction in flying, including by adjusting our mainline schedule and seeking additional capacity from our wholly owned regional subsidiaries and other regional providers. We may also experience disruption to our regional operations if we terminate the capacity purchase agreement with one or more of our current operators and transition the services to another provider. As our regional segment provides revenues to us directly and indirectly (by providing flow traffic to our hubs), any significant disruption to our regional operations would have a material adverse effect on our business, results of operations and financial condition.</w:t>
      </w:r>
    </w:p>
    <w:p>
      <w:pPr>
        <w:spacing w:after="0" w:line="18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Volatility in fuel prices, disruptions to capital markets and adverse economic conditions in general have subjected certain of these third-party regional carriers to significant financial pressures, which have led to several bankruptcies among these carriers. Any material problems with the efficiency and timeliness of contract services, resulting from financial hardships or otherwise, could have a material adverse effect on our business, results of operations and financial condition.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rely on third-party distribution channels, including those provided by or through global distribution systems (GDSs) (e.g., Amadeus, Sabre and Travelport), conventional travel agents and online travel agents (OTAs) (e.g., Expedia, including its booking sites Orbitz and Travelocity, and The Priceline Group),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including as consolidation of OTAs continues or is proposed to continue.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7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6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Airlines are subject to extensive domestic and international regulatory requirements. In the last several years, Congress has passed laws, and the DOT, the FAA, the U.S.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Our failure to timely comply with these requirements has in the past and may in the future result in fines and other enforcement actions by the FAA or other regulators. In the future, new regulatory requirements could have a material adverse effect on us and the industry.</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DOT consumer rules that took effect in 2010 require procedures for customer handling during long onboard delays, further regulate airline interactions with passengers through the reservations process, at the airport, and onboard the aircraft, and require disclosures concerning airline fares and ancillary fees such as baggage fees. The DOT has been aggressively investigating alleged violations of these rules. Other DOT rules apply to post-ticket purchase price increases and an expansion of tarmac delay regulations to international airlines.</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76" w:lineRule="exact"/>
        <w:rPr>
          <w:sz w:val="20"/>
          <w:szCs w:val="20"/>
          <w:color w:val="auto"/>
        </w:rPr>
      </w:pPr>
    </w:p>
    <w:p>
      <w:pPr>
        <w:ind w:left="900" w:right="2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and other arrangements with other airlines;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adoption of new passenger security standards or regulations that impact customer service standards (for example, a “passenger bill of rights”);</w:t>
      </w:r>
    </w:p>
    <w:p>
      <w:pPr>
        <w:spacing w:after="0" w:line="153"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8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Any significant reduction in air traffic capacity at key airports in the U.S. or overseas could have a material adverse effect on our business, results of operations and financial condition. In addition, the ATC system is not successfully managing the growing demand for U.S. air travel. ATC towers are frequently understaffed in certain of our hubs, and air traffic controllers rely on outdated technologies that routinely overwhelm the system and compel airlines to fly inefficient, indirect routes. The ATC system’s inability to handle existing travel demand has led government agencies to implement short-term capacity constraints during peak travel periods in certain markets, resulting in delays and disruptions of air traffic. The outdated technologies also cause the ATC to be less resilient in the event of a failure. For example, in 2014 the ATC systems in Chicago took weeks to recover following a fire in the ATC tower at Chicago O’Hare International Airport, which resulted in thousands of cancelled flights.</w:t>
      </w:r>
    </w:p>
    <w:p>
      <w:pPr>
        <w:spacing w:after="0" w:line="1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14, 2012, the FAA Modernization and Reform Act of 2012 was signed. The law provides funding for the FAA to rebuild its ATC system, including switching from radar to a GPS-based system. It is uncertain when any improvements to the efficiency of the ATC system will take effect. Failure to update the ATC system in a timely manner and the substantial funding requirements that may be imposed on airlines of a modernized ATC system may have a material adverse effect on our business.</w:t>
      </w:r>
    </w:p>
    <w:p>
      <w:pPr>
        <w:spacing w:after="0" w:line="18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ability of U.S. airlines to operate international routes is subject to change because the applicable arrangements between the U.S. and foreign governments may be amended from time to time and appropriate slots or facilities may not be made available.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 Heathrow Airport. As a result of the agreement, we face increased competition in these markets, including London Heathrow Airport.</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are not operating expenses, they represent an additional cost to our customers. There are continuing efforts in Congress and in other countries to raise different portions of the various taxes, fees, and charges imposed on airlines and their passengers. Increases in such taxes, fees and charges could negatively impact our business, results of operations and financial condition.</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8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62"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We have a number of measures designed to increase revenue and offset costs. These measures include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8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6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140"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308" w:lineRule="auto"/>
        <w:rPr>
          <w:sz w:val="20"/>
          <w:szCs w:val="20"/>
          <w:color w:val="auto"/>
        </w:rPr>
      </w:pPr>
      <w:r>
        <w:rPr>
          <w:rFonts w:ascii="Arial" w:cs="Arial" w:eastAsia="Arial" w:hAnsi="Arial"/>
          <w:sz w:val="17"/>
          <w:szCs w:val="17"/>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3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operate a global business with operations outside of the U.S. from which we derived approximately 30% of our operating revenues in 2015, as measured and reported to the DOT. Our current international activities and prospects have been and in the future could be adversely affected by reversals or delays in the opening of foreign markets, increased competition in international markets,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81"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The United Kingdom held a referendum on June 23, 2016 regarding its membership in the EU in which a majority of the United Kingdom electorate voted in favor of the British government taking the necessary action for the United Kingdom to leave the EU. At this time, it is not certain what steps will need to be taken to facilitate the United Kingdom’s exit from the EU or the length of time, expected to be measured in years, that this may take. The implications of the United Kingdom withdrawing from the EU are similarly unclear at present because it is unclear what relationship the United Kingdom will have with the EU after withdrawal. We face risks associated with the uncertainty following the referendum and the consequences that may flow from the decision to exit the EU. Among other things, the exit of the United Kingdom from the EU could adversely affect European or worldwide economic or market conditions and could contribute to further instability in global financial markets. In addition, the exit of the United Kingdom from the EU could lead to legal and regulatory uncertainty and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joint business or code share partners. The impact on our business of any treaties, laws and regulations that replace the existing EU counterparts cannot be predicted. Any of these effects, and others we cannot anticipate, could materially adversely affect our business, results of operations and financial condition.</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8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In June 2015, the U.S. Environmental Protection Agency (EPA) issued revised underground storage tank regulations that could affect airport fuel hydrant systems, as certain of those systems may need to be modified in order to comply with applicable portions of the revised regulations. Additionally, on June 4, 2015, the EPA reissued the Multi-Sector General Permit for Stormwater Discharges from Industrial Activities. Among other revisions, the reissued permit incorporates the EPA’s previously issued Airport Deicing Effluent Limitation Guidelines and New Source Performance Standards. In addition, California adopted a revised State Industrial General Permit for Stormwater Discharges on April 1, 2014, which became effective July 1, 2015. This permit places additional reporting and monitoring requirements on permittees and requires implementation of mandatory best management practices. While the cost of compliance with these requirements is not expected to be significant, we will continue to monitor and evaluate the impact of these requirements on airport operations. In addition to the EPA and state regulations, several U.S. airport authorities are actively engaged in efforts to limit discharges of de-icing fluid to the environment, often by requiring airlines to participate in the building or reconfiguring of airport de-icing facilities. Such efforts are likely to impose additional costs and restrictions on airlines using those airports. We do not believe, however, that such environmental developments will have a material impact on our capital expenditures or otherwise materially adversely affect our operations, operating costs or competitive position.</w:t>
      </w:r>
    </w:p>
    <w:p>
      <w:pPr>
        <w:spacing w:after="0" w:line="17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 We have liability for investigation and remediation costs at various sites, although such costs are currently not expected to have a material adverse effect on our business.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Governmental authorities in several U.S. and foreign cities are also considering, or have already implemented, aircraft noise reduction programs, including the imposition of nighttime curfews and limitations on daytime take-offs and landings. We have been able to accommodate local noise restrictions imposed to date, but our operations could be adversely affected if locally-imposed regulations become more restrictive or widespread.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are subject to risks associated with climate change, including increased regulation to reduce emissions of greenhouse gases.</w:t>
      </w:r>
    </w:p>
    <w:p>
      <w:pPr>
        <w:spacing w:after="0" w:line="129" w:lineRule="exact"/>
        <w:rPr>
          <w:sz w:val="20"/>
          <w:szCs w:val="20"/>
          <w:color w:val="auto"/>
        </w:rPr>
      </w:pPr>
    </w:p>
    <w:p>
      <w:pPr>
        <w:jc w:val="both"/>
        <w:ind w:firstLine="456"/>
        <w:spacing w:after="0" w:line="267" w:lineRule="auto"/>
        <w:rPr>
          <w:sz w:val="20"/>
          <w:szCs w:val="20"/>
          <w:color w:val="auto"/>
        </w:rPr>
      </w:pPr>
      <w:r>
        <w:rPr>
          <w:rFonts w:ascii="Arial" w:cs="Arial" w:eastAsia="Arial" w:hAnsi="Arial"/>
          <w:sz w:val="17"/>
          <w:szCs w:val="17"/>
          <w:color w:val="auto"/>
        </w:rPr>
        <w:t>There is increasing global regulatory focus on climate change and greenhouse gas (GHG) emissions. For example, the EU has established the Emissions Trading Scheme (ETS) to regulate GHG emissions in the EU. The EU adopted a directive in 2008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the International Civil Aviation Organization (ICAO) time to propose an alternate scheme to manage global aviation emissions, in April 2013, the EU suspended for one year the ETS’ application to flights entering and departing the EEA, limiting its application, for flights flown in 2012, to intra-EEA flights only. In October 2013, the ICAO Assembly adopted a resolution calling for the development through ICAO of a global, market-based scheme for aviation GHG emissions, to be finalized in 2016 and implemented in 2020. Subsequently, the EU amended the ETS so that the monitoring, reporting and submission of allowances for aviation GHG emissions will continue to be limited to only intra-EEA flights through 2016, at which time the EU will evaluate the progress made by ICAO and determine what, if any, measures to take related to aviation GHG emissions from 2017 onwards. The U.S. enacted legislation in November 2012 which encourages the DOT to seek an international solution through ICAO and that will allow the U.S. Secretary of Transportation to prohibit U.S. airlines from participating in the ETS. The effort currently underway through ICAO to reach a global agreement on measures to manage international aviation GHG emission growth could significantly impact our business, particularly to the extent that any final agreement may emphasize a collective cost sharing approach for industry emissions growth over a cost approach based on individual carrier contribution to emission growth. Ultimately, the scope and application of ETS or other emissions trading schemes to our operations, now or in the near future, remains uncertain. We do not anticipate any significant emissions allowance expenditures in 2016. Beyond 2016, compliance with the ETS or similar emissions-related requirements could significantly increase our operating costs. Further, the potential impact of ETS or other emissions-related requirements on our costs will ultimately depend on a number of factors, including baseline emissions, the price of emission allowances or offsets and the number of future flights subject to ETS or other emissions-related requirements. These costs have not been completely defined and could fluctuate.</w:t>
      </w:r>
    </w:p>
    <w:p>
      <w:pPr>
        <w:spacing w:after="0" w:line="19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(UNFCCC’s COP21), over 190 countries, including the United States, reached an agreement to reduce global greenhouse gas emissions. While there is no express reference to aviation in this international agreement, to the extent the United States and other countries implement this agreement or impose other climate change regulations, either with respect to the aviation industry or with respect to related industries such as the aviation fuel industry, it could have an adverse direct or indirect effect on our business.</w:t>
      </w:r>
    </w:p>
    <w:p>
      <w:pPr>
        <w:spacing w:after="0" w:line="18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Within the U.S., there is an increasing trend toward regulating GHG emissions directly under the Clean Air Act (CAA). In response to a 2012 ruling by the U.S. District Court for the District of Columbia, the EPA announced in June 2015 a proposed endangerment finding that aircraft engine GHG emissions cause or contribute to air pollution that may reasonably be anticipated to endanger public health or welfare. A public hearing regarding the proposed endangerment finding was held in August 2015. If the EPA finalizes the endangerment finding, the EPA is obligated under the CAA to set aircraft engine GHG emission standards. It is anticipated that any such standards established by the EPA would closely align with emission standards currently being developed by ICAO. In February 2016, the ICAO Committee on Aviation Environmental Protection recommended that ICAO adopt carbon dioxide certification standards that would apply to new type aircraft certified beginning in 2020, and would be phased in for newly manufactured existing aircraft type designs starting in 2023.</w:t>
      </w:r>
    </w:p>
    <w:p>
      <w:pPr>
        <w:spacing w:after="0" w:line="192"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 addition, several states have adopted or are considering initiatives to regulate emissions of GHGs, primarily through the planned development of GHG emissions inventories and/or regional GHG cap and trade programs.</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28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6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are highly dependent on technology and automated systems to operate our business and achieve low operating costs.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7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Among the principal risks of integrating our businesses and operations are the risks relating to integrating various computer, communications and other technology systems that will be necessary to operate US Airways and American as a single airline and to achieve cost synergies by eliminating redundancies in the businesses. While we have to date successfully integrated several of our systems, including our customer reservations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7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with any large project, there will be many factors that may materially affect the schedule, cost and execution of the integration of our computer, communications and other technology systems. These factors include, among others: problems during the design, implementation and testing phases; systems delays and/or malfunctions; the risk that suppliers and contractors will not perform as required under their contracts; the diversion of management attention from daily operations to the project; reworks due to unanticipated changes in business processes; challenges in simultaneously activating new systems throughout our global network; difficulty in training employees in the operations of new systems; the risk of security breach or disruption; and other unexpected events beyond our control. We cannot assure you that our security measures, change control procedures or disaster recovery plans will be adequate to prevent disruptions or delays.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74"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accident involving any of our aircraft or the aircraft of our regional or codeshare operators.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one of our aircraft, an aircraft that is operated under our brand by one of our regional operators, or an aircraft that is operated by an airline with which we have a marketing alliance or codeshare relationship were to be involved in an accident, incident or catastrophe, we could be exposed to significant tort liability. The insurance we carry to cover damages arising from any future accidents may be inadequate. In the event that our insurance is not adequate, we may be forced to bear substantial losses from 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accident. In addition, any accident, incident or catastrophe involving an aircraft operated by us, operated under our brand by one of our regional operators or operated by one of our codeshare partners could create a public perception that our aircraft or those of our regional operators or codeshare partners are not safe or reliable, which could harm our reputation, result in air travelers being reluctant to fly on our aircraft or those of our regional operators or codeshare partners, and adversely impact our business, results of operations and financial condition.</w:t>
      </w:r>
    </w:p>
    <w:p>
      <w:pPr>
        <w:spacing w:after="0" w:line="295"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25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3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business, results of operations and financial condition has been and will continue to be affected by many changing economic and other conditions beyond our control, including, among others:</w:t>
      </w:r>
    </w:p>
    <w:p>
      <w:pPr>
        <w:spacing w:after="0" w:line="76" w:lineRule="exact"/>
        <w:rPr>
          <w:sz w:val="20"/>
          <w:szCs w:val="20"/>
          <w:color w:val="auto"/>
        </w:rPr>
      </w:pPr>
    </w:p>
    <w:p>
      <w:pPr>
        <w:ind w:left="90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22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In particular, an outbreak of a contagious disease such as the Ebola virus, Middle East Respiratory Syndrome, Severe Acute Respiratory Syndrome, H1N1 influenza virus, avian flu, Zika virus, or any other similar illness, if it were to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A higher than normal number of pilot retirements, more stringent duty time regulations, increased flight hour requirements for commercial airline pilots and other factors have caused a shortage of pilots which could materially adversely affect our business.</w:t>
      </w:r>
    </w:p>
    <w:p>
      <w:pPr>
        <w:spacing w:after="0" w:line="38"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Further, in July 2013, the FAA issued regulations that increased the flight hours required for pilots working for airlines certificated under Part 121 of the Federal Aviation Regulations. In addition, on January 4, 2014, more stringent pilot flight and duty time requirements under Part 117 of the Federal Aviation Regulations took effect. These and other factors, including reductions in the number of military pilots being trained by the U.S. armed forces and available as commercial pilots upon their retirement from military service, have contributed to a shortage of qualified, entry-level pilots and increased compensation costs, particularly for our regional subsidiaries and our other regional partners. The foregoing factors have also led to increased competition from large, mainline carriers to hire pilots to replace retiring pilots.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claims-paying ability of some insurers. Future downgrades in the ratings of enough insurers could adversely impact both the availability of appropriate insurance coverage and its cost. Because of competitive pressures in our industry, our ability to pass additional insurance costs to passengers is limited. As a result, further increases in insurance costs or reductions in available insurance coverage could have an adverse impact on our financial results.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a party to litigation in the normal course of business or otherwise, which could affect our financial position and liquidity.</w:t>
      </w:r>
    </w:p>
    <w:p>
      <w:pPr>
        <w:spacing w:after="0" w:line="12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Under the Internal Revenue Code of 1986, as amended (the Code), a corporation is generally allowed a deduction for NOLs carried over from prior taxable years (NOL Carryforwards). As of December 31, 2015, we had available NOL Carryforwards of approximately $8.0 billion for regular federal income tax purposes which will expire, if unused, beginning in 2023, and approximately $4.0 billion for state income tax purposes which will expire, if unused, between 2016 and 2034. As of December 31, 2015, the amount of NOL Carryforwards for state income tax purposes that will expire, if unused, in 2016 is $136 million. Our NOL Carryforwards are subject to adjustment on audit by the Internal Revenue Service and the respective state taxing authorities.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$6.6 billion of unlimited NOL still remaining at December 31, 2015)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92"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Although the purpose of these transfer restrictions is to prevent an ownership change from occurring, no assurance can be given that such an ownership change will not occur, in which case our ability to utilize our NOL Carryforwards and other tax attributes could be severely limited or effectively eliminated.</w:t>
      </w:r>
    </w:p>
    <w:p>
      <w:pPr>
        <w:spacing w:after="0" w:line="173"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which is tested for impairment at least annually. In addition, we may never realize the full value of our intangible assets or long-lived assets, causing us to record material impairment charges.</w:t>
      </w:r>
    </w:p>
    <w:p>
      <w:pPr>
        <w:spacing w:after="0" w:line="62"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Goodwill is not amortized, but is tested for impairment at least annually. In accordance with applicable accounting standards, we are required to test our indefinite-lived intangible assets for impairment on an annual basis, or more frequently if conditions indicate that an impairment may have occurred. In addition, we are required to test certain of our other long-lived assets for impairment if conditions indicate that an impairment may have occurred.</w:t>
      </w:r>
    </w:p>
    <w:p>
      <w:pPr>
        <w:spacing w:after="0" w:line="14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Factors which could result in an impairment could include, but are not limited to: (i) reduced passenger demand as a result of domestic or global economic conditions; (ii) higher prices for jet fuel; (iii) lower fares or passenger yields as a result of increased competition or lower demand; (iv) a significant increase in future capital expenditure commitments; and (v) significant disruptions to our operations as a result of both internal and external events such as terrorist activities, actual or threatened war, labor actions by employees, or further industry regulation.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AAG’s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common stock has recently been and may in the future be volatile.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market price of AAG common stock may fluctuate substantially due to a variety of factors, many of which are beyond our control, including:</w:t>
      </w:r>
    </w:p>
    <w:p>
      <w:pPr>
        <w:spacing w:after="0" w:line="142"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our share repurchase program and any future dividend payments that may be declared by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restricted stock unit awards, stock appreciation rights, or similar rights;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333"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We cannot guarantee that we will repurchase our common stock pursuant to our share repurchase programs or continue to pay dividends on our common stock or that our capital deployment program will enhance long-term stockholder value. Our capital deployment program could increase the volatility of the price of our common stock and diminish our cash reserves.</w:t>
      </w:r>
    </w:p>
    <w:p>
      <w:pPr>
        <w:spacing w:after="0" w:line="73"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Since July 2014, as part of our capital deployment program, our Board of Directors has approved several share repurchase programs aggregating $9.0 billion of authority of which, as of June 30, 2016, $1.2 billion remained unused under repurchase programs that expire on December 31, 2017. Share repurchases under our share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The repurchase programs may be limited, suspended or discontinued at any time without prior notice.</w:t>
      </w:r>
    </w:p>
    <w:p>
      <w:pPr>
        <w:spacing w:after="0" w:line="17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Although our Board of Directors commenced declaring quarterly cash dividends in July 2014 as part of our capital deployment program,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7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repurchases of AAG common stock pursuant to our share repurchase programs and any future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our share repurchase programs and any future dividends will diminish our cash reserves, which may impact our ability to finance future growth and to pursue possible future strategic opportunities and acquisitions. Further, our share repurchase programs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7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3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provisions of our Restated Certificate of Incorporation (Certificate of Incorporation) and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87"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25"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14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Certificate of Incorporation and Bylaws include certain provisions that limit voting and ownership and disposition of our equity interests, including AAG common stock and convertible notes.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5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In order to protect AAG’s NOL Carryforwards and certain other tax attributes, AAG’s Certificate of Incorporation includes certain limitations on acquisitions and dispositions of AAG’s common stock, which may limit the liquidity of our common stock.</w:t>
      </w:r>
    </w:p>
    <w:p>
      <w:pPr>
        <w:spacing w:after="0" w:line="3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To reduce the risk of a potential adverse effect on our ability to use our NOL Carryforwards and certain other tax attributes for federal income tax purposes, our Certificate of Incorporation contains certain restrictions on the acquisition and disposition of AAG common stock by substantial stockholders. These restrictions may adversely affect the ability of certain holders of AAG common stock to dispose of or acquire shares of AAG common stock. Although the purpose of these transfer restrictions is to prevent an “ownership change” (as defined in Section 382) from occurring, no assurance can be given that an ownership change will not occur even with these restrictions in place.</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displays information with respect to our purchases of shares of AAG common stock during the three months ended June 30, 2016.</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90"/>
              </w:rPr>
              <w:t>Average</w:t>
            </w:r>
          </w:p>
        </w:tc>
        <w:tc>
          <w:tcPr>
            <w:tcW w:w="2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Total number of shares</w:t>
            </w:r>
          </w:p>
        </w:tc>
        <w:tc>
          <w:tcPr>
            <w:tcW w:w="240" w:type="dxa"/>
            <w:vAlign w:val="bottom"/>
          </w:tcPr>
          <w:p>
            <w:pPr>
              <w:spacing w:after="0"/>
              <w:rPr>
                <w:sz w:val="14"/>
                <w:szCs w:val="14"/>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Maximum 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number of</w:t>
            </w:r>
          </w:p>
        </w:tc>
        <w:tc>
          <w:tcPr>
            <w:tcW w:w="3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1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40" w:type="dxa"/>
            <w:vAlign w:val="bottom"/>
          </w:tcPr>
          <w:p>
            <w:pPr>
              <w:spacing w:after="0"/>
              <w:rPr>
                <w:sz w:val="12"/>
                <w:szCs w:val="12"/>
                <w:color w:val="auto"/>
              </w:rPr>
            </w:pPr>
          </w:p>
        </w:tc>
        <w:tc>
          <w:tcPr>
            <w:tcW w:w="2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shares that may be</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0"/>
              </w:rPr>
              <w:t>price paid</w:t>
            </w:r>
          </w:p>
        </w:tc>
        <w:tc>
          <w:tcPr>
            <w:tcW w:w="21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2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purchased under the plan or program</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shares purchased</w:t>
            </w:r>
          </w:p>
        </w:tc>
        <w:tc>
          <w:tcPr>
            <w:tcW w:w="380" w:type="dxa"/>
            <w:vAlign w:val="bottom"/>
          </w:tcPr>
          <w:p>
            <w:pPr>
              <w:spacing w:after="0"/>
              <w:rPr>
                <w:sz w:val="14"/>
                <w:szCs w:val="14"/>
                <w:color w:val="auto"/>
              </w:rPr>
            </w:pPr>
          </w:p>
        </w:tc>
        <w:tc>
          <w:tcPr>
            <w:tcW w:w="13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8"/>
              </w:rPr>
              <w:t>per share</w:t>
            </w:r>
          </w:p>
        </w:tc>
        <w:tc>
          <w:tcPr>
            <w:tcW w:w="2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plan or program</w:t>
            </w:r>
          </w:p>
        </w:tc>
        <w:tc>
          <w:tcPr>
            <w:tcW w:w="240" w:type="dxa"/>
            <w:vAlign w:val="bottom"/>
          </w:tcPr>
          <w:p>
            <w:pPr>
              <w:spacing w:after="0"/>
              <w:rPr>
                <w:sz w:val="14"/>
                <w:szCs w:val="14"/>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w:t>
            </w:r>
          </w:p>
        </w:tc>
        <w:tc>
          <w:tcPr>
            <w:tcW w:w="3200" w:type="dxa"/>
            <w:vAlign w:val="bottom"/>
            <w:tcBorders>
              <w:top w:val="single" w:sz="8" w:color="CCEEFF"/>
            </w:tcBorders>
            <w:shd w:val="clear" w:color="auto" w:fill="CCEEFF"/>
          </w:tcPr>
          <w:p>
            <w:pPr>
              <w:jc w:val="right"/>
              <w:ind w:right="2730"/>
              <w:spacing w:after="0"/>
              <w:rPr>
                <w:sz w:val="20"/>
                <w:szCs w:val="20"/>
                <w:color w:val="auto"/>
              </w:rPr>
            </w:pPr>
            <w:r>
              <w:rPr>
                <w:rFonts w:ascii="Arial" w:cs="Arial" w:eastAsia="Arial" w:hAnsi="Arial"/>
                <w:sz w:val="18"/>
                <w:szCs w:val="18"/>
                <w:color w:val="auto"/>
                <w:w w:val="89"/>
              </w:rPr>
              <w:t>2016</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16,544,522</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7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16,544,522</w:t>
            </w: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May 2016</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14,621,037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32.50</w:t>
            </w:r>
          </w:p>
        </w:tc>
        <w:tc>
          <w:tcPr>
            <w:tcW w:w="2180" w:type="dxa"/>
            <w:vAlign w:val="bottom"/>
            <w:gridSpan w:val="2"/>
          </w:tcPr>
          <w:p>
            <w:pPr>
              <w:jc w:val="right"/>
              <w:ind w:right="760"/>
              <w:spacing w:after="0"/>
              <w:rPr>
                <w:sz w:val="20"/>
                <w:szCs w:val="20"/>
                <w:color w:val="auto"/>
              </w:rPr>
            </w:pPr>
            <w:r>
              <w:rPr>
                <w:rFonts w:ascii="Arial" w:cs="Arial" w:eastAsia="Arial" w:hAnsi="Arial"/>
                <w:sz w:val="18"/>
                <w:szCs w:val="18"/>
                <w:color w:val="auto"/>
              </w:rPr>
              <w:t>14,621,037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2016</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18,992,911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29.68</w:t>
            </w:r>
          </w:p>
        </w:tc>
        <w:tc>
          <w:tcPr>
            <w:tcW w:w="21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18,992,911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A350 XWB Purchase Agreement</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American and Airbus S.A.S. (Airbus) are parties to an Amended and Restated Airbus A350 XWB Purchase Agreement, dated as of October 2, 2007 (the Purchase Agreement) pursuant to which American agreed to acquire 22 A350 XWB aircraft (the A350s) from Airbus. On July 18, 2016, American and Airbus entered into an amendment to the Purchase Agreement, the principal purpose of which was to revise the delivery schedule of the A350s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Remainder</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2019</w:t>
            </w:r>
          </w:p>
        </w:tc>
        <w:tc>
          <w:tcPr>
            <w:tcW w:w="38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2020</w:t>
            </w:r>
          </w:p>
        </w:tc>
        <w:tc>
          <w:tcPr>
            <w:tcW w:w="3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2021 and</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of 2016</w:t>
            </w:r>
          </w:p>
        </w:tc>
        <w:tc>
          <w:tcPr>
            <w:tcW w:w="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Thereafter</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Previous Delivery Schedule</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Revised Delivery Schedule</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left="380" w:right="320"/>
        <w:spacing w:after="0" w:line="449" w:lineRule="auto"/>
        <w:rPr>
          <w:sz w:val="20"/>
          <w:szCs w:val="20"/>
          <w:color w:val="auto"/>
        </w:rPr>
      </w:pPr>
      <w:r>
        <w:rPr>
          <w:rFonts w:ascii="Arial" w:cs="Arial" w:eastAsia="Arial" w:hAnsi="Arial"/>
          <w:sz w:val="18"/>
          <w:szCs w:val="18"/>
          <w:color w:val="auto"/>
        </w:rPr>
        <w:t>The exhibits listed in the Exhibit Index following the signature pages to this report are filed as part of, or incorporated by reference into, this report. 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American Airlines Group Inc.</w:t>
      </w:r>
    </w:p>
    <w:p>
      <w:pPr>
        <w:spacing w:after="0" w:line="22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July 22, 2016</w:t>
      </w:r>
      <w:r>
        <w:rPr>
          <w:sz w:val="20"/>
          <w:szCs w:val="20"/>
          <w:color w:val="auto"/>
        </w:rPr>
        <w:tab/>
      </w:r>
      <w:r>
        <w:rPr>
          <w:rFonts w:ascii="Arial" w:cs="Arial" w:eastAsia="Arial" w:hAnsi="Arial"/>
          <w:sz w:val="17"/>
          <w:szCs w:val="17"/>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Derek J. Kerr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July 22, 2016</w:t>
      </w:r>
      <w:r>
        <w:rPr>
          <w:sz w:val="20"/>
          <w:szCs w:val="20"/>
          <w:color w:val="auto"/>
        </w:rPr>
        <w:tab/>
      </w:r>
      <w:r>
        <w:rPr>
          <w:rFonts w:ascii="Arial" w:cs="Arial" w:eastAsia="Arial" w:hAnsi="Arial"/>
          <w:sz w:val="17"/>
          <w:szCs w:val="17"/>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Derek J. Kerr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90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Pass Through Trust Agreement, dated as of September 16, 2014, by and between American Airlines, Inc. and Wilmington Trust Company,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Trustee (incorporated by reference to Exhibit 4.1 to American’s Current Report on Form 8-K filed on September 17, 2014 (Commission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Trust Supplement No. 2016-2AA, dated as of May 16, 2016, by and between American Airlines, Inc. and Wilmington Trust Company,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0"/>
              </w:rPr>
              <w:t>Trustee, to the Pass Through Trust Agreement, dated as of September 16, 2014 (incorporated by reference to Exhibit 4.2 to American’s Current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May 17,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6"/>
              </w:rPr>
              <w:t>Trust Supplement No. 2016-2A, dated as of May 16, 2016, by and between American Airlines, Inc. and Wilmington Trust Company,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0"/>
              </w:rPr>
              <w:t>Trustee, to the Pass Through Trust Agreement, dated as of September 16, 2014 (incorporated by reference to Exhibit 4.3 to American’s Current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May 17,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Intercreditor Agreement (2016-2), dated as of May 16, 2016, by and among Wilmington Trust Company, as Trustee of the American Airlines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Pass Through Trust 2016-2AA and as Trustee of the American Airlines Pass Through Trust 2016-2A, KfW IPEX-Bank GmbH, as Class AA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Liquidity Provider and Class A Liquidity Provider, and Wilmington Trust Company, as Subordination Agent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Exhibit 4.4 to American’s Current Report on Form 8-K filed on May 17,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Deposit Agreement (Class AA), dated as of May 16, 2016, by and between Wilmington Trust, National Association, as Escrow Agent,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Citibank, N.A., as Depositary (incorporated by reference to Exhibit 4.5 to American’s Current Report on Form 8-K filed on May 17, 2016</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Deposit Agreement (Class A), dated as of May 16, 2016, by and between Wilmington Trust, National Association, as Escrow Agent,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Citibank, N.A., as Depositary (incorporated by reference to Exhibit 4.6 to American’s Current Report on Form 8-K filed on May 17, 2016</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6"/>
              </w:rPr>
              <w:t>Escrow and Paying Agent Agreement (Class AA), dated as of May 16, 2016, by and among Wilmington Trust, National Association,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9"/>
              </w:rPr>
              <w:t>Escrow Agent, Credit Suisse Securities (USA) LLC and Deutsche Bank Securities Inc., for themselves and on behalf of the several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Underwriters, Wilmington Trust Company, not in its individual capacity, but solely as Pass Through Trustee for and on behalf of American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7"/>
              </w:rPr>
              <w:t>Airlines Pass Through Trust 2016-2AA, and Wilmington Trust Company, as Paying Agent (incorporated by reference to Exhibit 4.7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American’s Current Report on Form 8-K filed on May 17,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Escrow and Paying Agent Agreement (Class A), dated as of May 16, 2016, by and among Wilmington Trust, National Association, as Escrow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Agent, Credit Suisse Securities (USA) LLC and Deutsche Bank Securities Inc., for themselves and on behalf of the several Underwriters,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Wilmington Trust Company, not in its individual capacity, but solely as Pass Through Trustee for and on behalf of American Airlines Pass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Through Trust 2016-2A, and Wilmington Trust Company, as Paying Agent (incorporated by reference to Exhibit 4.8 to American’s Current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May 17,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Note Purchase Agreement, dated as of May 16, 2016, by and among American Airlines, Inc., Wilmington Trust Company, as Pass Through</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Trustee under each of the Pass Through Trust Agreements, Wilmington Trust Company, as Subordination Agent, Wilmington Trust, National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Association, as Escrow Agent, and Wilmington Trust Company, as Paying Agent (incorporated by reference to Exhibit 4.9 to American’s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Current Report on Form 8-K filed on May 17,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Form of Participation Agreement (Participation Agreement among American Airlines, Inc., Wilmington Trust Company, as Pass Through</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Trustee under each of the Pass Through Trust Agreements, Wilmington Trust Company, as Subordination Agent, Wilmington Trust Company,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8"/>
              </w:rPr>
              <w:t>as Loan Trustee, and Wilmington Trust Company, in its individual capacity as set forth therein) (included in Exhibit B to Exhibit 4.9).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7"/>
              </w:rPr>
              <w:t>Form of Indenture and Security Agreement (Indenture and Security Agreement between American Airlines, Inc., and Wilmington Trust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Company, as Loan Trustee) (included in Exhibit C to Exhibit 4.9).</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Form of Pass Through Trust Certificate, Series 2016-2AA (included in Exhibit A to Exhibit 4.2).</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Form of Pass Through Trust Certificate, Series 2016-2A (included in Exhibit A to Exhibit 4.3).</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380" w:type="dxa"/>
            <w:vAlign w:val="bottom"/>
          </w:tcPr>
          <w:p>
            <w:pPr>
              <w:ind w:left="5100"/>
              <w:spacing w:after="0"/>
              <w:rPr>
                <w:sz w:val="20"/>
                <w:szCs w:val="20"/>
                <w:color w:val="auto"/>
              </w:rPr>
            </w:pPr>
            <w:r>
              <w:rPr>
                <w:rFonts w:ascii="Arial" w:cs="Arial" w:eastAsia="Arial" w:hAnsi="Arial"/>
                <w:sz w:val="18"/>
                <w:szCs w:val="18"/>
                <w:color w:val="auto"/>
              </w:rPr>
              <w:t>78</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300" w:type="dxa"/>
            <w:vAlign w:val="bottom"/>
          </w:tcPr>
          <w:p>
            <w:pPr>
              <w:spacing w:after="0"/>
              <w:rPr>
                <w:sz w:val="14"/>
                <w:szCs w:val="14"/>
                <w:color w:val="auto"/>
              </w:rPr>
            </w:pPr>
          </w:p>
        </w:tc>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300" w:type="dxa"/>
            <w:vAlign w:val="bottom"/>
          </w:tcPr>
          <w:p>
            <w:pPr>
              <w:spacing w:after="0"/>
              <w:rPr>
                <w:sz w:val="16"/>
                <w:szCs w:val="16"/>
                <w:color w:val="auto"/>
              </w:rPr>
            </w:pPr>
          </w:p>
        </w:tc>
        <w:tc>
          <w:tcPr>
            <w:tcW w:w="5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4.14</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3"/>
              </w:rPr>
              <w:t>Revolving Credit Agreement (2016-2AA), dated as of May 16, 2016, by and between Wilmington Trust Company, as Subordination Agent,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1"/>
              </w:rPr>
              <w:t>agent and trustee for the trustee of the American Airlines Pass Through Trust 2016-2AA, as Borrower, and KfW IPEX-Bank GmbH, as Liquidity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3"/>
              </w:rPr>
              <w:t>Provider (incorporated by reference to Exhibit 4.14 to American’s Current Report on Form 8-K filed on May 17, 2016 (Commission File No. 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2691)).</w:t>
            </w: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4.15</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4"/>
              </w:rPr>
              <w:t>Revolving Credit Agreement (2016-2A), dated as of May 16, 2016, by and between Wilmington Trust Company, as Subordination Agent,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2"/>
              </w:rPr>
              <w:t>agent and trustee for the trustee of the American Airlines Pass Through Trust 2016-2A, as Borrower, and KfW IPEX-Bank GmbH, as Liquidity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3"/>
              </w:rPr>
              <w:t>Provider (incorporated by reference to Exhibit 4.15 to American’s Current Report on Form 8-K filed on May 17, 2016 (Commission File No. 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2691)).</w:t>
            </w: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2"/>
              </w:rPr>
              <w:t>Letter Agreement, dated as of April 28, 2016, by and between American Airlines Group Inc. and W. Douglas Parker (incorporated by reference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7"/>
              </w:rPr>
              <w:t>to Exhibit 10.1 to AAG and American’s Current Report on Form 8-K filed on April 29, 2016 (Commission File Nos. 1-8400 and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5"/>
              </w:rPr>
              <w:t>Credit and Guaranty Agreement, dated as of April 29, 2016, among American Airlines, Inc. as borrower, American Airlines Group Inc.,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0"/>
              </w:rPr>
              <w:t>parent and guarantor, certain other subsidiaries of American Airlines Group Inc., as guarantors, the lenders party thereto, Barclays Bank PLC, as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administrative agent and collateral agent, and certain other parties thereto.</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1"/>
              </w:rPr>
              <w:t>Supplemental Agreement No. 4, dated as of June 6, 2016, to Purchase Agreement No. 03735 dated as of February 1, 2016, between American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Airlines, Inc. and The Boeing Company.</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1"/>
              </w:rPr>
              <w:t>Supplemental Agreement No. 39, dated as of June 2, 2016, to Purchase Agreement No. 1977 dated as of October 31, 1997, between American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Airlines, Inc. and The Boeing Company.</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Computation of ratio of earnings to fixed charges of American Airlines Group Inc. for the six months ended June 30, 2016.</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12.2</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Computation of ratio of earnings to fixed charges of American Airlines, Inc. for the six months ended June 30, 2016.</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Certification of AAG Chief Executive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Certification of AAG Chief Financial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31.3</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Certification of American Chief Executive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31.4</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Certification of American Chief Financial Officer pursuant to Rule 13a-14(a).</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5"/>
              </w:rPr>
              <w:t>AAG Certification pursuant to Rule 13a-14(b) and section 906 of the Sarbanes-Oxley Act of 2002 (subsections (a) and (b) of section 1350,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chapter 63 of title 18, United States Code).</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w w:val="91"/>
              </w:rPr>
              <w:t>American Certification pursuant to Rule 13a-14(b) and section 906 of the Sarbanes-Oxley Act of 2002 (subsections (a) and (b) of section 1350,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chapter 63 of title 18, United States Code).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440"/>
              <w:spacing w:after="0"/>
              <w:rPr>
                <w:sz w:val="20"/>
                <w:szCs w:val="20"/>
                <w:color w:val="auto"/>
              </w:rPr>
            </w:pPr>
            <w:r>
              <w:rPr>
                <w:rFonts w:ascii="Arial" w:cs="Arial" w:eastAsia="Arial" w:hAnsi="Arial"/>
                <w:sz w:val="18"/>
                <w:szCs w:val="18"/>
                <w:color w:val="auto"/>
              </w:rPr>
              <w:t>Interactive data files pursuant to Rule 405 of Regulation S-T.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agreement.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CREDIT AND GUARANTY AGREEMENT</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as of April 29, 2016</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Parent and a Guarantor,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SUBSIDIARIES OF PARENT FROM TIME TO TIME PARTY HERETO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OTHER THAN THE BORROWER,</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Guarantors,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Administrative Agent and Collateral Agent,</w:t>
      </w:r>
    </w:p>
    <w:p>
      <w:pPr>
        <w:spacing w:after="0" w:line="211" w:lineRule="exact"/>
        <w:rPr>
          <w:sz w:val="20"/>
          <w:szCs w:val="20"/>
          <w:color w:val="auto"/>
        </w:rPr>
      </w:pPr>
    </w:p>
    <w:p>
      <w:pPr>
        <w:jc w:val="center"/>
        <w:ind w:right="20"/>
        <w:spacing w:after="0" w:line="257" w:lineRule="auto"/>
        <w:rPr>
          <w:sz w:val="20"/>
          <w:szCs w:val="20"/>
          <w:color w:val="auto"/>
        </w:rPr>
      </w:pPr>
      <w:r>
        <w:rPr>
          <w:rFonts w:ascii="Arial" w:cs="Arial" w:eastAsia="Arial" w:hAnsi="Arial"/>
          <w:sz w:val="18"/>
          <w:szCs w:val="18"/>
          <w:color w:val="auto"/>
        </w:rPr>
        <w:t>BARCLAYS BANK PLC, CITIGROUP GLOBAL MARKETS, INC., CREDIT SUISSE SECURITIES (USA) LLC , DEUTSCHE BANK SECURITIES INC., GOLDMAN SACHS BANK USA, J.P. MORGAN SECURITIES LLC, MERRILL LYNCH, PIERCE, FENNER &amp; SMITH INCORPORATED, MORGAN STANLEY SENIOR FUNDING, INC., BNP PARIBAS SECURITIES CORP, CREDIT AGRICOLE CORPORATE AND INVESTMENT BANK, INDUSTRIAL AND COMMERCIAL BANK OF CHINA LIMITED, NEW YORK BRANCH AND U.S. BANK NATIONAL ASSOCIATION, as Joint Lead Arrangers and Bookrunners,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BARCLAYS BANK PLC, CITIGROUP GLOBAL MARKETS, INC., CREDIT SUISSE SECURITIES (USA) LLC , DEUTSCHE BANK SECURITIES</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INC., GOLDMAN SACHS BANK USA, J.P. MORGAN SECURITIES LLC, MERRILL LYNCH, PIERCE, FENNER &amp; SMITH INCORPORATED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MORGAN STANLEY SENIOR FUNDING,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Syndication Agents,</w:t>
      </w:r>
    </w:p>
    <w:p>
      <w:pPr>
        <w:spacing w:after="0" w:line="211" w:lineRule="exact"/>
        <w:rPr>
          <w:sz w:val="20"/>
          <w:szCs w:val="20"/>
          <w:color w:val="auto"/>
        </w:rPr>
      </w:pPr>
    </w:p>
    <w:p>
      <w:pPr>
        <w:jc w:val="center"/>
        <w:ind w:right="20"/>
        <w:spacing w:after="0" w:line="272" w:lineRule="auto"/>
        <w:rPr>
          <w:sz w:val="20"/>
          <w:szCs w:val="20"/>
          <w:color w:val="auto"/>
        </w:rPr>
      </w:pPr>
      <w:r>
        <w:rPr>
          <w:rFonts w:ascii="Arial" w:cs="Arial" w:eastAsia="Arial" w:hAnsi="Arial"/>
          <w:sz w:val="18"/>
          <w:szCs w:val="18"/>
          <w:color w:val="auto"/>
        </w:rPr>
        <w:t>BNP PARIBAS SECURITIES CORP, CREDIT AGRICOLE CORPORATE AND INVESTMENT BANK, INDUSTRIAL AND COMMERCIAL BANK OF CHINA LIMITED, NEW YORK BRANCH AND U.S. BANK NATIONAL ASSOCIATION, as Documentation Agents</w:t>
      </w:r>
    </w:p>
    <w:p>
      <w:pPr>
        <w:sectPr>
          <w:pgSz w:w="11900" w:h="16838" w:orient="portrait"/>
          <w:cols w:equalWidth="0" w:num="1">
            <w:col w:w="11400"/>
          </w:cols>
          <w:pgMar w:left="260" w:top="121"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80" w:type="dxa"/>
            <w:vAlign w:val="bottom"/>
            <w:gridSpan w:val="8"/>
          </w:tcPr>
          <w:p>
            <w:pPr>
              <w:ind w:left="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gridSpan w:val="5"/>
          </w:tcPr>
          <w:p>
            <w:pPr>
              <w:jc w:val="center"/>
              <w:ind w:right="4980"/>
              <w:spacing w:after="0"/>
              <w:rPr>
                <w:sz w:val="20"/>
                <w:szCs w:val="20"/>
                <w:color w:val="auto"/>
              </w:rPr>
            </w:pPr>
            <w:r>
              <w:rPr>
                <w:rFonts w:ascii="Arial" w:cs="Arial" w:eastAsia="Arial" w:hAnsi="Arial"/>
                <w:sz w:val="18"/>
                <w:szCs w:val="18"/>
                <w:color w:val="auto"/>
                <w:w w:val="99"/>
              </w:rPr>
              <w:t>Article I</w:t>
            </w:r>
          </w:p>
        </w:tc>
        <w:tc>
          <w:tcPr>
            <w:tcW w:w="300" w:type="dxa"/>
            <w:vAlign w:val="bottom"/>
          </w:tcPr>
          <w:p>
            <w:pPr>
              <w:spacing w:after="0"/>
              <w:rPr>
                <w:sz w:val="24"/>
                <w:szCs w:val="24"/>
                <w:color w:val="auto"/>
              </w:rPr>
            </w:pPr>
          </w:p>
        </w:tc>
      </w:tr>
      <w:tr>
        <w:trPr>
          <w:trHeight w:val="324"/>
        </w:trPr>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40" w:type="dxa"/>
            <w:vAlign w:val="bottom"/>
            <w:gridSpan w:val="6"/>
          </w:tcPr>
          <w:p>
            <w:pPr>
              <w:jc w:val="center"/>
              <w:ind w:right="4680"/>
              <w:spacing w:after="0"/>
              <w:rPr>
                <w:sz w:val="20"/>
                <w:szCs w:val="20"/>
                <w:color w:val="auto"/>
              </w:rPr>
            </w:pPr>
            <w:r>
              <w:rPr>
                <w:rFonts w:ascii="Arial" w:cs="Arial" w:eastAsia="Arial" w:hAnsi="Arial"/>
                <w:sz w:val="18"/>
                <w:szCs w:val="18"/>
                <w:color w:val="auto"/>
                <w:w w:val="98"/>
              </w:rPr>
              <w:t>DEFINITIONS</w:t>
            </w:r>
          </w:p>
        </w:tc>
        <w:tc>
          <w:tcPr>
            <w:tcW w:w="300" w:type="dxa"/>
            <w:vAlign w:val="bottom"/>
          </w:tcPr>
          <w:p>
            <w:pPr>
              <w:spacing w:after="0"/>
              <w:rPr>
                <w:sz w:val="24"/>
                <w:szCs w:val="24"/>
                <w:color w:val="auto"/>
              </w:rPr>
            </w:pPr>
          </w:p>
        </w:tc>
      </w:tr>
      <w:tr>
        <w:trPr>
          <w:trHeight w:val="284"/>
        </w:trPr>
        <w:tc>
          <w:tcPr>
            <w:tcW w:w="1800" w:type="dxa"/>
            <w:vAlign w:val="bottom"/>
          </w:tcPr>
          <w:p>
            <w:pPr>
              <w:spacing w:after="0"/>
              <w:rPr>
                <w:sz w:val="20"/>
                <w:szCs w:val="20"/>
                <w:color w:val="auto"/>
              </w:rPr>
            </w:pPr>
            <w:r>
              <w:rPr>
                <w:rFonts w:ascii="Arial" w:cs="Arial" w:eastAsia="Arial" w:hAnsi="Arial"/>
                <w:sz w:val="18"/>
                <w:szCs w:val="18"/>
                <w:color w:val="auto"/>
              </w:rPr>
              <w:t>SECTION 1.01.</w:t>
            </w:r>
          </w:p>
        </w:tc>
        <w:tc>
          <w:tcPr>
            <w:tcW w:w="9220" w:type="dxa"/>
            <w:vAlign w:val="bottom"/>
            <w:gridSpan w:val="23"/>
          </w:tcPr>
          <w:p>
            <w:pPr>
              <w:spacing w:after="0"/>
              <w:rPr>
                <w:sz w:val="20"/>
                <w:szCs w:val="20"/>
                <w:color w:val="auto"/>
              </w:rPr>
            </w:pPr>
            <w:r>
              <w:rPr>
                <w:rFonts w:ascii="Arial" w:cs="Arial" w:eastAsia="Arial" w:hAnsi="Arial"/>
                <w:sz w:val="18"/>
                <w:szCs w:val="18"/>
                <w:color w:val="auto"/>
              </w:rPr>
              <w:t>Defined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1.02.</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Terms Generally.</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1.03.</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Accounting Terms; GAAP.</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345"/>
        </w:trPr>
        <w:tc>
          <w:tcPr>
            <w:tcW w:w="18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gridSpan w:val="5"/>
          </w:tcPr>
          <w:p>
            <w:pPr>
              <w:jc w:val="center"/>
              <w:ind w:right="496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r>
      <w:tr>
        <w:trPr>
          <w:trHeight w:val="324"/>
        </w:trPr>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20" w:type="dxa"/>
            <w:vAlign w:val="bottom"/>
            <w:gridSpan w:val="11"/>
          </w:tcPr>
          <w:p>
            <w:pPr>
              <w:jc w:val="center"/>
              <w:ind w:right="3700"/>
              <w:spacing w:after="0"/>
              <w:rPr>
                <w:sz w:val="20"/>
                <w:szCs w:val="20"/>
                <w:color w:val="auto"/>
              </w:rPr>
            </w:pPr>
            <w:r>
              <w:rPr>
                <w:rFonts w:ascii="Arial" w:cs="Arial" w:eastAsia="Arial" w:hAnsi="Arial"/>
                <w:sz w:val="18"/>
                <w:szCs w:val="18"/>
                <w:color w:val="auto"/>
                <w:w w:val="97"/>
              </w:rPr>
              <w:t>AMOUNT AND TERMS OF CREDIT</w:t>
            </w:r>
          </w:p>
        </w:tc>
        <w:tc>
          <w:tcPr>
            <w:tcW w:w="300" w:type="dxa"/>
            <w:vAlign w:val="bottom"/>
          </w:tcPr>
          <w:p>
            <w:pPr>
              <w:spacing w:after="0"/>
              <w:rPr>
                <w:sz w:val="24"/>
                <w:szCs w:val="24"/>
                <w:color w:val="auto"/>
              </w:rPr>
            </w:pPr>
          </w:p>
        </w:tc>
      </w:tr>
      <w:tr>
        <w:trPr>
          <w:trHeight w:val="284"/>
        </w:trPr>
        <w:tc>
          <w:tcPr>
            <w:tcW w:w="1800" w:type="dxa"/>
            <w:vAlign w:val="bottom"/>
          </w:tcPr>
          <w:p>
            <w:pPr>
              <w:spacing w:after="0"/>
              <w:rPr>
                <w:sz w:val="20"/>
                <w:szCs w:val="20"/>
                <w:color w:val="auto"/>
              </w:rPr>
            </w:pPr>
            <w:r>
              <w:rPr>
                <w:rFonts w:ascii="Arial" w:cs="Arial" w:eastAsia="Arial" w:hAnsi="Arial"/>
                <w:sz w:val="18"/>
                <w:szCs w:val="18"/>
                <w:color w:val="auto"/>
              </w:rPr>
              <w:t>SECTION 2.01.</w:t>
            </w:r>
          </w:p>
        </w:tc>
        <w:tc>
          <w:tcPr>
            <w:tcW w:w="9220" w:type="dxa"/>
            <w:vAlign w:val="bottom"/>
            <w:gridSpan w:val="23"/>
          </w:tcPr>
          <w:p>
            <w:pPr>
              <w:spacing w:after="0"/>
              <w:rPr>
                <w:sz w:val="20"/>
                <w:szCs w:val="20"/>
                <w:color w:val="auto"/>
              </w:rPr>
            </w:pPr>
            <w:r>
              <w:rPr>
                <w:rFonts w:ascii="Arial" w:cs="Arial" w:eastAsia="Arial" w:hAnsi="Arial"/>
                <w:sz w:val="18"/>
                <w:szCs w:val="18"/>
                <w:color w:val="auto"/>
              </w:rPr>
              <w:t>Commitments of the Lenders; Term Loans.</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2.02.</w:t>
            </w:r>
          </w:p>
        </w:tc>
        <w:tc>
          <w:tcPr>
            <w:tcW w:w="306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Letters of Credit.</w:t>
            </w:r>
          </w:p>
        </w:tc>
        <w:tc>
          <w:tcPr>
            <w:tcW w:w="61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2.03.</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Requests for Loans.</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2.04.</w:t>
            </w:r>
          </w:p>
        </w:tc>
        <w:tc>
          <w:tcPr>
            <w:tcW w:w="138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w w:val="94"/>
              </w:rPr>
              <w:t>Funding of Loans.</w:t>
            </w:r>
          </w:p>
        </w:tc>
        <w:tc>
          <w:tcPr>
            <w:tcW w:w="784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2.05.</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Interest Elections.</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2.06.</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Limitation on Eurodollar Tranches.</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2.07.</w:t>
            </w:r>
          </w:p>
        </w:tc>
        <w:tc>
          <w:tcPr>
            <w:tcW w:w="250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Interest on Loans.</w:t>
            </w:r>
          </w:p>
        </w:tc>
        <w:tc>
          <w:tcPr>
            <w:tcW w:w="67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2.08.</w:t>
            </w:r>
          </w:p>
        </w:tc>
        <w:tc>
          <w:tcPr>
            <w:tcW w:w="126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w w:val="95"/>
              </w:rPr>
              <w:t>Default Interest.</w:t>
            </w:r>
          </w:p>
        </w:tc>
        <w:tc>
          <w:tcPr>
            <w:tcW w:w="796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2.09.</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Alternate Rate of Interest.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2.10.</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Amortization of Term Loans; Repayment of Loans; Evidence of Debt.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2.11.</w:t>
            </w:r>
          </w:p>
        </w:tc>
        <w:tc>
          <w:tcPr>
            <w:tcW w:w="500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w w:val="99"/>
              </w:rPr>
              <w:t>Optional Termination or Reduction of Revolving Commitments.</w:t>
            </w:r>
          </w:p>
        </w:tc>
        <w:tc>
          <w:tcPr>
            <w:tcW w:w="42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2.12.</w:t>
            </w:r>
          </w:p>
        </w:tc>
        <w:tc>
          <w:tcPr>
            <w:tcW w:w="458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w w:val="95"/>
              </w:rPr>
              <w:t>Mandatory Prepayment of Loans; Commitment Termination.</w:t>
            </w:r>
          </w:p>
        </w:tc>
        <w:tc>
          <w:tcPr>
            <w:tcW w:w="46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2.13.</w:t>
            </w:r>
          </w:p>
        </w:tc>
        <w:tc>
          <w:tcPr>
            <w:tcW w:w="434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Optional Prepayment of Loans.</w:t>
            </w:r>
          </w:p>
        </w:tc>
        <w:tc>
          <w:tcPr>
            <w:tcW w:w="488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2.14.</w:t>
            </w:r>
          </w:p>
        </w:tc>
        <w:tc>
          <w:tcPr>
            <w:tcW w:w="220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Increased Costs.</w:t>
            </w:r>
          </w:p>
        </w:tc>
        <w:tc>
          <w:tcPr>
            <w:tcW w:w="70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2.15.</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Break Funding Payments.</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2.16.</w:t>
            </w:r>
          </w:p>
        </w:tc>
        <w:tc>
          <w:tcPr>
            <w:tcW w:w="184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rPr>
              <w:t>Taxes.</w:t>
            </w:r>
          </w:p>
        </w:tc>
        <w:tc>
          <w:tcPr>
            <w:tcW w:w="738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2.17.</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Payments Generally; Pro Rata Treatment.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18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2.18.</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Mitigation Obligations; Replacement of Lenders.</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2.19.</w:t>
            </w:r>
          </w:p>
        </w:tc>
        <w:tc>
          <w:tcPr>
            <w:tcW w:w="348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Certain Fees.</w:t>
            </w:r>
          </w:p>
        </w:tc>
        <w:tc>
          <w:tcPr>
            <w:tcW w:w="57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18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2.20.</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Commitment Fee and Upfront Fee.</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2.21.</w:t>
            </w:r>
          </w:p>
        </w:tc>
        <w:tc>
          <w:tcPr>
            <w:tcW w:w="2480" w:type="dxa"/>
            <w:vAlign w:val="bottom"/>
            <w:tcBorders>
              <w:top w:val="single" w:sz="8" w:color="auto"/>
            </w:tcBorders>
            <w:gridSpan w:val="13"/>
          </w:tcPr>
          <w:p>
            <w:pPr>
              <w:spacing w:after="0" w:line="196" w:lineRule="exact"/>
              <w:rPr>
                <w:sz w:val="20"/>
                <w:szCs w:val="20"/>
                <w:color w:val="auto"/>
              </w:rPr>
            </w:pPr>
            <w:r>
              <w:rPr>
                <w:rFonts w:ascii="Arial" w:cs="Arial" w:eastAsia="Arial" w:hAnsi="Arial"/>
                <w:sz w:val="18"/>
                <w:szCs w:val="18"/>
                <w:color w:val="auto"/>
              </w:rPr>
              <w:t>Letter of Credit Fees.</w:t>
            </w:r>
          </w:p>
        </w:tc>
        <w:tc>
          <w:tcPr>
            <w:tcW w:w="674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2.22.</w:t>
            </w:r>
          </w:p>
        </w:tc>
        <w:tc>
          <w:tcPr>
            <w:tcW w:w="148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Nature of Fees.</w:t>
            </w:r>
          </w:p>
        </w:tc>
        <w:tc>
          <w:tcPr>
            <w:tcW w:w="774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180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2.23.</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Right of Set-Off.</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1800" w:type="dxa"/>
            <w:vAlign w:val="bottom"/>
          </w:tcPr>
          <w:p>
            <w:pPr>
              <w:spacing w:after="0" w:line="20" w:lineRule="exact"/>
              <w:rPr>
                <w:sz w:val="1"/>
                <w:szCs w:val="1"/>
                <w:color w:val="auto"/>
              </w:rPr>
            </w:pPr>
          </w:p>
        </w:tc>
        <w:tc>
          <w:tcPr>
            <w:tcW w:w="1160" w:type="dxa"/>
            <w:vAlign w:val="bottom"/>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2.24.</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Security Interest in Letter of Credit Account.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2.25.</w:t>
            </w:r>
          </w:p>
        </w:tc>
        <w:tc>
          <w:tcPr>
            <w:tcW w:w="318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Payment of Obligations.</w:t>
            </w:r>
          </w:p>
        </w:tc>
        <w:tc>
          <w:tcPr>
            <w:tcW w:w="60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2.26.</w:t>
            </w:r>
          </w:p>
        </w:tc>
        <w:tc>
          <w:tcPr>
            <w:tcW w:w="170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Defaulting Lenders.</w:t>
            </w:r>
          </w:p>
        </w:tc>
        <w:tc>
          <w:tcPr>
            <w:tcW w:w="752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1800" w:type="dxa"/>
            <w:vAlign w:val="bottom"/>
          </w:tcPr>
          <w:p>
            <w:pPr>
              <w:spacing w:after="0" w:line="20" w:lineRule="exact"/>
              <w:rPr>
                <w:sz w:val="1"/>
                <w:szCs w:val="1"/>
                <w:color w:val="auto"/>
              </w:rPr>
            </w:pPr>
          </w:p>
        </w:tc>
        <w:tc>
          <w:tcPr>
            <w:tcW w:w="1380" w:type="dxa"/>
            <w:vAlign w:val="bottom"/>
            <w:gridSpan w:val="6"/>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700" w:type="dxa"/>
            <w:vAlign w:val="bottom"/>
            <w:gridSpan w:val="11"/>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2.27.</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Increase in Commitment.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1800" w:type="dxa"/>
            <w:vAlign w:val="bottom"/>
          </w:tcPr>
          <w:p>
            <w:pPr>
              <w:spacing w:after="0" w:line="20" w:lineRule="exact"/>
              <w:rPr>
                <w:sz w:val="1"/>
                <w:szCs w:val="1"/>
                <w:color w:val="auto"/>
              </w:rPr>
            </w:pPr>
          </w:p>
        </w:tc>
        <w:tc>
          <w:tcPr>
            <w:tcW w:w="1780" w:type="dxa"/>
            <w:vAlign w:val="bottom"/>
            <w:gridSpan w:val="9"/>
            <w:shd w:val="clear" w:color="auto" w:fill="000000"/>
          </w:tcPr>
          <w:p>
            <w:pPr>
              <w:spacing w:after="0" w:line="20" w:lineRule="exact"/>
              <w:rPr>
                <w:sz w:val="1"/>
                <w:szCs w:val="1"/>
                <w:color w:val="auto"/>
              </w:rPr>
            </w:pPr>
          </w:p>
        </w:tc>
        <w:tc>
          <w:tcPr>
            <w:tcW w:w="2700" w:type="dxa"/>
            <w:vAlign w:val="bottom"/>
            <w:gridSpan w:val="11"/>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2.28.</w:t>
            </w:r>
          </w:p>
        </w:tc>
        <w:tc>
          <w:tcPr>
            <w:tcW w:w="9220" w:type="dxa"/>
            <w:vAlign w:val="bottom"/>
            <w:gridSpan w:val="23"/>
          </w:tcPr>
          <w:p>
            <w:pPr>
              <w:spacing w:after="0" w:line="196" w:lineRule="exact"/>
              <w:rPr>
                <w:sz w:val="20"/>
                <w:szCs w:val="20"/>
                <w:color w:val="auto"/>
              </w:rPr>
            </w:pPr>
            <w:r>
              <w:rPr>
                <w:rFonts w:ascii="Arial" w:cs="Arial" w:eastAsia="Arial" w:hAnsi="Arial"/>
                <w:sz w:val="18"/>
                <w:szCs w:val="18"/>
                <w:color w:val="auto"/>
              </w:rPr>
              <w:t>Extension of Term Loans; Extension of the Revolving Facility.</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gridSpan w:val="4"/>
          </w:tcPr>
          <w:p>
            <w:pPr>
              <w:jc w:val="center"/>
              <w:ind w:right="3340"/>
              <w:spacing w:after="0"/>
              <w:rPr>
                <w:sz w:val="20"/>
                <w:szCs w:val="20"/>
                <w:color w:val="auto"/>
              </w:rPr>
            </w:pPr>
            <w:r>
              <w:rPr>
                <w:rFonts w:ascii="Arial" w:cs="Arial" w:eastAsia="Arial" w:hAnsi="Arial"/>
                <w:sz w:val="18"/>
                <w:szCs w:val="18"/>
                <w:color w:val="auto"/>
              </w:rPr>
              <w:t>Article III</w:t>
            </w:r>
          </w:p>
        </w:tc>
        <w:tc>
          <w:tcPr>
            <w:tcW w:w="1920" w:type="dxa"/>
            <w:vAlign w:val="bottom"/>
          </w:tcPr>
          <w:p>
            <w:pPr>
              <w:spacing w:after="0"/>
              <w:rPr>
                <w:sz w:val="20"/>
                <w:szCs w:val="20"/>
                <w:color w:val="auto"/>
              </w:rPr>
            </w:pPr>
          </w:p>
        </w:tc>
      </w:tr>
      <w:tr>
        <w:trPr>
          <w:trHeight w:val="324"/>
        </w:trPr>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11"/>
          </w:tcPr>
          <w:p>
            <w:pPr>
              <w:jc w:val="center"/>
              <w:ind w:right="2020"/>
              <w:spacing w:after="0"/>
              <w:rPr>
                <w:sz w:val="20"/>
                <w:szCs w:val="20"/>
                <w:color w:val="auto"/>
              </w:rPr>
            </w:pPr>
            <w:r>
              <w:rPr>
                <w:rFonts w:ascii="Arial" w:cs="Arial" w:eastAsia="Arial" w:hAnsi="Arial"/>
                <w:sz w:val="18"/>
                <w:szCs w:val="18"/>
                <w:color w:val="auto"/>
                <w:w w:val="95"/>
              </w:rPr>
              <w:t>REPRESENTATIONS AND WARRANTIES</w:t>
            </w:r>
          </w:p>
        </w:tc>
        <w:tc>
          <w:tcPr>
            <w:tcW w:w="1920" w:type="dxa"/>
            <w:vAlign w:val="bottom"/>
          </w:tcPr>
          <w:p>
            <w:pPr>
              <w:spacing w:after="0"/>
              <w:rPr>
                <w:sz w:val="24"/>
                <w:szCs w:val="24"/>
                <w:color w:val="auto"/>
              </w:rPr>
            </w:pPr>
          </w:p>
        </w:tc>
      </w:tr>
      <w:tr>
        <w:trPr>
          <w:trHeight w:val="284"/>
        </w:trPr>
        <w:tc>
          <w:tcPr>
            <w:tcW w:w="1800" w:type="dxa"/>
            <w:vAlign w:val="bottom"/>
          </w:tcPr>
          <w:p>
            <w:pPr>
              <w:spacing w:after="0"/>
              <w:rPr>
                <w:sz w:val="20"/>
                <w:szCs w:val="20"/>
                <w:color w:val="auto"/>
              </w:rPr>
            </w:pPr>
            <w:r>
              <w:rPr>
                <w:rFonts w:ascii="Arial" w:cs="Arial" w:eastAsia="Arial" w:hAnsi="Arial"/>
                <w:sz w:val="18"/>
                <w:szCs w:val="18"/>
                <w:color w:val="auto"/>
              </w:rPr>
              <w:t>SECTION 3.01.</w:t>
            </w:r>
          </w:p>
        </w:tc>
        <w:tc>
          <w:tcPr>
            <w:tcW w:w="7600" w:type="dxa"/>
            <w:vAlign w:val="bottom"/>
            <w:gridSpan w:val="28"/>
          </w:tcPr>
          <w:p>
            <w:pPr>
              <w:spacing w:after="0"/>
              <w:rPr>
                <w:sz w:val="20"/>
                <w:szCs w:val="20"/>
                <w:color w:val="auto"/>
              </w:rPr>
            </w:pPr>
            <w:r>
              <w:rPr>
                <w:rFonts w:ascii="Arial" w:cs="Arial" w:eastAsia="Arial" w:hAnsi="Arial"/>
                <w:sz w:val="18"/>
                <w:szCs w:val="18"/>
                <w:color w:val="auto"/>
              </w:rPr>
              <w:t>Organization and Authority.</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3.02.</w:t>
            </w:r>
          </w:p>
        </w:tc>
        <w:tc>
          <w:tcPr>
            <w:tcW w:w="198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Air Carrier Status.</w:t>
            </w:r>
          </w:p>
        </w:tc>
        <w:tc>
          <w:tcPr>
            <w:tcW w:w="5620" w:type="dxa"/>
            <w:vAlign w:val="bottom"/>
            <w:gridSpan w:val="1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3.03.</w:t>
            </w:r>
          </w:p>
        </w:tc>
        <w:tc>
          <w:tcPr>
            <w:tcW w:w="128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Due Execution.</w:t>
            </w:r>
          </w:p>
        </w:tc>
        <w:tc>
          <w:tcPr>
            <w:tcW w:w="6320" w:type="dxa"/>
            <w:vAlign w:val="bottom"/>
            <w:gridSpan w:val="2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3.04.</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Statements Made.</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3.05.</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Financial Statements; Material Adverse Change.</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3.06.</w:t>
            </w:r>
          </w:p>
        </w:tc>
        <w:tc>
          <w:tcPr>
            <w:tcW w:w="344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Ownership of Subsidiaries.</w:t>
            </w:r>
          </w:p>
        </w:tc>
        <w:tc>
          <w:tcPr>
            <w:tcW w:w="4160" w:type="dxa"/>
            <w:vAlign w:val="bottom"/>
            <w:gridSpan w:val="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3.07.</w:t>
            </w:r>
          </w:p>
        </w:tc>
        <w:tc>
          <w:tcPr>
            <w:tcW w:w="190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Liens.</w:t>
            </w:r>
          </w:p>
        </w:tc>
        <w:tc>
          <w:tcPr>
            <w:tcW w:w="5700" w:type="dxa"/>
            <w:vAlign w:val="bottom"/>
            <w:gridSpan w:val="1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3.08.</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Use of Proceeds.</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3.09.</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Litigation and Compliance with Laws.</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3.10.</w:t>
            </w:r>
          </w:p>
        </w:tc>
        <w:tc>
          <w:tcPr>
            <w:tcW w:w="272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Slots.</w:t>
            </w:r>
          </w:p>
        </w:tc>
        <w:tc>
          <w:tcPr>
            <w:tcW w:w="4880" w:type="dxa"/>
            <w:vAlign w:val="bottom"/>
            <w:gridSpan w:val="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3.11.</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Routes.</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3.12.</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Margin Regulations; Investment Company Act.</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3.13.</w:t>
            </w:r>
          </w:p>
        </w:tc>
        <w:tc>
          <w:tcPr>
            <w:tcW w:w="336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rPr>
              <w:t>Holding of Collateral.</w:t>
            </w:r>
          </w:p>
        </w:tc>
        <w:tc>
          <w:tcPr>
            <w:tcW w:w="4240" w:type="dxa"/>
            <w:vAlign w:val="bottom"/>
            <w:gridSpan w:val="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3.14.</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Perfected Security Interests.</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3.15.</w:t>
            </w:r>
          </w:p>
        </w:tc>
        <w:tc>
          <w:tcPr>
            <w:tcW w:w="1960" w:type="dxa"/>
            <w:vAlign w:val="bottom"/>
            <w:tcBorders>
              <w:top w:val="single" w:sz="8" w:color="auto"/>
            </w:tcBorders>
            <w:gridSpan w:val="15"/>
          </w:tcPr>
          <w:p>
            <w:pPr>
              <w:spacing w:after="0" w:line="196" w:lineRule="exact"/>
              <w:rPr>
                <w:sz w:val="20"/>
                <w:szCs w:val="20"/>
                <w:color w:val="auto"/>
              </w:rPr>
            </w:pPr>
            <w:r>
              <w:rPr>
                <w:rFonts w:ascii="Arial" w:cs="Arial" w:eastAsia="Arial" w:hAnsi="Arial"/>
                <w:sz w:val="18"/>
                <w:szCs w:val="18"/>
                <w:color w:val="auto"/>
              </w:rPr>
              <w:t>Payment of Taxes.</w:t>
            </w:r>
          </w:p>
        </w:tc>
        <w:tc>
          <w:tcPr>
            <w:tcW w:w="5640" w:type="dxa"/>
            <w:vAlign w:val="bottom"/>
            <w:gridSpan w:val="1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3.16.</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No Unlawful Payments.</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3.17.</w:t>
            </w:r>
          </w:p>
        </w:tc>
        <w:tc>
          <w:tcPr>
            <w:tcW w:w="168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OFAC.</w:t>
            </w:r>
          </w:p>
        </w:tc>
        <w:tc>
          <w:tcPr>
            <w:tcW w:w="5920" w:type="dxa"/>
            <w:vAlign w:val="bottom"/>
            <w:gridSpan w:val="1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3.18.</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Compliance with Anti-Money Laundering Laws.</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3.19.</w:t>
            </w:r>
          </w:p>
        </w:tc>
        <w:tc>
          <w:tcPr>
            <w:tcW w:w="346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Solvency.</w:t>
            </w:r>
          </w:p>
        </w:tc>
        <w:tc>
          <w:tcPr>
            <w:tcW w:w="414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345"/>
        </w:trPr>
        <w:tc>
          <w:tcPr>
            <w:tcW w:w="18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4"/>
          </w:tcPr>
          <w:p>
            <w:pPr>
              <w:jc w:val="center"/>
              <w:ind w:right="3320"/>
              <w:spacing w:after="0"/>
              <w:rPr>
                <w:sz w:val="20"/>
                <w:szCs w:val="20"/>
                <w:color w:val="auto"/>
              </w:rPr>
            </w:pPr>
            <w:r>
              <w:rPr>
                <w:rFonts w:ascii="Arial" w:cs="Arial" w:eastAsia="Arial" w:hAnsi="Arial"/>
                <w:sz w:val="18"/>
                <w:szCs w:val="18"/>
                <w:color w:val="auto"/>
              </w:rPr>
              <w:t>Article IV</w:t>
            </w:r>
          </w:p>
        </w:tc>
        <w:tc>
          <w:tcPr>
            <w:tcW w:w="1920" w:type="dxa"/>
            <w:vAlign w:val="bottom"/>
          </w:tcPr>
          <w:p>
            <w:pPr>
              <w:spacing w:after="0"/>
              <w:rPr>
                <w:sz w:val="24"/>
                <w:szCs w:val="24"/>
                <w:color w:val="auto"/>
              </w:rPr>
            </w:pPr>
          </w:p>
        </w:tc>
      </w:tr>
      <w:tr>
        <w:trPr>
          <w:trHeight w:val="324"/>
        </w:trPr>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gridSpan w:val="8"/>
          </w:tcPr>
          <w:p>
            <w:pPr>
              <w:jc w:val="center"/>
              <w:ind w:right="2580"/>
              <w:spacing w:after="0"/>
              <w:rPr>
                <w:sz w:val="20"/>
                <w:szCs w:val="20"/>
                <w:color w:val="auto"/>
              </w:rPr>
            </w:pPr>
            <w:r>
              <w:rPr>
                <w:rFonts w:ascii="Arial" w:cs="Arial" w:eastAsia="Arial" w:hAnsi="Arial"/>
                <w:sz w:val="18"/>
                <w:szCs w:val="18"/>
                <w:color w:val="auto"/>
                <w:w w:val="97"/>
              </w:rPr>
              <w:t>CONDITIONS OF LENDING</w:t>
            </w:r>
          </w:p>
        </w:tc>
        <w:tc>
          <w:tcPr>
            <w:tcW w:w="1920" w:type="dxa"/>
            <w:vAlign w:val="bottom"/>
          </w:tcPr>
          <w:p>
            <w:pPr>
              <w:spacing w:after="0"/>
              <w:rPr>
                <w:sz w:val="24"/>
                <w:szCs w:val="24"/>
                <w:color w:val="auto"/>
              </w:rPr>
            </w:pPr>
          </w:p>
        </w:tc>
      </w:tr>
      <w:tr>
        <w:trPr>
          <w:trHeight w:val="284"/>
        </w:trPr>
        <w:tc>
          <w:tcPr>
            <w:tcW w:w="1800" w:type="dxa"/>
            <w:vAlign w:val="bottom"/>
          </w:tcPr>
          <w:p>
            <w:pPr>
              <w:spacing w:after="0"/>
              <w:rPr>
                <w:sz w:val="20"/>
                <w:szCs w:val="20"/>
                <w:color w:val="auto"/>
              </w:rPr>
            </w:pPr>
            <w:r>
              <w:rPr>
                <w:rFonts w:ascii="Arial" w:cs="Arial" w:eastAsia="Arial" w:hAnsi="Arial"/>
                <w:sz w:val="18"/>
                <w:szCs w:val="18"/>
                <w:color w:val="auto"/>
              </w:rPr>
              <w:t>SECTION 4.01.</w:t>
            </w:r>
          </w:p>
        </w:tc>
        <w:tc>
          <w:tcPr>
            <w:tcW w:w="7600" w:type="dxa"/>
            <w:vAlign w:val="bottom"/>
            <w:gridSpan w:val="28"/>
          </w:tcPr>
          <w:p>
            <w:pPr>
              <w:spacing w:after="0"/>
              <w:rPr>
                <w:sz w:val="20"/>
                <w:szCs w:val="20"/>
                <w:color w:val="auto"/>
              </w:rPr>
            </w:pPr>
            <w:r>
              <w:rPr>
                <w:rFonts w:ascii="Arial" w:cs="Arial" w:eastAsia="Arial" w:hAnsi="Arial"/>
                <w:sz w:val="18"/>
                <w:szCs w:val="18"/>
                <w:color w:val="auto"/>
              </w:rPr>
              <w:t>Conditions Precedent to Closing.</w:t>
            </w:r>
          </w:p>
        </w:tc>
        <w:tc>
          <w:tcPr>
            <w:tcW w:w="19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tcBorders>
              <w:left w:val="single" w:sz="8" w:color="auto"/>
            </w:tcBorders>
            <w:gridSpan w:val="7"/>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4.02.</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Conditions Precedent to Each Loan and Each Letter of Credit.</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345"/>
        </w:trPr>
        <w:tc>
          <w:tcPr>
            <w:tcW w:w="18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rPr>
              <w:t>Article V</w:t>
            </w:r>
          </w:p>
        </w:tc>
        <w:tc>
          <w:tcPr>
            <w:tcW w:w="3180" w:type="dxa"/>
            <w:vAlign w:val="bottom"/>
            <w:gridSpan w:val="2"/>
          </w:tcPr>
          <w:p>
            <w:pPr>
              <w:spacing w:after="0"/>
              <w:rPr>
                <w:sz w:val="24"/>
                <w:szCs w:val="24"/>
                <w:color w:val="auto"/>
              </w:rPr>
            </w:pPr>
          </w:p>
        </w:tc>
        <w:tc>
          <w:tcPr>
            <w:tcW w:w="1920" w:type="dxa"/>
            <w:vAlign w:val="bottom"/>
          </w:tcPr>
          <w:p>
            <w:pPr>
              <w:spacing w:after="0"/>
              <w:rPr>
                <w:sz w:val="24"/>
                <w:szCs w:val="24"/>
                <w:color w:val="auto"/>
              </w:rPr>
            </w:pPr>
          </w:p>
        </w:tc>
      </w:tr>
      <w:tr>
        <w:trPr>
          <w:trHeight w:val="324"/>
        </w:trPr>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gridSpan w:val="9"/>
          </w:tcPr>
          <w:p>
            <w:pPr>
              <w:jc w:val="center"/>
              <w:ind w:right="2320"/>
              <w:spacing w:after="0"/>
              <w:rPr>
                <w:sz w:val="20"/>
                <w:szCs w:val="20"/>
                <w:color w:val="auto"/>
              </w:rPr>
            </w:pPr>
            <w:r>
              <w:rPr>
                <w:rFonts w:ascii="Arial" w:cs="Arial" w:eastAsia="Arial" w:hAnsi="Arial"/>
                <w:sz w:val="18"/>
                <w:szCs w:val="18"/>
                <w:color w:val="auto"/>
                <w:w w:val="98"/>
              </w:rPr>
              <w:t>AFFIRMATIVE COVENANTS</w:t>
            </w:r>
          </w:p>
        </w:tc>
        <w:tc>
          <w:tcPr>
            <w:tcW w:w="1920" w:type="dxa"/>
            <w:vAlign w:val="bottom"/>
          </w:tcPr>
          <w:p>
            <w:pPr>
              <w:spacing w:after="0"/>
              <w:rPr>
                <w:sz w:val="24"/>
                <w:szCs w:val="24"/>
                <w:color w:val="auto"/>
              </w:rPr>
            </w:pPr>
          </w:p>
        </w:tc>
      </w:tr>
      <w:tr>
        <w:trPr>
          <w:trHeight w:val="284"/>
        </w:trPr>
        <w:tc>
          <w:tcPr>
            <w:tcW w:w="1800" w:type="dxa"/>
            <w:vAlign w:val="bottom"/>
          </w:tcPr>
          <w:p>
            <w:pPr>
              <w:spacing w:after="0"/>
              <w:rPr>
                <w:sz w:val="20"/>
                <w:szCs w:val="20"/>
                <w:color w:val="auto"/>
              </w:rPr>
            </w:pPr>
            <w:r>
              <w:rPr>
                <w:rFonts w:ascii="Arial" w:cs="Arial" w:eastAsia="Arial" w:hAnsi="Arial"/>
                <w:sz w:val="18"/>
                <w:szCs w:val="18"/>
                <w:color w:val="auto"/>
              </w:rPr>
              <w:t>SECTION 5.01.</w:t>
            </w:r>
          </w:p>
        </w:tc>
        <w:tc>
          <w:tcPr>
            <w:tcW w:w="7600" w:type="dxa"/>
            <w:vAlign w:val="bottom"/>
            <w:gridSpan w:val="28"/>
          </w:tcPr>
          <w:p>
            <w:pPr>
              <w:spacing w:after="0"/>
              <w:rPr>
                <w:sz w:val="20"/>
                <w:szCs w:val="20"/>
                <w:color w:val="auto"/>
              </w:rPr>
            </w:pPr>
            <w:r>
              <w:rPr>
                <w:rFonts w:ascii="Arial" w:cs="Arial" w:eastAsia="Arial" w:hAnsi="Arial"/>
                <w:sz w:val="18"/>
                <w:szCs w:val="18"/>
                <w:color w:val="auto"/>
              </w:rPr>
              <w:t>Financial Statements, Reports, etc.</w:t>
            </w:r>
          </w:p>
        </w:tc>
        <w:tc>
          <w:tcPr>
            <w:tcW w:w="19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5.02.</w:t>
            </w:r>
          </w:p>
        </w:tc>
        <w:tc>
          <w:tcPr>
            <w:tcW w:w="244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Taxes.</w:t>
            </w:r>
          </w:p>
        </w:tc>
        <w:tc>
          <w:tcPr>
            <w:tcW w:w="5160" w:type="dxa"/>
            <w:vAlign w:val="bottom"/>
            <w:gridSpan w:val="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tcBorders>
              <w:left w:val="single" w:sz="8" w:color="auto"/>
            </w:tcBorders>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5.03.</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Corporate Existence.</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1800" w:type="dxa"/>
            <w:vAlign w:val="bottom"/>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5.04.</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Compliance with Laws.</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1800" w:type="dxa"/>
            <w:vAlign w:val="bottom"/>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5.05.</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Designation of Restricted and Unrestricted Subsidiaries.</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5.06.</w:t>
            </w:r>
          </w:p>
        </w:tc>
        <w:tc>
          <w:tcPr>
            <w:tcW w:w="400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Delivery of Appraisals.</w:t>
            </w:r>
          </w:p>
        </w:tc>
        <w:tc>
          <w:tcPr>
            <w:tcW w:w="360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1800" w:type="dxa"/>
            <w:vAlign w:val="bottom"/>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5.07.</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Regulatory Matters; Utilization; Reporting.</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5.08.</w:t>
            </w:r>
          </w:p>
        </w:tc>
        <w:tc>
          <w:tcPr>
            <w:tcW w:w="306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rPr>
              <w:t>Maintenance of Ratings.</w:t>
            </w:r>
          </w:p>
        </w:tc>
        <w:tc>
          <w:tcPr>
            <w:tcW w:w="4540" w:type="dxa"/>
            <w:vAlign w:val="bottom"/>
            <w:gridSpan w:val="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1800" w:type="dxa"/>
            <w:vAlign w:val="bottom"/>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760" w:type="dxa"/>
            <w:vAlign w:val="bottom"/>
            <w:gridSpan w:val="1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5.09.</w:t>
            </w: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Additional Guarantors; Additional South American Service; Additional Collateral.</w:t>
            </w: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5.10.</w:t>
            </w:r>
          </w:p>
        </w:tc>
        <w:tc>
          <w:tcPr>
            <w:tcW w:w="5900" w:type="dxa"/>
            <w:vAlign w:val="bottom"/>
            <w:tcBorders>
              <w:top w:val="single" w:sz="8" w:color="auto"/>
            </w:tcBorders>
            <w:gridSpan w:val="27"/>
          </w:tcPr>
          <w:p>
            <w:pPr>
              <w:spacing w:after="0" w:line="196" w:lineRule="exact"/>
              <w:rPr>
                <w:sz w:val="20"/>
                <w:szCs w:val="20"/>
                <w:color w:val="auto"/>
              </w:rPr>
            </w:pPr>
            <w:r>
              <w:rPr>
                <w:rFonts w:ascii="Arial" w:cs="Arial" w:eastAsia="Arial" w:hAnsi="Arial"/>
                <w:sz w:val="18"/>
                <w:szCs w:val="18"/>
                <w:color w:val="auto"/>
              </w:rPr>
              <w:t>Access to Books and Records.</w:t>
            </w:r>
          </w:p>
        </w:tc>
        <w:tc>
          <w:tcPr>
            <w:tcW w:w="17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rPr>
              <w:t>SECTION 5.11.</w:t>
            </w:r>
          </w:p>
        </w:tc>
        <w:tc>
          <w:tcPr>
            <w:tcW w:w="214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Further Assurances.</w:t>
            </w:r>
          </w:p>
        </w:tc>
        <w:tc>
          <w:tcPr>
            <w:tcW w:w="5460" w:type="dxa"/>
            <w:vAlign w:val="bottom"/>
            <w:gridSpan w:val="1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gridSpan w:val="2"/>
          </w:tcPr>
          <w:p>
            <w:pPr>
              <w:jc w:val="center"/>
              <w:ind w:right="3660"/>
              <w:spacing w:after="0"/>
              <w:rPr>
                <w:sz w:val="20"/>
                <w:szCs w:val="20"/>
                <w:color w:val="auto"/>
              </w:rPr>
            </w:pPr>
            <w:r>
              <w:rPr>
                <w:rFonts w:ascii="Arial" w:cs="Arial" w:eastAsia="Arial" w:hAnsi="Arial"/>
                <w:sz w:val="18"/>
                <w:szCs w:val="18"/>
                <w:color w:val="auto"/>
              </w:rPr>
              <w:t>Article VI</w:t>
            </w:r>
          </w:p>
        </w:tc>
        <w:tc>
          <w:tcPr>
            <w:tcW w:w="1140" w:type="dxa"/>
            <w:vAlign w:val="bottom"/>
          </w:tcPr>
          <w:p>
            <w:pPr>
              <w:spacing w:after="0"/>
              <w:rPr>
                <w:sz w:val="20"/>
                <w:szCs w:val="20"/>
                <w:color w:val="auto"/>
              </w:rPr>
            </w:pPr>
          </w:p>
        </w:tc>
      </w:tr>
      <w:tr>
        <w:trPr>
          <w:trHeight w:val="324"/>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gridSpan w:val="6"/>
          </w:tcPr>
          <w:p>
            <w:pPr>
              <w:jc w:val="center"/>
              <w:ind w:right="2760"/>
              <w:spacing w:after="0"/>
              <w:rPr>
                <w:sz w:val="20"/>
                <w:szCs w:val="20"/>
                <w:color w:val="auto"/>
              </w:rPr>
            </w:pPr>
            <w:r>
              <w:rPr>
                <w:rFonts w:ascii="Arial" w:cs="Arial" w:eastAsia="Arial" w:hAnsi="Arial"/>
                <w:sz w:val="18"/>
                <w:szCs w:val="18"/>
                <w:color w:val="auto"/>
                <w:w w:val="99"/>
              </w:rPr>
              <w:t>NEGATIVE AND FINANCIAL COVENANTS</w:t>
            </w:r>
          </w:p>
        </w:tc>
        <w:tc>
          <w:tcPr>
            <w:tcW w:w="114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6.01.</w:t>
            </w:r>
          </w:p>
        </w:tc>
        <w:tc>
          <w:tcPr>
            <w:tcW w:w="8280" w:type="dxa"/>
            <w:vAlign w:val="bottom"/>
            <w:gridSpan w:val="24"/>
          </w:tcPr>
          <w:p>
            <w:pPr>
              <w:spacing w:after="0"/>
              <w:rPr>
                <w:sz w:val="20"/>
                <w:szCs w:val="20"/>
                <w:color w:val="auto"/>
              </w:rPr>
            </w:pPr>
            <w:r>
              <w:rPr>
                <w:rFonts w:ascii="Arial" w:cs="Arial" w:eastAsia="Arial" w:hAnsi="Arial"/>
                <w:sz w:val="18"/>
                <w:szCs w:val="18"/>
                <w:color w:val="auto"/>
              </w:rPr>
              <w:t>Restricted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6.02.</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Restrictions on Ability of Restricted Subsidiaries to Pay Dividends and Make Certain Other Payments.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6.03.</w:t>
            </w:r>
          </w:p>
        </w:tc>
        <w:tc>
          <w:tcPr>
            <w:tcW w:w="736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[Reserved].</w:t>
            </w:r>
          </w:p>
        </w:tc>
        <w:tc>
          <w:tcPr>
            <w:tcW w:w="9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20"/>
        </w:trPr>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6.04.</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Disposition of Collateral.</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20"/>
        </w:trPr>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6.05.</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Transactions with Affiliates.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6.06.</w:t>
            </w:r>
          </w:p>
        </w:tc>
        <w:tc>
          <w:tcPr>
            <w:tcW w:w="200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Liens.</w:t>
            </w:r>
          </w:p>
        </w:tc>
        <w:tc>
          <w:tcPr>
            <w:tcW w:w="628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6.07.</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Business Activities.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6.08.</w:t>
            </w:r>
          </w:p>
        </w:tc>
        <w:tc>
          <w:tcPr>
            <w:tcW w:w="140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rPr>
              <w:t>Liquidity.</w:t>
            </w:r>
          </w:p>
        </w:tc>
        <w:tc>
          <w:tcPr>
            <w:tcW w:w="6880" w:type="dxa"/>
            <w:vAlign w:val="bottom"/>
            <w:gridSpan w:val="1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19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6.09.</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Collateral Coverage Ratio.</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19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6.10.</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Merger, Consolidation, or Sale of Assets.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345"/>
        </w:trPr>
        <w:tc>
          <w:tcPr>
            <w:tcW w:w="19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360" w:type="dxa"/>
            <w:vAlign w:val="bottom"/>
            <w:gridSpan w:val="2"/>
          </w:tcPr>
          <w:p>
            <w:pPr>
              <w:jc w:val="center"/>
              <w:ind w:right="3680"/>
              <w:spacing w:after="0"/>
              <w:rPr>
                <w:sz w:val="20"/>
                <w:szCs w:val="20"/>
                <w:color w:val="auto"/>
              </w:rPr>
            </w:pPr>
            <w:r>
              <w:rPr>
                <w:rFonts w:ascii="Arial" w:cs="Arial" w:eastAsia="Arial" w:hAnsi="Arial"/>
                <w:sz w:val="18"/>
                <w:szCs w:val="18"/>
                <w:color w:val="auto"/>
              </w:rPr>
              <w:t>Article VII</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3"/>
          </w:tcPr>
          <w:p>
            <w:pPr>
              <w:jc w:val="center"/>
              <w:ind w:right="3400"/>
              <w:spacing w:after="0"/>
              <w:rPr>
                <w:sz w:val="20"/>
                <w:szCs w:val="20"/>
                <w:color w:val="auto"/>
              </w:rPr>
            </w:pPr>
            <w:r>
              <w:rPr>
                <w:rFonts w:ascii="Arial" w:cs="Arial" w:eastAsia="Arial" w:hAnsi="Arial"/>
                <w:sz w:val="18"/>
                <w:szCs w:val="18"/>
                <w:color w:val="auto"/>
                <w:w w:val="95"/>
              </w:rPr>
              <w:t>EVENTS OF DEFAULT</w:t>
            </w:r>
          </w:p>
        </w:tc>
        <w:tc>
          <w:tcPr>
            <w:tcW w:w="114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7.01.</w:t>
            </w:r>
          </w:p>
        </w:tc>
        <w:tc>
          <w:tcPr>
            <w:tcW w:w="8280" w:type="dxa"/>
            <w:vAlign w:val="bottom"/>
            <w:gridSpan w:val="24"/>
          </w:tcPr>
          <w:p>
            <w:pPr>
              <w:spacing w:after="0"/>
              <w:rPr>
                <w:sz w:val="20"/>
                <w:szCs w:val="20"/>
                <w:color w:val="auto"/>
              </w:rPr>
            </w:pPr>
            <w:r>
              <w:rPr>
                <w:rFonts w:ascii="Arial" w:cs="Arial" w:eastAsia="Arial" w:hAnsi="Arial"/>
                <w:sz w:val="18"/>
                <w:szCs w:val="18"/>
                <w:color w:val="auto"/>
              </w:rPr>
              <w:t>Events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45"/>
        </w:trPr>
        <w:tc>
          <w:tcPr>
            <w:tcW w:w="19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60" w:type="dxa"/>
            <w:vAlign w:val="bottom"/>
            <w:gridSpan w:val="2"/>
          </w:tcPr>
          <w:p>
            <w:pPr>
              <w:jc w:val="center"/>
              <w:ind w:right="3660"/>
              <w:spacing w:after="0"/>
              <w:rPr>
                <w:sz w:val="20"/>
                <w:szCs w:val="20"/>
                <w:color w:val="auto"/>
              </w:rPr>
            </w:pPr>
            <w:r>
              <w:rPr>
                <w:rFonts w:ascii="Arial" w:cs="Arial" w:eastAsia="Arial" w:hAnsi="Arial"/>
                <w:sz w:val="18"/>
                <w:szCs w:val="18"/>
                <w:color w:val="auto"/>
              </w:rPr>
              <w:t>Article VIII</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60" w:type="dxa"/>
            <w:vAlign w:val="bottom"/>
            <w:gridSpan w:val="2"/>
          </w:tcPr>
          <w:p>
            <w:pPr>
              <w:jc w:val="center"/>
              <w:ind w:right="3660"/>
              <w:spacing w:after="0"/>
              <w:rPr>
                <w:sz w:val="20"/>
                <w:szCs w:val="20"/>
                <w:color w:val="auto"/>
              </w:rPr>
            </w:pPr>
            <w:r>
              <w:rPr>
                <w:rFonts w:ascii="Arial" w:cs="Arial" w:eastAsia="Arial" w:hAnsi="Arial"/>
                <w:sz w:val="18"/>
                <w:szCs w:val="18"/>
                <w:color w:val="auto"/>
                <w:w w:val="95"/>
              </w:rPr>
              <w:t>THE AGENTS</w:t>
            </w:r>
          </w:p>
        </w:tc>
        <w:tc>
          <w:tcPr>
            <w:tcW w:w="114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8.01.</w:t>
            </w:r>
          </w:p>
        </w:tc>
        <w:tc>
          <w:tcPr>
            <w:tcW w:w="8280" w:type="dxa"/>
            <w:vAlign w:val="bottom"/>
            <w:gridSpan w:val="24"/>
          </w:tcPr>
          <w:p>
            <w:pPr>
              <w:spacing w:after="0"/>
              <w:rPr>
                <w:sz w:val="20"/>
                <w:szCs w:val="20"/>
                <w:color w:val="auto"/>
              </w:rPr>
            </w:pPr>
            <w:r>
              <w:rPr>
                <w:rFonts w:ascii="Arial" w:cs="Arial" w:eastAsia="Arial" w:hAnsi="Arial"/>
                <w:sz w:val="18"/>
                <w:szCs w:val="18"/>
                <w:color w:val="auto"/>
              </w:rPr>
              <w:t>Administration by Agents.</w:t>
            </w: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8.02.</w:t>
            </w:r>
          </w:p>
        </w:tc>
        <w:tc>
          <w:tcPr>
            <w:tcW w:w="188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Rights of Agents.</w:t>
            </w:r>
          </w:p>
        </w:tc>
        <w:tc>
          <w:tcPr>
            <w:tcW w:w="640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20"/>
        </w:trPr>
        <w:tc>
          <w:tcPr>
            <w:tcW w:w="19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8.03.</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Liability of Agents.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20"/>
        </w:trPr>
        <w:tc>
          <w:tcPr>
            <w:tcW w:w="19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8.04.</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Reimbursement and Indemnification.</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8.05.</w:t>
            </w:r>
          </w:p>
        </w:tc>
        <w:tc>
          <w:tcPr>
            <w:tcW w:w="264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rPr>
              <w:t>Successor Agents.</w:t>
            </w:r>
          </w:p>
        </w:tc>
        <w:tc>
          <w:tcPr>
            <w:tcW w:w="564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20"/>
        </w:trPr>
        <w:tc>
          <w:tcPr>
            <w:tcW w:w="19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8.06.</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Independent Lenders.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20"/>
        </w:trPr>
        <w:tc>
          <w:tcPr>
            <w:tcW w:w="19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8.07.</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Advances and Payments.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8.08.</w:t>
            </w:r>
          </w:p>
        </w:tc>
        <w:tc>
          <w:tcPr>
            <w:tcW w:w="178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Sharing of Setoffs.</w:t>
            </w:r>
          </w:p>
        </w:tc>
        <w:tc>
          <w:tcPr>
            <w:tcW w:w="6500" w:type="dxa"/>
            <w:vAlign w:val="bottom"/>
            <w:gridSpan w:val="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20"/>
        </w:trPr>
        <w:tc>
          <w:tcPr>
            <w:tcW w:w="19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8.09.</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Withholding Taxes.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19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8.10.</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Appointment by Secured Parties.</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8.11.</w:t>
            </w:r>
          </w:p>
        </w:tc>
        <w:tc>
          <w:tcPr>
            <w:tcW w:w="234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Delivery of Information.</w:t>
            </w:r>
          </w:p>
        </w:tc>
        <w:tc>
          <w:tcPr>
            <w:tcW w:w="5940" w:type="dxa"/>
            <w:vAlign w:val="bottom"/>
            <w:gridSpan w:val="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345"/>
        </w:trPr>
        <w:tc>
          <w:tcPr>
            <w:tcW w:w="19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60" w:type="dxa"/>
            <w:vAlign w:val="bottom"/>
            <w:gridSpan w:val="2"/>
          </w:tcPr>
          <w:p>
            <w:pPr>
              <w:jc w:val="center"/>
              <w:ind w:right="3660"/>
              <w:spacing w:after="0"/>
              <w:rPr>
                <w:sz w:val="20"/>
                <w:szCs w:val="20"/>
                <w:color w:val="auto"/>
              </w:rPr>
            </w:pPr>
            <w:r>
              <w:rPr>
                <w:rFonts w:ascii="Arial" w:cs="Arial" w:eastAsia="Arial" w:hAnsi="Arial"/>
                <w:sz w:val="18"/>
                <w:szCs w:val="18"/>
                <w:color w:val="auto"/>
              </w:rPr>
              <w:t>Article IX</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60" w:type="dxa"/>
            <w:vAlign w:val="bottom"/>
            <w:gridSpan w:val="2"/>
          </w:tcPr>
          <w:p>
            <w:pPr>
              <w:jc w:val="center"/>
              <w:ind w:right="3660"/>
              <w:spacing w:after="0"/>
              <w:rPr>
                <w:sz w:val="20"/>
                <w:szCs w:val="20"/>
                <w:color w:val="auto"/>
              </w:rPr>
            </w:pPr>
            <w:r>
              <w:rPr>
                <w:rFonts w:ascii="Arial" w:cs="Arial" w:eastAsia="Arial" w:hAnsi="Arial"/>
                <w:sz w:val="18"/>
                <w:szCs w:val="18"/>
                <w:color w:val="auto"/>
              </w:rPr>
              <w:t>GUARANTY</w:t>
            </w:r>
          </w:p>
        </w:tc>
        <w:tc>
          <w:tcPr>
            <w:tcW w:w="114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9.01.</w:t>
            </w:r>
          </w:p>
        </w:tc>
        <w:tc>
          <w:tcPr>
            <w:tcW w:w="8280" w:type="dxa"/>
            <w:vAlign w:val="bottom"/>
            <w:gridSpan w:val="24"/>
          </w:tcPr>
          <w:p>
            <w:pPr>
              <w:spacing w:after="0"/>
              <w:rPr>
                <w:sz w:val="20"/>
                <w:szCs w:val="20"/>
                <w:color w:val="auto"/>
              </w:rPr>
            </w:pPr>
            <w:r>
              <w:rPr>
                <w:rFonts w:ascii="Arial" w:cs="Arial" w:eastAsia="Arial" w:hAnsi="Arial"/>
                <w:sz w:val="18"/>
                <w:szCs w:val="18"/>
                <w:color w:val="auto"/>
              </w:rPr>
              <w:t>Guaranty.</w:t>
            </w: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19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9.02.</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Right of Contribution.</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0"/>
        </w:trPr>
        <w:tc>
          <w:tcPr>
            <w:tcW w:w="1900" w:type="dxa"/>
            <w:vAlign w:val="bottom"/>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680" w:type="dxa"/>
            <w:vAlign w:val="bottom"/>
            <w:gridSpan w:val="9"/>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9.03.</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Continuation and Reinstatement, etc.</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9.04.</w:t>
            </w:r>
          </w:p>
        </w:tc>
        <w:tc>
          <w:tcPr>
            <w:tcW w:w="262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Subrogation.</w:t>
            </w:r>
          </w:p>
        </w:tc>
        <w:tc>
          <w:tcPr>
            <w:tcW w:w="566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0"/>
        </w:trPr>
        <w:tc>
          <w:tcPr>
            <w:tcW w:w="1900" w:type="dxa"/>
            <w:vAlign w:val="bottom"/>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9.05.</w:t>
            </w:r>
          </w:p>
        </w:tc>
        <w:tc>
          <w:tcPr>
            <w:tcW w:w="8280" w:type="dxa"/>
            <w:vAlign w:val="bottom"/>
            <w:gridSpan w:val="24"/>
          </w:tcPr>
          <w:p>
            <w:pPr>
              <w:spacing w:after="0" w:line="196" w:lineRule="exact"/>
              <w:rPr>
                <w:sz w:val="20"/>
                <w:szCs w:val="20"/>
                <w:color w:val="auto"/>
              </w:rPr>
            </w:pPr>
            <w:r>
              <w:rPr>
                <w:rFonts w:ascii="Arial" w:cs="Arial" w:eastAsia="Arial" w:hAnsi="Arial"/>
                <w:sz w:val="18"/>
                <w:szCs w:val="18"/>
                <w:color w:val="auto"/>
              </w:rPr>
              <w:t>Discharge of Guaranty.</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0"/>
        </w:trPr>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40" w:type="dxa"/>
            <w:vAlign w:val="bottom"/>
            <w:gridSpan w:val="4"/>
          </w:tcPr>
          <w:p>
            <w:pPr>
              <w:jc w:val="center"/>
              <w:ind w:right="2440"/>
              <w:spacing w:after="0"/>
              <w:rPr>
                <w:sz w:val="20"/>
                <w:szCs w:val="20"/>
                <w:color w:val="auto"/>
              </w:rPr>
            </w:pPr>
            <w:r>
              <w:rPr>
                <w:rFonts w:ascii="Arial" w:cs="Arial" w:eastAsia="Arial" w:hAnsi="Arial"/>
                <w:sz w:val="18"/>
                <w:szCs w:val="18"/>
                <w:color w:val="auto"/>
              </w:rPr>
              <w:t>Article X</w:t>
            </w:r>
          </w:p>
        </w:tc>
        <w:tc>
          <w:tcPr>
            <w:tcW w:w="2220" w:type="dxa"/>
            <w:vAlign w:val="bottom"/>
          </w:tcPr>
          <w:p>
            <w:pPr>
              <w:spacing w:after="0"/>
              <w:rPr>
                <w:sz w:val="20"/>
                <w:szCs w:val="20"/>
                <w:color w:val="auto"/>
              </w:rPr>
            </w:pPr>
          </w:p>
        </w:tc>
      </w:tr>
      <w:tr>
        <w:trPr>
          <w:trHeight w:val="324"/>
        </w:trPr>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gridSpan w:val="4"/>
          </w:tcPr>
          <w:p>
            <w:pPr>
              <w:jc w:val="center"/>
              <w:ind w:right="2420"/>
              <w:spacing w:after="0"/>
              <w:rPr>
                <w:sz w:val="20"/>
                <w:szCs w:val="20"/>
                <w:color w:val="auto"/>
              </w:rPr>
            </w:pPr>
            <w:r>
              <w:rPr>
                <w:rFonts w:ascii="Arial" w:cs="Arial" w:eastAsia="Arial" w:hAnsi="Arial"/>
                <w:sz w:val="18"/>
                <w:szCs w:val="18"/>
                <w:color w:val="auto"/>
                <w:w w:val="97"/>
              </w:rPr>
              <w:t>MISCELLANEOUS</w:t>
            </w:r>
          </w:p>
        </w:tc>
        <w:tc>
          <w:tcPr>
            <w:tcW w:w="2220" w:type="dxa"/>
            <w:vAlign w:val="bottom"/>
          </w:tcPr>
          <w:p>
            <w:pPr>
              <w:spacing w:after="0"/>
              <w:rPr>
                <w:sz w:val="24"/>
                <w:szCs w:val="24"/>
                <w:color w:val="auto"/>
              </w:rPr>
            </w:pPr>
          </w:p>
        </w:tc>
      </w:tr>
      <w:tr>
        <w:trPr>
          <w:trHeight w:val="284"/>
        </w:trPr>
        <w:tc>
          <w:tcPr>
            <w:tcW w:w="1480" w:type="dxa"/>
            <w:vAlign w:val="bottom"/>
          </w:tcPr>
          <w:p>
            <w:pPr>
              <w:spacing w:after="0"/>
              <w:rPr>
                <w:sz w:val="20"/>
                <w:szCs w:val="20"/>
                <w:color w:val="auto"/>
              </w:rPr>
            </w:pPr>
            <w:r>
              <w:rPr>
                <w:rFonts w:ascii="Arial" w:cs="Arial" w:eastAsia="Arial" w:hAnsi="Arial"/>
                <w:sz w:val="18"/>
                <w:szCs w:val="18"/>
                <w:color w:val="auto"/>
              </w:rPr>
              <w:t>SECTION 10.01.</w:t>
            </w:r>
          </w:p>
        </w:tc>
        <w:tc>
          <w:tcPr>
            <w:tcW w:w="420" w:type="dxa"/>
            <w:vAlign w:val="bottom"/>
          </w:tcPr>
          <w:p>
            <w:pPr>
              <w:spacing w:after="0"/>
              <w:rPr>
                <w:sz w:val="24"/>
                <w:szCs w:val="24"/>
                <w:color w:val="auto"/>
              </w:rPr>
            </w:pPr>
          </w:p>
        </w:tc>
        <w:tc>
          <w:tcPr>
            <w:tcW w:w="7200" w:type="dxa"/>
            <w:vAlign w:val="bottom"/>
            <w:gridSpan w:val="19"/>
          </w:tcPr>
          <w:p>
            <w:pPr>
              <w:spacing w:after="0"/>
              <w:rPr>
                <w:sz w:val="20"/>
                <w:szCs w:val="20"/>
                <w:color w:val="auto"/>
              </w:rPr>
            </w:pPr>
            <w:r>
              <w:rPr>
                <w:rFonts w:ascii="Arial" w:cs="Arial" w:eastAsia="Arial" w:hAnsi="Arial"/>
                <w:sz w:val="18"/>
                <w:szCs w:val="18"/>
                <w:color w:val="auto"/>
              </w:rPr>
              <w:t>Notices.</w:t>
            </w:r>
          </w:p>
        </w:tc>
        <w:tc>
          <w:tcPr>
            <w:tcW w:w="22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10.02.</w:t>
            </w:r>
          </w:p>
        </w:tc>
        <w:tc>
          <w:tcPr>
            <w:tcW w:w="420" w:type="dxa"/>
            <w:vAlign w:val="bottom"/>
          </w:tcPr>
          <w:p>
            <w:pPr>
              <w:spacing w:after="0"/>
              <w:rPr>
                <w:sz w:val="17"/>
                <w:szCs w:val="17"/>
                <w:color w:val="auto"/>
              </w:rPr>
            </w:pPr>
          </w:p>
        </w:tc>
        <w:tc>
          <w:tcPr>
            <w:tcW w:w="7200" w:type="dxa"/>
            <w:vAlign w:val="bottom"/>
            <w:gridSpan w:val="19"/>
          </w:tcPr>
          <w:p>
            <w:pPr>
              <w:spacing w:after="0" w:line="196" w:lineRule="exact"/>
              <w:rPr>
                <w:sz w:val="20"/>
                <w:szCs w:val="20"/>
                <w:color w:val="auto"/>
              </w:rPr>
            </w:pPr>
            <w:r>
              <w:rPr>
                <w:rFonts w:ascii="Arial" w:cs="Arial" w:eastAsia="Arial" w:hAnsi="Arial"/>
                <w:sz w:val="18"/>
                <w:szCs w:val="18"/>
                <w:color w:val="auto"/>
              </w:rPr>
              <w:t>Successors and Assigns.</w:t>
            </w: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10.03.</w:t>
            </w:r>
          </w:p>
        </w:tc>
        <w:tc>
          <w:tcPr>
            <w:tcW w:w="420" w:type="dxa"/>
            <w:vAlign w:val="bottom"/>
          </w:tcPr>
          <w:p>
            <w:pPr>
              <w:spacing w:after="0"/>
              <w:rPr>
                <w:sz w:val="17"/>
                <w:szCs w:val="17"/>
                <w:color w:val="auto"/>
              </w:rPr>
            </w:pPr>
          </w:p>
        </w:tc>
        <w:tc>
          <w:tcPr>
            <w:tcW w:w="170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Confidentiality.</w:t>
            </w:r>
          </w:p>
        </w:tc>
        <w:tc>
          <w:tcPr>
            <w:tcW w:w="5500" w:type="dxa"/>
            <w:vAlign w:val="bottom"/>
            <w:gridSpan w:val="7"/>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20"/>
        </w:trPr>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10.04.</w:t>
            </w:r>
          </w:p>
        </w:tc>
        <w:tc>
          <w:tcPr>
            <w:tcW w:w="420" w:type="dxa"/>
            <w:vAlign w:val="bottom"/>
          </w:tcPr>
          <w:p>
            <w:pPr>
              <w:spacing w:after="0"/>
              <w:rPr>
                <w:sz w:val="17"/>
                <w:szCs w:val="17"/>
                <w:color w:val="auto"/>
              </w:rPr>
            </w:pPr>
          </w:p>
        </w:tc>
        <w:tc>
          <w:tcPr>
            <w:tcW w:w="7200" w:type="dxa"/>
            <w:vAlign w:val="bottom"/>
            <w:gridSpan w:val="19"/>
          </w:tcPr>
          <w:p>
            <w:pPr>
              <w:spacing w:after="0" w:line="196" w:lineRule="exact"/>
              <w:rPr>
                <w:sz w:val="20"/>
                <w:szCs w:val="20"/>
                <w:color w:val="auto"/>
              </w:rPr>
            </w:pPr>
            <w:r>
              <w:rPr>
                <w:rFonts w:ascii="Arial" w:cs="Arial" w:eastAsia="Arial" w:hAnsi="Arial"/>
                <w:sz w:val="18"/>
                <w:szCs w:val="18"/>
                <w:color w:val="auto"/>
              </w:rPr>
              <w:t>Expenses; Indemnity; Damage Waiver.</w:t>
            </w: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20"/>
        </w:trPr>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10.05.</w:t>
            </w:r>
          </w:p>
        </w:tc>
        <w:tc>
          <w:tcPr>
            <w:tcW w:w="420" w:type="dxa"/>
            <w:vAlign w:val="bottom"/>
          </w:tcPr>
          <w:p>
            <w:pPr>
              <w:spacing w:after="0"/>
              <w:rPr>
                <w:sz w:val="17"/>
                <w:szCs w:val="17"/>
                <w:color w:val="auto"/>
              </w:rPr>
            </w:pPr>
          </w:p>
        </w:tc>
        <w:tc>
          <w:tcPr>
            <w:tcW w:w="7200" w:type="dxa"/>
            <w:vAlign w:val="bottom"/>
            <w:gridSpan w:val="19"/>
          </w:tcPr>
          <w:p>
            <w:pPr>
              <w:spacing w:after="0" w:line="196" w:lineRule="exact"/>
              <w:rPr>
                <w:sz w:val="20"/>
                <w:szCs w:val="20"/>
                <w:color w:val="auto"/>
              </w:rPr>
            </w:pPr>
            <w:r>
              <w:rPr>
                <w:rFonts w:ascii="Arial" w:cs="Arial" w:eastAsia="Arial" w:hAnsi="Arial"/>
                <w:sz w:val="18"/>
                <w:szCs w:val="18"/>
                <w:color w:val="auto"/>
              </w:rPr>
              <w:t>Governing Law; Jurisdiction; Consent to Service of Process.</w:t>
            </w: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10.06.</w:t>
            </w:r>
          </w:p>
        </w:tc>
        <w:tc>
          <w:tcPr>
            <w:tcW w:w="420" w:type="dxa"/>
            <w:vAlign w:val="bottom"/>
          </w:tcPr>
          <w:p>
            <w:pPr>
              <w:spacing w:after="0"/>
              <w:rPr>
                <w:sz w:val="17"/>
                <w:szCs w:val="17"/>
                <w:color w:val="auto"/>
              </w:rPr>
            </w:pPr>
          </w:p>
        </w:tc>
        <w:tc>
          <w:tcPr>
            <w:tcW w:w="432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No Waiver.</w:t>
            </w:r>
          </w:p>
        </w:tc>
        <w:tc>
          <w:tcPr>
            <w:tcW w:w="2880" w:type="dxa"/>
            <w:vAlign w:val="bottom"/>
            <w:gridSpan w:val="2"/>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20"/>
        </w:trPr>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10.07.</w:t>
            </w:r>
          </w:p>
        </w:tc>
        <w:tc>
          <w:tcPr>
            <w:tcW w:w="420" w:type="dxa"/>
            <w:vAlign w:val="bottom"/>
          </w:tcPr>
          <w:p>
            <w:pPr>
              <w:spacing w:after="0"/>
              <w:rPr>
                <w:sz w:val="17"/>
                <w:szCs w:val="17"/>
                <w:color w:val="auto"/>
              </w:rPr>
            </w:pPr>
          </w:p>
        </w:tc>
        <w:tc>
          <w:tcPr>
            <w:tcW w:w="7200" w:type="dxa"/>
            <w:vAlign w:val="bottom"/>
            <w:gridSpan w:val="19"/>
          </w:tcPr>
          <w:p>
            <w:pPr>
              <w:spacing w:after="0" w:line="196" w:lineRule="exact"/>
              <w:rPr>
                <w:sz w:val="20"/>
                <w:szCs w:val="20"/>
                <w:color w:val="auto"/>
              </w:rPr>
            </w:pPr>
            <w:r>
              <w:rPr>
                <w:rFonts w:ascii="Arial" w:cs="Arial" w:eastAsia="Arial" w:hAnsi="Arial"/>
                <w:sz w:val="18"/>
                <w:szCs w:val="18"/>
                <w:color w:val="auto"/>
              </w:rPr>
              <w:t>Extension of Maturity.</w:t>
            </w: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10.08.</w:t>
            </w:r>
          </w:p>
        </w:tc>
        <w:tc>
          <w:tcPr>
            <w:tcW w:w="420" w:type="dxa"/>
            <w:vAlign w:val="bottom"/>
          </w:tcPr>
          <w:p>
            <w:pPr>
              <w:spacing w:after="0"/>
              <w:rPr>
                <w:sz w:val="17"/>
                <w:szCs w:val="17"/>
                <w:color w:val="auto"/>
              </w:rPr>
            </w:pPr>
          </w:p>
        </w:tc>
        <w:tc>
          <w:tcPr>
            <w:tcW w:w="158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rPr>
              <w:t>Amendments, etc.</w:t>
            </w:r>
          </w:p>
        </w:tc>
        <w:tc>
          <w:tcPr>
            <w:tcW w:w="5620" w:type="dxa"/>
            <w:vAlign w:val="bottom"/>
            <w:gridSpan w:val="8"/>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10.09.</w:t>
            </w:r>
          </w:p>
        </w:tc>
        <w:tc>
          <w:tcPr>
            <w:tcW w:w="420" w:type="dxa"/>
            <w:vAlign w:val="bottom"/>
          </w:tcPr>
          <w:p>
            <w:pPr>
              <w:spacing w:after="0"/>
              <w:rPr>
                <w:sz w:val="17"/>
                <w:szCs w:val="17"/>
                <w:color w:val="auto"/>
              </w:rPr>
            </w:pPr>
          </w:p>
        </w:tc>
        <w:tc>
          <w:tcPr>
            <w:tcW w:w="126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Severability.</w:t>
            </w:r>
          </w:p>
        </w:tc>
        <w:tc>
          <w:tcPr>
            <w:tcW w:w="5940" w:type="dxa"/>
            <w:vAlign w:val="bottom"/>
            <w:gridSpan w:val="10"/>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10.10.</w:t>
            </w:r>
          </w:p>
        </w:tc>
        <w:tc>
          <w:tcPr>
            <w:tcW w:w="420" w:type="dxa"/>
            <w:vAlign w:val="bottom"/>
          </w:tcPr>
          <w:p>
            <w:pPr>
              <w:spacing w:after="0"/>
              <w:rPr>
                <w:sz w:val="17"/>
                <w:szCs w:val="17"/>
                <w:color w:val="auto"/>
              </w:rPr>
            </w:pPr>
          </w:p>
        </w:tc>
        <w:tc>
          <w:tcPr>
            <w:tcW w:w="86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rPr>
              <w:t>Headings.</w:t>
            </w:r>
          </w:p>
        </w:tc>
        <w:tc>
          <w:tcPr>
            <w:tcW w:w="6340" w:type="dxa"/>
            <w:vAlign w:val="bottom"/>
            <w:gridSpan w:val="13"/>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10.11.</w:t>
            </w:r>
          </w:p>
        </w:tc>
        <w:tc>
          <w:tcPr>
            <w:tcW w:w="420" w:type="dxa"/>
            <w:vAlign w:val="bottom"/>
          </w:tcPr>
          <w:p>
            <w:pPr>
              <w:spacing w:after="0"/>
              <w:rPr>
                <w:sz w:val="17"/>
                <w:szCs w:val="17"/>
                <w:color w:val="auto"/>
              </w:rPr>
            </w:pPr>
          </w:p>
        </w:tc>
        <w:tc>
          <w:tcPr>
            <w:tcW w:w="6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5"/>
              </w:rPr>
              <w:t>Survival.</w:t>
            </w:r>
          </w:p>
        </w:tc>
        <w:tc>
          <w:tcPr>
            <w:tcW w:w="6520" w:type="dxa"/>
            <w:vAlign w:val="bottom"/>
            <w:gridSpan w:val="16"/>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20"/>
        </w:trPr>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10.12.</w:t>
            </w:r>
          </w:p>
        </w:tc>
        <w:tc>
          <w:tcPr>
            <w:tcW w:w="420" w:type="dxa"/>
            <w:vAlign w:val="bottom"/>
          </w:tcPr>
          <w:p>
            <w:pPr>
              <w:spacing w:after="0"/>
              <w:rPr>
                <w:sz w:val="17"/>
                <w:szCs w:val="17"/>
                <w:color w:val="auto"/>
              </w:rPr>
            </w:pPr>
          </w:p>
        </w:tc>
        <w:tc>
          <w:tcPr>
            <w:tcW w:w="7200" w:type="dxa"/>
            <w:vAlign w:val="bottom"/>
            <w:gridSpan w:val="19"/>
          </w:tcPr>
          <w:p>
            <w:pPr>
              <w:spacing w:after="0" w:line="196" w:lineRule="exact"/>
              <w:rPr>
                <w:sz w:val="20"/>
                <w:szCs w:val="20"/>
                <w:color w:val="auto"/>
              </w:rPr>
            </w:pPr>
            <w:r>
              <w:rPr>
                <w:rFonts w:ascii="Arial" w:cs="Arial" w:eastAsia="Arial" w:hAnsi="Arial"/>
                <w:sz w:val="18"/>
                <w:szCs w:val="18"/>
                <w:color w:val="auto"/>
              </w:rPr>
              <w:t>Execution in Counterparts; Integration; Effectiveness.</w:t>
            </w: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10.13.</w:t>
            </w:r>
          </w:p>
        </w:tc>
        <w:tc>
          <w:tcPr>
            <w:tcW w:w="420" w:type="dxa"/>
            <w:vAlign w:val="bottom"/>
          </w:tcPr>
          <w:p>
            <w:pPr>
              <w:spacing w:after="0"/>
              <w:rPr>
                <w:sz w:val="17"/>
                <w:szCs w:val="17"/>
                <w:color w:val="auto"/>
              </w:rPr>
            </w:pPr>
          </w:p>
        </w:tc>
        <w:tc>
          <w:tcPr>
            <w:tcW w:w="384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USA Patriot Act.</w:t>
            </w:r>
          </w:p>
        </w:tc>
        <w:tc>
          <w:tcPr>
            <w:tcW w:w="3360" w:type="dxa"/>
            <w:vAlign w:val="bottom"/>
            <w:gridSpan w:val="3"/>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10.14.</w:t>
            </w:r>
          </w:p>
        </w:tc>
        <w:tc>
          <w:tcPr>
            <w:tcW w:w="420" w:type="dxa"/>
            <w:vAlign w:val="bottom"/>
          </w:tcPr>
          <w:p>
            <w:pPr>
              <w:spacing w:after="0"/>
              <w:rPr>
                <w:sz w:val="17"/>
                <w:szCs w:val="17"/>
                <w:color w:val="auto"/>
              </w:rPr>
            </w:pPr>
          </w:p>
        </w:tc>
        <w:tc>
          <w:tcPr>
            <w:tcW w:w="118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New Value.</w:t>
            </w:r>
          </w:p>
        </w:tc>
        <w:tc>
          <w:tcPr>
            <w:tcW w:w="6020" w:type="dxa"/>
            <w:vAlign w:val="bottom"/>
            <w:gridSpan w:val="11"/>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20"/>
        </w:trPr>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10.15.</w:t>
            </w:r>
          </w:p>
        </w:tc>
        <w:tc>
          <w:tcPr>
            <w:tcW w:w="420" w:type="dxa"/>
            <w:vAlign w:val="bottom"/>
          </w:tcPr>
          <w:p>
            <w:pPr>
              <w:spacing w:after="0"/>
              <w:rPr>
                <w:sz w:val="17"/>
                <w:szCs w:val="17"/>
                <w:color w:val="auto"/>
              </w:rPr>
            </w:pPr>
          </w:p>
        </w:tc>
        <w:tc>
          <w:tcPr>
            <w:tcW w:w="7200" w:type="dxa"/>
            <w:vAlign w:val="bottom"/>
            <w:gridSpan w:val="19"/>
          </w:tcPr>
          <w:p>
            <w:pPr>
              <w:spacing w:after="0" w:line="196" w:lineRule="exact"/>
              <w:rPr>
                <w:sz w:val="20"/>
                <w:szCs w:val="20"/>
                <w:color w:val="auto"/>
              </w:rPr>
            </w:pPr>
            <w:r>
              <w:rPr>
                <w:rFonts w:ascii="Arial" w:cs="Arial" w:eastAsia="Arial" w:hAnsi="Arial"/>
                <w:sz w:val="18"/>
                <w:szCs w:val="18"/>
                <w:color w:val="auto"/>
              </w:rPr>
              <w:t>WAIVER OF JURY TRIAL.</w:t>
            </w: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10.16.</w:t>
            </w:r>
          </w:p>
        </w:tc>
        <w:tc>
          <w:tcPr>
            <w:tcW w:w="420" w:type="dxa"/>
            <w:vAlign w:val="bottom"/>
          </w:tcPr>
          <w:p>
            <w:pPr>
              <w:spacing w:after="0"/>
              <w:rPr>
                <w:sz w:val="17"/>
                <w:szCs w:val="17"/>
                <w:color w:val="auto"/>
              </w:rPr>
            </w:pPr>
          </w:p>
        </w:tc>
        <w:tc>
          <w:tcPr>
            <w:tcW w:w="204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No Fiduciary Duty.</w:t>
            </w:r>
          </w:p>
        </w:tc>
        <w:tc>
          <w:tcPr>
            <w:tcW w:w="5160" w:type="dxa"/>
            <w:vAlign w:val="bottom"/>
            <w:gridSpan w:val="5"/>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10.17.</w:t>
            </w:r>
          </w:p>
        </w:tc>
        <w:tc>
          <w:tcPr>
            <w:tcW w:w="420" w:type="dxa"/>
            <w:vAlign w:val="bottom"/>
          </w:tcPr>
          <w:p>
            <w:pPr>
              <w:spacing w:after="0"/>
              <w:rPr>
                <w:sz w:val="17"/>
                <w:szCs w:val="17"/>
                <w:color w:val="auto"/>
              </w:rPr>
            </w:pPr>
          </w:p>
        </w:tc>
        <w:tc>
          <w:tcPr>
            <w:tcW w:w="136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rPr>
              <w:t>Lender Action.</w:t>
            </w:r>
          </w:p>
        </w:tc>
        <w:tc>
          <w:tcPr>
            <w:tcW w:w="5840" w:type="dxa"/>
            <w:vAlign w:val="bottom"/>
            <w:gridSpan w:val="9"/>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20"/>
        </w:trPr>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7"/>
            <w:shd w:val="clear" w:color="auto" w:fill="000000"/>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10.18.</w:t>
            </w:r>
          </w:p>
        </w:tc>
        <w:tc>
          <w:tcPr>
            <w:tcW w:w="420" w:type="dxa"/>
            <w:vAlign w:val="bottom"/>
          </w:tcPr>
          <w:p>
            <w:pPr>
              <w:spacing w:after="0"/>
              <w:rPr>
                <w:sz w:val="17"/>
                <w:szCs w:val="17"/>
                <w:color w:val="auto"/>
              </w:rPr>
            </w:pPr>
          </w:p>
        </w:tc>
        <w:tc>
          <w:tcPr>
            <w:tcW w:w="7200" w:type="dxa"/>
            <w:vAlign w:val="bottom"/>
            <w:gridSpan w:val="19"/>
          </w:tcPr>
          <w:p>
            <w:pPr>
              <w:spacing w:after="0" w:line="196" w:lineRule="exact"/>
              <w:rPr>
                <w:sz w:val="20"/>
                <w:szCs w:val="20"/>
                <w:color w:val="auto"/>
              </w:rPr>
            </w:pPr>
            <w:r>
              <w:rPr>
                <w:rFonts w:ascii="Arial" w:cs="Arial" w:eastAsia="Arial" w:hAnsi="Arial"/>
                <w:sz w:val="18"/>
                <w:szCs w:val="18"/>
                <w:color w:val="auto"/>
              </w:rPr>
              <w:t>Intercreditor Agreements.</w:t>
            </w: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20"/>
        </w:trPr>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gridSpan w:val="13"/>
            <w:shd w:val="clear" w:color="auto" w:fill="000000"/>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Arial" w:cs="Arial" w:eastAsia="Arial" w:hAnsi="Arial"/>
                <w:sz w:val="18"/>
                <w:szCs w:val="18"/>
                <w:color w:val="auto"/>
              </w:rPr>
              <w:t>SECTION 10.19.</w:t>
            </w:r>
          </w:p>
        </w:tc>
        <w:tc>
          <w:tcPr>
            <w:tcW w:w="420" w:type="dxa"/>
            <w:vAlign w:val="bottom"/>
          </w:tcPr>
          <w:p>
            <w:pPr>
              <w:spacing w:after="0"/>
              <w:rPr>
                <w:sz w:val="17"/>
                <w:szCs w:val="17"/>
                <w:color w:val="auto"/>
              </w:rPr>
            </w:pPr>
          </w:p>
        </w:tc>
        <w:tc>
          <w:tcPr>
            <w:tcW w:w="7200" w:type="dxa"/>
            <w:vAlign w:val="bottom"/>
            <w:gridSpan w:val="19"/>
          </w:tcPr>
          <w:p>
            <w:pPr>
              <w:spacing w:after="0" w:line="196" w:lineRule="exact"/>
              <w:rPr>
                <w:sz w:val="20"/>
                <w:szCs w:val="20"/>
                <w:color w:val="auto"/>
              </w:rPr>
            </w:pPr>
            <w:r>
              <w:rPr>
                <w:rFonts w:ascii="Arial" w:cs="Arial" w:eastAsia="Arial" w:hAnsi="Arial"/>
                <w:sz w:val="18"/>
                <w:szCs w:val="18"/>
                <w:color w:val="auto"/>
              </w:rPr>
              <w:t>Acknowledgement and Consent to Bail-In of EEA Financial Institutions.</w:t>
            </w: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20"/>
        </w:trPr>
        <w:tc>
          <w:tcPr>
            <w:tcW w:w="1900" w:type="dxa"/>
            <w:vAlign w:val="bottom"/>
            <w:gridSpan w:val="2"/>
          </w:tcPr>
          <w:p>
            <w:pPr>
              <w:spacing w:after="0" w:line="20" w:lineRule="exact"/>
              <w:rPr>
                <w:sz w:val="1"/>
                <w:szCs w:val="1"/>
                <w:color w:val="auto"/>
              </w:rPr>
            </w:pPr>
          </w:p>
        </w:tc>
        <w:tc>
          <w:tcPr>
            <w:tcW w:w="5200" w:type="dxa"/>
            <w:vAlign w:val="bottom"/>
            <w:gridSpan w:val="18"/>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561"/>
        </w:trPr>
        <w:tc>
          <w:tcPr>
            <w:tcW w:w="9100" w:type="dxa"/>
            <w:vAlign w:val="bottom"/>
            <w:gridSpan w:val="21"/>
          </w:tcPr>
          <w:p>
            <w:pPr>
              <w:spacing w:after="0"/>
              <w:rPr>
                <w:sz w:val="20"/>
                <w:szCs w:val="20"/>
                <w:color w:val="auto"/>
              </w:rPr>
            </w:pPr>
            <w:r>
              <w:rPr>
                <w:rFonts w:ascii="Arial" w:cs="Arial" w:eastAsia="Arial" w:hAnsi="Arial"/>
                <w:sz w:val="18"/>
                <w:szCs w:val="18"/>
                <w:b w:val="1"/>
                <w:bCs w:val="1"/>
                <w:color w:val="auto"/>
              </w:rPr>
              <w:t>INDEX OF APPENDICES</w:t>
            </w:r>
          </w:p>
        </w:tc>
        <w:tc>
          <w:tcPr>
            <w:tcW w:w="2220" w:type="dxa"/>
            <w:vAlign w:val="bottom"/>
          </w:tcPr>
          <w:p>
            <w:pPr>
              <w:spacing w:after="0"/>
              <w:rPr>
                <w:sz w:val="24"/>
                <w:szCs w:val="24"/>
                <w:color w:val="auto"/>
              </w:rPr>
            </w:pPr>
          </w:p>
        </w:tc>
      </w:tr>
      <w:tr>
        <w:trPr>
          <w:trHeight w:val="459"/>
        </w:trPr>
        <w:tc>
          <w:tcPr>
            <w:tcW w:w="1480" w:type="dxa"/>
            <w:vAlign w:val="bottom"/>
          </w:tcPr>
          <w:p>
            <w:pPr>
              <w:ind w:left="460"/>
              <w:spacing w:after="0"/>
              <w:rPr>
                <w:sz w:val="20"/>
                <w:szCs w:val="20"/>
                <w:color w:val="auto"/>
              </w:rPr>
            </w:pPr>
            <w:r>
              <w:rPr>
                <w:rFonts w:ascii="Arial" w:cs="Arial" w:eastAsia="Arial" w:hAnsi="Arial"/>
                <w:sz w:val="18"/>
                <w:szCs w:val="18"/>
                <w:color w:val="auto"/>
              </w:rPr>
              <w:t>ANNEX A</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Lenders and Commitments</w:t>
            </w:r>
          </w:p>
        </w:tc>
        <w:tc>
          <w:tcPr>
            <w:tcW w:w="2220" w:type="dxa"/>
            <w:vAlign w:val="bottom"/>
          </w:tcPr>
          <w:p>
            <w:pPr>
              <w:spacing w:after="0"/>
              <w:rPr>
                <w:sz w:val="24"/>
                <w:szCs w:val="24"/>
                <w:color w:val="auto"/>
              </w:rPr>
            </w:pPr>
          </w:p>
        </w:tc>
      </w:tr>
      <w:tr>
        <w:trPr>
          <w:trHeight w:val="324"/>
        </w:trPr>
        <w:tc>
          <w:tcPr>
            <w:tcW w:w="1480" w:type="dxa"/>
            <w:vAlign w:val="bottom"/>
          </w:tcPr>
          <w:p>
            <w:pPr>
              <w:ind w:left="460"/>
              <w:spacing w:after="0"/>
              <w:rPr>
                <w:sz w:val="20"/>
                <w:szCs w:val="20"/>
                <w:color w:val="auto"/>
              </w:rPr>
            </w:pPr>
            <w:r>
              <w:rPr>
                <w:rFonts w:ascii="Arial" w:cs="Arial" w:eastAsia="Arial" w:hAnsi="Arial"/>
                <w:sz w:val="18"/>
                <w:szCs w:val="18"/>
                <w:color w:val="auto"/>
              </w:rPr>
              <w:t>EXHIBIT A</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Form of Spare Parts Security Agreement</w:t>
            </w:r>
          </w:p>
        </w:tc>
        <w:tc>
          <w:tcPr>
            <w:tcW w:w="2220" w:type="dxa"/>
            <w:vAlign w:val="bottom"/>
          </w:tcPr>
          <w:p>
            <w:pPr>
              <w:spacing w:after="0"/>
              <w:rPr>
                <w:sz w:val="24"/>
                <w:szCs w:val="24"/>
                <w:color w:val="auto"/>
              </w:rPr>
            </w:pPr>
          </w:p>
        </w:tc>
      </w:tr>
      <w:tr>
        <w:trPr>
          <w:trHeight w:val="324"/>
        </w:trPr>
        <w:tc>
          <w:tcPr>
            <w:tcW w:w="1480" w:type="dxa"/>
            <w:vAlign w:val="bottom"/>
          </w:tcPr>
          <w:p>
            <w:pPr>
              <w:ind w:left="460"/>
              <w:spacing w:after="0"/>
              <w:rPr>
                <w:sz w:val="20"/>
                <w:szCs w:val="20"/>
                <w:color w:val="auto"/>
              </w:rPr>
            </w:pPr>
            <w:r>
              <w:rPr>
                <w:rFonts w:ascii="Arial" w:cs="Arial" w:eastAsia="Arial" w:hAnsi="Arial"/>
                <w:sz w:val="18"/>
                <w:szCs w:val="18"/>
                <w:color w:val="auto"/>
              </w:rPr>
              <w:t>EXHIBIT B</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Form of SGR Security Agreement</w:t>
            </w:r>
          </w:p>
        </w:tc>
        <w:tc>
          <w:tcPr>
            <w:tcW w:w="2220" w:type="dxa"/>
            <w:vAlign w:val="bottom"/>
          </w:tcPr>
          <w:p>
            <w:pPr>
              <w:spacing w:after="0"/>
              <w:rPr>
                <w:sz w:val="24"/>
                <w:szCs w:val="24"/>
                <w:color w:val="auto"/>
              </w:rPr>
            </w:pPr>
          </w:p>
        </w:tc>
      </w:tr>
      <w:tr>
        <w:trPr>
          <w:trHeight w:val="324"/>
        </w:trPr>
        <w:tc>
          <w:tcPr>
            <w:tcW w:w="1480" w:type="dxa"/>
            <w:vAlign w:val="bottom"/>
          </w:tcPr>
          <w:p>
            <w:pPr>
              <w:ind w:left="460"/>
              <w:spacing w:after="0"/>
              <w:rPr>
                <w:sz w:val="20"/>
                <w:szCs w:val="20"/>
                <w:color w:val="auto"/>
              </w:rPr>
            </w:pPr>
            <w:r>
              <w:rPr>
                <w:rFonts w:ascii="Arial" w:cs="Arial" w:eastAsia="Arial" w:hAnsi="Arial"/>
                <w:sz w:val="18"/>
                <w:szCs w:val="18"/>
                <w:color w:val="auto"/>
              </w:rPr>
              <w:t>EXHIBIT C</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Form of Instrument of Assumption and Joinder</w:t>
            </w:r>
          </w:p>
        </w:tc>
        <w:tc>
          <w:tcPr>
            <w:tcW w:w="2220" w:type="dxa"/>
            <w:vAlign w:val="bottom"/>
          </w:tcPr>
          <w:p>
            <w:pPr>
              <w:spacing w:after="0"/>
              <w:rPr>
                <w:sz w:val="24"/>
                <w:szCs w:val="24"/>
                <w:color w:val="auto"/>
              </w:rPr>
            </w:pPr>
          </w:p>
        </w:tc>
      </w:tr>
      <w:tr>
        <w:trPr>
          <w:trHeight w:val="324"/>
        </w:trPr>
        <w:tc>
          <w:tcPr>
            <w:tcW w:w="1480" w:type="dxa"/>
            <w:vAlign w:val="bottom"/>
          </w:tcPr>
          <w:p>
            <w:pPr>
              <w:ind w:left="460"/>
              <w:spacing w:after="0"/>
              <w:rPr>
                <w:sz w:val="20"/>
                <w:szCs w:val="20"/>
                <w:color w:val="auto"/>
              </w:rPr>
            </w:pPr>
            <w:r>
              <w:rPr>
                <w:rFonts w:ascii="Arial" w:cs="Arial" w:eastAsia="Arial" w:hAnsi="Arial"/>
                <w:sz w:val="18"/>
                <w:szCs w:val="18"/>
                <w:color w:val="auto"/>
              </w:rPr>
              <w:t>EXHIBIT D</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Form of Assignment and Acceptance</w:t>
            </w:r>
          </w:p>
        </w:tc>
        <w:tc>
          <w:tcPr>
            <w:tcW w:w="2220" w:type="dxa"/>
            <w:vAlign w:val="bottom"/>
          </w:tcPr>
          <w:p>
            <w:pPr>
              <w:spacing w:after="0"/>
              <w:rPr>
                <w:sz w:val="24"/>
                <w:szCs w:val="24"/>
                <w:color w:val="auto"/>
              </w:rPr>
            </w:pPr>
          </w:p>
        </w:tc>
      </w:tr>
      <w:tr>
        <w:trPr>
          <w:trHeight w:val="324"/>
        </w:trPr>
        <w:tc>
          <w:tcPr>
            <w:tcW w:w="1480" w:type="dxa"/>
            <w:vAlign w:val="bottom"/>
          </w:tcPr>
          <w:p>
            <w:pPr>
              <w:ind w:left="460"/>
              <w:spacing w:after="0"/>
              <w:rPr>
                <w:sz w:val="20"/>
                <w:szCs w:val="20"/>
                <w:color w:val="auto"/>
              </w:rPr>
            </w:pPr>
            <w:r>
              <w:rPr>
                <w:rFonts w:ascii="Arial" w:cs="Arial" w:eastAsia="Arial" w:hAnsi="Arial"/>
                <w:sz w:val="18"/>
                <w:szCs w:val="18"/>
                <w:color w:val="auto"/>
              </w:rPr>
              <w:t>EXHIBIT E</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Form of Loan Request</w:t>
            </w:r>
          </w:p>
        </w:tc>
        <w:tc>
          <w:tcPr>
            <w:tcW w:w="2220" w:type="dxa"/>
            <w:vAlign w:val="bottom"/>
          </w:tcPr>
          <w:p>
            <w:pPr>
              <w:spacing w:after="0"/>
              <w:rPr>
                <w:sz w:val="24"/>
                <w:szCs w:val="24"/>
                <w:color w:val="auto"/>
              </w:rPr>
            </w:pPr>
          </w:p>
        </w:tc>
      </w:tr>
      <w:tr>
        <w:trPr>
          <w:trHeight w:val="324"/>
        </w:trPr>
        <w:tc>
          <w:tcPr>
            <w:tcW w:w="1480" w:type="dxa"/>
            <w:vAlign w:val="bottom"/>
          </w:tcPr>
          <w:p>
            <w:pPr>
              <w:ind w:left="460"/>
              <w:spacing w:after="0"/>
              <w:rPr>
                <w:sz w:val="20"/>
                <w:szCs w:val="20"/>
                <w:color w:val="auto"/>
              </w:rPr>
            </w:pPr>
            <w:r>
              <w:rPr>
                <w:rFonts w:ascii="Arial" w:cs="Arial" w:eastAsia="Arial" w:hAnsi="Arial"/>
                <w:sz w:val="18"/>
                <w:szCs w:val="18"/>
                <w:color w:val="auto"/>
              </w:rPr>
              <w:t>EXHIBIT F</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Form of Letter of Credit Request</w:t>
            </w:r>
          </w:p>
        </w:tc>
        <w:tc>
          <w:tcPr>
            <w:tcW w:w="2220" w:type="dxa"/>
            <w:vAlign w:val="bottom"/>
          </w:tcPr>
          <w:p>
            <w:pPr>
              <w:spacing w:after="0"/>
              <w:rPr>
                <w:sz w:val="24"/>
                <w:szCs w:val="24"/>
                <w:color w:val="auto"/>
              </w:rPr>
            </w:pPr>
          </w:p>
        </w:tc>
      </w:tr>
      <w:tr>
        <w:trPr>
          <w:trHeight w:val="324"/>
        </w:trPr>
        <w:tc>
          <w:tcPr>
            <w:tcW w:w="1480" w:type="dxa"/>
            <w:vAlign w:val="bottom"/>
          </w:tcPr>
          <w:p>
            <w:pPr>
              <w:ind w:left="460"/>
              <w:spacing w:after="0"/>
              <w:rPr>
                <w:sz w:val="20"/>
                <w:szCs w:val="20"/>
                <w:color w:val="auto"/>
              </w:rPr>
            </w:pPr>
            <w:r>
              <w:rPr>
                <w:rFonts w:ascii="Arial" w:cs="Arial" w:eastAsia="Arial" w:hAnsi="Arial"/>
                <w:sz w:val="18"/>
                <w:szCs w:val="18"/>
                <w:color w:val="auto"/>
              </w:rPr>
              <w:t>EXHIBIT G</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Form of Account Control Agreement</w:t>
            </w:r>
          </w:p>
        </w:tc>
        <w:tc>
          <w:tcPr>
            <w:tcW w:w="2220" w:type="dxa"/>
            <w:vAlign w:val="bottom"/>
          </w:tcPr>
          <w:p>
            <w:pPr>
              <w:spacing w:after="0"/>
              <w:rPr>
                <w:sz w:val="24"/>
                <w:szCs w:val="24"/>
                <w:color w:val="auto"/>
              </w:rPr>
            </w:pPr>
          </w:p>
        </w:tc>
      </w:tr>
      <w:tr>
        <w:trPr>
          <w:trHeight w:val="324"/>
        </w:trPr>
        <w:tc>
          <w:tcPr>
            <w:tcW w:w="1480" w:type="dxa"/>
            <w:vAlign w:val="bottom"/>
          </w:tcPr>
          <w:p>
            <w:pPr>
              <w:ind w:left="460"/>
              <w:spacing w:after="0"/>
              <w:rPr>
                <w:sz w:val="20"/>
                <w:szCs w:val="20"/>
                <w:color w:val="auto"/>
              </w:rPr>
            </w:pPr>
            <w:r>
              <w:rPr>
                <w:rFonts w:ascii="Arial" w:cs="Arial" w:eastAsia="Arial" w:hAnsi="Arial"/>
                <w:sz w:val="18"/>
                <w:szCs w:val="18"/>
                <w:color w:val="auto"/>
              </w:rPr>
              <w:t>EXHIBIT H</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Form of Aircraft Security Agreement</w:t>
            </w:r>
          </w:p>
        </w:tc>
        <w:tc>
          <w:tcPr>
            <w:tcW w:w="2220" w:type="dxa"/>
            <w:vAlign w:val="bottom"/>
          </w:tcPr>
          <w:p>
            <w:pPr>
              <w:spacing w:after="0"/>
              <w:rPr>
                <w:sz w:val="24"/>
                <w:szCs w:val="24"/>
                <w:color w:val="auto"/>
              </w:rPr>
            </w:pPr>
          </w:p>
        </w:tc>
      </w:tr>
      <w:tr>
        <w:trPr>
          <w:trHeight w:val="324"/>
        </w:trPr>
        <w:tc>
          <w:tcPr>
            <w:tcW w:w="1480" w:type="dxa"/>
            <w:vAlign w:val="bottom"/>
          </w:tcPr>
          <w:p>
            <w:pPr>
              <w:ind w:left="460"/>
              <w:spacing w:after="0"/>
              <w:rPr>
                <w:sz w:val="20"/>
                <w:szCs w:val="20"/>
                <w:color w:val="auto"/>
              </w:rPr>
            </w:pPr>
            <w:r>
              <w:rPr>
                <w:rFonts w:ascii="Arial" w:cs="Arial" w:eastAsia="Arial" w:hAnsi="Arial"/>
                <w:sz w:val="18"/>
                <w:szCs w:val="18"/>
                <w:color w:val="auto"/>
              </w:rPr>
              <w:t>EXHIBIT I</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Description of Security Agreement for Spare Engines</w:t>
            </w:r>
          </w:p>
        </w:tc>
        <w:tc>
          <w:tcPr>
            <w:tcW w:w="2220" w:type="dxa"/>
            <w:vAlign w:val="bottom"/>
          </w:tcPr>
          <w:p>
            <w:pPr>
              <w:spacing w:after="0"/>
              <w:rPr>
                <w:sz w:val="24"/>
                <w:szCs w:val="24"/>
                <w:color w:val="auto"/>
              </w:rPr>
            </w:pPr>
          </w:p>
        </w:tc>
      </w:tr>
      <w:tr>
        <w:trPr>
          <w:trHeight w:val="324"/>
        </w:trPr>
        <w:tc>
          <w:tcPr>
            <w:tcW w:w="1480" w:type="dxa"/>
            <w:vAlign w:val="bottom"/>
          </w:tcPr>
          <w:p>
            <w:pPr>
              <w:ind w:left="460"/>
              <w:spacing w:after="0"/>
              <w:rPr>
                <w:sz w:val="20"/>
                <w:szCs w:val="20"/>
                <w:color w:val="auto"/>
              </w:rPr>
            </w:pPr>
            <w:r>
              <w:rPr>
                <w:rFonts w:ascii="Arial" w:cs="Arial" w:eastAsia="Arial" w:hAnsi="Arial"/>
                <w:sz w:val="18"/>
                <w:szCs w:val="18"/>
                <w:color w:val="auto"/>
              </w:rPr>
              <w:t>EXHIBIT J</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200" w:type="dxa"/>
            <w:vAlign w:val="bottom"/>
            <w:gridSpan w:val="19"/>
          </w:tcPr>
          <w:p>
            <w:pPr>
              <w:ind w:left="380"/>
              <w:spacing w:after="0"/>
              <w:rPr>
                <w:sz w:val="20"/>
                <w:szCs w:val="20"/>
                <w:color w:val="auto"/>
              </w:rPr>
            </w:pPr>
            <w:r>
              <w:rPr>
                <w:rFonts w:ascii="Arial" w:cs="Arial" w:eastAsia="Arial" w:hAnsi="Arial"/>
                <w:sz w:val="18"/>
                <w:szCs w:val="18"/>
                <w:color w:val="auto"/>
              </w:rPr>
              <w:t>Form of Collateral Coverage Ratio Certificate</w:t>
            </w:r>
          </w:p>
        </w:tc>
        <w:tc>
          <w:tcPr>
            <w:tcW w:w="2220" w:type="dxa"/>
            <w:vAlign w:val="bottom"/>
          </w:tcPr>
          <w:p>
            <w:pPr>
              <w:spacing w:after="0"/>
              <w:rPr>
                <w:sz w:val="24"/>
                <w:szCs w:val="24"/>
                <w:color w:val="auto"/>
              </w:rPr>
            </w:pPr>
          </w:p>
        </w:tc>
      </w:tr>
      <w:tr>
        <w:trPr>
          <w:trHeight w:val="365"/>
        </w:trPr>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gridSpan w:val="4"/>
          </w:tcPr>
          <w:p>
            <w:pPr>
              <w:ind w:left="980"/>
              <w:spacing w:after="0"/>
              <w:rPr>
                <w:sz w:val="20"/>
                <w:szCs w:val="20"/>
                <w:color w:val="auto"/>
              </w:rPr>
            </w:pPr>
            <w:r>
              <w:rPr>
                <w:rFonts w:ascii="Arial" w:cs="Arial" w:eastAsia="Arial" w:hAnsi="Arial"/>
                <w:sz w:val="18"/>
                <w:szCs w:val="18"/>
                <w:color w:val="auto"/>
              </w:rPr>
              <w:t>iv</w:t>
            </w: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4" w:name="page85"/>
    <w:bookmarkEnd w:id="84"/>
    <w:p>
      <w:pPr>
        <w:spacing w:after="0"/>
        <w:tabs>
          <w:tab w:leader="none" w:pos="114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-269875</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1240" w:space="580"/>
            <w:col w:w="7939"/>
          </w:cols>
          <w:pgMar w:left="700" w:top="382" w:right="1440" w:bottom="1440" w:gutter="0" w:footer="0" w:header="0"/>
        </w:sectPr>
      </w:pPr>
    </w:p>
    <w:p>
      <w:pPr>
        <w:spacing w:after="0"/>
        <w:rPr>
          <w:sz w:val="20"/>
          <w:szCs w:val="20"/>
          <w:color w:val="auto"/>
        </w:rPr>
      </w:pPr>
      <w:r>
        <w:rPr>
          <w:rFonts w:ascii="Arial" w:cs="Arial" w:eastAsia="Arial" w:hAnsi="Arial"/>
          <w:sz w:val="16"/>
          <w:szCs w:val="16"/>
          <w:color w:val="auto"/>
        </w:rPr>
        <w:t>SCHEDULE 3.06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Subsidiaries</w:t>
      </w:r>
    </w:p>
    <w:p>
      <w:pPr>
        <w:spacing w:after="0" w:line="181" w:lineRule="exact"/>
        <w:rPr>
          <w:sz w:val="20"/>
          <w:szCs w:val="20"/>
          <w:color w:val="auto"/>
        </w:rPr>
      </w:pPr>
    </w:p>
    <w:p>
      <w:pPr>
        <w:sectPr>
          <w:pgSz w:w="11900" w:h="16838" w:orient="portrait"/>
          <w:cols w:equalWidth="0" w:num="2">
            <w:col w:w="1300" w:space="520"/>
            <w:col w:w="7939"/>
          </w:cols>
          <w:pgMar w:left="700" w:top="382" w:right="1440" w:bottom="1440" w:gutter="0" w:footer="0" w:header="0"/>
          <w:type w:val="continuous"/>
        </w:sectPr>
      </w:pPr>
    </w:p>
    <w:p>
      <w:pPr>
        <w:jc w:val="right"/>
        <w:ind w:right="44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9759"/>
          </w:cols>
          <w:pgMar w:left="700" w:top="382" w:right="1440" w:bottom="1440" w:gutter="0" w:footer="0" w:header="0"/>
          <w:type w:val="continuous"/>
        </w:sectPr>
      </w:pPr>
    </w:p>
    <w:bookmarkStart w:id="85" w:name="page86"/>
    <w:bookmarkEnd w:id="85"/>
    <w:p>
      <w:pPr>
        <w:ind w:right="18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AND GUARANTY AGREEMENT, dated as of April 29, 2016, among AMERICAN AIRLINES, INC., a Delaware corporation (the “</w:t>
      </w:r>
      <w:r>
        <w:rPr>
          <w:rFonts w:ascii="Arial" w:cs="Arial" w:eastAsia="Arial" w:hAnsi="Arial"/>
          <w:sz w:val="16"/>
          <w:szCs w:val="16"/>
          <w:i w:val="1"/>
          <w:iCs w:val="1"/>
          <w:color w:val="auto"/>
        </w:rPr>
        <w:t>Borrower</w:t>
      </w:r>
      <w:r>
        <w:rPr>
          <w:rFonts w:ascii="Arial" w:cs="Arial" w:eastAsia="Arial" w:hAnsi="Arial"/>
          <w:sz w:val="16"/>
          <w:szCs w:val="16"/>
          <w:color w:val="auto"/>
        </w:rPr>
        <w:t>”), AMERICAN AIRLINES GROUP INC. (formerly known as AMR CORPORATION), a Delaware corporation (“</w:t>
      </w:r>
      <w:r>
        <w:rPr>
          <w:rFonts w:ascii="Arial" w:cs="Arial" w:eastAsia="Arial" w:hAnsi="Arial"/>
          <w:sz w:val="16"/>
          <w:szCs w:val="16"/>
          <w:i w:val="1"/>
          <w:iCs w:val="1"/>
          <w:color w:val="auto"/>
        </w:rPr>
        <w:t>Parent</w:t>
      </w:r>
      <w:r>
        <w:rPr>
          <w:rFonts w:ascii="Arial" w:cs="Arial" w:eastAsia="Arial" w:hAnsi="Arial"/>
          <w:sz w:val="16"/>
          <w:szCs w:val="16"/>
          <w:color w:val="auto"/>
        </w:rPr>
        <w:t>”), the direct and indirect Domestic Subsidiaries of Parent from time to time party hereto other than the Borrower, the Lenders (as defined below), BARCLAYS BANK PLC, as administrative agent for the Lenders (together with its permitted successors in such capacity,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as collateral agent (in such capacity, the “</w:t>
      </w:r>
      <w:r>
        <w:rPr>
          <w:rFonts w:ascii="Arial" w:cs="Arial" w:eastAsia="Arial" w:hAnsi="Arial"/>
          <w:sz w:val="16"/>
          <w:szCs w:val="16"/>
          <w:i w:val="1"/>
          <w:iCs w:val="1"/>
          <w:color w:val="auto"/>
        </w:rPr>
        <w:t>Collateral Agent</w:t>
      </w:r>
      <w:r>
        <w:rPr>
          <w:rFonts w:ascii="Arial" w:cs="Arial" w:eastAsia="Arial" w:hAnsi="Arial"/>
          <w:sz w:val="16"/>
          <w:szCs w:val="16"/>
          <w:color w:val="auto"/>
        </w:rPr>
        <w:t>”), BARCLAYS BANK PLC, CITIGROUP GLOBAL MARKETS, INC., CREDIT SUISSE SECURITIES (USA) LLC ,</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DEUTSCHE BANK SECURITIES INC., GOLDMAN SACHS BANK USA, J.P. MORGAN SECURITIES LLC, MERRILL LYNCH, PIERCE, FENNER &amp; SMITH INCORPORATED, MORGAN STANLEY SENIOR FUNDING, INC., BNP PARIBAS SECURITIES CORP, CREDIT AGRICOLE CORPORATE AND INVESTMENT BANK, INDUSTRIAL AND COMMERCIAL BANK OF CHINA LIMITED, NEW YORK BRANCH AND U.S. BANK NATIONAL ASSOCIATION, as joint lead arrangers and bookrunners (collectively, the “</w:t>
      </w:r>
      <w:r>
        <w:rPr>
          <w:rFonts w:ascii="Arial" w:cs="Arial" w:eastAsia="Arial" w:hAnsi="Arial"/>
          <w:sz w:val="17"/>
          <w:szCs w:val="17"/>
          <w:i w:val="1"/>
          <w:iCs w:val="1"/>
          <w:color w:val="auto"/>
        </w:rPr>
        <w:t>Joint Lead Arrangers and Bookrunners</w:t>
      </w:r>
      <w:r>
        <w:rPr>
          <w:rFonts w:ascii="Arial" w:cs="Arial" w:eastAsia="Arial" w:hAnsi="Arial"/>
          <w:sz w:val="17"/>
          <w:szCs w:val="17"/>
          <w:color w:val="auto"/>
        </w:rPr>
        <w:t>”), BARCLAYS BANK PLC,</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CITIGROUP GLOBAL MARKETS, INC., CREDIT SUISSE SECURITIES (USA) LLC , DEUTSCHE BANK SECURITIES INC., GOLDMAN SACHS BANK USA, J.P. MORGAN SECURITIES LLC, MERRILL LYNCH, PIERCE, FENNER &amp; SMITH INCORPORATED AND MORGAN STANLEY SENIOR FUNDING, INC., as syndication agents (collectively, the “</w:t>
      </w:r>
      <w:r>
        <w:rPr>
          <w:rFonts w:ascii="Arial" w:cs="Arial" w:eastAsia="Arial" w:hAnsi="Arial"/>
          <w:sz w:val="18"/>
          <w:szCs w:val="18"/>
          <w:i w:val="1"/>
          <w:iCs w:val="1"/>
          <w:color w:val="auto"/>
        </w:rPr>
        <w:t>Syndication Agents</w:t>
      </w:r>
      <w:r>
        <w:rPr>
          <w:rFonts w:ascii="Arial" w:cs="Arial" w:eastAsia="Arial" w:hAnsi="Arial"/>
          <w:sz w:val="18"/>
          <w:szCs w:val="18"/>
          <w:color w:val="auto"/>
        </w:rPr>
        <w:t>”), BNP PARIBAS SECURITIES CORP, CREDIT AGRICOLE CORPORATE AND INVESTMENT BANK, INDUSTRIAL AND COMMERCIAL BANK OF CHINA LIMITED, NEW YORK BRANCH AND U.S. BANK NATIONAL ASSOCIATION, as documentation agents (collectively, the “</w:t>
      </w:r>
      <w:r>
        <w:rPr>
          <w:rFonts w:ascii="Arial" w:cs="Arial" w:eastAsia="Arial" w:hAnsi="Arial"/>
          <w:sz w:val="18"/>
          <w:szCs w:val="18"/>
          <w:i w:val="1"/>
          <w:iCs w:val="1"/>
          <w:color w:val="auto"/>
        </w:rPr>
        <w:t>Documentation Agents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STATEMENT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proceeds of the Loans may be used for refinancing existing indebtedness and general corporate purposes.</w:t>
      </w:r>
    </w:p>
    <w:p>
      <w:pPr>
        <w:spacing w:after="0" w:line="225"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To provide guarantees and security for the repayment of the Loans, the reimbursement of any draft drawn under a Letter of Credit and the payment of the other obligations of the Borrower and the Guarantors hereunder and under the other Loan Documents, the Borrower and the Guarantors will, among other things, provide to the Administrative Agent and the Lenders the following (each as more fully described herein):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a guaranty from each Guarantor of the due and punctual payment and performance of the Obligations of the Borrower pursuant to Article IX;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920" w:right="380" w:firstLine="1"/>
        <w:spacing w:after="0" w:line="528" w:lineRule="auto"/>
        <w:tabs>
          <w:tab w:leader="none" w:pos="11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security interest with respect to the Collateral from the Borrower and each other Grantor (if any) pursuant to the Collateral Documents. Accordingly, the parties hereto hereby agree as follows:</w:t>
      </w:r>
    </w:p>
    <w:p>
      <w:pPr>
        <w:sectPr>
          <w:pgSz w:w="11900" w:h="16838" w:orient="portrait"/>
          <w:cols w:equalWidth="0" w:num="1">
            <w:col w:w="11400"/>
          </w:cols>
          <w:pgMar w:left="240" w:top="274" w:right="25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w:t>
      </w:r>
      <w:r>
        <w:rPr>
          <w:rFonts w:ascii="Arial" w:cs="Arial" w:eastAsia="Arial" w:hAnsi="Arial"/>
          <w:sz w:val="18"/>
          <w:szCs w:val="18"/>
          <w:color w:val="auto"/>
        </w:rPr>
        <w:t>” when used in reference to any Loan or Borrowing, refers to whether such Loan, or the Loans comprising such Borrowing, is bearing interest at a rate determined by reference to the Alternate Base Rate.</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w:t>
      </w:r>
      <w:r>
        <w:rPr>
          <w:rFonts w:ascii="Arial" w:cs="Arial" w:eastAsia="Arial" w:hAnsi="Arial"/>
          <w:sz w:val="18"/>
          <w:szCs w:val="18"/>
          <w:color w:val="auto"/>
        </w:rPr>
        <w:t>” shall mean all “accounts” as defined in the UCC, and all rights to payment for interest (other than with respect to debt and credit card receivables).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 Collateral</w:t>
      </w:r>
      <w:r>
        <w:rPr>
          <w:rFonts w:ascii="Arial" w:cs="Arial" w:eastAsia="Arial" w:hAnsi="Arial"/>
          <w:sz w:val="18"/>
          <w:szCs w:val="18"/>
          <w:color w:val="auto"/>
        </w:rPr>
        <w:t>” shall have the meaning set forth in the Spare Parts Security Agreement.</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 Control Agreements</w:t>
      </w:r>
      <w:r>
        <w:rPr>
          <w:rFonts w:ascii="Arial" w:cs="Arial" w:eastAsia="Arial" w:hAnsi="Arial"/>
          <w:sz w:val="18"/>
          <w:szCs w:val="18"/>
          <w:color w:val="auto"/>
        </w:rPr>
        <w:t>” shall mean (a) an Account Control Agreement in the form of Exhibit G hereto with such changes as the Administrative Agent and the Borrower shall agree and (b) each other three-party security and control agreement entered into by any Grantor, the Collateral Agent and a financial institution which maintains one or more deposit accounts or securities accounts that have been pledged to the Collateral Agent as Collateral hereunder or under any other Loan Document, in each case giving the Collateral Agent exclusive control over the applicable account and in form and substance reasonably satisfactory to the Administrative Agent.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Collateral</w:t>
      </w:r>
      <w:r>
        <w:rPr>
          <w:rFonts w:ascii="Arial" w:cs="Arial" w:eastAsia="Arial" w:hAnsi="Arial"/>
          <w:sz w:val="16"/>
          <w:szCs w:val="16"/>
          <w:color w:val="auto"/>
        </w:rPr>
        <w:t>” shall mean (a) cash or Cash Equivalents pledged to the Collateral Agent pursuant to the applicable Collateral Document,</w:t>
      </w:r>
    </w:p>
    <w:p>
      <w:pPr>
        <w:spacing w:after="0" w:line="46" w:lineRule="exact"/>
        <w:rPr>
          <w:sz w:val="20"/>
          <w:szCs w:val="20"/>
          <w:color w:val="auto"/>
        </w:rPr>
      </w:pPr>
    </w:p>
    <w:p>
      <w:pPr>
        <w:ind w:right="20" w:firstLine="8"/>
        <w:spacing w:after="0" w:line="267"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Route Authorities, Slots and/or Foreign Gate Leaseholds pledged to the Collateral Agent pursuant to a security agreement substantially in the form of the SGR Security Agreement (or in the case of the Borrower or another Grantor that has previously entered into such a security agreement, supplement(s) to the SGR Security Agreement or such security agreement, as applicable, describing such additional Route Authorities, Slots and/or Foreign Gate Leaseholds (in the case of Slots or Foreign Gate Leaseholds, associated with any additional Scheduled Service designated in such supplement(s))), (c) Route Authorities, FAA Slots or Foreign Slots and/or Gate Leaseholds pledged to the Collateral Agent pursuant to a security agreement that is usual and customary for a pledge of assets of such types and reasonably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security agreement that is substantially in the form of the SGR Security Agreement or another security agreement covering substantially similar assets previously pledged as Collateral shall, in each case, be deemed reasonably acceptable by the Administrative Agent, except to the extent a change in law or circumstance relating to any applicable category of collateral warrants a change in such security agreement, in the reasonable judgment of the Administrative Agent, (d) aircraft or spare engines pledged to a trustee as provided in Section 8.01(d) of this Agreement pursuant to Aircraft Security Agreement(s) or supplement(s) thereto, (e) additional Spare Parts pledged pursuant to the Spare Parts Security Agreement or a security agreement substantially in the form of the Spare Parts Security Agreement, to the extent that either (i) Spare Parts do not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Core Collateral at the time such Additional Collateral is added or (ii) such Spare Parts are owned by a Grantor other than the Borrower or Parent,</w:t>
      </w:r>
    </w:p>
    <w:p>
      <w:pPr>
        <w:spacing w:after="0" w:line="46" w:lineRule="exact"/>
        <w:rPr>
          <w:sz w:val="20"/>
          <w:szCs w:val="20"/>
          <w:color w:val="auto"/>
        </w:rPr>
      </w:pPr>
    </w:p>
    <w:p>
      <w:pPr>
        <w:ind w:firstLine="8"/>
        <w:spacing w:after="0" w:line="295" w:lineRule="auto"/>
        <w:tabs>
          <w:tab w:leader="none" w:pos="225" w:val="left"/>
        </w:tabs>
        <w:numPr>
          <w:ilvl w:val="0"/>
          <w:numId w:val="55"/>
        </w:numPr>
        <w:rPr>
          <w:rFonts w:ascii="Arial" w:cs="Arial" w:eastAsia="Arial" w:hAnsi="Arial"/>
          <w:sz w:val="16"/>
          <w:szCs w:val="16"/>
          <w:color w:val="auto"/>
        </w:rPr>
      </w:pPr>
      <w:r>
        <w:rPr>
          <w:rFonts w:ascii="Arial" w:cs="Arial" w:eastAsia="Arial" w:hAnsi="Arial"/>
          <w:sz w:val="16"/>
          <w:szCs w:val="16"/>
          <w:color w:val="auto"/>
        </w:rPr>
        <w:t>Ground Service Equipment, Flight Simulators, QEC Kits or Real Property Assets located in the United States pledged to the Collateral Agent pursuant to security agreement(s) (or mortgage(s) in the case of Real Property Assets) in a form reasonably satisfactory to the Administrative Agent and (g) any other assets acceptable to the Required Lenders that may be appraised pursuant to an Appraisal of the type set forth in clause (4) of the definition thereof pledged to the Collateral Agent pursuant to security agreement(s) or mortgage(s), as applicable, in a form reasonably satisfactory to the Administrative Agent.</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 Fee Letter</w:t>
      </w:r>
      <w:r>
        <w:rPr>
          <w:rFonts w:ascii="Arial" w:cs="Arial" w:eastAsia="Arial" w:hAnsi="Arial"/>
          <w:sz w:val="18"/>
          <w:szCs w:val="18"/>
          <w:color w:val="auto"/>
        </w:rPr>
        <w:t>” shall have the meaning set forth in Section 2.19.</w:t>
      </w:r>
    </w:p>
    <w:p>
      <w:pPr>
        <w:spacing w:after="0" w:line="225"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 shall have the meaning set forth in Section 6.05(a).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shall mean, collectively, the Administrative Agent and the Collateral Agent, and “</w:t>
      </w:r>
      <w:r>
        <w:rPr>
          <w:rFonts w:ascii="Arial" w:cs="Arial" w:eastAsia="Arial" w:hAnsi="Arial"/>
          <w:sz w:val="18"/>
          <w:szCs w:val="18"/>
          <w:i w:val="1"/>
          <w:iCs w:val="1"/>
          <w:color w:val="auto"/>
        </w:rPr>
        <w:t>Agent</w:t>
      </w:r>
      <w:r>
        <w:rPr>
          <w:rFonts w:ascii="Arial" w:cs="Arial" w:eastAsia="Arial" w:hAnsi="Arial"/>
          <w:sz w:val="18"/>
          <w:szCs w:val="18"/>
          <w:color w:val="auto"/>
        </w:rPr>
        <w:t>” shall mean either one of them.</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Aggregate Exposure</w:t>
      </w:r>
      <w:r>
        <w:rPr>
          <w:rFonts w:ascii="Arial" w:cs="Arial" w:eastAsia="Arial" w:hAnsi="Arial"/>
          <w:sz w:val="16"/>
          <w:szCs w:val="16"/>
          <w:color w:val="auto"/>
        </w:rPr>
        <w:t>” shall mean, with respect to any Lender at any time, an amount equal to (a) until the Closing Date, the aggregate amount of such Lender’s Commitments at such time and (b) thereafter, the sum of (i) the aggregate then outstanding principal amount of such Lender’s Term Loans and</w:t>
      </w:r>
    </w:p>
    <w:p>
      <w:pPr>
        <w:ind w:right="20" w:firstLine="8"/>
        <w:spacing w:after="0" w:line="261" w:lineRule="auto"/>
        <w:tabs>
          <w:tab w:leader="none" w:pos="2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of such Lender’s Revolving Commitment then in effect or, if the Revolving Commitments have been terminated, the amount of such Lender’s Revolving Extensions of Credit then outstanding.</w:t>
      </w:r>
    </w:p>
    <w:p>
      <w:pPr>
        <w:spacing w:after="0" w:line="184"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Exposure Percentage</w:t>
      </w:r>
      <w:r>
        <w:rPr>
          <w:rFonts w:ascii="Arial" w:cs="Arial" w:eastAsia="Arial" w:hAnsi="Arial"/>
          <w:sz w:val="18"/>
          <w:szCs w:val="18"/>
          <w:color w:val="auto"/>
        </w:rPr>
        <w:t>” shall mean, with respect to any Lender at any time, the ratio (expressed as a percentage) of such Lender’s Aggregate Exposure at such time to the Aggregate Exposure of all Lenders at such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shall mean this Credit and Guaranty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8" w:name="page89"/>
    <w:bookmarkEnd w:id="88"/>
    <w:p>
      <w:pPr>
        <w:jc w:val="both"/>
        <w:ind w:right="44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Aircraft Related Equipment</w:t>
      </w:r>
      <w:r>
        <w:rPr>
          <w:rFonts w:ascii="Arial" w:cs="Arial" w:eastAsia="Arial" w:hAnsi="Arial"/>
          <w:sz w:val="16"/>
          <w:szCs w:val="16"/>
          <w:color w:val="auto"/>
        </w:rPr>
        <w:t>” shall mean aircraft (including engines, airframes, propellers and appliances), engines, propellers, spare parts, aircraft parts, Flight Simulators and other training devices, QEC Kits, passenger loading bridges, other flight equipment or Ground Service Equipment.</w:t>
      </w:r>
    </w:p>
    <w:p>
      <w:pPr>
        <w:spacing w:after="0" w:line="124"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 Security Agreement</w:t>
      </w:r>
      <w:r>
        <w:rPr>
          <w:rFonts w:ascii="Arial" w:cs="Arial" w:eastAsia="Arial" w:hAnsi="Arial"/>
          <w:sz w:val="16"/>
          <w:szCs w:val="16"/>
          <w:color w:val="auto"/>
        </w:rPr>
        <w:t>” shall mean (i) with respect to any aircraft (comprised of an airframe and its related engines) that may be pledged by a Grantor as Additional Collateral or Qualified Replacement Assets after the date hereof, a security agreement substantially in the form of Exhibit H and</w:t>
      </w:r>
    </w:p>
    <w:p>
      <w:pPr>
        <w:ind w:firstLine="8"/>
        <w:spacing w:after="0" w:line="254" w:lineRule="auto"/>
        <w:tabs>
          <w:tab w:leader="none" w:pos="26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any spare engine that may be pledged by a Grantor as Additional Collateral or Qualified Replacement Assets after the date hereof, a spare engine security agreement based on the form of aircraft security agreement in Exhibit H but with (x) such changes to conform such form of aircraft security agreement to the description of terms of the security agreement applicable to spare engines in Exhibit H and (y) such other changes proposed by the Borrower and reasonably acceptable to the Administrative Agent.</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Airline/Parent Merger</w:t>
      </w:r>
      <w:r>
        <w:rPr>
          <w:rFonts w:ascii="Arial" w:cs="Arial" w:eastAsia="Arial" w:hAnsi="Arial"/>
          <w:sz w:val="18"/>
          <w:szCs w:val="18"/>
          <w:color w:val="auto"/>
        </w:rPr>
        <w:t>” shall mean the merger or consolidation, if any, of Parent with any Subsidiary of Parent.</w:t>
      </w:r>
    </w:p>
    <w:p>
      <w:pPr>
        <w:spacing w:after="0" w:line="225"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Airlines Merger</w:t>
      </w:r>
      <w:r>
        <w:rPr>
          <w:rFonts w:ascii="Arial" w:cs="Arial" w:eastAsia="Arial" w:hAnsi="Arial"/>
          <w:sz w:val="16"/>
          <w:szCs w:val="16"/>
          <w:color w:val="auto"/>
        </w:rPr>
        <w:t>” shall mean the merger, asset transfer, consolidation or any similar transaction involving one or more airline Subsidiaries of Parent (including, without limitation, any such transaction that results in such Subsidiaries operating under a single operating certificate).</w:t>
      </w:r>
    </w:p>
    <w:p>
      <w:pPr>
        <w:spacing w:after="0" w:line="124"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Airport Authority</w:t>
      </w:r>
      <w:r>
        <w:rPr>
          <w:rFonts w:ascii="Arial" w:cs="Arial" w:eastAsia="Arial" w:hAnsi="Arial"/>
          <w:sz w:val="18"/>
          <w:szCs w:val="18"/>
          <w:color w:val="auto"/>
        </w:rPr>
        <w:t>” shall mean any city or any public or private board or other body or organization chartered or otherwise established for the purpose of administering, operating or managing an airport or related facilities.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AISI</w:t>
      </w:r>
      <w:r>
        <w:rPr>
          <w:rFonts w:ascii="Arial" w:cs="Arial" w:eastAsia="Arial" w:hAnsi="Arial"/>
          <w:sz w:val="18"/>
          <w:szCs w:val="18"/>
          <w:color w:val="auto"/>
        </w:rPr>
        <w:t>” shall mean Aircraft Information Services, Inc.</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All-In Initial Yield</w:t>
      </w:r>
      <w:r>
        <w:rPr>
          <w:rFonts w:ascii="Arial" w:cs="Arial" w:eastAsia="Arial" w:hAnsi="Arial"/>
          <w:sz w:val="17"/>
          <w:szCs w:val="17"/>
          <w:color w:val="auto"/>
        </w:rPr>
        <w:t>” shall mean with respect to any Class, the initial yield on such Class payable or allocable to all Lenders as determined by the Administrative Agent to be equal to the sum of (x) the margin above the LIBO Rate on such Class, (y) the amount of any original issue discount or upfront or non-recurring similar fees with respect to such Class payable by the Borrower to the Lenders of such Class in the primary syndication thereof (excluding, for the avoidance of doubt, any arrangement, structuring, or other similar fees) (collectively, “</w:t>
      </w:r>
      <w:r>
        <w:rPr>
          <w:rFonts w:ascii="Arial" w:cs="Arial" w:eastAsia="Arial" w:hAnsi="Arial"/>
          <w:sz w:val="17"/>
          <w:szCs w:val="17"/>
          <w:i w:val="1"/>
          <w:iCs w:val="1"/>
          <w:color w:val="auto"/>
        </w:rPr>
        <w:t>OID</w:t>
      </w:r>
      <w:r>
        <w:rPr>
          <w:rFonts w:ascii="Arial" w:cs="Arial" w:eastAsia="Arial" w:hAnsi="Arial"/>
          <w:sz w:val="17"/>
          <w:szCs w:val="17"/>
          <w:color w:val="auto"/>
        </w:rPr>
        <w:t>,” with such OID being equated to interest based on an assumed four-year life to maturity) and (z) with respect to any Class of Incremental Term Loans that contains an interest rate “floor” with respect to the LIBO Rate, the amount, if any, by which (1) such LIBO Rate floor exceeds (2) the LIBO Rate floor applicable to the Original Term Loans provided an increase in such floor would cause an increase in the interest rate applicable to the Original Term Loans.</w:t>
      </w:r>
    </w:p>
    <w:p>
      <w:pPr>
        <w:spacing w:after="0" w:line="178" w:lineRule="exact"/>
        <w:rPr>
          <w:sz w:val="20"/>
          <w:szCs w:val="20"/>
          <w:color w:val="auto"/>
        </w:rPr>
      </w:pPr>
    </w:p>
    <w:p>
      <w:pPr>
        <w:jc w:val="both"/>
        <w:ind w:right="1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Alternate Base Rate</w:t>
      </w:r>
      <w:r>
        <w:rPr>
          <w:rFonts w:ascii="Arial" w:cs="Arial" w:eastAsia="Arial" w:hAnsi="Arial"/>
          <w:sz w:val="16"/>
          <w:szCs w:val="16"/>
          <w:color w:val="auto"/>
        </w:rPr>
        <w:t>” shall mean, for any day, a rate per annum equal to the greatest of (a) the Prime Rate in effect on such day, (b) the sum of the Federal Funds Effective Rate in effect on such day plus 1/2 of 1% and (c) the sum of the LIBO Rate for an Interest Period of one month in effect on such day plus 1%. Any change in the Alternate Base Rate due to a change in the Prime Rate, the Federal Funds Effective Rate or the LIBO Rate for an Interest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9" w:name="page90"/>
    <w:bookmarkEnd w:id="89"/>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one month shall be effective from and including the effective date of such change in the Prime Rate, the Federal Funds Effective Rate or the LIBO Rate for an Interest Period of one month, respectively.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AMR/US Airways Merger</w:t>
      </w:r>
      <w:r>
        <w:rPr>
          <w:rFonts w:ascii="Arial" w:cs="Arial" w:eastAsia="Arial" w:hAnsi="Arial"/>
          <w:sz w:val="18"/>
          <w:szCs w:val="18"/>
          <w:color w:val="auto"/>
        </w:rPr>
        <w:t>” shall mean the merger contemplated by the AMR/US Airways Merger Agreement.</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AMR</w:t>
      </w:r>
      <w:r>
        <w:rPr>
          <w:rFonts w:ascii="Arial" w:cs="Arial" w:eastAsia="Arial" w:hAnsi="Arial"/>
          <w:sz w:val="18"/>
          <w:szCs w:val="18"/>
          <w:color w:val="auto"/>
        </w:rPr>
        <w:t>/</w:t>
      </w:r>
      <w:r>
        <w:rPr>
          <w:rFonts w:ascii="Arial" w:cs="Arial" w:eastAsia="Arial" w:hAnsi="Arial"/>
          <w:sz w:val="18"/>
          <w:szCs w:val="18"/>
          <w:i w:val="1"/>
          <w:iCs w:val="1"/>
          <w:color w:val="auto"/>
        </w:rPr>
        <w:t>US Airways Merger Agreement</w:t>
      </w:r>
      <w:r>
        <w:rPr>
          <w:rFonts w:ascii="Arial" w:cs="Arial" w:eastAsia="Arial" w:hAnsi="Arial"/>
          <w:sz w:val="18"/>
          <w:szCs w:val="18"/>
          <w:color w:val="auto"/>
        </w:rPr>
        <w:t>” shall mean the Agreement and Plan of Merger, dated as of February 13, 2013, among Parent, AMR Merger Sub, Inc. and US Airways Group, Inc., as amended through December 9, 2013.</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Anti-Money Laundering Laws</w:t>
      </w:r>
      <w:r>
        <w:rPr>
          <w:rFonts w:ascii="Arial" w:cs="Arial" w:eastAsia="Arial" w:hAnsi="Arial"/>
          <w:sz w:val="18"/>
          <w:szCs w:val="18"/>
          <w:color w:val="auto"/>
        </w:rPr>
        <w:t>” shall have the meaning set forth in Section 3.18.</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shall mean the rate per annum determined pursuant to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7"/>
              </w:rPr>
              <w:t>Applicable Margin Eurodollar</w:t>
            </w:r>
          </w:p>
        </w:tc>
        <w:tc>
          <w:tcPr>
            <w:tcW w:w="3540" w:type="dxa"/>
            <w:vAlign w:val="bottom"/>
            <w:gridSpan w:val="2"/>
          </w:tcPr>
          <w:p>
            <w:pPr>
              <w:jc w:val="center"/>
              <w:ind w:left="2039"/>
              <w:spacing w:after="0"/>
              <w:rPr>
                <w:sz w:val="20"/>
                <w:szCs w:val="20"/>
                <w:color w:val="auto"/>
              </w:rPr>
            </w:pPr>
            <w:r>
              <w:rPr>
                <w:rFonts w:ascii="Arial" w:cs="Arial" w:eastAsia="Arial" w:hAnsi="Arial"/>
                <w:sz w:val="14"/>
                <w:szCs w:val="14"/>
                <w:color w:val="auto"/>
                <w:w w:val="98"/>
              </w:rPr>
              <w:t>Applicable Margin ABR</w:t>
            </w:r>
          </w:p>
        </w:tc>
      </w:tr>
      <w:tr>
        <w:trPr>
          <w:trHeight w:val="167"/>
        </w:trPr>
        <w:tc>
          <w:tcPr>
            <w:tcW w:w="1580" w:type="dxa"/>
            <w:vAlign w:val="bottom"/>
          </w:tcPr>
          <w:p>
            <w:pPr>
              <w:spacing w:after="0"/>
              <w:rPr>
                <w:sz w:val="14"/>
                <w:szCs w:val="14"/>
                <w:color w:val="auto"/>
              </w:rPr>
            </w:pPr>
          </w:p>
        </w:tc>
        <w:tc>
          <w:tcPr>
            <w:tcW w:w="860" w:type="dxa"/>
            <w:vAlign w:val="bottom"/>
          </w:tcPr>
          <w:p>
            <w:pPr>
              <w:spacing w:after="0" w:line="147" w:lineRule="exact"/>
              <w:rPr>
                <w:sz w:val="20"/>
                <w:szCs w:val="20"/>
                <w:color w:val="auto"/>
              </w:rPr>
            </w:pPr>
            <w:r>
              <w:rPr>
                <w:rFonts w:ascii="Arial" w:cs="Arial" w:eastAsia="Arial" w:hAnsi="Arial"/>
                <w:sz w:val="14"/>
                <w:szCs w:val="14"/>
                <w:color w:val="auto"/>
                <w:w w:val="90"/>
              </w:rPr>
              <w:t>Class of Loans</w:t>
            </w:r>
          </w:p>
        </w:tc>
        <w:tc>
          <w:tcPr>
            <w:tcW w:w="2640" w:type="dxa"/>
            <w:vAlign w:val="bottom"/>
          </w:tcPr>
          <w:p>
            <w:pPr>
              <w:spacing w:after="0"/>
              <w:rPr>
                <w:sz w:val="14"/>
                <w:szCs w:val="14"/>
                <w:color w:val="auto"/>
              </w:rPr>
            </w:pPr>
          </w:p>
        </w:tc>
        <w:tc>
          <w:tcPr>
            <w:tcW w:w="174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color w:val="auto"/>
                <w:w w:val="94"/>
              </w:rPr>
              <w:t>Loans</w:t>
            </w:r>
          </w:p>
        </w:tc>
        <w:tc>
          <w:tcPr>
            <w:tcW w:w="2120" w:type="dxa"/>
            <w:vAlign w:val="bottom"/>
          </w:tcPr>
          <w:p>
            <w:pPr>
              <w:spacing w:after="0"/>
              <w:rPr>
                <w:sz w:val="14"/>
                <w:szCs w:val="14"/>
                <w:color w:val="auto"/>
              </w:rPr>
            </w:pPr>
          </w:p>
        </w:tc>
        <w:tc>
          <w:tcPr>
            <w:tcW w:w="142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color w:val="auto"/>
                <w:w w:val="94"/>
              </w:rPr>
              <w:t>Loans</w:t>
            </w:r>
          </w:p>
        </w:tc>
      </w:tr>
      <w:tr>
        <w:trPr>
          <w:trHeight w:val="20"/>
        </w:trPr>
        <w:tc>
          <w:tcPr>
            <w:tcW w:w="1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5"/>
        </w:trPr>
        <w:tc>
          <w:tcPr>
            <w:tcW w:w="2440" w:type="dxa"/>
            <w:vAlign w:val="bottom"/>
            <w:gridSpan w:val="2"/>
          </w:tcPr>
          <w:p>
            <w:pPr>
              <w:spacing w:after="0"/>
              <w:rPr>
                <w:sz w:val="20"/>
                <w:szCs w:val="20"/>
                <w:color w:val="auto"/>
              </w:rPr>
            </w:pPr>
            <w:r>
              <w:rPr>
                <w:rFonts w:ascii="Arial" w:cs="Arial" w:eastAsia="Arial" w:hAnsi="Arial"/>
                <w:sz w:val="18"/>
                <w:szCs w:val="18"/>
                <w:color w:val="auto"/>
              </w:rPr>
              <w:t>Class B Term Loans</w:t>
            </w:r>
          </w:p>
        </w:tc>
        <w:tc>
          <w:tcPr>
            <w:tcW w:w="4380" w:type="dxa"/>
            <w:vAlign w:val="bottom"/>
            <w:gridSpan w:val="2"/>
          </w:tcPr>
          <w:p>
            <w:pPr>
              <w:jc w:val="center"/>
              <w:ind w:left="2550"/>
              <w:spacing w:after="0"/>
              <w:rPr>
                <w:sz w:val="20"/>
                <w:szCs w:val="20"/>
                <w:color w:val="auto"/>
              </w:rPr>
            </w:pPr>
            <w:r>
              <w:rPr>
                <w:rFonts w:ascii="Arial" w:cs="Arial" w:eastAsia="Arial" w:hAnsi="Arial"/>
                <w:sz w:val="18"/>
                <w:szCs w:val="18"/>
                <w:color w:val="auto"/>
                <w:w w:val="90"/>
              </w:rPr>
              <w:t>2.75%</w:t>
            </w:r>
          </w:p>
        </w:tc>
        <w:tc>
          <w:tcPr>
            <w:tcW w:w="3540" w:type="dxa"/>
            <w:vAlign w:val="bottom"/>
            <w:gridSpan w:val="2"/>
          </w:tcPr>
          <w:p>
            <w:pPr>
              <w:jc w:val="center"/>
              <w:ind w:left="2059"/>
              <w:spacing w:after="0"/>
              <w:rPr>
                <w:sz w:val="20"/>
                <w:szCs w:val="20"/>
                <w:color w:val="auto"/>
              </w:rPr>
            </w:pPr>
            <w:r>
              <w:rPr>
                <w:rFonts w:ascii="Arial" w:cs="Arial" w:eastAsia="Arial" w:hAnsi="Arial"/>
                <w:sz w:val="18"/>
                <w:szCs w:val="18"/>
                <w:color w:val="auto"/>
                <w:w w:val="93"/>
              </w:rPr>
              <w:t>1.75%</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Revolving Loans</w:t>
            </w:r>
          </w:p>
        </w:tc>
        <w:tc>
          <w:tcPr>
            <w:tcW w:w="26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N/A</w:t>
            </w:r>
          </w:p>
        </w:tc>
        <w:tc>
          <w:tcPr>
            <w:tcW w:w="2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80"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Appraisal</w:t>
      </w:r>
      <w:r>
        <w:rPr>
          <w:rFonts w:ascii="Arial" w:cs="Arial" w:eastAsia="Arial" w:hAnsi="Arial"/>
          <w:sz w:val="17"/>
          <w:szCs w:val="17"/>
          <w:color w:val="auto"/>
        </w:rPr>
        <w:t>” shall mean (i) the Initial Appraisal and (ii) any other appraisal, dated the date of delivery thereof, prepared by (a) with respect to Spare Parts, at the Borrower’s option, MBA, ICF, Sage or PAC (provided that such appraiser must be independent) or any other appraiser appointed by the Borrower and reasonably acceptable to the Administrative Agent, (b) with respect to any Route Authorities, Slots and Foreign Gate Leaseholds, at the Borrower’s option, MBA, ICF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 appraiser appointed by the Borrower and reasonably acceptable to the Administrative Agent, (d) with respect to Real Property Assets, CB Richard Ellis (provided that such appraiser must be independent) or any other appraiser by the Borrower and reasonably acceptable to the Administrative Agent and (e) with respect to any other type of property, at the Borrower’s option, MBA, ICF, Sage or PAC (provided that such appraiser must be independent) or any other appraiser appointed by the Borrower and reasonably acceptable to the Administrative Agent (in each case of any appraiser specified above in clauses (a), (b), (c), (d) and (e), including its successor). Any Appraisal with respect to:</w:t>
      </w:r>
    </w:p>
    <w:p>
      <w:pPr>
        <w:spacing w:after="0" w:line="75" w:lineRule="exact"/>
        <w:rPr>
          <w:sz w:val="20"/>
          <w:szCs w:val="20"/>
          <w:color w:val="auto"/>
        </w:rPr>
      </w:pPr>
    </w:p>
    <w:p>
      <w:pPr>
        <w:ind w:left="460" w:firstLine="443"/>
        <w:spacing w:after="0" w:line="259" w:lineRule="auto"/>
        <w:tabs>
          <w:tab w:leader="none" w:pos="11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Spare Parts shall (A) determine the value only of the Pledged Spare Parts that are identified by the Borrower to the Appraiser as being held at Spare Parts Locations as of a date no earlier than the date that is sixty (60) days prior to the date of such Appraisal and (B) have methodology, assumptions and form of presentation consistent in all material respects with the Initial Appraisal, including that such Appraisal shall be a physical appraisal and not a desktop appraisal (provided that such Appraisal</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90" w:name="page91"/>
    <w:bookmarkEnd w:id="90"/>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may use limited site inspections consistent with the Initial Appraisal);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Appraisals from time to time are not prepared by the same firm of appraisers as the Initial Appraisal, such Appraisals may, with the consent of the Administrative Agent (such consent not to be unreasonably withheld), have methodology, assumptions and form of presentation that differ from the Initial Appraisal if such differences are deemed appropriate by such appraiser and consistent with such appraiser’s customary practice as of the date thereof;</w:t>
      </w:r>
    </w:p>
    <w:p>
      <w:pPr>
        <w:spacing w:after="0" w:line="79" w:lineRule="exact"/>
        <w:rPr>
          <w:sz w:val="20"/>
          <w:szCs w:val="20"/>
          <w:color w:val="auto"/>
        </w:rPr>
      </w:pPr>
    </w:p>
    <w:p>
      <w:pPr>
        <w:ind w:left="460" w:firstLine="443"/>
        <w:spacing w:after="0" w:line="269" w:lineRule="auto"/>
        <w:tabs>
          <w:tab w:leader="none" w:pos="1153"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Route Authorities, Slots and/or Foreign Gate Leaseholds pledged pursuant to the SGR Security Agreement or a security agreement substantially similar thereto (A) shall (i) be performed using a “discounted cash flow” methodology similar to that used in the Precedent SGR Appraisal or deemed appropriate by such appraiser and consistent with such appraiser’s customary practice as of the date thereof, and in any case, shall present a matrix of appraised values based on “discount rates” and “perpetuity growth rates” deemed appropriate by the applicable Appraiser, but shall include the use of a “discount rate” of 11.5% and a “perpetuity growth rate” of 1.5% and (ii) shall otherwise have assumptions and a form of presentation deemed appropriate by the applicable Appraiser;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all of the Scheduled Services between the United States and a particular country, the Appraised Value of the related Route Authorities, Slots and Foreign Gate Leaseholds is a negative number, such Appraised Value shall be deemed to be zero);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Appraisals may with the consent of the Administrative Agent (such consent not to be unreasonably withheld) have methodology, assumptions and form of presentation that differ from the foregoing if such differences are deemed appropriate by such appraiser and consistent with such appraiser’s customary practice as in effect on the date hereof and (B) to the extent such Appraisal is based on historical data provided by the Borrower, shall generally be based on such data that is current as of a date no earlier than the date that is six months prior to the date of the delivery of such Appraisal;</w:t>
      </w:r>
    </w:p>
    <w:p>
      <w:pPr>
        <w:spacing w:after="0" w:line="71" w:lineRule="exact"/>
        <w:rPr>
          <w:rFonts w:ascii="Arial" w:cs="Arial" w:eastAsia="Arial" w:hAnsi="Arial"/>
          <w:sz w:val="17"/>
          <w:szCs w:val="17"/>
          <w:color w:val="auto"/>
        </w:rPr>
      </w:pPr>
    </w:p>
    <w:p>
      <w:pPr>
        <w:ind w:left="460" w:right="160" w:firstLine="443"/>
        <w:spacing w:after="0" w:line="342" w:lineRule="auto"/>
        <w:tabs>
          <w:tab w:leader="none" w:pos="1153"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w:t>
      </w:r>
    </w:p>
    <w:p>
      <w:pPr>
        <w:spacing w:after="0" w:line="15" w:lineRule="exact"/>
        <w:rPr>
          <w:rFonts w:ascii="Arial" w:cs="Arial" w:eastAsia="Arial" w:hAnsi="Arial"/>
          <w:sz w:val="16"/>
          <w:szCs w:val="16"/>
          <w:color w:val="auto"/>
        </w:rPr>
      </w:pPr>
    </w:p>
    <w:p>
      <w:pPr>
        <w:ind w:left="460" w:right="280" w:firstLine="443"/>
        <w:spacing w:after="0" w:line="277" w:lineRule="auto"/>
        <w:tabs>
          <w:tab w:leader="none" w:pos="11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Route Authorities, FAA Slots, Foreign Slots and Gate Leaseholds not described in clause (2) above and any other type of property shall be based upon a methodology and assumptions deemed appropriate by the applicable appraisal firm.</w:t>
      </w:r>
    </w:p>
    <w:p>
      <w:pPr>
        <w:spacing w:after="0" w:line="17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Appraised Value</w:t>
      </w:r>
      <w:r>
        <w:rPr>
          <w:rFonts w:ascii="Arial" w:cs="Arial" w:eastAsia="Arial" w:hAnsi="Arial"/>
          <w:sz w:val="18"/>
          <w:szCs w:val="18"/>
          <w:color w:val="auto"/>
        </w:rPr>
        <w:t>” shall mean, as of any date, (x) with respect to any cash pledged or being pledged at such time as Collateral or maintained in the Collateral Proceeds Account, 160% of the face amount thereof, (y) with respect to any Cash Equivalents pledged or being pledged at such time as Collateral or maintained in the Collateral Proceeds Account, 160% of the fair market value thereof, as determined by the Administrative Agent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 (in the case of Route Authorities, Slots and/or Foreign Gate Leaseholds referred to in clause (2) of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1" w:name="page92"/>
    <w:bookmarkEnd w:id="9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definition of “Appraisal”, subject to the proviso in clause (A) of such definition, such value shall be determined using a “discount rate” of 11.5% and a “perpetuity growth rate of 1.5%);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Collateral consisting of property described in clause (z), (A) if no Appraisal relating to such Collateral has been delivered to the Administrative Agent prior to such date, the Appraised Value of such Collateral shall be deemed to be zero and (B) if an Appraisal relating to such Collateral has been delivered to the Administrative Agent prior to such date, but no Appraisal relating to such Collateral has been delivered to the Administrative Agent by the last day of the previous calendar year (such last day, the “</w:t>
      </w:r>
      <w:r>
        <w:rPr>
          <w:rFonts w:ascii="Arial" w:cs="Arial" w:eastAsia="Arial" w:hAnsi="Arial"/>
          <w:sz w:val="17"/>
          <w:szCs w:val="17"/>
          <w:i w:val="1"/>
          <w:iCs w:val="1"/>
          <w:color w:val="auto"/>
        </w:rPr>
        <w:t>Required Appraisal Date</w:t>
      </w:r>
      <w:r>
        <w:rPr>
          <w:rFonts w:ascii="Arial" w:cs="Arial" w:eastAsia="Arial" w:hAnsi="Arial"/>
          <w:sz w:val="17"/>
          <w:szCs w:val="17"/>
          <w:color w:val="auto"/>
        </w:rPr>
        <w:t>”) that immediately precedes such date, then the Appraised Value of such Collateral shall be deemed to be zero for the period from such Required Appraisal Date to the date an Appraisal relating to such Collateral is delivered to the Administrative Agent.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shall have the meaning set forth in Section 10.02(b).</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ARB Indebtedness</w:t>
      </w:r>
      <w:r>
        <w:rPr>
          <w:rFonts w:ascii="Arial" w:cs="Arial" w:eastAsia="Arial" w:hAnsi="Arial"/>
          <w:sz w:val="18"/>
          <w:szCs w:val="18"/>
          <w:color w:val="auto"/>
        </w:rPr>
        <w:t>”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Ascend</w:t>
      </w:r>
      <w:r>
        <w:rPr>
          <w:rFonts w:ascii="Arial" w:cs="Arial" w:eastAsia="Arial" w:hAnsi="Arial"/>
          <w:sz w:val="18"/>
          <w:szCs w:val="18"/>
          <w:color w:val="auto"/>
        </w:rPr>
        <w:t>” shall mean Ascend Worldwide Limited.</w:t>
      </w:r>
    </w:p>
    <w:p>
      <w:pPr>
        <w:spacing w:after="0" w:line="225"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Assignment and Acceptance</w:t>
      </w:r>
      <w:r>
        <w:rPr>
          <w:rFonts w:ascii="Arial" w:cs="Arial" w:eastAsia="Arial" w:hAnsi="Arial"/>
          <w:sz w:val="17"/>
          <w:szCs w:val="17"/>
          <w:color w:val="auto"/>
        </w:rPr>
        <w:t>” shall mean an assignment and acceptance entered into by a Lender and an assignee (with the consent of any party whose consent is required by Section 10.02), and accepted by the Administrative Agent, substantially in the form of Exhibit 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AVITAS</w:t>
      </w:r>
      <w:r>
        <w:rPr>
          <w:rFonts w:ascii="Arial" w:cs="Arial" w:eastAsia="Arial" w:hAnsi="Arial"/>
          <w:sz w:val="18"/>
          <w:szCs w:val="18"/>
          <w:color w:val="auto"/>
        </w:rPr>
        <w:t>” shall mean AVITAS, Inc.</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Legislatio</w:t>
      </w:r>
      <w:r>
        <w:rPr>
          <w:rFonts w:ascii="Arial" w:cs="Arial" w:eastAsia="Arial" w:hAnsi="Arial"/>
          <w:sz w:val="18"/>
          <w:szCs w:val="18"/>
          <w:color w:val="auto"/>
        </w:rPr>
        <w:t>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24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Banking Product Obligations</w:t>
      </w:r>
      <w:r>
        <w:rPr>
          <w:rFonts w:ascii="Arial" w:cs="Arial" w:eastAsia="Arial" w:hAnsi="Arial"/>
          <w:sz w:val="17"/>
          <w:szCs w:val="17"/>
          <w:color w:val="auto"/>
        </w:rPr>
        <w:t>” shall mean,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92" w:name="page93"/>
    <w:bookmarkEnd w:id="9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Bankruptcy Code</w:t>
      </w:r>
      <w:r>
        <w:rPr>
          <w:rFonts w:ascii="Arial" w:cs="Arial" w:eastAsia="Arial" w:hAnsi="Arial"/>
          <w:sz w:val="16"/>
          <w:szCs w:val="16"/>
          <w:color w:val="auto"/>
        </w:rPr>
        <w:t>” shall mean The Bankruptcy Reform Act of 1978, as heretofore and hereafter amended, and codified as 11 U.S.C. Section 101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 seq.</w:t>
      </w:r>
    </w:p>
    <w:p>
      <w:pPr>
        <w:spacing w:after="0" w:line="211"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Event</w:t>
      </w:r>
      <w:r>
        <w:rPr>
          <w:rFonts w:ascii="Arial" w:cs="Arial" w:eastAsia="Arial" w:hAnsi="Arial"/>
          <w:sz w:val="18"/>
          <w:szCs w:val="18"/>
          <w:color w:val="auto"/>
        </w:rPr>
        <w:t xml:space="preserve">”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shall mean the Bankruptcy Code or any similar federal or state law for the relief of debtors.</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shall have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BK</w:t>
      </w:r>
      <w:r>
        <w:rPr>
          <w:rFonts w:ascii="Arial" w:cs="Arial" w:eastAsia="Arial" w:hAnsi="Arial"/>
          <w:sz w:val="18"/>
          <w:szCs w:val="18"/>
          <w:color w:val="auto"/>
        </w:rPr>
        <w:t>” shall mean BK Associates, Inc.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Governors of the Federal Reserve System of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shall mean:</w:t>
      </w:r>
    </w:p>
    <w:p>
      <w:pPr>
        <w:spacing w:after="0" w:line="117" w:lineRule="exact"/>
        <w:rPr>
          <w:sz w:val="20"/>
          <w:szCs w:val="20"/>
          <w:color w:val="auto"/>
        </w:rPr>
      </w:pPr>
    </w:p>
    <w:p>
      <w:pPr>
        <w:ind w:left="1160" w:hanging="257"/>
        <w:spacing w:after="0"/>
        <w:tabs>
          <w:tab w:leader="none" w:pos="1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with respect to a corporation, the board of directors of the corporation or any committee thereof duly authorized to act on behalf of such</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board;</w:t>
      </w:r>
    </w:p>
    <w:p>
      <w:pPr>
        <w:spacing w:after="0" w:line="102" w:lineRule="exact"/>
        <w:rPr>
          <w:rFonts w:ascii="Arial" w:cs="Arial" w:eastAsia="Arial" w:hAnsi="Arial"/>
          <w:sz w:val="17"/>
          <w:szCs w:val="17"/>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or other governing body of the general partner of the partnership;</w:t>
      </w:r>
    </w:p>
    <w:p>
      <w:pPr>
        <w:spacing w:after="0" w:line="117" w:lineRule="exact"/>
        <w:rPr>
          <w:rFonts w:ascii="Arial" w:cs="Arial" w:eastAsia="Arial" w:hAnsi="Arial"/>
          <w:sz w:val="18"/>
          <w:szCs w:val="18"/>
          <w:color w:val="auto"/>
        </w:rPr>
      </w:pPr>
    </w:p>
    <w:p>
      <w:pPr>
        <w:ind w:left="460" w:right="640" w:firstLine="443"/>
        <w:spacing w:after="0" w:line="277" w:lineRule="auto"/>
        <w:tabs>
          <w:tab w:leader="none" w:pos="11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manager or managers or any controlling committee of managing members or managers thereof;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shall have the meaning set forth in the preamble to this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93" w:name="page94"/>
    <w:bookmarkEnd w:id="93"/>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Borrower Release</w:t>
      </w:r>
      <w:r>
        <w:rPr>
          <w:rFonts w:ascii="Arial" w:cs="Arial" w:eastAsia="Arial" w:hAnsi="Arial"/>
          <w:sz w:val="18"/>
          <w:szCs w:val="18"/>
          <w:color w:val="auto"/>
        </w:rPr>
        <w:t>” shall mean the release of any Collateral from the Lien of the applicable Collateral Document at the direction of the Borrower pursuant to Section 6.09(c).</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shall mean the incurrence, conversion or continuation of Loans of a single Type made from all the Revolving Lenders or the Term Lenders, as the case may be, on a single date and having, in the case of Eurodollar Loans, a single Interest Period.</w:t>
      </w:r>
    </w:p>
    <w:p>
      <w:pPr>
        <w:spacing w:after="0" w:line="170"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Date</w:t>
      </w:r>
      <w:r>
        <w:rPr>
          <w:rFonts w:ascii="Arial" w:cs="Arial" w:eastAsia="Arial" w:hAnsi="Arial"/>
          <w:sz w:val="18"/>
          <w:szCs w:val="18"/>
          <w:color w:val="auto"/>
        </w:rPr>
        <w:t>” shall mean any Business Day specified in a notice pursuant to Sections 2.03 and 2.04 as a date on which the Borrower requests the Lenders to make Loans hereunder or an Issuing Lender to issue Letters of Credit hereunder.</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xml:space="preserve">” shall mean any day other than a Saturday, Sunday or other day on which commercial banks in New York City are required or authorized to remain closed (and, for a Letter of Credit, other than a day on which the Issuing Lender issuing such Letter of Credit is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used in connection with the borrowing or repayment of a Eurodollar Loan, the term “Business Day” shall also exclude any day on which banks are not open for dealings in Dollar deposits on the London interbank market.</w:t>
      </w:r>
    </w:p>
    <w:p>
      <w:pPr>
        <w:spacing w:after="0" w:line="18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shall mean, at the time any determination is to be made, the amount of the liability in respect of a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Markets Offering</w:t>
      </w:r>
      <w:r>
        <w:rPr>
          <w:rFonts w:ascii="Arial" w:cs="Arial" w:eastAsia="Arial" w:hAnsi="Arial"/>
          <w:sz w:val="18"/>
          <w:szCs w:val="18"/>
          <w:color w:val="auto"/>
        </w:rPr>
        <w:t>” shall mean any offering of “securities” (as defined under the Securities Act and, including, for the avoidance of doubt, any offering of pass-through certificates by any pass-through trust established by the Parent or any of its Restricted Subsidiaries) in (a) a public offering registered under the Securities Act, or (b) an offering not required to be registered under the Securities Act (including, without limitation, a private placement under Section 4(2) of the Securities Act, an exempt offering pursuant to Rule 144A and/or Regulation S of the Securities Act and an offering of exempt securities).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shall mean:</w:t>
      </w:r>
    </w:p>
    <w:p>
      <w:pPr>
        <w:spacing w:after="0" w:line="117" w:lineRule="exact"/>
        <w:rPr>
          <w:sz w:val="20"/>
          <w:szCs w:val="20"/>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128" w:lineRule="exact"/>
        <w:rPr>
          <w:rFonts w:ascii="Arial" w:cs="Arial" w:eastAsia="Arial" w:hAnsi="Arial"/>
          <w:sz w:val="17"/>
          <w:szCs w:val="17"/>
          <w:color w:val="auto"/>
        </w:rPr>
      </w:pPr>
    </w:p>
    <w:p>
      <w:pPr>
        <w:ind w:left="460" w:right="100" w:firstLine="443"/>
        <w:spacing w:after="0" w:line="277"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4" w:name="page95"/>
    <w:bookmarkEnd w:id="94"/>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but excluding from all of the foregoing clauses (1) through (4) any debt securities convertible into Capital Stock, whether or not such debt securities include any right of participation with Capital Stock.</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Collateralization</w:t>
      </w:r>
      <w:r>
        <w:rPr>
          <w:rFonts w:ascii="Arial" w:cs="Arial" w:eastAsia="Arial" w:hAnsi="Arial"/>
          <w:sz w:val="18"/>
          <w:szCs w:val="18"/>
          <w:color w:val="auto"/>
        </w:rPr>
        <w:t>” or “</w:t>
      </w:r>
      <w:r>
        <w:rPr>
          <w:rFonts w:ascii="Arial" w:cs="Arial" w:eastAsia="Arial" w:hAnsi="Arial"/>
          <w:sz w:val="18"/>
          <w:szCs w:val="18"/>
          <w:i w:val="1"/>
          <w:iCs w:val="1"/>
          <w:color w:val="auto"/>
        </w:rPr>
        <w:t>Cash Collateralize</w:t>
      </w:r>
      <w:r>
        <w:rPr>
          <w:rFonts w:ascii="Arial" w:cs="Arial" w:eastAsia="Arial" w:hAnsi="Arial"/>
          <w:sz w:val="18"/>
          <w:szCs w:val="18"/>
          <w:color w:val="auto"/>
        </w:rPr>
        <w:t>” shall have the meaning set forth in Section 2.02(j). The terms “</w:t>
      </w:r>
      <w:r>
        <w:rPr>
          <w:rFonts w:ascii="Arial" w:cs="Arial" w:eastAsia="Arial" w:hAnsi="Arial"/>
          <w:sz w:val="18"/>
          <w:szCs w:val="18"/>
          <w:i w:val="1"/>
          <w:iCs w:val="1"/>
          <w:color w:val="auto"/>
        </w:rPr>
        <w:t>Cash Collateralized</w:t>
      </w:r>
      <w:r>
        <w:rPr>
          <w:rFonts w:ascii="Arial" w:cs="Arial" w:eastAsia="Arial" w:hAnsi="Arial"/>
          <w:sz w:val="18"/>
          <w:szCs w:val="18"/>
          <w:color w:val="auto"/>
        </w:rPr>
        <w:t>,”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Collateralizes</w:t>
      </w:r>
      <w:r>
        <w:rPr>
          <w:rFonts w:ascii="Arial" w:cs="Arial" w:eastAsia="Arial" w:hAnsi="Arial"/>
          <w:sz w:val="18"/>
          <w:szCs w:val="18"/>
          <w:color w:val="auto"/>
        </w:rPr>
        <w:t>” and “</w:t>
      </w:r>
      <w:r>
        <w:rPr>
          <w:rFonts w:ascii="Arial" w:cs="Arial" w:eastAsia="Arial" w:hAnsi="Arial"/>
          <w:sz w:val="18"/>
          <w:szCs w:val="18"/>
          <w:i w:val="1"/>
          <w:iCs w:val="1"/>
          <w:color w:val="auto"/>
        </w:rPr>
        <w:t>Cash Collateralizing</w:t>
      </w:r>
      <w:r>
        <w:rPr>
          <w:rFonts w:ascii="Arial" w:cs="Arial" w:eastAsia="Arial" w:hAnsi="Arial"/>
          <w:sz w:val="18"/>
          <w:szCs w:val="18"/>
          <w:color w:val="auto"/>
        </w:rPr>
        <w:t>” shall have correlative meanings.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shall mean, as of the date acquired, purchased or made, as applicable:</w:t>
      </w:r>
    </w:p>
    <w:p>
      <w:pPr>
        <w:spacing w:after="0" w:line="117" w:lineRule="exact"/>
        <w:rPr>
          <w:sz w:val="20"/>
          <w:szCs w:val="20"/>
          <w:color w:val="auto"/>
        </w:rPr>
      </w:pPr>
    </w:p>
    <w:p>
      <w:pPr>
        <w:ind w:left="460" w:right="380" w:firstLine="443"/>
        <w:spacing w:after="0" w:line="312" w:lineRule="auto"/>
        <w:tabs>
          <w:tab w:leader="none" w:pos="11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spacing w:after="0" w:line="38" w:lineRule="exact"/>
        <w:rPr>
          <w:rFonts w:ascii="Arial" w:cs="Arial" w:eastAsia="Arial" w:hAnsi="Arial"/>
          <w:sz w:val="16"/>
          <w:szCs w:val="16"/>
          <w:color w:val="auto"/>
        </w:rPr>
      </w:pPr>
    </w:p>
    <w:p>
      <w:pPr>
        <w:ind w:left="460" w:right="20" w:firstLine="443"/>
        <w:spacing w:after="0" w:line="264"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 obligations issued by any state of the United States or any political subdivision of any such state or any instrumentality thereof, in each case maturing within three years after such date and having a rating of at least A- (or the equivalent thereof) from S&amp;P or A3 (or the equivalent thereof) from Moody’s;</w:t>
      </w:r>
    </w:p>
    <w:p>
      <w:pPr>
        <w:spacing w:after="0" w:line="73"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the security has a maturity or weighted average life of three years or less from such date;</w:t>
      </w:r>
    </w:p>
    <w:p>
      <w:pPr>
        <w:spacing w:after="0" w:line="78"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investments in commercial paper maturing no more than one year after such date and having, on such date, a rating of at least A-2 from S&amp;P or at least P-2 from Moody’s;</w:t>
      </w:r>
    </w:p>
    <w:p>
      <w:pPr>
        <w:spacing w:after="0" w:line="62" w:lineRule="exact"/>
        <w:rPr>
          <w:rFonts w:ascii="Arial" w:cs="Arial" w:eastAsia="Arial" w:hAnsi="Arial"/>
          <w:sz w:val="18"/>
          <w:szCs w:val="18"/>
          <w:color w:val="auto"/>
        </w:rPr>
      </w:pPr>
    </w:p>
    <w:p>
      <w:pPr>
        <w:ind w:left="460" w:right="40" w:firstLine="443"/>
        <w:spacing w:after="0" w:line="257"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w:t>
      </w:r>
    </w:p>
    <w:p>
      <w:pPr>
        <w:spacing w:after="0" w:line="80"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fully collateralized repurchase agreements with counterparties whose long term debt is rated not less than A- by S&amp;P and A3 by Moody’s and with a term of not more than six months from such date;</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Investments in money in an investment company registered under the Investment Company Act of 1940, as amended, or in pooled accounts or funds offered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95" w:name="page96"/>
    <w:bookmarkEnd w:id="95"/>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through mutual funds, investment advisors, banks and brokerage houses which invest its assets in obligations of the type described in clauses</w:t>
      </w:r>
    </w:p>
    <w:p>
      <w:pPr>
        <w:spacing w:after="0" w:line="35" w:lineRule="exact"/>
        <w:rPr>
          <w:sz w:val="20"/>
          <w:szCs w:val="20"/>
          <w:color w:val="auto"/>
        </w:rPr>
      </w:pPr>
    </w:p>
    <w:p>
      <w:pPr>
        <w:ind w:left="720" w:hanging="256"/>
        <w:spacing w:after="0"/>
        <w:tabs>
          <w:tab w:leader="none" w:pos="7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through (6) above, in each case, as of such date, including, but not be limited to, money market funds or short-term and intermediate bonds funds;</w:t>
      </w:r>
    </w:p>
    <w:p>
      <w:pPr>
        <w:spacing w:after="0" w:line="125" w:lineRule="exact"/>
        <w:rPr>
          <w:rFonts w:ascii="Arial" w:cs="Arial" w:eastAsia="Arial" w:hAnsi="Arial"/>
          <w:sz w:val="16"/>
          <w:szCs w:val="16"/>
          <w:color w:val="auto"/>
        </w:rPr>
      </w:pPr>
    </w:p>
    <w:p>
      <w:pPr>
        <w:ind w:left="460" w:right="140" w:firstLine="443"/>
        <w:spacing w:after="0" w:line="342" w:lineRule="auto"/>
        <w:tabs>
          <w:tab w:leader="none" w:pos="1153" w:val="left"/>
        </w:tabs>
        <w:numPr>
          <w:ilvl w:val="1"/>
          <w:numId w:val="63"/>
        </w:numPr>
        <w:rPr>
          <w:rFonts w:ascii="Arial" w:cs="Arial" w:eastAsia="Arial" w:hAnsi="Arial"/>
          <w:sz w:val="16"/>
          <w:szCs w:val="16"/>
          <w:color w:val="auto"/>
        </w:rPr>
      </w:pPr>
      <w:r>
        <w:rPr>
          <w:rFonts w:ascii="Arial" w:cs="Arial" w:eastAsia="Arial" w:hAnsi="Arial"/>
          <w:sz w:val="16"/>
          <w:szCs w:val="16"/>
          <w:color w:val="auto"/>
        </w:rPr>
        <w:t>shares of any money market mutual fund that, as of such date, (a) complies with the criteria set forth in SEC Rule 2a-7 under the Investment Company Act of 1940, as amended and (b) is rated AAA (or the equivalent thereof) by S&amp;P and Aaa (or the equivalent thereof) by Moody’s;</w:t>
      </w:r>
    </w:p>
    <w:p>
      <w:pPr>
        <w:spacing w:after="0" w:line="15" w:lineRule="exact"/>
        <w:rPr>
          <w:rFonts w:ascii="Arial" w:cs="Arial" w:eastAsia="Arial" w:hAnsi="Arial"/>
          <w:sz w:val="16"/>
          <w:szCs w:val="16"/>
          <w:color w:val="auto"/>
        </w:rPr>
      </w:pPr>
    </w:p>
    <w:p>
      <w:pPr>
        <w:ind w:left="460" w:right="300" w:firstLine="443"/>
        <w:spacing w:after="0" w:line="277" w:lineRule="auto"/>
        <w:tabs>
          <w:tab w:leader="none" w:pos="115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auction rate preferred securities that, as of such date, have the highest rating obtainable from either S&amp;P or Moody’s and with a maximum reset date at least every 30 days;</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investments made pursuant to the Borrower’s or any of its Restricted Subsidiaries’ cash equivalents/short term investment guidelines;</w:t>
      </w:r>
    </w:p>
    <w:p>
      <w:pPr>
        <w:spacing w:after="0" w:line="128" w:lineRule="exact"/>
        <w:rPr>
          <w:rFonts w:ascii="Arial" w:cs="Arial" w:eastAsia="Arial" w:hAnsi="Arial"/>
          <w:sz w:val="17"/>
          <w:szCs w:val="17"/>
          <w:color w:val="auto"/>
        </w:rPr>
      </w:pPr>
    </w:p>
    <w:p>
      <w:pPr>
        <w:ind w:left="460" w:right="160" w:firstLine="443"/>
        <w:spacing w:after="0" w:line="277" w:lineRule="auto"/>
        <w:tabs>
          <w:tab w:leader="none" w:pos="1236"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deposits available for withdrawal on demand with commercial banks organized in the United States having capital and surplus in excess of $100,000,000;</w:t>
      </w:r>
    </w:p>
    <w:p>
      <w:pPr>
        <w:spacing w:after="0" w:line="62" w:lineRule="exact"/>
        <w:rPr>
          <w:rFonts w:ascii="Arial" w:cs="Arial" w:eastAsia="Arial" w:hAnsi="Arial"/>
          <w:sz w:val="18"/>
          <w:szCs w:val="18"/>
          <w:color w:val="auto"/>
        </w:rPr>
      </w:pPr>
    </w:p>
    <w:p>
      <w:pPr>
        <w:ind w:left="460" w:firstLine="443"/>
        <w:spacing w:after="0" w:line="259" w:lineRule="auto"/>
        <w:tabs>
          <w:tab w:leader="none" w:pos="1243" w:val="left"/>
        </w:tabs>
        <w:numPr>
          <w:ilvl w:val="1"/>
          <w:numId w:val="63"/>
        </w:numPr>
        <w:rPr>
          <w:rFonts w:ascii="Arial" w:cs="Arial" w:eastAsia="Arial" w:hAnsi="Arial"/>
          <w:sz w:val="18"/>
          <w:szCs w:val="18"/>
          <w:color w:val="auto"/>
        </w:rPr>
      </w:pPr>
      <w:r>
        <w:rPr>
          <w:rFonts w:ascii="Arial" w:cs="Arial" w:eastAsia="Arial" w:hAnsi="Arial"/>
          <w:sz w:val="18"/>
          <w:szCs w:val="18"/>
          <w:color w:val="auto"/>
        </w:rPr>
        <w:t>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78" w:lineRule="exact"/>
        <w:rPr>
          <w:rFonts w:ascii="Arial" w:cs="Arial" w:eastAsia="Arial" w:hAnsi="Arial"/>
          <w:sz w:val="18"/>
          <w:szCs w:val="18"/>
          <w:color w:val="auto"/>
        </w:rPr>
      </w:pPr>
    </w:p>
    <w:p>
      <w:pPr>
        <w:ind w:left="460" w:right="40" w:firstLine="443"/>
        <w:spacing w:after="0" w:line="277" w:lineRule="auto"/>
        <w:tabs>
          <w:tab w:leader="none" w:pos="124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other securities or pools of securities that are classified under GAAP as cash equivalents or short-term investments on a balance sheet as of such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 Delivery Date</w:t>
      </w:r>
      <w:r>
        <w:rPr>
          <w:rFonts w:ascii="Arial" w:cs="Arial" w:eastAsia="Arial" w:hAnsi="Arial"/>
          <w:sz w:val="18"/>
          <w:szCs w:val="18"/>
          <w:color w:val="auto"/>
        </w:rPr>
        <w:t>” shall have the meaning set forth in Section 6.09(a).</w:t>
      </w:r>
    </w:p>
    <w:p>
      <w:pPr>
        <w:spacing w:after="0" w:line="225"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Law</w:t>
      </w:r>
      <w:r>
        <w:rPr>
          <w:rFonts w:ascii="Arial" w:cs="Arial" w:eastAsia="Arial" w:hAnsi="Arial"/>
          <w:sz w:val="16"/>
          <w:szCs w:val="16"/>
          <w:color w:val="auto"/>
        </w:rPr>
        <w:t>”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w:t>
      </w:r>
    </w:p>
    <w:p>
      <w:pPr>
        <w:ind w:right="180" w:firstLine="8"/>
        <w:spacing w:after="0" w:line="277" w:lineRule="auto"/>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compliance by any Lender or Issuing Lender (or, for purposes of Section 2.14(b), by any lending office of such Lender or Issuing Lender through which Loans and/or Letters of Credit are issued or maintained or by such Lender’s or Issuing Lender’s holding company, if any) with any request, guideline or directive (whether or not having the force of law) of any Governmental Authority made or issued after the date of this Agreement.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shall mean the occurrence of any of the following:</w:t>
      </w:r>
    </w:p>
    <w:p>
      <w:pPr>
        <w:spacing w:after="0" w:line="117" w:lineRule="exact"/>
        <w:rPr>
          <w:sz w:val="20"/>
          <w:szCs w:val="20"/>
          <w:color w:val="auto"/>
        </w:rPr>
      </w:pPr>
    </w:p>
    <w:p>
      <w:pPr>
        <w:ind w:left="460" w:right="80" w:firstLine="443"/>
        <w:spacing w:after="0" w:line="277" w:lineRule="auto"/>
        <w:tabs>
          <w:tab w:leader="none" w:pos="11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sale, transfer, conveyance or other disposition (other than by way of merger or consolidation), in one or a series of related transactions, of all or substantially all of the properties or assets of Parent and its Subsidiaries taken as a whole, 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96" w:name="page97"/>
    <w:bookmarkEnd w:id="96"/>
    <w:p>
      <w:pPr>
        <w:ind w:left="46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and its Subsidiaries taken as a whole, to any Person (including any “person” (as that term is used in Section 13(d)(3) of the Exchange Act)) (other than Parent or any of its Subsidiaries); or</w:t>
      </w:r>
    </w:p>
    <w:p>
      <w:pPr>
        <w:spacing w:after="0" w:line="62" w:lineRule="exact"/>
        <w:rPr>
          <w:sz w:val="20"/>
          <w:szCs w:val="20"/>
          <w:color w:val="auto"/>
        </w:rPr>
      </w:pPr>
    </w:p>
    <w:p>
      <w:pPr>
        <w:ind w:left="460" w:firstLine="443"/>
        <w:spacing w:after="0" w:line="270" w:lineRule="auto"/>
        <w:tabs>
          <w:tab w:leader="none" w:pos="11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w:t>
      </w:r>
      <w:r>
        <w:rPr>
          <w:rFonts w:ascii="Arial" w:cs="Arial" w:eastAsia="Arial" w:hAnsi="Arial"/>
          <w:sz w:val="17"/>
          <w:szCs w:val="17"/>
          <w:i w:val="1"/>
          <w:iCs w:val="1"/>
          <w:color w:val="auto"/>
        </w:rPr>
        <w:t>Permitted Person</w:t>
      </w:r>
      <w:r>
        <w:rPr>
          <w:rFonts w:ascii="Arial" w:cs="Arial" w:eastAsia="Arial" w:hAnsi="Arial"/>
          <w:sz w:val="17"/>
          <w:szCs w:val="17"/>
          <w:color w:val="auto"/>
        </w:rPr>
        <w:t>”)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the avoidance of doubt, any Airline/Parent Merger and any Airlines Merger will not be a Change of Control under this Agreement.</w:t>
      </w:r>
    </w:p>
    <w:p>
      <w:pPr>
        <w:spacing w:after="0" w:line="23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when used in reference to any Loan or Borrowing, shall refer to whether such Loan, or the Loans comprising such Borrowing, are Revolving Loans, Class B Term Loans or Incremental Term Loans that are not Class B Term Loans or other tranche or sub-tranche of Term Loans or Revolving Loans and, when used in reference to any Commitment, refers to whether such Commitment is a Revolving Commitment or a Term Loan Commitment. In addition, any extended tranche of Term Loans or Revolving Commitments shall constitute a Class of Loans separate from which they were converted. Notwithstanding anything to the contrary, any Loans or Revolving Commitments having the exact same terms and conditions shall be deemed a part of the same Class.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Term Loans</w:t>
      </w:r>
      <w:r>
        <w:rPr>
          <w:rFonts w:ascii="Arial" w:cs="Arial" w:eastAsia="Arial" w:hAnsi="Arial"/>
          <w:sz w:val="18"/>
          <w:szCs w:val="18"/>
          <w:color w:val="auto"/>
        </w:rPr>
        <w:t>” shall have the meaning set forth in Section 2.01(b).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shall mean April 29, 2016.</w:t>
      </w:r>
    </w:p>
    <w:p>
      <w:pPr>
        <w:spacing w:after="0" w:line="225"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 Transactions</w:t>
      </w:r>
      <w:r>
        <w:rPr>
          <w:rFonts w:ascii="Arial" w:cs="Arial" w:eastAsia="Arial" w:hAnsi="Arial"/>
          <w:sz w:val="18"/>
          <w:szCs w:val="18"/>
          <w:color w:val="auto"/>
        </w:rPr>
        <w:t>” shall mean the Transactions other than (x) the borrowing of Loans after the Closing Date and the use of the proceeds thereof and (y) the request for and issuance of Letters of Credit hereunder after the Closing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shall mean (i) the assets and properties of the Grantors upon which Liens have been granted to the Collateral Agent to secure the Obligations including, without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97" w:name="page98"/>
    <w:bookmarkEnd w:id="97"/>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any Qualified Replacement Assets, Additional Collateral and all of the “Collateral” as defined in the Collateral Documents, but excluding all such assets and properties released from such Liens pursuant to the applicable Collateral Document and (ii) each of the Letter of Credit Account and the Collateral Proceeds Account, together with all amounts on deposit therein and all proceeds thereof.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Agent</w:t>
      </w:r>
      <w:r>
        <w:rPr>
          <w:rFonts w:ascii="Arial" w:cs="Arial" w:eastAsia="Arial" w:hAnsi="Arial"/>
          <w:sz w:val="16"/>
          <w:szCs w:val="16"/>
          <w:color w:val="auto"/>
        </w:rPr>
        <w:t>” shall have the meaning set forth in the preamble to this Agreement (and, as specified in Section 1.02(b), shall include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successor).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Coverage Failure</w:t>
      </w:r>
      <w:r>
        <w:rPr>
          <w:rFonts w:ascii="Arial" w:cs="Arial" w:eastAsia="Arial" w:hAnsi="Arial"/>
          <w:sz w:val="18"/>
          <w:szCs w:val="18"/>
          <w:color w:val="auto"/>
        </w:rPr>
        <w:t>” shall mean either (i) a Collateral Coverage Ratio Failure or (ii) a Core Collateral Failure.</w:t>
      </w:r>
    </w:p>
    <w:p>
      <w:pPr>
        <w:spacing w:after="0" w:line="225"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Coverage Ratio</w:t>
      </w:r>
      <w:r>
        <w:rPr>
          <w:rFonts w:ascii="Arial" w:cs="Arial" w:eastAsia="Arial" w:hAnsi="Arial"/>
          <w:sz w:val="17"/>
          <w:szCs w:val="17"/>
          <w:color w:val="auto"/>
        </w:rPr>
        <w:t>” shall mean, as of any date, the ratio of (i) the Appraised Value of the Collateral with respect to such date to (ii) the sum, without duplication, of (w) the Total Revolving Extensions of Credit then outstanding (other than LC Exposure that has been Cash Collateralized in accordance with Section 2.02(j)), plus (x) the aggregate principal amount of all Term Loans then outstanding, plus (y) the aggregate principal amount of all Pari Passu Senior Secured Debt then outstanding plus (z) the aggregate amount of all Designated Hedging Obligations and Designated Banking Product Obligations that constitute “Obligations” then outstanding (such sum, the “</w:t>
      </w:r>
      <w:r>
        <w:rPr>
          <w:rFonts w:ascii="Arial" w:cs="Arial" w:eastAsia="Arial" w:hAnsi="Arial"/>
          <w:sz w:val="17"/>
          <w:szCs w:val="17"/>
          <w:i w:val="1"/>
          <w:iCs w:val="1"/>
          <w:color w:val="auto"/>
        </w:rPr>
        <w:t>Total Obligations</w:t>
      </w:r>
      <w:r>
        <w:rPr>
          <w:rFonts w:ascii="Arial" w:cs="Arial" w:eastAsia="Arial" w:hAnsi="Arial"/>
          <w:sz w:val="17"/>
          <w:szCs w:val="17"/>
          <w:color w:val="auto"/>
        </w:rPr>
        <w:t>”).</w:t>
      </w:r>
    </w:p>
    <w:p>
      <w:pPr>
        <w:spacing w:after="0" w:line="17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Coverage Ratio Certificate</w:t>
      </w:r>
      <w:r>
        <w:rPr>
          <w:rFonts w:ascii="Arial" w:cs="Arial" w:eastAsia="Arial" w:hAnsi="Arial"/>
          <w:sz w:val="18"/>
          <w:szCs w:val="18"/>
          <w:color w:val="auto"/>
        </w:rPr>
        <w:t>” shall mean an Officer’s Certificate calculating the Collateral Coverage Ratio substantially in the form of Exhibit J hereto.</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Coverage Ratio Failure</w:t>
      </w:r>
      <w:r>
        <w:rPr>
          <w:rFonts w:ascii="Arial" w:cs="Arial" w:eastAsia="Arial" w:hAnsi="Arial"/>
          <w:sz w:val="18"/>
          <w:szCs w:val="18"/>
          <w:color w:val="auto"/>
        </w:rPr>
        <w:t>” shall mean, as of any date of determination, the failure of the Collateral Coverage Ratio as of such date to be at least equal to 1.6 to 1.0.</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shall mean, collectively, the Spare Parts Security Agreement, any Account Control Agreement(s), any Intercreditor Agreement (on and after the execution thereof), any Other Intercreditor Agreement (on and after the execution thereof) and other agreements, instruments or documents that create or purport to create a Lien in favor of the Collateral Agent for the benefit of the Secured Parties, in each case so long as such agreement, instrument or document shall not have been terminated in accordance with its terms.</w:t>
      </w:r>
    </w:p>
    <w:p>
      <w:pPr>
        <w:spacing w:after="0" w:line="187"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Proceeds Account</w:t>
      </w:r>
      <w:r>
        <w:rPr>
          <w:rFonts w:ascii="Arial" w:cs="Arial" w:eastAsia="Arial" w:hAnsi="Arial"/>
          <w:sz w:val="17"/>
          <w:szCs w:val="17"/>
          <w:color w:val="auto"/>
        </w:rPr>
        <w:t>” shall mean a segregated account or accounts held by or under the control of the Collateral Agent into which the Net Proceeds of any Recovery Event or Disposition of Collateral may be deposited in accordance with the provisions of this Agreement.</w:t>
      </w:r>
    </w:p>
    <w:p>
      <w:pPr>
        <w:spacing w:after="0" w:line="14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w:t>
      </w:r>
      <w:r>
        <w:rPr>
          <w:rFonts w:ascii="Arial" w:cs="Arial" w:eastAsia="Arial" w:hAnsi="Arial"/>
          <w:sz w:val="18"/>
          <w:szCs w:val="18"/>
          <w:color w:val="auto"/>
        </w:rPr>
        <w:t>” shall mean, as to any Lender, the sum of the Revolving Commitment, if any, and the Term Loan Commitment, if any, of such Lender, it being understood that the “</w:t>
      </w:r>
      <w:r>
        <w:rPr>
          <w:rFonts w:ascii="Arial" w:cs="Arial" w:eastAsia="Arial" w:hAnsi="Arial"/>
          <w:sz w:val="18"/>
          <w:szCs w:val="18"/>
          <w:i w:val="1"/>
          <w:iCs w:val="1"/>
          <w:color w:val="auto"/>
        </w:rPr>
        <w:t>Term Loan Commitment</w:t>
      </w:r>
      <w:r>
        <w:rPr>
          <w:rFonts w:ascii="Arial" w:cs="Arial" w:eastAsia="Arial" w:hAnsi="Arial"/>
          <w:sz w:val="18"/>
          <w:szCs w:val="18"/>
          <w:color w:val="auto"/>
        </w:rPr>
        <w:t>” of a Lender shall remain in effect until the Term Loans have been funded in full in accordance with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Fee</w:t>
      </w:r>
      <w:r>
        <w:rPr>
          <w:rFonts w:ascii="Arial" w:cs="Arial" w:eastAsia="Arial" w:hAnsi="Arial"/>
          <w:sz w:val="18"/>
          <w:szCs w:val="18"/>
          <w:color w:val="auto"/>
        </w:rPr>
        <w:t>” shall have the meaning given to such term in Section 2.20(a).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Fee Rate</w:t>
      </w:r>
      <w:r>
        <w:rPr>
          <w:rFonts w:ascii="Arial" w:cs="Arial" w:eastAsia="Arial" w:hAnsi="Arial"/>
          <w:sz w:val="18"/>
          <w:szCs w:val="18"/>
          <w:color w:val="auto"/>
        </w:rPr>
        <w:t>” shall be agreed between the Borrower and the Revolving Lenders.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98" w:name="page99"/>
    <w:bookmarkEnd w:id="9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Commodity Exchange Act</w:t>
      </w:r>
      <w:r>
        <w:rPr>
          <w:rFonts w:ascii="Arial" w:cs="Arial" w:eastAsia="Arial" w:hAnsi="Arial"/>
          <w:sz w:val="16"/>
          <w:szCs w:val="16"/>
          <w:color w:val="auto"/>
        </w:rPr>
        <w:t>” shall mean the Commodity Exchange Act (7 U.S.C.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Commuter Slot</w:t>
      </w:r>
      <w:r>
        <w:rPr>
          <w:rFonts w:ascii="Arial" w:cs="Arial" w:eastAsia="Arial" w:hAnsi="Arial"/>
          <w:sz w:val="18"/>
          <w:szCs w:val="18"/>
          <w:color w:val="auto"/>
        </w:rPr>
        <w:t>” shall mean any FAA Slot allocated by the FAA as a commuter slot under Title 14 of the United States Code of Federal Regulations, part 93, Subparts K and S (as amended from time to time by regulation, order or statute, or any successor or recodified regulation, order or statute imposing any operating limitations at the applicable airport).</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EBITDAR</w:t>
      </w:r>
      <w:r>
        <w:rPr>
          <w:rFonts w:ascii="Arial" w:cs="Arial" w:eastAsia="Arial" w:hAnsi="Arial"/>
          <w:sz w:val="18"/>
          <w:szCs w:val="18"/>
          <w:color w:val="auto"/>
        </w:rPr>
        <w:t>” shall mean, with respect to any specified Person for any period, the Consolidated Net Income of such Person for such period plus, without duplication:</w:t>
      </w:r>
    </w:p>
    <w:p>
      <w:pPr>
        <w:spacing w:after="0" w:line="62" w:lineRule="exact"/>
        <w:rPr>
          <w:sz w:val="20"/>
          <w:szCs w:val="20"/>
          <w:color w:val="auto"/>
        </w:rPr>
      </w:pPr>
    </w:p>
    <w:p>
      <w:pPr>
        <w:ind w:left="460" w:right="240" w:firstLine="443"/>
        <w:spacing w:after="0" w:line="27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any Disposition of assets, to the extent such losses were deducted in computing such Consolidated Net Income; plus</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to the extent that such provision for taxes was deducted in computing such Consolidated Net Income; plus</w:t>
      </w:r>
    </w:p>
    <w:p>
      <w:pPr>
        <w:spacing w:after="0" w:line="62" w:lineRule="exact"/>
        <w:rPr>
          <w:rFonts w:ascii="Arial" w:cs="Arial" w:eastAsia="Arial" w:hAnsi="Arial"/>
          <w:sz w:val="18"/>
          <w:szCs w:val="18"/>
          <w:color w:val="auto"/>
        </w:rPr>
      </w:pPr>
    </w:p>
    <w:p>
      <w:pPr>
        <w:ind w:left="460" w:right="400" w:firstLine="443"/>
        <w:spacing w:after="0" w:line="27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Fixed Charges of such Person and its Restricted Subsidiaries, to the extent that such Fixed Charges were deducted in computing such Consolidated Net Income; plus</w:t>
      </w:r>
    </w:p>
    <w:p>
      <w:pPr>
        <w:spacing w:after="0" w:line="62" w:lineRule="exact"/>
        <w:rPr>
          <w:rFonts w:ascii="Arial" w:cs="Arial" w:eastAsia="Arial" w:hAnsi="Arial"/>
          <w:sz w:val="18"/>
          <w:szCs w:val="18"/>
          <w:color w:val="auto"/>
        </w:rPr>
      </w:pPr>
    </w:p>
    <w:p>
      <w:pPr>
        <w:ind w:left="460" w:right="740" w:firstLine="443"/>
        <w:spacing w:after="0" w:line="342" w:lineRule="auto"/>
        <w:tabs>
          <w:tab w:leader="none" w:pos="1153"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foreign currency translation losses (including losses related to currency remeasurements of Indebtedness) of such Person and its Restricted Subsidiaries for such period, to the extent that such losses were deducted in computing such Consolidated Net Income; plus</w:t>
      </w:r>
    </w:p>
    <w:p>
      <w:pPr>
        <w:spacing w:after="0" w:line="15" w:lineRule="exact"/>
        <w:rPr>
          <w:rFonts w:ascii="Arial" w:cs="Arial" w:eastAsia="Arial" w:hAnsi="Arial"/>
          <w:sz w:val="16"/>
          <w:szCs w:val="16"/>
          <w:color w:val="auto"/>
        </w:rPr>
      </w:pPr>
    </w:p>
    <w:p>
      <w:pPr>
        <w:ind w:left="460" w:firstLine="443"/>
        <w:spacing w:after="0" w:line="25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amortization of debt discount to the extent that such amortization was deducted in computing such Consolidated Net Income; plus</w:t>
      </w:r>
    </w:p>
    <w:p>
      <w:pPr>
        <w:spacing w:after="0" w:line="128" w:lineRule="exact"/>
        <w:rPr>
          <w:rFonts w:ascii="Arial" w:cs="Arial" w:eastAsia="Arial" w:hAnsi="Arial"/>
          <w:sz w:val="17"/>
          <w:szCs w:val="17"/>
          <w:color w:val="auto"/>
        </w:rPr>
      </w:pPr>
    </w:p>
    <w:p>
      <w:pPr>
        <w:ind w:left="460" w:right="660" w:firstLine="443"/>
        <w:spacing w:after="0" w:line="27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deductions for grants to any employee of Parent or its Restricted Subsidiaries of any Equity Interests during such period to the extent deducted in computing such Consolidated Net Income; plus</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net loss arising from the sale, exchange or other disposition of capital assets by Parent or its Restricted Subsidiaries (including any fixed assets, whether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99" w:name="page100"/>
    <w:bookmarkEnd w:id="99"/>
    <w:p>
      <w:pPr>
        <w:ind w:left="460"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tangible or intangible, all inventory sold in conjunction with the disposition of fixed assets and all securities) to the extent such loss was deducted in computing such Consolidated Net Income; plus</w:t>
      </w:r>
    </w:p>
    <w:p>
      <w:pPr>
        <w:spacing w:after="0" w:line="62" w:lineRule="exact"/>
        <w:rPr>
          <w:sz w:val="20"/>
          <w:szCs w:val="20"/>
          <w:color w:val="auto"/>
        </w:rPr>
      </w:pPr>
    </w:p>
    <w:p>
      <w:pPr>
        <w:ind w:left="460" w:right="100" w:firstLine="443"/>
        <w:spacing w:after="0" w:line="342" w:lineRule="auto"/>
        <w:tabs>
          <w:tab w:leader="none" w:pos="11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losses arising under fuel hedging arrangements entered into prior to the Closing Date and any losses actually realized under fuel hedging arrangements entered into after the Closing Date, in each case to the extent deducted in computing such Consolidated Net Income; plus</w:t>
      </w:r>
    </w:p>
    <w:p>
      <w:pPr>
        <w:spacing w:after="0" w:line="15" w:lineRule="exact"/>
        <w:rPr>
          <w:rFonts w:ascii="Arial" w:cs="Arial" w:eastAsia="Arial" w:hAnsi="Arial"/>
          <w:sz w:val="16"/>
          <w:szCs w:val="16"/>
          <w:color w:val="auto"/>
        </w:rPr>
      </w:pPr>
    </w:p>
    <w:p>
      <w:pPr>
        <w:ind w:left="460" w:right="520" w:firstLine="443"/>
        <w:spacing w:after="0" w:line="277" w:lineRule="auto"/>
        <w:tabs>
          <w:tab w:leader="none" w:pos="12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proceeds from business interruption insurance for such period, to the extent not already included in computing such Consolidated Net Income; plus</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2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plus</w:t>
      </w:r>
    </w:p>
    <w:p>
      <w:pPr>
        <w:spacing w:after="0" w:line="78" w:lineRule="exact"/>
        <w:rPr>
          <w:rFonts w:ascii="Arial" w:cs="Arial" w:eastAsia="Arial" w:hAnsi="Arial"/>
          <w:sz w:val="18"/>
          <w:szCs w:val="18"/>
          <w:color w:val="auto"/>
        </w:rPr>
      </w:pPr>
    </w:p>
    <w:p>
      <w:pPr>
        <w:ind w:left="460" w:firstLine="443"/>
        <w:spacing w:after="0" w:line="277" w:lineRule="auto"/>
        <w:tabs>
          <w:tab w:leader="none" w:pos="12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non-cash items, other than the accrual of revenue in the Ordinary Course of Business, to the extent such amount increased such Consolidated Net Income; minus</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sum of (A) income tax credits and (B) interest income included in computing such Consolidated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each case, determined on a consolidated basis in accordance with GAAP.</w:t>
      </w:r>
    </w:p>
    <w:p>
      <w:pPr>
        <w:spacing w:after="0" w:line="225" w:lineRule="exact"/>
        <w:rPr>
          <w:sz w:val="20"/>
          <w:szCs w:val="20"/>
          <w:color w:val="auto"/>
        </w:rPr>
      </w:pPr>
    </w:p>
    <w:p>
      <w:pPr>
        <w:ind w:right="36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Income</w:t>
      </w:r>
      <w:r>
        <w:rPr>
          <w:rFonts w:ascii="Arial" w:cs="Arial" w:eastAsia="Arial" w:hAnsi="Arial"/>
          <w:sz w:val="17"/>
          <w:szCs w:val="17"/>
          <w:color w:val="auto"/>
        </w:rPr>
        <w:t xml:space="preserve">” 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57" w:lineRule="exact"/>
        <w:rPr>
          <w:sz w:val="20"/>
          <w:szCs w:val="20"/>
          <w:color w:val="auto"/>
        </w:rPr>
      </w:pPr>
    </w:p>
    <w:p>
      <w:pPr>
        <w:ind w:left="460" w:right="80" w:firstLine="443"/>
        <w:spacing w:after="0" w:line="289" w:lineRule="auto"/>
        <w:tabs>
          <w:tab w:leader="none" w:pos="1153"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the AMR/US Airways Merger and Parent’s reorganization plan);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 (including the notes), Permitted Investments, acquisitions, dispositions, recapitalizations or incurrences or repayments of Indebtedness permitted hereunder, including a refinancing thereof (in each case whether or not successful) (including but not limited to any one or more of the AMR/US Airways Merger, any Airlines Merger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00" w:name="page101"/>
    <w:bookmarkEnd w:id="100"/>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Airline/Parent Merger) and (c) gains and losses realized in connection with any sale of assets, the disposition of securities, the early extinguishment of Indebtedness or associated with Hedging Obligations, together with any related provision for taxes on any such gain, will be excluded;</w:t>
      </w:r>
    </w:p>
    <w:p>
      <w:pPr>
        <w:spacing w:after="0" w:line="16" w:lineRule="exact"/>
        <w:rPr>
          <w:sz w:val="20"/>
          <w:szCs w:val="20"/>
          <w:color w:val="auto"/>
        </w:rPr>
      </w:pPr>
    </w:p>
    <w:p>
      <w:pPr>
        <w:ind w:firstLine="443"/>
        <w:spacing w:after="0" w:line="264" w:lineRule="auto"/>
        <w:tabs>
          <w:tab w:leader="none" w:pos="6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w:t>
      </w:r>
    </w:p>
    <w:p>
      <w:pPr>
        <w:spacing w:after="0" w:line="73" w:lineRule="exact"/>
        <w:rPr>
          <w:rFonts w:ascii="Arial" w:cs="Arial" w:eastAsia="Arial" w:hAnsi="Arial"/>
          <w:sz w:val="18"/>
          <w:szCs w:val="18"/>
          <w:color w:val="auto"/>
        </w:rPr>
      </w:pPr>
    </w:p>
    <w:p>
      <w:pPr>
        <w:jc w:val="both"/>
        <w:ind w:right="140" w:firstLine="443"/>
        <w:spacing w:after="0" w:line="279" w:lineRule="auto"/>
        <w:tabs>
          <w:tab w:leader="none" w:pos="693"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63" w:lineRule="exact"/>
        <w:rPr>
          <w:rFonts w:ascii="Arial" w:cs="Arial" w:eastAsia="Arial" w:hAnsi="Arial"/>
          <w:sz w:val="17"/>
          <w:szCs w:val="17"/>
          <w:color w:val="auto"/>
        </w:rPr>
      </w:pPr>
    </w:p>
    <w:p>
      <w:pPr>
        <w:ind w:left="700" w:hanging="257"/>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on such Person will be excluded;</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effect of non-cash gains and losses of such Person resulting from Hedging Obligations, including attributable to movement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mark-to-market valuation of Hedging Obligations pursuant to Financial Accounting Standards Board Statement No. 133 will be excluded;</w:t>
      </w:r>
    </w:p>
    <w:p>
      <w:pPr>
        <w:spacing w:after="0" w:line="103" w:lineRule="exact"/>
        <w:rPr>
          <w:sz w:val="20"/>
          <w:szCs w:val="20"/>
          <w:color w:val="auto"/>
        </w:rPr>
      </w:pPr>
    </w:p>
    <w:p>
      <w:pPr>
        <w:ind w:right="80" w:firstLine="443"/>
        <w:spacing w:after="0" w:line="277" w:lineRule="auto"/>
        <w:tabs>
          <w:tab w:leader="none" w:pos="6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non-cash compensation expense recorded from grants by such Person of stock appreciation or similar rights, stock options or other rights to officers, directors or employees, will be excluded;</w:t>
      </w:r>
    </w:p>
    <w:p>
      <w:pPr>
        <w:spacing w:after="0" w:line="62" w:lineRule="exact"/>
        <w:rPr>
          <w:rFonts w:ascii="Arial" w:cs="Arial" w:eastAsia="Arial" w:hAnsi="Arial"/>
          <w:sz w:val="18"/>
          <w:szCs w:val="18"/>
          <w:color w:val="auto"/>
        </w:rPr>
      </w:pPr>
    </w:p>
    <w:p>
      <w:pPr>
        <w:ind w:right="200" w:firstLine="443"/>
        <w:spacing w:after="0" w:line="272" w:lineRule="auto"/>
        <w:tabs>
          <w:tab w:leader="none" w:pos="69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the Closing Date resulting from the application of Financial Accounting Standards Board Accounting Standards Codifications 205—Presentation of Financial Statements, 350—Intangibles—Goodwill and Other, 360—Property, Plant and Equipment and 805— Business Combinations (excluding any such non-cash item to the extent that it represents an accrual of or reserve for cash expenditures in any future period except to the extent such item is subsequently reversed), will be excluded;</w:t>
      </w:r>
    </w:p>
    <w:p>
      <w:pPr>
        <w:spacing w:after="0" w:line="69" w:lineRule="exact"/>
        <w:rPr>
          <w:rFonts w:ascii="Arial" w:cs="Arial" w:eastAsia="Arial" w:hAnsi="Arial"/>
          <w:sz w:val="17"/>
          <w:szCs w:val="17"/>
          <w:color w:val="auto"/>
        </w:rPr>
      </w:pPr>
    </w:p>
    <w:p>
      <w:pPr>
        <w:ind w:right="360" w:firstLine="443"/>
        <w:spacing w:after="0" w:line="308" w:lineRule="auto"/>
        <w:tabs>
          <w:tab w:leader="none" w:pos="693"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provision for income tax reflected on such Person’s financial statements for such period will be excluded to the extent such provision exceeds the actual amount of taxes paid in cash during such period by such Person and its consolidated Subsidiaries; and</w:t>
      </w:r>
    </w:p>
    <w:p>
      <w:pPr>
        <w:spacing w:after="0" w:line="38" w:lineRule="exact"/>
        <w:rPr>
          <w:rFonts w:ascii="Arial" w:cs="Arial" w:eastAsia="Arial" w:hAnsi="Arial"/>
          <w:sz w:val="17"/>
          <w:szCs w:val="17"/>
          <w:color w:val="auto"/>
        </w:rPr>
      </w:pPr>
    </w:p>
    <w:p>
      <w:pPr>
        <w:ind w:right="140" w:firstLine="443"/>
        <w:spacing w:after="0" w:line="264" w:lineRule="auto"/>
        <w:tabs>
          <w:tab w:leader="none" w:pos="6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74" w:right="259" w:bottom="1440" w:gutter="0" w:footer="0" w:header="0"/>
        </w:sectPr>
      </w:pPr>
    </w:p>
    <w:bookmarkStart w:id="101" w:name="page102"/>
    <w:bookmarkEnd w:id="101"/>
    <w:p>
      <w:pPr>
        <w:ind w:right="1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w:t>
      </w:r>
    </w:p>
    <w:p>
      <w:pPr>
        <w:spacing w:after="0" w:line="181"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Total Assets</w:t>
      </w:r>
      <w:r>
        <w:rPr>
          <w:rFonts w:ascii="Arial" w:cs="Arial" w:eastAsia="Arial" w:hAnsi="Arial"/>
          <w:sz w:val="16"/>
          <w:szCs w:val="16"/>
          <w:color w:val="auto"/>
        </w:rPr>
        <w:t>” shall mean, as of any date of determination, the sum of the amounts that would appear on a consolidated balance sheet of Parent and its consolidated Restricted Subsidiaries as the total assets of Parent and its Restricted Subsidiaries in accordance with GAAP.</w:t>
      </w:r>
    </w:p>
    <w:p>
      <w:pPr>
        <w:spacing w:after="0" w:line="12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Convertible Indebtedness</w:t>
      </w:r>
      <w:r>
        <w:rPr>
          <w:rFonts w:ascii="Arial" w:cs="Arial" w:eastAsia="Arial" w:hAnsi="Arial"/>
          <w:sz w:val="18"/>
          <w:szCs w:val="18"/>
          <w:color w:val="auto"/>
        </w:rPr>
        <w:t>” shall mean Indebtedness of Parent or a Restricted Subsidiary of Parent permitted to be incurred under the terms of this Agreement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Core Collateral</w:t>
      </w:r>
      <w:r>
        <w:rPr>
          <w:rFonts w:ascii="Arial" w:cs="Arial" w:eastAsia="Arial" w:hAnsi="Arial"/>
          <w:sz w:val="17"/>
          <w:szCs w:val="17"/>
          <w:color w:val="auto"/>
        </w:rPr>
        <w:t>” shall mean any of the following categories of assets, in each case, for which Appraisals have been delivered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pursuant to this Agreement:</w:t>
      </w:r>
    </w:p>
    <w:p>
      <w:pPr>
        <w:spacing w:after="0" w:line="211" w:lineRule="exact"/>
        <w:rPr>
          <w:sz w:val="20"/>
          <w:szCs w:val="20"/>
          <w:color w:val="auto"/>
        </w:rPr>
      </w:pPr>
    </w:p>
    <w:p>
      <w:pPr>
        <w:ind w:left="1160" w:hanging="239"/>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of the Spare Parts owned by the Borrower other than Spare Parts of the Borrower with an aggregate System Value less than or equal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 million;</w:t>
      </w:r>
    </w:p>
    <w:p>
      <w:pPr>
        <w:spacing w:after="0" w:line="210" w:lineRule="exact"/>
        <w:rPr>
          <w:rFonts w:ascii="Arial" w:cs="Arial" w:eastAsia="Arial" w:hAnsi="Arial"/>
          <w:sz w:val="16"/>
          <w:szCs w:val="16"/>
          <w:color w:val="auto"/>
        </w:rPr>
      </w:pPr>
    </w:p>
    <w:p>
      <w:pPr>
        <w:ind w:right="80" w:firstLine="921"/>
        <w:spacing w:after="0" w:line="257" w:lineRule="auto"/>
        <w:tabs>
          <w:tab w:leader="none" w:pos="11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number of FAA Slots (other than any Temporary Slots) held by the Borrower at DCA that is not less than the sum of (1) the product of (I) 66% and (II) the total number of FAA Slots (other than any Temporary Slots) that are Mainline Slots held by the Borrower at DCA and (2) the product of (I) 66% and (II) the total number of FAA Slots (other than any Temporary Slots) that are Commuter Slots held by the Borrower at DCA, in each case, as of the Closing Date based on an Officer’s Certificate of the Borrower delivered to the Administrative Agent on the Closing Date or such later time as the Administrative Agent may agree;</w:t>
      </w:r>
    </w:p>
    <w:p>
      <w:pPr>
        <w:spacing w:after="0" w:line="188" w:lineRule="exact"/>
        <w:rPr>
          <w:rFonts w:ascii="Arial" w:cs="Arial" w:eastAsia="Arial" w:hAnsi="Arial"/>
          <w:sz w:val="18"/>
          <w:szCs w:val="18"/>
          <w:color w:val="auto"/>
        </w:rPr>
      </w:pPr>
    </w:p>
    <w:p>
      <w:pPr>
        <w:ind w:firstLine="921"/>
        <w:spacing w:after="0" w:line="286" w:lineRule="auto"/>
        <w:tabs>
          <w:tab w:leader="none" w:pos="1158"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number of FAA Slots (other than any Temporary Slots) held by the Borrower at LGA that is not less than the product of (I) 66% and (II) the total number of FAA Slots (other than any Temporary Slots) held by the Borrower at LGA as of the Closing Date based on an Officer’s Certificate of the Borrower delivered to the Administrative Agent on the Closing Date or such later time as the Administrative Agent may agree;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102" w:name="page103"/>
    <w:bookmarkEnd w:id="102"/>
    <w:p>
      <w:pPr>
        <w:jc w:val="both"/>
        <w:ind w:left="-60" w:right="140" w:firstLine="921"/>
        <w:spacing w:after="0" w:line="286" w:lineRule="auto"/>
        <w:tabs>
          <w:tab w:leader="none" w:pos="1108" w:val="left"/>
        </w:tabs>
        <w:numPr>
          <w:ilvl w:val="0"/>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number of FAA Slots (other than any Temporary Slots) held by the Borrower at JFK that is not less than to the product of (I) 66% and (II) the total number of FAA Slots (other than any Temporary Slots) held by the Borrower at JFK as of the Closing Date based on an Officer’s Certificate of the Borrower delivered to the Administrative Agent on the Closing Date or such later time as the Administrative Agent may agree;</w:t>
      </w:r>
    </w:p>
    <w:p>
      <w:pPr>
        <w:spacing w:after="0" w:line="165" w:lineRule="exact"/>
        <w:rPr>
          <w:rFonts w:ascii="Arial" w:cs="Arial" w:eastAsia="Arial" w:hAnsi="Arial"/>
          <w:sz w:val="17"/>
          <w:szCs w:val="17"/>
          <w:color w:val="auto"/>
        </w:rPr>
      </w:pPr>
    </w:p>
    <w:p>
      <w:pPr>
        <w:ind w:left="-60" w:firstLine="921"/>
        <w:spacing w:after="0" w:line="276" w:lineRule="auto"/>
        <w:tabs>
          <w:tab w:leader="none" w:pos="1098" w:val="left"/>
        </w:tabs>
        <w:numPr>
          <w:ilvl w:val="0"/>
          <w:numId w:val="73"/>
        </w:numPr>
        <w:rPr>
          <w:rFonts w:ascii="Arial" w:cs="Arial" w:eastAsia="Arial" w:hAnsi="Arial"/>
          <w:sz w:val="17"/>
          <w:szCs w:val="17"/>
          <w:color w:val="auto"/>
        </w:rPr>
      </w:pPr>
      <w:r>
        <w:rPr>
          <w:rFonts w:ascii="Arial" w:cs="Arial" w:eastAsia="Arial" w:hAnsi="Arial"/>
          <w:sz w:val="17"/>
          <w:szCs w:val="17"/>
          <w:color w:val="auto"/>
        </w:rPr>
        <w:t>(1) a number of Foreign Slots (other than any Temporary Slots) of the Borrower at airports in Asia that is not less than the product of (I) 90% and (II) the total number of Foreign Slots (other than any Temporary Slots) of the Borrower used in any non-stop scheduled service of the Borrower between airports in the United States and airports in Asia and (2) all of the Route Authorities and Foreign Gate Leaseholds (other than Foreign Gate Leaseholds subject to Transfer Restrictions of the type specified in clause (1)(x) of the proviso to Section 1 of the SGR Security Agreement ) of the Borrower used in any non-stop scheduled service of the Borrower between airports in the United States and airports in Asia;</w:t>
      </w:r>
    </w:p>
    <w:p>
      <w:pPr>
        <w:spacing w:after="0" w:line="172" w:lineRule="exact"/>
        <w:rPr>
          <w:rFonts w:ascii="Arial" w:cs="Arial" w:eastAsia="Arial" w:hAnsi="Arial"/>
          <w:sz w:val="17"/>
          <w:szCs w:val="17"/>
          <w:color w:val="auto"/>
        </w:rPr>
      </w:pPr>
    </w:p>
    <w:p>
      <w:pPr>
        <w:ind w:left="-60" w:right="60" w:firstLine="921"/>
        <w:spacing w:after="0" w:line="297" w:lineRule="auto"/>
        <w:tabs>
          <w:tab w:leader="none" w:pos="1078" w:val="left"/>
        </w:tabs>
        <w:numPr>
          <w:ilvl w:val="0"/>
          <w:numId w:val="73"/>
        </w:numPr>
        <w:rPr>
          <w:rFonts w:ascii="Arial" w:cs="Arial" w:eastAsia="Arial" w:hAnsi="Arial"/>
          <w:sz w:val="16"/>
          <w:szCs w:val="16"/>
          <w:color w:val="auto"/>
        </w:rPr>
      </w:pPr>
      <w:r>
        <w:rPr>
          <w:rFonts w:ascii="Arial" w:cs="Arial" w:eastAsia="Arial" w:hAnsi="Arial"/>
          <w:sz w:val="16"/>
          <w:szCs w:val="16"/>
          <w:color w:val="auto"/>
        </w:rPr>
        <w:t>(1) a number of Foreign Slots (other than any Temporary Slots) of the Borrower at airports in South America that is not less than the product of (I) 90% and (II) the total number of Foreign Slots (other than any Temporary Slots) of the Borrower used in any non-stop scheduled service of the Borrower between airports in the United States and airports in South America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South America;</w:t>
      </w:r>
    </w:p>
    <w:p>
      <w:pPr>
        <w:spacing w:after="0" w:line="158" w:lineRule="exact"/>
        <w:rPr>
          <w:rFonts w:ascii="Arial" w:cs="Arial" w:eastAsia="Arial" w:hAnsi="Arial"/>
          <w:sz w:val="16"/>
          <w:szCs w:val="16"/>
          <w:color w:val="auto"/>
        </w:rPr>
      </w:pPr>
    </w:p>
    <w:p>
      <w:pPr>
        <w:ind w:left="-60" w:right="120" w:firstLine="921"/>
        <w:spacing w:after="0" w:line="255" w:lineRule="auto"/>
        <w:tabs>
          <w:tab w:leader="none" w:pos="11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(1) a number of Foreign Slots (other than any Temporary Slots) of the Borrower at airports in Central America and Mexico that is not less than the product of (I) 90% and (II) the total number of Foreign Slots (other than any Temporary Slots) of the Borrower used in any non-stop scheduled service of the Borrower between airports in the United States and airports in Central America and Mexico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Central America and Mexico;</w:t>
      </w:r>
    </w:p>
    <w:p>
      <w:pPr>
        <w:spacing w:after="0" w:line="193" w:lineRule="exact"/>
        <w:rPr>
          <w:rFonts w:ascii="Arial" w:cs="Arial" w:eastAsia="Arial" w:hAnsi="Arial"/>
          <w:sz w:val="18"/>
          <w:szCs w:val="18"/>
          <w:color w:val="auto"/>
        </w:rPr>
      </w:pPr>
    </w:p>
    <w:p>
      <w:pPr>
        <w:ind w:left="-60" w:right="100" w:firstLine="921"/>
        <w:spacing w:after="0" w:line="255" w:lineRule="auto"/>
        <w:tabs>
          <w:tab w:leader="none" w:pos="11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number of Foreign Slots (other than any Temporary Slots) of the Borrower at LHR that is not less than the product of (I) 66% and (II) (x) during the IATA summer season, the total number of IATA summer season Foreign Slots (other than any Temporary Slots) of the Borrower at LHR that are IATA summer season Foreign Slots used in any non-stop scheduled service of the Borrower between airports in the United States and LHR or (y) during the IATA winter season, the total number of IATA winter season Foreign Slots (other than any Temporary Slots) of the Borrower at LHR that are IATA winter season Foreign Slots used in any non-stop scheduled service of the Borrower between airports in the United States and LHR, in each case as of the Closing Date based on an Officer’s Certificate of the Borrower delivered to the Administrative Agent on the Closing Date or such later time as the Administrative Agent may agree; or</w:t>
      </w:r>
    </w:p>
    <w:p>
      <w:pPr>
        <w:spacing w:after="0" w:line="189" w:lineRule="exact"/>
        <w:rPr>
          <w:rFonts w:ascii="Arial" w:cs="Arial" w:eastAsia="Arial" w:hAnsi="Arial"/>
          <w:sz w:val="18"/>
          <w:szCs w:val="18"/>
          <w:color w:val="auto"/>
        </w:rPr>
      </w:pPr>
    </w:p>
    <w:p>
      <w:pPr>
        <w:ind w:left="-60" w:right="80" w:firstLine="921"/>
        <w:spacing w:after="0" w:line="257" w:lineRule="auto"/>
        <w:tabs>
          <w:tab w:leader="none" w:pos="10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any Airbus A320 NEO family aircraft, Airbus 320 family aircraft, Airbus A330 family aircraft, Airbus A350 family aircraft, Boeing 737 NG family aircraft, Boeing 737 MAX family aircraft, Boeing 777 family aircraft, Boeing 787 family aircraft and/or any engines, or any combination of the foregoing assets, in each case, the Appraised Value of which is not less than the product of (i) 20% and (ii) of the product of (x) 1.6 and (y) the Total Obligations as of any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that all such aircraft or engines are of the type described in Section 1110 of the Bankruptcy Code or any analogous successor provision of the Bankruptcy Code.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300" w:top="274" w:right="299" w:bottom="1440" w:gutter="0" w:footer="0" w:header="0"/>
        </w:sectPr>
      </w:pPr>
    </w:p>
    <w:bookmarkStart w:id="103" w:name="page104"/>
    <w:bookmarkEnd w:id="103"/>
    <w:p>
      <w:pPr>
        <w:ind w:right="5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Core Collateral Failure</w:t>
      </w:r>
      <w:r>
        <w:rPr>
          <w:rFonts w:ascii="Arial" w:cs="Arial" w:eastAsia="Arial" w:hAnsi="Arial"/>
          <w:sz w:val="18"/>
          <w:szCs w:val="18"/>
          <w:color w:val="auto"/>
        </w:rPr>
        <w:t>” shall mean, as of any date of determination, the failure of the Collateral to include at least one category of Core Collateral as of such date.</w:t>
      </w:r>
    </w:p>
    <w:p>
      <w:pPr>
        <w:spacing w:after="0" w:line="170"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Facilities</w:t>
      </w:r>
      <w:r>
        <w:rPr>
          <w:rFonts w:ascii="Arial" w:cs="Arial" w:eastAsia="Arial" w:hAnsi="Arial"/>
          <w:sz w:val="17"/>
          <w:szCs w:val="17"/>
          <w:color w:val="auto"/>
        </w:rPr>
        <w:t>” shall mean, one or more debt facilities, commercial paper facilities, reimbursement agreements or other agreements (other than the Loan Documents)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termination or otherwise) or refinanced (including by means of sales of debt securities) in whole or in part from time to time.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DCA</w:t>
      </w:r>
      <w:r>
        <w:rPr>
          <w:rFonts w:ascii="Arial" w:cs="Arial" w:eastAsia="Arial" w:hAnsi="Arial"/>
          <w:sz w:val="18"/>
          <w:szCs w:val="18"/>
          <w:color w:val="auto"/>
        </w:rPr>
        <w:t>” shall mean Ronald Reagan Washington National Airport, Washington D.C.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Default</w:t>
      </w:r>
      <w:r>
        <w:rPr>
          <w:rFonts w:ascii="Arial" w:cs="Arial" w:eastAsia="Arial" w:hAnsi="Arial"/>
          <w:sz w:val="16"/>
          <w:szCs w:val="16"/>
          <w:color w:val="auto"/>
        </w:rPr>
        <w:t>” shall mean any event that, unless cured or waived, is, or with the passage of time or the giving of notice or both would be, an Event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Defaulting Lender</w:t>
      </w:r>
      <w:r>
        <w:rPr>
          <w:rFonts w:ascii="Arial" w:cs="Arial" w:eastAsia="Arial" w:hAnsi="Arial"/>
          <w:sz w:val="17"/>
          <w:szCs w:val="17"/>
          <w:color w:val="auto"/>
        </w:rPr>
        <w:t>” shall mean, at any time, subject to Section 2.26(i), (a) any Lender (including any Agent in its capacity as Lender) that has failed, within two (2) Business Days from the date required to be funded or paid by it hereunder, to fund or pay (x) any portion of the Revolving Loans, (y) any portion of the participations in any Letter of Credit required to be funded hereunder or (z) any other amount required to be paid by it hereunder to the Administrative Agent, any Issuing Lender or any other Lender (or its banking Affiliates), (b) any Lender (including any Agent in its capacity as Lender) that has notified the Borrower, the Administrative Agent, any Issuing Lender or any other Lender or has made a public statement, in each case, verbally or in writing and has not rescinded such notice or publication, to the effect, that it does not intend or expect to comply with any of its funding obligations (i) under this Agreement (unless such notification or public statement relates to such Lender’s obligation to fund a Borrowing hereunder and states that such position is based on such Lender’s determination that a condition to funding (which condition, together with any applicable default, shall be specifically identified in such writing or public statement) cannot be satisfied) or (ii) generally under other agreements in which it commits to extend credit, (c) any Lender (including any Agent in its capacity as Lender), that has failed, within three (3) Business Days after request by the Administrative Agent, any Issuing Lender, any other Lender or the Borrower, acting in</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104" w:name="page105"/>
    <w:bookmarkEnd w:id="10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good faith, to provide a confirmation in writing from an authorized officer or other authorized representative of such Lender that it will comply with its obligations (and is financially able to meet such obligations) to fund prospective Loans and participations in then outstanding Letters of Credit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the Administrative Agent’s, such Issuing Lender’s, such other Lender’s or the Borrower’s, as applicable, receipt of such confirmation in form and substance satisfactory to the Administrative Agent and the Borrowers or (d) any Agent or any Lender that has become, or has had its Parent Company become, the subject of a Bankruptcy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(d) above will be conclusive and binding absent manifest error, and such Lender will be deemed to be a Defaulting Lender (subject to Section 2.26(i)) upon notification of such determination by the Administrative Agent to the Borrower and the Lenders.</w:t>
      </w:r>
    </w:p>
    <w:p>
      <w:pPr>
        <w:spacing w:after="0" w:line="180"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Banking Product Agreement</w:t>
      </w:r>
      <w:r>
        <w:rPr>
          <w:rFonts w:ascii="Arial" w:cs="Arial" w:eastAsia="Arial" w:hAnsi="Arial"/>
          <w:sz w:val="16"/>
          <w:szCs w:val="16"/>
          <w:color w:val="auto"/>
        </w:rPr>
        <w:t xml:space="preserve">” shall mean any agreement evidencing Designated Banking Product Obligations entered into by Parent or the Borrower and any Person that, at the time such Person entered into such agreement, was a Revolving Lender or a banking Affiliate of a Revolving Lender, in each case designated by the relevant Lender and Parent or the Borrower, by written notice to the Administrative Agent, as a “Designated Banking Product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any Revolving Lender is a Defaulting Lender, such Revolving Lender shall not have any rights hereunder with respect to any Designated Banking Product Agreement entered into while such Revolving Lender was a Defaulting Lender.</w:t>
      </w:r>
    </w:p>
    <w:p>
      <w:pPr>
        <w:spacing w:after="0" w:line="15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Banking Product Obligations</w:t>
      </w:r>
      <w:r>
        <w:rPr>
          <w:rFonts w:ascii="Arial" w:cs="Arial" w:eastAsia="Arial" w:hAnsi="Arial"/>
          <w:sz w:val="16"/>
          <w:szCs w:val="16"/>
          <w:color w:val="auto"/>
        </w:rPr>
        <w:t xml:space="preserve">” shall mean any Banking Product Obligations, in each case as designated by any Revolving Lender (or a banking Affiliate thereof) and Parent or the Borrower from time to time and agreed to by the Administrative Agent as constituting “Designated Banking Product Obligations,” which notice shall include (i) a copy of an agreement providing an agreed-upon maximum amount of Designated Banking Product Obligations that can be included as Obligations, and (ii) the acknowledgment of such Revolving Lender (or such banking Affiliate) that its security interest in the Collateral securing such Designated Banking Product Obligations shall be subject to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designation, the aggregate agreed-upon maximum amount of all “Designated Banking Product Obligations” included as Obligations, together with the aggregate agreed-upon maximum amount of all “Designated Hedging Obligations” included as Obligations, shall not exceed $100,000,000 in the aggregate.</w:t>
      </w:r>
    </w:p>
    <w:p>
      <w:pPr>
        <w:spacing w:after="0" w:line="167" w:lineRule="exact"/>
        <w:rPr>
          <w:sz w:val="20"/>
          <w:szCs w:val="20"/>
          <w:color w:val="auto"/>
        </w:rPr>
      </w:pPr>
    </w:p>
    <w:p>
      <w:pPr>
        <w:jc w:val="both"/>
        <w:ind w:right="1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Hedging Agreement</w:t>
      </w:r>
      <w:r>
        <w:rPr>
          <w:rFonts w:ascii="Arial" w:cs="Arial" w:eastAsia="Arial" w:hAnsi="Arial"/>
          <w:sz w:val="16"/>
          <w:szCs w:val="16"/>
          <w:color w:val="auto"/>
        </w:rPr>
        <w:t>” shall mean any Hedging Agreement entered into by Parent or the Borrower and any Person that, at the time such Person entered into such Hedging Agreement, was a Revolving Lender or an Affiliate of a Revolving Lender, as designated by the relevant Lender (or Affiliate of a Lender) and Parent or the Borrower, by written notice to the Administrative Agent, as a “Designated Hedging Agreement,” which notice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105" w:name="page106"/>
    <w:bookmarkEnd w:id="105"/>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include a copy of an agreement providing for (i) a methodology agreed to by Parent or the Borrower, such Revolving Lender or Affiliate of a Revolving Lender, and the Administrative Agent for reporting the outstanding amount of Designated Hedging Obligations under such Designated Hedging Agreement from time to time, (ii) an agreed-upon maximum amount of Designated Hedging Obligations under such Designated Hedging Agreement that can be included as Obligations and (iii) the acknowledgment of such Revolving Lender or Affiliate of a Revolving Lender that its security interest in the Collateral securing such Designated Hedging Obligations shall be subject to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designation, the aggregate agreed-upon maximum amount of all “Designated Hedging Obligations” included as Obligations, together with the aggregate agreed-upon maximum amount of all “Designated Banking Product Obligations” included as Obligations, shall not exceed $100,000,000 in the aggregate;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so long as any Revolving Lender is a Defaulting Lender, such Revolving Lender shall not have any rights hereunder with respect to any Designated Hedging Agreement entered into while such Revolving Lender was a Defaulting Lender.</w:t>
      </w:r>
    </w:p>
    <w:p>
      <w:pPr>
        <w:spacing w:after="0" w:line="182"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Hedging Obligations</w:t>
      </w:r>
      <w:r>
        <w:rPr>
          <w:rFonts w:ascii="Arial" w:cs="Arial" w:eastAsia="Arial" w:hAnsi="Arial"/>
          <w:sz w:val="16"/>
          <w:szCs w:val="16"/>
          <w:color w:val="auto"/>
        </w:rPr>
        <w:t>” shall mean,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w:t>
      </w:r>
    </w:p>
    <w:p>
      <w:pPr>
        <w:spacing w:after="0" w:line="16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Disposition</w:t>
      </w:r>
      <w:r>
        <w:rPr>
          <w:rFonts w:ascii="Arial" w:cs="Arial" w:eastAsia="Arial" w:hAnsi="Arial"/>
          <w:sz w:val="18"/>
          <w:szCs w:val="18"/>
          <w:color w:val="auto"/>
        </w:rPr>
        <w:t>” shall mean, with respect to any property, any sale, lease, sale and leaseback, conveyance, transfer or other disposition thereof; provided, that none of the circumstances described in the last sentence of Section 6.04 shall constitute a “Disposition”. The terms “Dispose” and “Disposed of” shall have correlative meanings.</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Institution</w:t>
      </w:r>
      <w:r>
        <w:rPr>
          <w:rFonts w:ascii="Arial" w:cs="Arial" w:eastAsia="Arial" w:hAnsi="Arial"/>
          <w:sz w:val="18"/>
          <w:szCs w:val="18"/>
          <w:color w:val="auto"/>
        </w:rPr>
        <w:t>” shall mean (a) any Person identified in writing to the Joint Lead Arrangers and Bookrunners on or prior to the Closing Date and (b) any Person that is or becomes a competitor of the Borrower and is designated by the Borrower as such in a writing provided to the Administrative Agent after the Closing Date.</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Term Loan Maturity Date. Notwithstanding the preceding sentence, any Capital Stock that would constitute Disqualified Stock solely because the holders of the Capital Stock have the right to require Parent or any of its Restricted Subsidiaries to repurchase such Capital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106" w:name="page107"/>
    <w:bookmarkEnd w:id="10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Documentation Agents</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shall mean lawful money of the United States.</w:t>
      </w:r>
    </w:p>
    <w:p>
      <w:pPr>
        <w:spacing w:after="0" w:line="225"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DOT</w:t>
      </w:r>
      <w:r>
        <w:rPr>
          <w:rFonts w:ascii="Arial" w:cs="Arial" w:eastAsia="Arial" w:hAnsi="Arial"/>
          <w:sz w:val="18"/>
          <w:szCs w:val="18"/>
          <w:color w:val="auto"/>
        </w:rPr>
        <w:t>” shall mean the United States Department of Transportation and any successor thereto.</w:t>
      </w:r>
    </w:p>
    <w:p>
      <w:pPr>
        <w:spacing w:after="0" w:line="225" w:lineRule="exact"/>
        <w:rPr>
          <w:sz w:val="20"/>
          <w:szCs w:val="20"/>
          <w:color w:val="auto"/>
        </w:rPr>
      </w:pPr>
    </w:p>
    <w:p>
      <w:pPr>
        <w:jc w:val="both"/>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Dutch Auction</w:t>
      </w:r>
      <w:r>
        <w:rPr>
          <w:rFonts w:ascii="Arial" w:cs="Arial" w:eastAsia="Arial" w:hAnsi="Arial"/>
          <w:sz w:val="18"/>
          <w:szCs w:val="18"/>
          <w:color w:val="auto"/>
        </w:rPr>
        <w:t>” shall mean an auction of Term Loans conducted pursuant to Section 10.02(g) to allow the Borrower to purchase Term Loans at a discount to par value and on a non-pro rata basis, in each case in accordance with the applicable Dutch Auction Procedures.</w:t>
      </w:r>
    </w:p>
    <w:p>
      <w:pPr>
        <w:spacing w:after="0" w:line="170" w:lineRule="exact"/>
        <w:rPr>
          <w:sz w:val="20"/>
          <w:szCs w:val="20"/>
          <w:color w:val="auto"/>
        </w:rPr>
      </w:pPr>
    </w:p>
    <w:p>
      <w:pPr>
        <w:jc w:val="both"/>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Dutch Auction Procedures</w:t>
      </w:r>
      <w:r>
        <w:rPr>
          <w:rFonts w:ascii="Arial" w:cs="Arial" w:eastAsia="Arial" w:hAnsi="Arial"/>
          <w:sz w:val="18"/>
          <w:szCs w:val="18"/>
          <w:color w:val="auto"/>
        </w:rPr>
        <w:t>” shall mean, with respect to a purchase of Term Loans by the Borrower pursuant to Section 10.02(g), Dutch auction procedures to be reasonably agreed upon by the Borrower and the Administrative Agent in connection with any such purchase.</w:t>
      </w:r>
    </w:p>
    <w:p>
      <w:pPr>
        <w:spacing w:after="0" w:line="170"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107" w:name="page108"/>
    <w:bookmarkEnd w:id="107"/>
    <w:p>
      <w:pPr>
        <w:ind w:right="20"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Eligible Assignee</w:t>
      </w:r>
      <w:r>
        <w:rPr>
          <w:rFonts w:ascii="Arial" w:cs="Arial" w:eastAsia="Arial" w:hAnsi="Arial"/>
          <w:sz w:val="17"/>
          <w:szCs w:val="17"/>
          <w:color w:val="auto"/>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assignment of Revolving Commitments, such Affiliate has total assets in excess of $200,000,000, (d) an Approved Fund of any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assignment of Revolving Commitments, such Approved Fund has total assets in excess of $200,000,000, (e) (i) in the case of any Revolving Lender, any other financial institution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financial institution has total assets in excess of $200,000,000, and (ii) in the case of any Term Lender, any other Person (other than any Defaulting Lender, Disqualified Institution or natural Person) reasonably satisfactory to the Administrative Agent and (f) solely with respect to assignments of Term Loans to the extent permitted under Section 10.02(g),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Event of Default has occurred and is continuing, no Disqualified Institution shall constitute an Eligible Assignee unless otherwise consented to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as provided in clause (f) above, neither Parent nor any Subsidiary of Parent shall constitute an Eligible Assignee.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Engagement Letter</w:t>
      </w:r>
      <w:r>
        <w:rPr>
          <w:rFonts w:ascii="Arial" w:cs="Arial" w:eastAsia="Arial" w:hAnsi="Arial"/>
          <w:sz w:val="18"/>
          <w:szCs w:val="18"/>
          <w:color w:val="auto"/>
        </w:rPr>
        <w:t>” shall have the meaning set forth in Section 2.19.</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Person (including employees) to, any Hazardous Materials.</w:t>
      </w:r>
    </w:p>
    <w:p>
      <w:pPr>
        <w:spacing w:after="0" w:line="18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Liability</w:t>
      </w:r>
      <w:r>
        <w:rPr>
          <w:rFonts w:ascii="Arial" w:cs="Arial" w:eastAsia="Arial" w:hAnsi="Arial"/>
          <w:sz w:val="17"/>
          <w:szCs w:val="17"/>
          <w:color w:val="auto"/>
        </w:rPr>
        <w:t>” shall mean any liability (including any liability for damages, natural resource damage, costs of environmental investigation, remediation or monitoring or costs, fines or penalties) resulting from or based upon (a) 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w:t>
      </w:r>
    </w:p>
    <w:p>
      <w:pPr>
        <w:spacing w:after="0" w:line="173"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shall mean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08" w:name="page109"/>
    <w:bookmarkEnd w:id="10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ERISA</w:t>
      </w:r>
      <w:r>
        <w:rPr>
          <w:rFonts w:ascii="Arial" w:cs="Arial" w:eastAsia="Arial" w:hAnsi="Arial"/>
          <w:sz w:val="16"/>
          <w:szCs w:val="16"/>
          <w:color w:val="auto"/>
        </w:rPr>
        <w:t>” shall mean the Employee Retirement Income Security Act of 1974, as amended from time to time, and the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shall mean any trade or business (whether or not incorporated) that, together with the Borrower, is treated as a single employer under Section 414(b) or (c) of the Code, or solely for purposes of Section 302 of ERISA and Section 412 and 430 of the Code, is treated as a single employer under Section 414 of the Code.</w:t>
      </w:r>
    </w:p>
    <w:p>
      <w:pPr>
        <w:spacing w:after="0" w:line="181" w:lineRule="exact"/>
        <w:rPr>
          <w:sz w:val="20"/>
          <w:szCs w:val="20"/>
          <w:color w:val="auto"/>
        </w:rPr>
      </w:pPr>
    </w:p>
    <w:p>
      <w:pPr>
        <w:jc w:val="both"/>
        <w:ind w:right="1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Escrow Accounts</w:t>
      </w:r>
      <w:r>
        <w:rPr>
          <w:rFonts w:ascii="Arial" w:cs="Arial" w:eastAsia="Arial" w:hAnsi="Arial"/>
          <w:sz w:val="16"/>
          <w:szCs w:val="16"/>
          <w:color w:val="auto"/>
        </w:rPr>
        <w:t>” shall mean (1)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w:t>
      </w:r>
    </w:p>
    <w:p>
      <w:pPr>
        <w:ind w:right="80" w:firstLine="8"/>
        <w:spacing w:after="0" w:line="252"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 (f) other funds held in trust for, or otherwise pledged to or segregated for the benefit of, an identified beneficiary; or (2) accounts, capitalized interest accounts, debt service reserve accounts, escrow accounts and other similar accounts of Parent or any Subsidiary or funds established in connection with the ARB Indebtedness.</w:t>
      </w:r>
    </w:p>
    <w:p>
      <w:pPr>
        <w:spacing w:after="0" w:line="192"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Eurodollar</w:t>
      </w:r>
      <w:r>
        <w:rPr>
          <w:rFonts w:ascii="Arial" w:cs="Arial" w:eastAsia="Arial" w:hAnsi="Arial"/>
          <w:sz w:val="18"/>
          <w:szCs w:val="18"/>
          <w:color w:val="auto"/>
        </w:rPr>
        <w:t>” when used in reference to any Loan or Borrowing, refers to whether such Loan, or the Loans comprising such Borrowing, is bearing interest at a rate determined by reference to the LIBO Rate.</w:t>
      </w:r>
    </w:p>
    <w:p>
      <w:pPr>
        <w:spacing w:after="0" w:line="170" w:lineRule="exact"/>
        <w:rPr>
          <w:sz w:val="20"/>
          <w:szCs w:val="20"/>
          <w:color w:val="auto"/>
        </w:rPr>
      </w:pPr>
    </w:p>
    <w:p>
      <w:pPr>
        <w:jc w:val="both"/>
        <w:ind w:right="2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Eurodollar Tranche</w:t>
      </w:r>
      <w:r>
        <w:rPr>
          <w:rFonts w:ascii="Arial" w:cs="Arial" w:eastAsia="Arial" w:hAnsi="Arial"/>
          <w:sz w:val="16"/>
          <w:szCs w:val="16"/>
          <w:color w:val="auto"/>
        </w:rPr>
        <w:t>” shall mean the collective reference to Eurodollar Loans under a particular Facility the then current Interest Periods with respect to all of which begin on the same date and end on the same later date (whether or not such Loans shall originally have been made on the same day).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shall have the meaning set forth in Section 7.01.</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Cash Flow</w:t>
      </w:r>
      <w:r>
        <w:rPr>
          <w:rFonts w:ascii="Arial" w:cs="Arial" w:eastAsia="Arial" w:hAnsi="Arial"/>
          <w:sz w:val="18"/>
          <w:szCs w:val="18"/>
          <w:color w:val="auto"/>
        </w:rPr>
        <w:t>” shall mean, for any period, (i) Consolidated EBITDAR of Parent for such period, minus (plus) (ii) any increase (decrease) in Working Capital of Parent from the first day of such period to the last day of such period, minus (iii) the sum of (A) payments by the Borrower, Parent or any Guarantor of scheduled principal and interest with respect to the consolidated Indebtedness of Parent (but excluding Indebtedness that is solely the obligation of any Subsidiary that is not a Guarantor) during such period, to the extent such payments are not prohibited under this Agreement, (B) income taxes paid during such period, (C) aircraft rentals paid during such period under Operating Leases, (D) cash used during such period for capital expenditures, (E) deposit and pre 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09" w:name="page110"/>
    <w:bookmarkEnd w:id="10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Contributions</w:t>
      </w:r>
      <w:r>
        <w:rPr>
          <w:rFonts w:ascii="Arial" w:cs="Arial" w:eastAsia="Arial" w:hAnsi="Arial"/>
          <w:sz w:val="18"/>
          <w:szCs w:val="18"/>
          <w:color w:val="auto"/>
        </w:rPr>
        <w:t>” shall mean net cash proceeds received by Parent after the Closing Date from:</w:t>
      </w:r>
    </w:p>
    <w:p>
      <w:pPr>
        <w:spacing w:after="0" w:line="117" w:lineRule="exact"/>
        <w:rPr>
          <w:sz w:val="20"/>
          <w:szCs w:val="20"/>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contributions to its common equity capital (other than from any Subsidiary); or</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sale (other than to a Subsidiary or to any management equity plan or stock option plan or any other management or employee benefit plan or agreement of Parent or any Subsidiary) of Qualifying Equity Interests,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(a)(y)(ii)(B) of Section 6.01.</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Information</w:t>
      </w:r>
      <w:r>
        <w:rPr>
          <w:rFonts w:ascii="Arial" w:cs="Arial" w:eastAsia="Arial" w:hAnsi="Arial"/>
          <w:sz w:val="18"/>
          <w:szCs w:val="18"/>
          <w:color w:val="auto"/>
        </w:rPr>
        <w:t>” shall have the meaning set forth in Section 10.02(g).</w:t>
      </w:r>
    </w:p>
    <w:p>
      <w:pPr>
        <w:spacing w:after="0" w:line="22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shall mean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the Borrower and the Administrative Agent reasonably agree that the burden or cost or other consequences of providing a guarantee of the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Borrower and notified in writing to the Administrative Agent), (7) that is an Unrestricted Subsidiary, (8) that is a Foreign Subsidiary or (9) AWHQ LLC.</w:t>
      </w:r>
    </w:p>
    <w:p>
      <w:pPr>
        <w:spacing w:after="0" w:line="169"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Swap Obligation</w:t>
      </w:r>
      <w:r>
        <w:rPr>
          <w:rFonts w:ascii="Arial" w:cs="Arial" w:eastAsia="Arial" w:hAnsi="Arial"/>
          <w:sz w:val="17"/>
          <w:szCs w:val="17"/>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10" w:name="page111"/>
    <w:bookmarkEnd w:id="110"/>
    <w:p>
      <w:pPr>
        <w:ind w:right="60"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Excluded Taxes</w:t>
      </w:r>
      <w:r>
        <w:rPr>
          <w:rFonts w:ascii="Arial" w:cs="Arial" w:eastAsia="Arial" w:hAnsi="Arial"/>
          <w:sz w:val="16"/>
          <w:szCs w:val="16"/>
          <w:color w:val="auto"/>
        </w:rPr>
        <w:t>” shall mean, with respect to the Administrative Agent, any Lender, any Issuing Lender or any other recipient of any payment to be made by or on account of any Obligation of the Borrower or any Guarantor hereunder or under any Loan Document, (a) any Taxes based on (or measured by) its net income, profits or capital, or any franchise taxes (i) imposed by the United States or any political subdivision thereof or by the jurisdiction under the laws of which such recipient is organized or in which its principal office is located or, in the case of any Lender, in which its applicable lending office is located or (ii) imposed as a result of a present or former connection between such recipient and the jurisdiction imposing such Taxes (other than a connection arising from such recipient’s having executed, delivered, enforced, become a party to, performed its obligations under, received payments under, received or perfected a security interest under, or enforced, this Agreement or any Loan Document), (b) any branch profits Taxes imposed by the United States or any similar Tax imposed by any other jurisdiction in which such recipient is located, (c) any withholding Tax or gross income Tax that is imposed on amounts payable to such recipient pursuant to a law in effect at the time such recipient becomes a party to this Agreement or designates a new lending office, except, and then only to the extent that, such recipient’s assignor was entitled, at the time of assignment to such recipient, or such Lender was entitled at the time of designation of a new lending office, to receive additional amounts from the Borrower with respect to such withholding Tax pursuant to Section 2.16(a),</w:t>
      </w:r>
    </w:p>
    <w:p>
      <w:pPr>
        <w:spacing w:after="0" w:line="5" w:lineRule="exact"/>
        <w:rPr>
          <w:sz w:val="20"/>
          <w:szCs w:val="20"/>
          <w:color w:val="auto"/>
        </w:rPr>
      </w:pPr>
    </w:p>
    <w:p>
      <w:pPr>
        <w:ind w:firstLine="8"/>
        <w:spacing w:after="0" w:line="252"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withholding Tax that is attributable to such recipient’s failure to comply with Section 2.16(f) or 2.16(g), (e) any Tax that is imposed by reason of FATCA and (f) in the case of a recipient that is an intermediary, partnership or other flow-through entity for U.S. tax purposes, any withholding Tax or gross income Tax, to the extent that such Tax is imposed based upon the status of a beneficiary, partner or member of such recipient pursuant to a law in effect at the time such beneficiary, partner or member of such recipient becomes a beneficiary, partner or member of such recipient, except to the extent that amounts with respect to such Taxes were payable pursuant to Section 2.16(a) to such recipient in respect of the assignor (or predecessor in interest) of such beneficiary, partner or member immediately before such beneficiary, partner or member acquired its interest in such recipient from such assignor (or predecessor in interest)).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Indebtedness</w:t>
      </w:r>
      <w:r>
        <w:rPr>
          <w:rFonts w:ascii="Arial" w:cs="Arial" w:eastAsia="Arial" w:hAnsi="Arial"/>
          <w:sz w:val="17"/>
          <w:szCs w:val="17"/>
          <w:color w:val="auto"/>
        </w:rPr>
        <w:t>” shall mean all Indebtedness of Parent and its Subsidiaries in existence on the Closing Date, until such amounts 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repaid.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Extended Revolving Commitment</w:t>
      </w:r>
      <w:r>
        <w:rPr>
          <w:rFonts w:ascii="Arial" w:cs="Arial" w:eastAsia="Arial" w:hAnsi="Arial"/>
          <w:sz w:val="18"/>
          <w:szCs w:val="18"/>
          <w:color w:val="auto"/>
        </w:rPr>
        <w:t>” shall have the meaning set forth in Section 2.28(b)(ii).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Extended Term Loan</w:t>
      </w:r>
      <w:r>
        <w:rPr>
          <w:rFonts w:ascii="Arial" w:cs="Arial" w:eastAsia="Arial" w:hAnsi="Arial"/>
          <w:sz w:val="18"/>
          <w:szCs w:val="18"/>
          <w:color w:val="auto"/>
        </w:rPr>
        <w:t>” shall have the meaning set forth in Section 2.28(a)(ii).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Extension</w:t>
      </w:r>
      <w:r>
        <w:rPr>
          <w:rFonts w:ascii="Arial" w:cs="Arial" w:eastAsia="Arial" w:hAnsi="Arial"/>
          <w:sz w:val="18"/>
          <w:szCs w:val="18"/>
          <w:color w:val="auto"/>
        </w:rPr>
        <w:t>” shall mean a Term Loan Extension or a Revolver Extension, as the case may be.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Extension Amendment</w:t>
      </w:r>
      <w:r>
        <w:rPr>
          <w:rFonts w:ascii="Arial" w:cs="Arial" w:eastAsia="Arial" w:hAnsi="Arial"/>
          <w:sz w:val="18"/>
          <w:szCs w:val="18"/>
          <w:color w:val="auto"/>
        </w:rPr>
        <w:t>” shall have the meaning set forth in Section 2.28(d).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Extension of Credit</w:t>
      </w:r>
      <w:r>
        <w:rPr>
          <w:rFonts w:ascii="Arial" w:cs="Arial" w:eastAsia="Arial" w:hAnsi="Arial"/>
          <w:sz w:val="17"/>
          <w:szCs w:val="17"/>
          <w:color w:val="auto"/>
        </w:rPr>
        <w:t>” shall mean, as to any Lender, the making of a Loan, or the issuance of, or participation in, a Letter of Credit by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Extension Offer</w:t>
      </w:r>
      <w:r>
        <w:rPr>
          <w:rFonts w:ascii="Arial" w:cs="Arial" w:eastAsia="Arial" w:hAnsi="Arial"/>
          <w:sz w:val="18"/>
          <w:szCs w:val="18"/>
          <w:color w:val="auto"/>
        </w:rPr>
        <w:t>” shall mean a Term Loan Extension Offer or a Revolver Extension Offer, as the case may be.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111" w:name="page112"/>
    <w:bookmarkEnd w:id="11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FAA</w:t>
      </w:r>
      <w:r>
        <w:rPr>
          <w:rFonts w:ascii="Arial" w:cs="Arial" w:eastAsia="Arial" w:hAnsi="Arial"/>
          <w:sz w:val="18"/>
          <w:szCs w:val="18"/>
          <w:color w:val="auto"/>
        </w:rPr>
        <w:t>” shall mean the Federal Aviation Administration of the United States and any successor thereto.</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FAA Route Slot</w:t>
      </w:r>
      <w:r>
        <w:rPr>
          <w:rFonts w:ascii="Arial" w:cs="Arial" w:eastAsia="Arial" w:hAnsi="Arial"/>
          <w:sz w:val="16"/>
          <w:szCs w:val="16"/>
          <w:color w:val="auto"/>
        </w:rPr>
        <w:t>” shall mean, at any time of determination, any FAA Slot of any Person at any airport in the United States that is an origin and/or destination point with respect to any Scheduled Service, in each case only to the extent such FAA Slot is being utilized by such Person or any Grantor to provide such Scheduled Service, but in each case excluding any FAA Slot that was obtained by any Person from another air carrier pursuant to an agreement (including but not limited to a loan agreement, lease agreement or a slot release agreement) and is held by such Person on a temporary basis.</w:t>
      </w:r>
    </w:p>
    <w:p>
      <w:pPr>
        <w:spacing w:after="0" w:line="154"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FAA Slot</w:t>
      </w:r>
      <w:r>
        <w:rPr>
          <w:rFonts w:ascii="Arial" w:cs="Arial" w:eastAsia="Arial" w:hAnsi="Arial"/>
          <w:sz w:val="18"/>
          <w:szCs w:val="18"/>
          <w:color w:val="auto"/>
        </w:rPr>
        <w:t>”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w:t>
      </w:r>
      <w:r>
        <w:rPr>
          <w:rFonts w:ascii="Arial" w:cs="Arial" w:eastAsia="Arial" w:hAnsi="Arial"/>
          <w:sz w:val="18"/>
          <w:szCs w:val="18"/>
          <w:color w:val="auto"/>
        </w:rPr>
        <w:t>” shall mean each of the Revolving Facility and the Term Loan Facility.</w:t>
      </w:r>
    </w:p>
    <w:p>
      <w:pPr>
        <w:spacing w:after="0" w:line="225"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xml:space="preserve">” shall mean the value that would be paid by a willing buyer to an unaffiliated willing seller in a transaction not involving distress or necessity of either party, determined in good faith by a Responsible Officer of the Borrower or Parent (unless otherwise provided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FASB</w:t>
      </w:r>
      <w:r>
        <w:rPr>
          <w:rFonts w:ascii="Arial" w:cs="Arial" w:eastAsia="Arial" w:hAnsi="Arial"/>
          <w:sz w:val="18"/>
          <w:szCs w:val="18"/>
          <w:color w:val="auto"/>
        </w:rPr>
        <w:t>” shall mean the Financial Accounting Standards Board.</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shall mean Sections 1471 through 1474 of the Code, as of the date of this Agreement, any amended or successor provisions that are substantially comparable and not materially more onerous to comply with, any regulations or official interpretations thereof and any agreements entered into pursuant to Section 1471(b)(1) of the Code and any fiscal or regulatory legislation, rules or practices adopted pursuant to any intergovernmental agreement entered into in connection with the foregoing.</w:t>
      </w:r>
    </w:p>
    <w:p>
      <w:pPr>
        <w:spacing w:after="0" w:line="187"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Federal Funds Effective Rate</w:t>
      </w:r>
      <w:r>
        <w:rPr>
          <w:rFonts w:ascii="Arial" w:cs="Arial" w:eastAsia="Arial" w:hAnsi="Arial"/>
          <w:sz w:val="16"/>
          <w:szCs w:val="16"/>
          <w:color w:val="auto"/>
        </w:rPr>
        <w:t xml:space="preserve">” shall mean,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Federal Funds Effective Rate shall be less than zero, such rate shall be deemed to be zero for purposes of this Agreement.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Letters</w:t>
      </w:r>
      <w:r>
        <w:rPr>
          <w:rFonts w:ascii="Arial" w:cs="Arial" w:eastAsia="Arial" w:hAnsi="Arial"/>
          <w:sz w:val="18"/>
          <w:szCs w:val="18"/>
          <w:color w:val="auto"/>
        </w:rPr>
        <w:t>” shall mean the Administrative Agent Fee Letter and the Joint Lead Arranger Fee Letter.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112" w:name="page113"/>
    <w:bookmarkEnd w:id="112"/>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Fees</w:t>
      </w:r>
      <w:r>
        <w:rPr>
          <w:rFonts w:ascii="Arial" w:cs="Arial" w:eastAsia="Arial" w:hAnsi="Arial"/>
          <w:sz w:val="17"/>
          <w:szCs w:val="17"/>
          <w:color w:val="auto"/>
        </w:rPr>
        <w:t>” shall collectively mean the Commitment Fees, the Upfront Fees, the Letter of Credit Fees and other fees referred to in Section 2.19.</w:t>
      </w:r>
    </w:p>
    <w:p>
      <w:pPr>
        <w:spacing w:after="0" w:line="1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shall mean, with respect to any specified Person for any period, the sum, without duplication, of:</w:t>
      </w:r>
    </w:p>
    <w:p>
      <w:pPr>
        <w:spacing w:after="0" w:line="117" w:lineRule="exact"/>
        <w:rPr>
          <w:sz w:val="20"/>
          <w:szCs w:val="20"/>
          <w:color w:val="auto"/>
        </w:rPr>
      </w:pPr>
    </w:p>
    <w:p>
      <w:pPr>
        <w:ind w:left="460" w:right="60" w:firstLine="443"/>
        <w:spacing w:after="0" w:line="277"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62"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interest component of leases that are capitalized in accordance with GAAP of such Person and its Restricted Subsidiaries for such period to the extent that such interest component is related to lease payments payable in cash; plus</w:t>
      </w:r>
    </w:p>
    <w:p>
      <w:pPr>
        <w:spacing w:after="0" w:line="62" w:lineRule="exact"/>
        <w:rPr>
          <w:rFonts w:ascii="Arial" w:cs="Arial" w:eastAsia="Arial" w:hAnsi="Arial"/>
          <w:sz w:val="18"/>
          <w:szCs w:val="18"/>
          <w:color w:val="auto"/>
        </w:rPr>
      </w:pPr>
    </w:p>
    <w:p>
      <w:pPr>
        <w:ind w:left="460" w:right="100" w:firstLine="443"/>
        <w:spacing w:after="0" w:line="264"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73" w:lineRule="exact"/>
        <w:rPr>
          <w:rFonts w:ascii="Arial" w:cs="Arial" w:eastAsia="Arial" w:hAnsi="Arial"/>
          <w:sz w:val="18"/>
          <w:szCs w:val="18"/>
          <w:color w:val="auto"/>
        </w:rPr>
      </w:pPr>
    </w:p>
    <w:p>
      <w:pPr>
        <w:ind w:left="460" w:right="260" w:firstLine="443"/>
        <w:spacing w:after="0" w:line="259"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aircraft rent expense of such Person and its Restricted Subsidiaries for such period to the extent that such aircraft rent expense is payable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as determined on a consolidated basis in accordance with GAAP.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Flight Simulators</w:t>
      </w:r>
      <w:r>
        <w:rPr>
          <w:rFonts w:ascii="Arial" w:cs="Arial" w:eastAsia="Arial" w:hAnsi="Arial"/>
          <w:sz w:val="18"/>
          <w:szCs w:val="18"/>
          <w:color w:val="auto"/>
        </w:rPr>
        <w:t>” shall mean the flight simulators and flight training devices owned by Parent or any of its Restricted Subsidiaries.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Flyer Miles Obligations</w:t>
      </w:r>
      <w:r>
        <w:rPr>
          <w:rFonts w:ascii="Arial" w:cs="Arial" w:eastAsia="Arial" w:hAnsi="Arial"/>
          <w:sz w:val="18"/>
          <w:szCs w:val="18"/>
          <w:color w:val="auto"/>
        </w:rPr>
        <w:t>” shall mean, at any date of determination, all payment and performance obligations of the Borrower under any card marketing agreement with respect to credit cards co-branded by the Borrower and a financial institution which may include obligations in respect of the pre-purchase by third parties of frequent flyer miles and any other similar agreements entered into by Parent or any of its Subsidiaries with any bank from time to time.</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Aviation Authority</w:t>
      </w:r>
      <w:r>
        <w:rPr>
          <w:rFonts w:ascii="Arial" w:cs="Arial" w:eastAsia="Arial" w:hAnsi="Arial"/>
          <w:sz w:val="18"/>
          <w:szCs w:val="18"/>
          <w:color w:val="auto"/>
        </w:rPr>
        <w:t>” shall mean any non-U.S. governmental, quasi-governmental, regulatory or other agency, public corporation or private entity that exercises jurisdiction over the issuance or authorization (</w:t>
      </w:r>
      <w:r>
        <w:rPr>
          <w:rFonts w:ascii="Arial" w:cs="Arial" w:eastAsia="Arial" w:hAnsi="Arial"/>
          <w:sz w:val="18"/>
          <w:szCs w:val="18"/>
          <w:u w:val="single" w:color="auto"/>
          <w:color w:val="auto"/>
        </w:rPr>
        <w:t>i</w:t>
      </w:r>
      <w:r>
        <w:rPr>
          <w:rFonts w:ascii="Arial" w:cs="Arial" w:eastAsia="Arial" w:hAnsi="Arial"/>
          <w:sz w:val="18"/>
          <w:szCs w:val="18"/>
          <w:color w:val="auto"/>
        </w:rPr>
        <w:t>) to serve any non-U.S. point on any Scheduled Service that any applicable Person is serving at any time and/or to conduct operations related to any Scheduled Service and Foreign Gate Leaseholds at any time and/or (</w:t>
      </w:r>
      <w:r>
        <w:rPr>
          <w:rFonts w:ascii="Arial" w:cs="Arial" w:eastAsia="Arial" w:hAnsi="Arial"/>
          <w:sz w:val="18"/>
          <w:szCs w:val="18"/>
          <w:u w:val="single" w:color="auto"/>
          <w:color w:val="auto"/>
        </w:rPr>
        <w:t>ii</w:t>
      </w:r>
      <w:r>
        <w:rPr>
          <w:rFonts w:ascii="Arial" w:cs="Arial" w:eastAsia="Arial" w:hAnsi="Arial"/>
          <w:sz w:val="18"/>
          <w:szCs w:val="18"/>
          <w:color w:val="auto"/>
        </w:rPr>
        <w:t>) to hold and operate any Foreign Route Slots at any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113" w:name="page114"/>
    <w:bookmarkEnd w:id="113"/>
    <w:p>
      <w:pPr>
        <w:ind w:right="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Foreign Gate Leasehold</w:t>
      </w:r>
      <w:r>
        <w:rPr>
          <w:rFonts w:ascii="Arial" w:cs="Arial" w:eastAsia="Arial" w:hAnsi="Arial"/>
          <w:sz w:val="18"/>
          <w:szCs w:val="18"/>
          <w:color w:val="auto"/>
        </w:rPr>
        <w:t>” shall mean, at any time of determination, all of the right, title, privilege, interest and authority of an applicable Person to use or occupy space in an airport terminal at any airport outside the United States that is an origin and/or destination point with respect to any Scheduled Service, in each case only to the extent necessary for such Person to provide such Scheduled Service.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Lender</w:t>
      </w:r>
      <w:r>
        <w:rPr>
          <w:rFonts w:ascii="Arial" w:cs="Arial" w:eastAsia="Arial" w:hAnsi="Arial"/>
          <w:sz w:val="18"/>
          <w:szCs w:val="18"/>
          <w:color w:val="auto"/>
        </w:rPr>
        <w:t>” shall mean any Lender that is not a “United States person” as defined in Section 7701(a)(3) of the Code.</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Route Slot</w:t>
      </w:r>
      <w:r>
        <w:rPr>
          <w:rFonts w:ascii="Arial" w:cs="Arial" w:eastAsia="Arial" w:hAnsi="Arial"/>
          <w:sz w:val="18"/>
          <w:szCs w:val="18"/>
          <w:color w:val="auto"/>
        </w:rPr>
        <w:t>” shall mean, at any time of determination, any Foreign Slot of any Person at any airport outside the United States that is an origin and/or destination point with respect to any Scheduled Service, in each case only to the extent such Foreign Slot is being utilized by such Person or any Grantor to provide such Scheduled Service, but in each case excluding any Foreign Slot that was obtained by a Person from another air carrier pursuant to an agreement (including but not limited to a loan agreement, lease agreement, slot exchange agreement or a slot release agreement) and is held by such Person on a temporary basis.</w:t>
      </w:r>
    </w:p>
    <w:p>
      <w:pPr>
        <w:spacing w:after="0" w:line="188"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Slot</w:t>
      </w:r>
      <w:r>
        <w:rPr>
          <w:rFonts w:ascii="Arial" w:cs="Arial" w:eastAsia="Arial" w:hAnsi="Arial"/>
          <w:sz w:val="18"/>
          <w:szCs w:val="18"/>
          <w:color w:val="auto"/>
        </w:rPr>
        <w:t>” shall mean, at any time of determination, in the case of airports outside the United States, the right and operational authority to conduct one landing or take-off operation at a specific time or during a specific time period at such airport.</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shall mean any direct or indirect Subsidiary of Parent that was not formed under the laws of the United States or any state of the United States or the District of Columbia.</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shall mean generally accepted accounting principles in the United States,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Notwithstanding the foregoing definition, with respect to leases (whether or not they are required to be capitalized on a Person’s balance sheet under generally accepted accounting principles in the United States in effect as of the date of this Agreement) and with respect to financial matters related to leases, including assets, liabilities and items of income and expense, “GAAP” shall mean (other than for purposes of Sections 5.01(a) and 5.01(b)), and determinations and calculations shall be made in accordance with, generally accepted accounting principles in the United States, which are in effect as of the date hereof.</w:t>
      </w:r>
    </w:p>
    <w:p>
      <w:pPr>
        <w:spacing w:after="0" w:line="17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Gate Leasehold</w:t>
      </w:r>
      <w:r>
        <w:rPr>
          <w:rFonts w:ascii="Arial" w:cs="Arial" w:eastAsia="Arial" w:hAnsi="Arial"/>
          <w:sz w:val="18"/>
          <w:szCs w:val="18"/>
          <w:color w:val="auto"/>
        </w:rPr>
        <w:t>” shall mean all of the right, title, interest, privilege and authority of any Person to use or occupy space in an airport terminal in connection with the provision of air carrier service.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114" w:name="page115"/>
    <w:bookmarkEnd w:id="114"/>
    <w:p>
      <w:pPr>
        <w:ind w:right="4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Governmental Authority</w:t>
      </w:r>
      <w:r>
        <w:rPr>
          <w:rFonts w:ascii="Arial" w:cs="Arial" w:eastAsia="Arial" w:hAnsi="Arial"/>
          <w:sz w:val="17"/>
          <w:szCs w:val="17"/>
          <w:color w:val="auto"/>
        </w:rPr>
        <w:t>” shall mean the government of the United States, any other nation or any political subdivision thereof, whether state or local, and any agency (including without limitation the DOT and the FAA), authority, instrumentality, regulatory body, court, central bank organization, or other entity exercising executive, legislative, judicial, taxing or regulatory powers or functions of or pertaining to government (including any supra-national bodies such as the European Union). Governmental Authority shall not include any Person in its capacity as an Airport Authority.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Grantor</w:t>
      </w:r>
      <w:r>
        <w:rPr>
          <w:rFonts w:ascii="Arial" w:cs="Arial" w:eastAsia="Arial" w:hAnsi="Arial"/>
          <w:sz w:val="18"/>
          <w:szCs w:val="18"/>
          <w:color w:val="auto"/>
        </w:rPr>
        <w:t>” shall mean the Borrower and any Guarantor that shall at any time pledge Collateral under a Collateral Document.</w:t>
      </w:r>
    </w:p>
    <w:p>
      <w:pPr>
        <w:spacing w:after="0" w:line="225"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Ground Service Equipment</w:t>
      </w:r>
      <w:r>
        <w:rPr>
          <w:rFonts w:ascii="Arial" w:cs="Arial" w:eastAsia="Arial" w:hAnsi="Arial"/>
          <w:sz w:val="17"/>
          <w:szCs w:val="17"/>
          <w:color w:val="auto"/>
        </w:rPr>
        <w:t>” shall mean the ground service equipment, de-icers, ground support equipment, aircraft cleaning devices, materials handling equipment, passenger walkways and other similar equipment owned by Parent or any of its Restricted Subsidiaries.</w:t>
      </w:r>
    </w:p>
    <w:p>
      <w:pPr>
        <w:spacing w:after="0" w:line="147"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shall mean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Guaranteed Obligations</w:t>
      </w:r>
      <w:r>
        <w:rPr>
          <w:rFonts w:ascii="Arial" w:cs="Arial" w:eastAsia="Arial" w:hAnsi="Arial"/>
          <w:sz w:val="18"/>
          <w:szCs w:val="18"/>
          <w:color w:val="auto"/>
        </w:rPr>
        <w:t>” shall have the meaning set forth in Section 9.01(a).</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shall mean, collectively, Parent and each Domestic Subsidiary of Parent that becomes a party to the Guaranty pursuant to Section 5.09. As of the Closing Date, Parent is the only Guarantor.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Guaranty</w:t>
      </w:r>
      <w:r>
        <w:rPr>
          <w:rFonts w:ascii="Arial" w:cs="Arial" w:eastAsia="Arial" w:hAnsi="Arial"/>
          <w:sz w:val="18"/>
          <w:szCs w:val="18"/>
          <w:color w:val="auto"/>
        </w:rPr>
        <w:t>” shall mean the guaranty set forth in Article IX.</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Guaranty Obligations</w:t>
      </w:r>
      <w:r>
        <w:rPr>
          <w:rFonts w:ascii="Arial" w:cs="Arial" w:eastAsia="Arial" w:hAnsi="Arial"/>
          <w:sz w:val="18"/>
          <w:szCs w:val="18"/>
          <w:color w:val="auto"/>
        </w:rPr>
        <w:t>” shall have the meaning set forth in Section 9.01(a).</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shall mean all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Agreement</w:t>
      </w:r>
      <w:r>
        <w:rPr>
          <w:rFonts w:ascii="Arial" w:cs="Arial" w:eastAsia="Arial" w:hAnsi="Arial"/>
          <w:sz w:val="18"/>
          <w:szCs w:val="18"/>
          <w:color w:val="auto"/>
        </w:rPr>
        <w:t>” shall mean any agreement evidencing Hedging Obligations.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shall mean, with respect to any Person, all obligations and liabilities of such Person under:</w:t>
      </w:r>
    </w:p>
    <w:p>
      <w:pPr>
        <w:spacing w:after="0" w:line="117" w:lineRule="exact"/>
        <w:rPr>
          <w:sz w:val="20"/>
          <w:szCs w:val="20"/>
          <w:color w:val="auto"/>
        </w:rPr>
      </w:pPr>
    </w:p>
    <w:p>
      <w:pPr>
        <w:ind w:left="460" w:right="240" w:firstLine="443"/>
        <w:spacing w:after="0" w:line="277" w:lineRule="auto"/>
        <w:tabs>
          <w:tab w:leader="none" w:pos="11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115" w:name="page116"/>
    <w:bookmarkEnd w:id="115"/>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460" w:right="420" w:firstLine="443"/>
        <w:spacing w:after="0" w:line="264" w:lineRule="auto"/>
        <w:tabs>
          <w:tab w:leader="none" w:pos="11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avoidance of doubt, any Permitted Convertible Indebtedness Call Transaction will not constitute Hedging Obligations.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IATA</w:t>
      </w:r>
      <w:r>
        <w:rPr>
          <w:rFonts w:ascii="Arial" w:cs="Arial" w:eastAsia="Arial" w:hAnsi="Arial"/>
          <w:sz w:val="18"/>
          <w:szCs w:val="18"/>
          <w:color w:val="auto"/>
        </w:rPr>
        <w:t>” shall mean the International Air Transport Association and any successor thereto.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ICE LIBOR</w:t>
      </w:r>
      <w:r>
        <w:rPr>
          <w:rFonts w:ascii="Arial" w:cs="Arial" w:eastAsia="Arial" w:hAnsi="Arial"/>
          <w:sz w:val="18"/>
          <w:szCs w:val="18"/>
          <w:color w:val="auto"/>
        </w:rPr>
        <w:t>” shall have the meaning set forth in the definition of “LIBO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ICF</w:t>
      </w:r>
      <w:r>
        <w:rPr>
          <w:rFonts w:ascii="Arial" w:cs="Arial" w:eastAsia="Arial" w:hAnsi="Arial"/>
          <w:sz w:val="18"/>
          <w:szCs w:val="18"/>
          <w:color w:val="auto"/>
        </w:rPr>
        <w:t>” shall mean ICF International, formerly known as ICF SH&amp;E, Inc.</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Immaterial Subsidiaries</w:t>
      </w:r>
      <w:r>
        <w:rPr>
          <w:rFonts w:ascii="Arial" w:cs="Arial" w:eastAsia="Arial" w:hAnsi="Arial"/>
          <w:sz w:val="17"/>
          <w:szCs w:val="17"/>
          <w:color w:val="auto"/>
        </w:rPr>
        <w:t xml:space="preserve">” 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twelve-month period ending on the last day of the most recent fiscal quarter of Parent for which internal financial statements are available;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Subsidiary will not be considered to be an Immaterial Subsidiary if it (1) directly or indirectly guarantees, or pledges any property or assets to secure, any Obligations, Pari Passu Senior Secured Debt or Junior Secured Debt or (2) owns any properties or assets that constitute Collateral.</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 Effective Date</w:t>
      </w:r>
      <w:r>
        <w:rPr>
          <w:rFonts w:ascii="Arial" w:cs="Arial" w:eastAsia="Arial" w:hAnsi="Arial"/>
          <w:sz w:val="18"/>
          <w:szCs w:val="18"/>
          <w:color w:val="auto"/>
        </w:rPr>
        <w:t>” shall have the meaning set forth in Section 2.27(a).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 Joinder</w:t>
      </w:r>
      <w:r>
        <w:rPr>
          <w:rFonts w:ascii="Arial" w:cs="Arial" w:eastAsia="Arial" w:hAnsi="Arial"/>
          <w:sz w:val="18"/>
          <w:szCs w:val="18"/>
          <w:color w:val="auto"/>
        </w:rPr>
        <w:t>” shall have the meaning set forth in Section 2.27(c).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Commitments</w:t>
      </w:r>
      <w:r>
        <w:rPr>
          <w:rFonts w:ascii="Arial" w:cs="Arial" w:eastAsia="Arial" w:hAnsi="Arial"/>
          <w:sz w:val="18"/>
          <w:szCs w:val="18"/>
          <w:color w:val="auto"/>
        </w:rPr>
        <w:t>” shall have the meaning set forth in Section 2.27(a).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Revolving Commitment</w:t>
      </w:r>
      <w:r>
        <w:rPr>
          <w:rFonts w:ascii="Arial" w:cs="Arial" w:eastAsia="Arial" w:hAnsi="Arial"/>
          <w:sz w:val="18"/>
          <w:szCs w:val="18"/>
          <w:color w:val="auto"/>
        </w:rPr>
        <w:t>” shall have the meaning set forth in Section 2.27(a).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Term Loan Commitment</w:t>
      </w:r>
      <w:r>
        <w:rPr>
          <w:rFonts w:ascii="Arial" w:cs="Arial" w:eastAsia="Arial" w:hAnsi="Arial"/>
          <w:sz w:val="18"/>
          <w:szCs w:val="18"/>
          <w:color w:val="auto"/>
        </w:rPr>
        <w:t>” shall have the meaning set forth in Section 2.27(a).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Term Loans</w:t>
      </w:r>
      <w:r>
        <w:rPr>
          <w:rFonts w:ascii="Arial" w:cs="Arial" w:eastAsia="Arial" w:hAnsi="Arial"/>
          <w:sz w:val="18"/>
          <w:szCs w:val="18"/>
          <w:color w:val="auto"/>
        </w:rPr>
        <w:t>” shall have the meaning set forth in Section 2.27(c)(i).</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16" w:name="page117"/>
    <w:bookmarkEnd w:id="116"/>
    <w:p>
      <w:pPr>
        <w:ind w:right="6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Indebtedness</w:t>
      </w:r>
      <w:r>
        <w:rPr>
          <w:rFonts w:ascii="Arial" w:cs="Arial" w:eastAsia="Arial" w:hAnsi="Arial"/>
          <w:sz w:val="18"/>
          <w:szCs w:val="18"/>
          <w:color w:val="auto"/>
        </w:rPr>
        <w:t>” shall mean, with respect to any specified Person, any indebtedness of such Person (excluding air traffic liability, accrued expenses and trade payables), whether or not contingent:</w:t>
      </w:r>
    </w:p>
    <w:p>
      <w:pPr>
        <w:spacing w:after="0" w:line="62" w:lineRule="exact"/>
        <w:rPr>
          <w:sz w:val="20"/>
          <w:szCs w:val="20"/>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17" w:lineRule="exact"/>
        <w:rPr>
          <w:rFonts w:ascii="Arial" w:cs="Arial" w:eastAsia="Arial" w:hAnsi="Arial"/>
          <w:sz w:val="18"/>
          <w:szCs w:val="18"/>
          <w:color w:val="auto"/>
        </w:rPr>
      </w:pPr>
    </w:p>
    <w:p>
      <w:pPr>
        <w:ind w:left="460" w:right="20" w:firstLine="443"/>
        <w:spacing w:after="0" w:line="308" w:lineRule="auto"/>
        <w:tabs>
          <w:tab w:leader="none" w:pos="1153"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representing the balance deferred and unpaid of the purchase price of any property or services due more than six months after such property is acquired or such services are completed, and excluding in any event trade payables arising in the Ordinary Course of Business; or</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Statement of Financial Accounting Standards No. 133 and related interpretations to the extent such effects would otherwise increase or decrease an amount of Indebtedness for any purpose under this Agreement as a result of accounting for any embedded derivatives created by the terms of such Indebtedness.</w:t>
      </w:r>
    </w:p>
    <w:p>
      <w:pPr>
        <w:spacing w:after="0" w:line="16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For the avoidance of doubt, (a) Banking Product Obligations, (b) obligations under leases (other than leases determined to be Capital Lease Obligations under GAAP as in effect on the date of this Agreement),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a deferral of pre-delivery payments relating to the purchases of Aircraft Related Equipment and (i) obligations under flyer miles participation agreements do not constitute Indebtedness, whether or not such obligations would appear as a liability upon a balance sheet of a specified Person.</w:t>
      </w:r>
    </w:p>
    <w:p>
      <w:pPr>
        <w:spacing w:after="0" w:line="16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shall mean Taxes, other than Excluded Taxes, imposed on or with respect to any payments made by the Borrower or any Guarantor under this Agreement or any other Loan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17" w:name="page118"/>
    <w:bookmarkEnd w:id="11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Indemnitee</w:t>
      </w:r>
      <w:r>
        <w:rPr>
          <w:rFonts w:ascii="Arial" w:cs="Arial" w:eastAsia="Arial" w:hAnsi="Arial"/>
          <w:sz w:val="18"/>
          <w:szCs w:val="18"/>
          <w:color w:val="auto"/>
        </w:rPr>
        <w:t>” shall have the meaning set forth in Section 10.04(b).</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Appraisal</w:t>
      </w:r>
      <w:r>
        <w:rPr>
          <w:rFonts w:ascii="Arial" w:cs="Arial" w:eastAsia="Arial" w:hAnsi="Arial"/>
          <w:sz w:val="18"/>
          <w:szCs w:val="18"/>
          <w:color w:val="auto"/>
        </w:rPr>
        <w:t>” shall mean the report of Sage dated March 10, 2016, as delivered to the Administrative Agent by the Borrower pursuant to Section 4.01(d).</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Collateral Release Date</w:t>
      </w:r>
      <w:r>
        <w:rPr>
          <w:rFonts w:ascii="Arial" w:cs="Arial" w:eastAsia="Arial" w:hAnsi="Arial"/>
          <w:sz w:val="18"/>
          <w:szCs w:val="18"/>
          <w:color w:val="auto"/>
        </w:rPr>
        <w:t>” shall mean the earliest to occur of (i) the date on which the first Borrower Release occurs pursuant to the terms hereof and (ii) a Disposition of Collateral that is not a Permitted Disposition pursuant to the terms 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Installment</w:t>
      </w:r>
      <w:r>
        <w:rPr>
          <w:rFonts w:ascii="Arial" w:cs="Arial" w:eastAsia="Arial" w:hAnsi="Arial"/>
          <w:sz w:val="18"/>
          <w:szCs w:val="18"/>
          <w:color w:val="auto"/>
        </w:rPr>
        <w:t>” shall have the meaning set forth in Section 2.10(b).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shall mean an intercreditor agreement substantially in the form of Exhibit K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 Election Request</w:t>
      </w:r>
      <w:r>
        <w:rPr>
          <w:rFonts w:ascii="Arial" w:cs="Arial" w:eastAsia="Arial" w:hAnsi="Arial"/>
          <w:sz w:val="17"/>
          <w:szCs w:val="17"/>
          <w:color w:val="auto"/>
        </w:rPr>
        <w:t>” shall mean a request by the Borrower to convert or continue a Borrowing in accordance with Section 2.05.</w:t>
      </w:r>
    </w:p>
    <w:p>
      <w:pPr>
        <w:spacing w:after="0" w:line="23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shall mean (a) as to any Eurodollar Loan having an Interest Period of one or three months, the last day of such Interest Period, (b) as to any Eurodollar Loan having an Interest Period of more than three months, each day that is three months, or a whole multiple thereof, after the first day of such Interest Period and the last day of such Interest Period and (c) with respect to ABR Loans, the last Business Day of each March, June, September and December.</w:t>
      </w:r>
    </w:p>
    <w:p>
      <w:pPr>
        <w:spacing w:after="0" w:line="187"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Period</w:t>
      </w:r>
      <w:r>
        <w:rPr>
          <w:rFonts w:ascii="Arial" w:cs="Arial" w:eastAsia="Arial" w:hAnsi="Arial"/>
          <w:sz w:val="18"/>
          <w:szCs w:val="18"/>
          <w:color w:val="auto"/>
        </w:rPr>
        <w:t xml:space="preserve">” shall mean, as to any Borrowing of Eurodollar Loans, the period commencing on the date of such Borrowing (including as a result of a conversion from ABR Loans) or on the last day of the preceding Interest Period applicable to such Borrowing and ending on (but excluding) the numerically corresponding day (or if there is no corresponding day, the last day) in the calendar month that is one, three or six months thereafter (or, if available to all affected Lenders, 12 months or a shorter period as agreed to by the Administrative Agent and the affected Lenders), as the Borrower may elect in the related notice delivered pursuant to Section 2.03 or 2.05;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and (ii) no Interest Period shall end later than the applicable Termination Date.</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Interpolated Screen Rate</w:t>
      </w:r>
      <w:r>
        <w:rPr>
          <w:rFonts w:ascii="Arial" w:cs="Arial" w:eastAsia="Arial" w:hAnsi="Arial"/>
          <w:sz w:val="17"/>
          <w:szCs w:val="17"/>
          <w:color w:val="auto"/>
        </w:rPr>
        <w:t>” shall mean, in relation to the LIBO Rate, the rate which results from interpolating on a linear basis between:</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applicable ICE LIBOR for the longest period (for which that ICE LIBOR is available) which is less than the Interest Period of that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(b) the applicable ICE LIBOR for the shortest period (for which that ICE LIBOR is available) which exceeds the Interest Period of that Loan,</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as of approximately 11:00 a.m. (London, England time) two Business Days prior to the commencement of such Interest Period of that Loan.</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118" w:name="page119"/>
    <w:bookmarkEnd w:id="118"/>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Investments</w:t>
      </w:r>
      <w:r>
        <w:rPr>
          <w:rFonts w:ascii="Arial" w:cs="Arial" w:eastAsia="Arial" w:hAnsi="Arial"/>
          <w:sz w:val="16"/>
          <w:szCs w:val="16"/>
          <w:color w:val="auto"/>
        </w:rPr>
        <w:t>”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w:t>
      </w:r>
    </w:p>
    <w:p>
      <w:pPr>
        <w:spacing w:after="0" w:line="172"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Lender</w:t>
      </w:r>
      <w:r>
        <w:rPr>
          <w:rFonts w:ascii="Arial" w:cs="Arial" w:eastAsia="Arial" w:hAnsi="Arial"/>
          <w:sz w:val="18"/>
          <w:szCs w:val="18"/>
          <w:color w:val="auto"/>
        </w:rPr>
        <w:t>” shall mean) any Lender agreeing to act in its capacity as an issuer of Letters of Credit hereunder, and its respective successors in such capacity as provided in Section 2.02(i), which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and the Administrative Agent to be bound by the provisions of the Loan Documents applicable to an Issuing Lender, in which case the term “Issuing Lender” shall include any such Affiliate with respect to Letters of Credit issued by such Affiliate.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JFK</w:t>
      </w:r>
      <w:r>
        <w:rPr>
          <w:rFonts w:ascii="Arial" w:cs="Arial" w:eastAsia="Arial" w:hAnsi="Arial"/>
          <w:sz w:val="18"/>
          <w:szCs w:val="18"/>
          <w:color w:val="auto"/>
        </w:rPr>
        <w:t>” shall mean John F. Kennedy International Airport, New York.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Joint Lead Arrangers and Bookrunners</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Secured Debt</w:t>
      </w:r>
      <w:r>
        <w:rPr>
          <w:rFonts w:ascii="Arial" w:cs="Arial" w:eastAsia="Arial" w:hAnsi="Arial"/>
          <w:sz w:val="18"/>
          <w:szCs w:val="18"/>
          <w:color w:val="auto"/>
        </w:rPr>
        <w:t>” shall mean Indebtedness permitted to be secured by a Lien on Collateral under Section 6.06 or any Flyer Miles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Latest Maturity Date</w:t>
      </w:r>
      <w:r>
        <w:rPr>
          <w:rFonts w:ascii="Arial" w:cs="Arial" w:eastAsia="Arial" w:hAnsi="Arial"/>
          <w:sz w:val="18"/>
          <w:szCs w:val="18"/>
          <w:color w:val="auto"/>
        </w:rPr>
        <w:t>” shall mean, at any date of determination, the latest maturity or expiration date applicable to any Loan or Commitment hereunder at such time, including the latest maturity date of any Term Loan.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19" w:name="page120"/>
    <w:bookmarkEnd w:id="119"/>
    <w:p>
      <w:pPr>
        <w:ind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i w:val="1"/>
          <w:iCs w:val="1"/>
          <w:color w:val="auto"/>
        </w:rPr>
        <w:t>LC Commitment</w:t>
      </w:r>
      <w:r>
        <w:rPr>
          <w:rFonts w:ascii="Arial" w:cs="Arial" w:eastAsia="Arial" w:hAnsi="Arial"/>
          <w:sz w:val="17"/>
          <w:szCs w:val="17"/>
          <w:color w:val="auto"/>
        </w:rPr>
        <w:t>” shall mean the commitment of each Issuing Lender to issue Letters of Credit in face amount not to exceed the amount set forth under the heading “LC Commitment” opposite its name in Annex A hereto as updated from time to time or in the Assignment and Acceptance pursuant to which such Issuing Lender became a party hereto or in any other agreement or instrument pursuant to which such Issuing Lender becomes an Issuing Lender or increases its LC Commitment, in each case, as any of the same may be changed from time to time with the consent of the Borrower and any such Issuing Lender. The original aggregate amount of the LC Commitments of the Closing Date shall be $0.</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shall mean a payment made by an Issuing Lender pursuant to a Letter of Credit issued by it.</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LC Exposure</w:t>
      </w:r>
      <w:r>
        <w:rPr>
          <w:rFonts w:ascii="Arial" w:cs="Arial" w:eastAsia="Arial" w:hAnsi="Arial"/>
          <w:sz w:val="17"/>
          <w:szCs w:val="17"/>
          <w:color w:val="auto"/>
        </w:rPr>
        <w:t xml:space="preserve">” shall mean, at any time, the sum of (a) the aggregate maximum undrawn amount of all outstanding Letters of Credit at such time plus (b) the aggregate amount of all LC Disbursements that have not yet been reimbursed by or on behalf of the Borrower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any escalating Letter of Credit where the face amount thereof is subject to escalation with no conditions, the LC Exposure with respect to such Letter of Credit shall be determined by referring to the maximum face amount to which such Letter of Credit may be so escalated. The LC Exposure of any Revolving Lender at any time shall be its Revolving Commitment Percentage of the total LC Exposure at such time.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Leased Collateral</w:t>
      </w:r>
      <w:r>
        <w:rPr>
          <w:rFonts w:ascii="Arial" w:cs="Arial" w:eastAsia="Arial" w:hAnsi="Arial"/>
          <w:sz w:val="18"/>
          <w:szCs w:val="18"/>
          <w:color w:val="auto"/>
        </w:rPr>
        <w:t>” shall have the meaning set forth in the definition of “Permitted Disposition.”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Leased Slots</w:t>
      </w:r>
      <w:r>
        <w:rPr>
          <w:rFonts w:ascii="Arial" w:cs="Arial" w:eastAsia="Arial" w:hAnsi="Arial"/>
          <w:sz w:val="18"/>
          <w:szCs w:val="18"/>
          <w:color w:val="auto"/>
        </w:rPr>
        <w:t>” shall have the meaning set forth in the definition of “Permitted Disposition.”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Lenders</w:t>
      </w:r>
      <w:r>
        <w:rPr>
          <w:rFonts w:ascii="Arial" w:cs="Arial" w:eastAsia="Arial" w:hAnsi="Arial"/>
          <w:sz w:val="17"/>
          <w:szCs w:val="17"/>
          <w:color w:val="auto"/>
        </w:rPr>
        <w:t>” shall mean each of the several banks and other financial institutions or entities from time to time party hereto as a lender.</w:t>
      </w:r>
    </w:p>
    <w:p>
      <w:pPr>
        <w:spacing w:after="0" w:line="237"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w:t>
      </w:r>
      <w:r>
        <w:rPr>
          <w:rFonts w:ascii="Arial" w:cs="Arial" w:eastAsia="Arial" w:hAnsi="Arial"/>
          <w:sz w:val="18"/>
          <w:szCs w:val="18"/>
          <w:color w:val="auto"/>
        </w:rPr>
        <w:t xml:space="preserve">” shall mean any irrevocable letter of credit issued pursuant to Section 2.02, which letter of credit shall be (i) a standby letter of credit, (ii) issued for general corporate purposes of Parent or any Subsidiary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case the account party of a Letter of Credit must be the Borrower, (iii) denominated in Dollars and (iv) otherwise in such form as may be reasonably approved from time to time by the Administrative Agent and the applicable Issuing Lender.</w:t>
      </w:r>
    </w:p>
    <w:p>
      <w:pPr>
        <w:spacing w:after="0" w:line="18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Account</w:t>
      </w:r>
      <w:r>
        <w:rPr>
          <w:rFonts w:ascii="Arial" w:cs="Arial" w:eastAsia="Arial" w:hAnsi="Arial"/>
          <w:sz w:val="18"/>
          <w:szCs w:val="18"/>
          <w:color w:val="auto"/>
        </w:rPr>
        <w:t>” shall mean the account established by the Borrower after the Closing Date under the sole and exclusive control of the Collateral Agent maintained at the office of the Collateral Agent, which shall be used solely for the purposes set forth herein.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Fees</w:t>
      </w:r>
      <w:r>
        <w:rPr>
          <w:rFonts w:ascii="Arial" w:cs="Arial" w:eastAsia="Arial" w:hAnsi="Arial"/>
          <w:sz w:val="18"/>
          <w:szCs w:val="18"/>
          <w:color w:val="auto"/>
        </w:rPr>
        <w:t>” shall mean the fees payable in respect of Letters of Credit pursuant to Section 2.21.</w:t>
      </w:r>
    </w:p>
    <w:p>
      <w:pPr>
        <w:spacing w:after="0" w:line="225"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Request</w:t>
      </w:r>
      <w:r>
        <w:rPr>
          <w:rFonts w:ascii="Arial" w:cs="Arial" w:eastAsia="Arial" w:hAnsi="Arial"/>
          <w:sz w:val="18"/>
          <w:szCs w:val="18"/>
          <w:color w:val="auto"/>
        </w:rPr>
        <w:t>” shall mean a request by the Borrower, executed by a Responsible Officer of the Borrower, for the issuance of a Letter of Credit (or the amendment, renewal or extension of an outstanding Letter of Credit) in accordance with Section 2.02 in substantially the form of Exhibit F or such other form as reasonably acceptable to the applicable Issuing Lender.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274" w:right="339" w:bottom="1440" w:gutter="0" w:footer="0" w:header="0"/>
        </w:sectPr>
      </w:pPr>
    </w:p>
    <w:bookmarkStart w:id="120" w:name="page121"/>
    <w:bookmarkEnd w:id="12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LGA</w:t>
      </w:r>
      <w:r>
        <w:rPr>
          <w:rFonts w:ascii="Arial" w:cs="Arial" w:eastAsia="Arial" w:hAnsi="Arial"/>
          <w:sz w:val="18"/>
          <w:szCs w:val="18"/>
          <w:color w:val="auto"/>
        </w:rPr>
        <w:t>” shall mean LaGuardia Airport, New York.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LHR</w:t>
      </w:r>
      <w:r>
        <w:rPr>
          <w:rFonts w:ascii="Arial" w:cs="Arial" w:eastAsia="Arial" w:hAnsi="Arial"/>
          <w:sz w:val="18"/>
          <w:szCs w:val="18"/>
          <w:color w:val="auto"/>
        </w:rPr>
        <w:t>” shall mean Heathrow Airport, England.</w:t>
      </w:r>
    </w:p>
    <w:p>
      <w:pPr>
        <w:spacing w:after="0" w:line="22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LIBO Rate</w:t>
      </w:r>
      <w:r>
        <w:rPr>
          <w:rFonts w:ascii="Arial" w:cs="Arial" w:eastAsia="Arial" w:hAnsi="Arial"/>
          <w:sz w:val="17"/>
          <w:szCs w:val="17"/>
          <w:color w:val="auto"/>
        </w:rPr>
        <w:t>” shall mean for any Interest Period as to any LIBO Rate Loan, (i) the rate per annum determined by the Administrative Agent to be the offered rate which appears on the page of the Reuters Screen which displays the London interbank offered rate administered by ICE Benchmark Administration Limited (such page currently being the LIBOR01 page) (“</w:t>
      </w:r>
      <w:r>
        <w:rPr>
          <w:rFonts w:ascii="Arial" w:cs="Arial" w:eastAsia="Arial" w:hAnsi="Arial"/>
          <w:sz w:val="17"/>
          <w:szCs w:val="17"/>
          <w:i w:val="1"/>
          <w:iCs w:val="1"/>
          <w:color w:val="auto"/>
        </w:rPr>
        <w:t>ICE LIBOR</w:t>
      </w:r>
      <w:r>
        <w:rPr>
          <w:rFonts w:ascii="Arial" w:cs="Arial" w:eastAsia="Arial" w:hAnsi="Arial"/>
          <w:sz w:val="17"/>
          <w:szCs w:val="17"/>
          <w:color w:val="auto"/>
        </w:rPr>
        <w:t xml:space="preserve">”) for deposits (for delivery on the first day of such Interest Period) with a term equivalent to such Interest Period in Dollars, determined as of approximately 11:00 a.m. (London, England time), two Business Days prior to the commencement of such Interest Period or (ii) in the event the rate referenced in the preceding clause (i) does not appear on such page or service or if such page or service shall cease to be available, the rate determined by the Administrative Agent to be the offered rate on such other page or other service which displays ICE LIBOR for deposits (for delivery on the first day of such Interest Period) with a term equivalent to such Interest Period in Dollars, determined as of approximately 11:00 a.m. (London, England time) two Business Days prior to the commencement of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ICE LIBOR is quoted under either of the preceding clauses (i) or (ii), but there is no such quotation for the Interest Period elected, the LIBO Rate shall be equal to the Interpolated Rate;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 if negative, the LIBO Rate shall be deemed to be 0% for the purposes of this Agreement and (b) solely in respect of the Class B Term Loans, the LIBO Rate shall not be less than 0.75% .</w:t>
      </w:r>
    </w:p>
    <w:p>
      <w:pPr>
        <w:spacing w:after="0" w:line="18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shall mean, with respect to any asset, any mortgage, lien, pledge, charge, security interest or similar encumbrance of any kind in respect of such asset, whether or not filed, recorded or otherwise perfected under applicable law (but excluding any transaction pursuant to clause (6) of the definition of “</w:t>
      </w:r>
      <w:r>
        <w:rPr>
          <w:rFonts w:ascii="Arial" w:cs="Arial" w:eastAsia="Arial" w:hAnsi="Arial"/>
          <w:sz w:val="18"/>
          <w:szCs w:val="18"/>
          <w:i w:val="1"/>
          <w:iCs w:val="1"/>
          <w:color w:val="auto"/>
        </w:rPr>
        <w:t>Permitted Disposition</w:t>
      </w:r>
      <w:r>
        <w:rPr>
          <w:rFonts w:ascii="Arial" w:cs="Arial" w:eastAsia="Arial" w:hAnsi="Arial"/>
          <w:sz w:val="18"/>
          <w:szCs w:val="18"/>
          <w:color w:val="auto"/>
        </w:rPr>
        <w:t>”),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spacing w:after="0" w:line="18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Liquidity</w:t>
      </w:r>
      <w:r>
        <w:rPr>
          <w:rFonts w:ascii="Arial" w:cs="Arial" w:eastAsia="Arial" w:hAnsi="Arial"/>
          <w:sz w:val="18"/>
          <w:szCs w:val="18"/>
          <w:color w:val="auto"/>
        </w:rPr>
        <w:t>” shall mean the sum of (i) all unrestricted cash and Cash Equivalents of Parent and its Restricted Subsidiaries, (ii) cash and Cash Equivalents of Parent and its Restricted Subsidiaries restricted in favor of the Facilities, (iii) the aggregate principal amount committed and available to be drawn by Parent and its Restricted Subsidiaries (taking into account all borrowing base limitations or other restrictions) under all revolving credit facilities (including the Revolving Facility)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189"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Documents</w:t>
      </w:r>
      <w:r>
        <w:rPr>
          <w:rFonts w:ascii="Arial" w:cs="Arial" w:eastAsia="Arial" w:hAnsi="Arial"/>
          <w:sz w:val="18"/>
          <w:szCs w:val="18"/>
          <w:color w:val="auto"/>
        </w:rPr>
        <w:t>” shall mean this Agreement, the Collateral Documents, any Intercreditor Agreement, any Other Intercreditor Agreement, the Administrative Agent Fee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21" w:name="page122"/>
    <w:bookmarkEnd w:id="121"/>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and any other instrument or agreement (which is designated as a Loan Document therein) executed and delivered by the Borrower or a Guarantor to the Administrative Agent, the Collateral Agent, any Issuing Lender or any Lender, in each case, as the same may be amended, restated, modified, supplemented, extended or amended and restated from time to time in accordance with the terms 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Parties</w:t>
      </w:r>
      <w:r>
        <w:rPr>
          <w:rFonts w:ascii="Arial" w:cs="Arial" w:eastAsia="Arial" w:hAnsi="Arial"/>
          <w:sz w:val="18"/>
          <w:szCs w:val="18"/>
          <w:color w:val="auto"/>
        </w:rPr>
        <w:t>” shall mean the Borrower and the Guarantors.</w:t>
      </w:r>
    </w:p>
    <w:p>
      <w:pPr>
        <w:spacing w:after="0" w:line="225"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Request</w:t>
      </w:r>
      <w:r>
        <w:rPr>
          <w:rFonts w:ascii="Arial" w:cs="Arial" w:eastAsia="Arial" w:hAnsi="Arial"/>
          <w:sz w:val="18"/>
          <w:szCs w:val="18"/>
          <w:color w:val="auto"/>
        </w:rPr>
        <w:t>” shall mean a request by the Borrower, executed by a Responsible Officer of the Borrower, for a Loan in accordance with Section 2.03 in substantially the form of Exhibit 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shall mean, collectively, the Revolving Loans and the Term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Mainline Slot</w:t>
      </w:r>
      <w:r>
        <w:rPr>
          <w:rFonts w:ascii="Arial" w:cs="Arial" w:eastAsia="Arial" w:hAnsi="Arial"/>
          <w:sz w:val="18"/>
          <w:szCs w:val="18"/>
          <w:color w:val="auto"/>
        </w:rPr>
        <w:t>” means any FAA Slot that is not a Commuter Slot.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Stock</w:t>
      </w:r>
      <w:r>
        <w:rPr>
          <w:rFonts w:ascii="Arial" w:cs="Arial" w:eastAsia="Arial" w:hAnsi="Arial"/>
          <w:sz w:val="18"/>
          <w:szCs w:val="18"/>
          <w:color w:val="auto"/>
        </w:rPr>
        <w:t>” shall have the meaning set forth in Section 3.12(a).</w:t>
      </w:r>
    </w:p>
    <w:p>
      <w:pPr>
        <w:spacing w:after="0" w:line="225"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Marketing and Service Agreements</w:t>
      </w:r>
      <w:r>
        <w:rPr>
          <w:rFonts w:ascii="Arial" w:cs="Arial" w:eastAsia="Arial" w:hAnsi="Arial"/>
          <w:sz w:val="16"/>
          <w:szCs w:val="16"/>
          <w:color w:val="auto"/>
        </w:rPr>
        <w:t>” shall mean those certain business, marketing and service agreements among a Loan Party and/or any of its Subsidiaries and any of Mesa Airlines, Inc., Chautauqua Airlines, Inc., Trans States Airlines, Inc., United Air Lines, Inc., Republic Airline, Inc., SkyWest Airlines and Air Wisconsin Airlines Corporation and such other parties or agreements from time to time that include, but are not limited to, code-sharing, pro-rate, capacity purchase, service, frequent flyer, ground handling and marketing agreements that are entered into in the Ordinary Course of Business.</w:t>
      </w:r>
    </w:p>
    <w:p>
      <w:pPr>
        <w:spacing w:after="0" w:line="154"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Change</w:t>
      </w:r>
      <w:r>
        <w:rPr>
          <w:rFonts w:ascii="Arial" w:cs="Arial" w:eastAsia="Arial" w:hAnsi="Arial"/>
          <w:sz w:val="18"/>
          <w:szCs w:val="18"/>
          <w:color w:val="auto"/>
        </w:rPr>
        <w:t>” shall mean any event, change, condition, occurrence, development or circumstance that, either individually or in the aggregate, has had or could reasonably be expected to have a Material Adverse Effect.</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Adverse Effect</w:t>
      </w:r>
      <w:r>
        <w:rPr>
          <w:rFonts w:ascii="Arial" w:cs="Arial" w:eastAsia="Arial" w:hAnsi="Arial"/>
          <w:sz w:val="17"/>
          <w:szCs w:val="17"/>
          <w:color w:val="auto"/>
        </w:rPr>
        <w:t xml:space="preserve">” shall mean a material adverse effect on (a) the consolidated business, operations or financial condition of Parent and its Restricted Subsidiaries, taken as a whole, (b) the validity or enforceability of any of the Loan Documents or the rights or remedies of the Administrative Agent and the Lenders thereunder or (c) the ability of the Borrower and the Guarantors, taken as a whole, to pay the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any action taken or not taken within one year from the Closing Date in connection with or in furtherance of the AMR/US Airways Merger and/or any related Airlines Merger shall be deemed not to constitute a Material Adverse Effect.</w:t>
      </w:r>
    </w:p>
    <w:p>
      <w:pPr>
        <w:spacing w:after="0" w:line="173"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shall mean Indebtedness of the Borrower and/or Guarantors (other than the Loans and obligations relating to Letters of Credit) outstanding under the same agreement in a principal amount exceeding $150,000,000.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MBA</w:t>
      </w:r>
      <w:r>
        <w:rPr>
          <w:rFonts w:ascii="Arial" w:cs="Arial" w:eastAsia="Arial" w:hAnsi="Arial"/>
          <w:sz w:val="18"/>
          <w:szCs w:val="18"/>
          <w:color w:val="auto"/>
        </w:rPr>
        <w:t>” shall mean Morten Beyer &amp; Agnew.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Extension Condition</w:t>
      </w:r>
      <w:r>
        <w:rPr>
          <w:rFonts w:ascii="Arial" w:cs="Arial" w:eastAsia="Arial" w:hAnsi="Arial"/>
          <w:sz w:val="18"/>
          <w:szCs w:val="18"/>
          <w:color w:val="auto"/>
        </w:rPr>
        <w:t>” shall have the meaning set forth in Section 2.28(c).</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122" w:name="page123"/>
    <w:bookmarkEnd w:id="12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Moody’s</w:t>
      </w:r>
      <w:r>
        <w:rPr>
          <w:rFonts w:ascii="Arial" w:cs="Arial" w:eastAsia="Arial" w:hAnsi="Arial"/>
          <w:sz w:val="18"/>
          <w:szCs w:val="18"/>
          <w:color w:val="auto"/>
        </w:rPr>
        <w:t>” shall mean Moody’s Investors Service, Inc.</w:t>
      </w:r>
    </w:p>
    <w:p>
      <w:pPr>
        <w:spacing w:after="0" w:line="22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Proceeds</w:t>
      </w:r>
      <w:r>
        <w:rPr>
          <w:rFonts w:ascii="Arial" w:cs="Arial" w:eastAsia="Arial" w:hAnsi="Arial"/>
          <w:sz w:val="16"/>
          <w:szCs w:val="16"/>
          <w:color w:val="auto"/>
        </w:rPr>
        <w:t>” shall mean the aggregate cash and Cash Equivalents received by Parent or any of its Restricted Subsidiaries in respect of any Disposition of Collateral (including, without limitation, any cash or Cash Equivalents received in respect of or upon the sale or other disposition of any non-cash consideration received in any Disposition of Collateral) or Recovery Event, net of: (a) the direct costs and expenses relating to such Disposition of Collateral and incurred by Parent or a Restricted Subsidiary (including the sale or disposition of any such non-cash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 Amount</w:t>
      </w:r>
      <w:r>
        <w:rPr>
          <w:rFonts w:ascii="Arial" w:cs="Arial" w:eastAsia="Arial" w:hAnsi="Arial"/>
          <w:sz w:val="18"/>
          <w:szCs w:val="18"/>
          <w:color w:val="auto"/>
        </w:rPr>
        <w:t>” shall have the meaning set forth in Section 2.12(a).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Lender</w:t>
      </w:r>
      <w:r>
        <w:rPr>
          <w:rFonts w:ascii="Arial" w:cs="Arial" w:eastAsia="Arial" w:hAnsi="Arial"/>
          <w:sz w:val="18"/>
          <w:szCs w:val="18"/>
          <w:color w:val="auto"/>
        </w:rPr>
        <w:t>” shall have the meaning set forth in Section 2.27(a).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shall mean, at any time, a Lender that is not a Defaulting Lender.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Non-Extending Lender</w:t>
      </w:r>
      <w:r>
        <w:rPr>
          <w:rFonts w:ascii="Arial" w:cs="Arial" w:eastAsia="Arial" w:hAnsi="Arial"/>
          <w:sz w:val="18"/>
          <w:szCs w:val="18"/>
          <w:color w:val="auto"/>
        </w:rPr>
        <w:t>” shall have the meaning set forth in Section 10.08(g).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Non-Lender Secured Party</w:t>
      </w:r>
      <w:r>
        <w:rPr>
          <w:rFonts w:ascii="Arial" w:cs="Arial" w:eastAsia="Arial" w:hAnsi="Arial"/>
          <w:sz w:val="18"/>
          <w:szCs w:val="18"/>
          <w:color w:val="auto"/>
        </w:rPr>
        <w:t>” shall have the meaning provided in the SGR Security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shall mean Indebtedness:</w:t>
      </w:r>
    </w:p>
    <w:p>
      <w:pPr>
        <w:spacing w:after="0" w:line="117" w:lineRule="exact"/>
        <w:rPr>
          <w:sz w:val="20"/>
          <w:szCs w:val="20"/>
          <w:color w:val="auto"/>
        </w:rPr>
      </w:pPr>
    </w:p>
    <w:p>
      <w:pPr>
        <w:ind w:left="460" w:right="780" w:firstLine="443"/>
        <w:spacing w:after="0" w:line="342" w:lineRule="auto"/>
        <w:tabs>
          <w:tab w:leader="none" w:pos="1153"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 to which neither Parent nor any of its Restricted Subsidiaries (A) provides credit support of any kind (including any undertaking, agreement or instrument that would constitute Indebtedness) or (B) is directly or indirectly liable as a guarantor or otherwise; and</w:t>
      </w:r>
    </w:p>
    <w:p>
      <w:pPr>
        <w:spacing w:after="0" w:line="15" w:lineRule="exact"/>
        <w:rPr>
          <w:rFonts w:ascii="Arial" w:cs="Arial" w:eastAsia="Arial" w:hAnsi="Arial"/>
          <w:sz w:val="16"/>
          <w:szCs w:val="16"/>
          <w:color w:val="auto"/>
        </w:rPr>
      </w:pPr>
    </w:p>
    <w:p>
      <w:pPr>
        <w:ind w:left="460" w:right="840" w:firstLine="443"/>
        <w:spacing w:after="0" w:line="277" w:lineRule="auto"/>
        <w:tabs>
          <w:tab w:leader="none" w:pos="11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to which the holders of such Indebtedness do not otherwise have recourse to the stock or assets of Parent or any of its Restricted Subsidiaries (other than the Equity Interests of an Unrestricted Subsidiary).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Non-Recourse Financing Subsidiary</w:t>
      </w:r>
      <w:r>
        <w:rPr>
          <w:rFonts w:ascii="Arial" w:cs="Arial" w:eastAsia="Arial" w:hAnsi="Arial"/>
          <w:sz w:val="16"/>
          <w:szCs w:val="16"/>
          <w:color w:val="auto"/>
        </w:rPr>
        <w:t>” shall mean any Unrestricted Subsidiary that (a) has no Indebtedness other than Non-Recourse Debt and</w:t>
      </w:r>
    </w:p>
    <w:p>
      <w:pPr>
        <w:spacing w:after="0" w:line="46" w:lineRule="exact"/>
        <w:rPr>
          <w:sz w:val="20"/>
          <w:szCs w:val="20"/>
          <w:color w:val="auto"/>
        </w:rPr>
      </w:pPr>
    </w:p>
    <w:p>
      <w:pPr>
        <w:ind w:left="5620" w:right="2400" w:hanging="5612"/>
        <w:spacing w:after="0" w:line="433" w:lineRule="auto"/>
        <w:tabs>
          <w:tab w:leader="none" w:pos="259"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engages in no activities other than those relating to the financing of specified assets and other activities incidental thereto. 38</w:t>
      </w:r>
    </w:p>
    <w:p>
      <w:pPr>
        <w:sectPr>
          <w:pgSz w:w="11900" w:h="16838" w:orient="portrait"/>
          <w:cols w:equalWidth="0" w:num="1">
            <w:col w:w="11420"/>
          </w:cols>
          <w:pgMar w:left="240" w:top="274" w:right="239" w:bottom="1440" w:gutter="0" w:footer="0" w:header="0"/>
        </w:sectPr>
      </w:pPr>
    </w:p>
    <w:bookmarkStart w:id="123" w:name="page124"/>
    <w:bookmarkEnd w:id="123"/>
    <w:p>
      <w:pPr>
        <w:ind w:right="14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Obligations</w:t>
      </w:r>
      <w:r>
        <w:rPr>
          <w:rFonts w:ascii="Arial" w:cs="Arial" w:eastAsia="Arial" w:hAnsi="Arial"/>
          <w:sz w:val="16"/>
          <w:szCs w:val="16"/>
          <w:color w:val="auto"/>
        </w:rPr>
        <w:t>” shall mean the unpaid principal of, premium on,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any Agent, any trustee appointed pursuant to Section</w:t>
      </w:r>
    </w:p>
    <w:p>
      <w:pPr>
        <w:spacing w:after="0" w:line="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8.01(d) with respect to an Aircraft Security Agreement, any Issuing Lender or any Lender (or (i) in the case of Designated Hedging Obligations, any obligee with respect to such designated Hedging Obligations who was a Revolving Lender or an Affiliate of a Revolving Lender when the related Designated Hedging Agreement was entered into or (ii) in the case of Designated Banking Product Obligations, any obligee with respect to such Designated Banking Product Obligations who was a Revolving Lender or a banking Affiliate of any Revolving Lender at the time the related Designated Banking Product Agreement was entered into),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any Issuing Lender or any Lender that are required to be paid by the Borrower pursuant hereto)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aggregate amount of all Designated Hedging Obligations and Designated Banking Product Obligations (in each case valued in accordance with the definitions thereof) at any time outstanding that shall be included as “Obligations” shall not exceed $100,000,000;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the Obligations include Excluded Swap Obligations.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shall have the meaning set forth in Section 3.17.</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shall mean a certificate delivered by the Borrower on its own behalf or on behalf of an Affiliate of the Borrower or Parent signed by any one of the following officers of the Borrower or (at the Borrower’s option) Parent: the Chairman of the Board of Directors, the Vice Chairman of the Board of Directors, the President, the Chief Financial Officer, any Executive Vice President, any Senior Vice President, any Vice President, the Secretary, any Assistant Secretary, the Treasurer or any Assistant Treasurer.</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OID</w:t>
      </w:r>
      <w:r>
        <w:rPr>
          <w:rFonts w:ascii="Arial" w:cs="Arial" w:eastAsia="Arial" w:hAnsi="Arial"/>
          <w:sz w:val="18"/>
          <w:szCs w:val="18"/>
          <w:color w:val="auto"/>
        </w:rPr>
        <w:t>” shall have the meaning set forth in the definition of “All-In Initial Yield.”</w:t>
      </w:r>
    </w:p>
    <w:p>
      <w:pPr>
        <w:spacing w:after="0" w:line="225"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Operating Lease</w:t>
      </w:r>
      <w:r>
        <w:rPr>
          <w:rFonts w:ascii="Arial" w:cs="Arial" w:eastAsia="Arial" w:hAnsi="Arial"/>
          <w:sz w:val="16"/>
          <w:szCs w:val="16"/>
          <w:color w:val="auto"/>
        </w:rPr>
        <w:t>” shall mean, as applied to any Person, any lease (including, without limitation, leases that may be terminated by the lessee at any time) of any property (whether real, personal or mixed) under which such Person is lessee, that is not a lease representing Capital Lease Obligations.</w:t>
      </w:r>
    </w:p>
    <w:p>
      <w:pPr>
        <w:spacing w:after="0" w:line="124"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Ordinary Course of Business</w:t>
      </w:r>
      <w:r>
        <w:rPr>
          <w:rFonts w:ascii="Arial" w:cs="Arial" w:eastAsia="Arial" w:hAnsi="Arial"/>
          <w:sz w:val="17"/>
          <w:szCs w:val="17"/>
          <w:color w:val="auto"/>
        </w:rPr>
        <w:t>” shall mean with respect to Parent or any of its Subsidiaries, (a) in the ordinary course of business of, or in furtherance of an objective that is in the ordinary course of business of, Parent and its Subsidiaries, (b) customary and usual in the commercial airline industry in the United States or (c) consistent with the past or current practice of one or more commercial air carriers in the United States.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4" w:right="279" w:bottom="1440" w:gutter="0" w:footer="0" w:header="0"/>
        </w:sectPr>
      </w:pPr>
    </w:p>
    <w:bookmarkStart w:id="124" w:name="page125"/>
    <w:bookmarkEnd w:id="124"/>
    <w:p>
      <w:pPr>
        <w:ind w:right="2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Other Intercreditor Agreement</w:t>
      </w:r>
      <w:r>
        <w:rPr>
          <w:rFonts w:ascii="Arial" w:cs="Arial" w:eastAsia="Arial" w:hAnsi="Arial"/>
          <w:sz w:val="18"/>
          <w:szCs w:val="18"/>
          <w:color w:val="auto"/>
        </w:rPr>
        <w:t>” shall mean an intercreditor agreement in form and substance reasonably satisfactory to the Borrower and the Administrative Agent.</w:t>
      </w:r>
    </w:p>
    <w:p>
      <w:pPr>
        <w:spacing w:after="0" w:line="170" w:lineRule="exact"/>
        <w:rPr>
          <w:sz w:val="20"/>
          <w:szCs w:val="20"/>
          <w:color w:val="auto"/>
        </w:rPr>
      </w:pPr>
    </w:p>
    <w:p>
      <w:pPr>
        <w:jc w:val="both"/>
        <w:ind w:right="5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shall mean any and all present or future court stamp, mortgage, recording, filing or documentary taxes or any other similar, charges or similar levies arising from any payment made hereunder or from the execution, performance, delivery, registration of or enforcement of this Agreement or any other Loan Document.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Letters of Credit</w:t>
      </w:r>
      <w:r>
        <w:rPr>
          <w:rFonts w:ascii="Arial" w:cs="Arial" w:eastAsia="Arial" w:hAnsi="Arial"/>
          <w:sz w:val="18"/>
          <w:szCs w:val="18"/>
          <w:color w:val="auto"/>
        </w:rPr>
        <w:t>” shall have the meaning set forth in Section 2.02(j).</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PAC</w:t>
      </w:r>
      <w:r>
        <w:rPr>
          <w:rFonts w:ascii="Arial" w:cs="Arial" w:eastAsia="Arial" w:hAnsi="Arial"/>
          <w:sz w:val="18"/>
          <w:szCs w:val="18"/>
          <w:color w:val="auto"/>
        </w:rPr>
        <w:t>” shall mean Panum Aviation Consulting.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Company</w:t>
      </w:r>
      <w:r>
        <w:rPr>
          <w:rFonts w:ascii="Arial" w:cs="Arial" w:eastAsia="Arial" w:hAnsi="Arial"/>
          <w:sz w:val="18"/>
          <w:szCs w:val="18"/>
          <w:color w:val="auto"/>
        </w:rPr>
        <w:t>” shall mean, with respect to a Revolving Lender, the bank holding company (as defined in Regulation Y issued by the Board), if any, of such Revolving Lender, and/or any Person owning, beneficially or of record, directly or indirectly, a majority of the shares of such Revolving Lender.</w:t>
      </w:r>
    </w:p>
    <w:p>
      <w:pPr>
        <w:spacing w:after="0" w:line="18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Notes</w:t>
      </w:r>
      <w:r>
        <w:rPr>
          <w:rFonts w:ascii="Arial" w:cs="Arial" w:eastAsia="Arial" w:hAnsi="Arial"/>
          <w:sz w:val="18"/>
          <w:szCs w:val="18"/>
          <w:color w:val="auto"/>
        </w:rPr>
        <w:t xml:space="preserve">” shall mean Indebtedness of the Borrower or any Guarantor in the form of senior secured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 (ii) such Indebtedness is secured only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 Facility and Revolving Facility pursuant to the Collateral Documents; (iii) such Indebtedness shall benefit only from substantially the same guarantees as the guarantees of the Term Loan Facility and Revolving Facility provided hereunder; (iv) such Indebtedness matures no earlier than the Term Loan Maturity Date, (v) such Indebtedness shall have a Weighted Average Life to Maturity that is not shorter than the Weighted Average Life to Maturity of the Class B Term Loans and (vi) such Indebtedness constitutes “Priority Lien Debt” as defined under, and in accordance with the terms of, the Collateral Documents.</w:t>
      </w:r>
    </w:p>
    <w:p>
      <w:pPr>
        <w:spacing w:after="0" w:line="19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Senior Secured Debt</w:t>
      </w:r>
      <w:r>
        <w:rPr>
          <w:rFonts w:ascii="Arial" w:cs="Arial" w:eastAsia="Arial" w:hAnsi="Arial"/>
          <w:sz w:val="18"/>
          <w:szCs w:val="18"/>
          <w:color w:val="auto"/>
        </w:rPr>
        <w:t>” shall mean (i) any Pari Passu Notes (and any Guarantee thereof by the Borrower or Parent) and (ii) any Permitted Refinancing Indebtedness in exchange for, or the net proceeds of which are used to renew, refund, refinance, replace, extend, defease or discharge any such Indebtedness specified in clause (i) 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shall have the meaning set forth in Section 10.02(d)(i).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shall have the meaning set forth in Section 10.02(d)(i).</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Patriot Act</w:t>
      </w:r>
      <w:r>
        <w:rPr>
          <w:rFonts w:ascii="Arial" w:cs="Arial" w:eastAsia="Arial" w:hAnsi="Arial"/>
          <w:sz w:val="18"/>
          <w:szCs w:val="18"/>
          <w:color w:val="auto"/>
        </w:rPr>
        <w:t>” shall mean the USA Patriot Act, Title III of Pub. L. 107-56, signed into law on October 26, 2001 and any subsequent legislation that amends or supplements such Act or any subsequent legislation that supersedes such Act.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4" w:right="299" w:bottom="1440" w:gutter="0" w:footer="0" w:header="0"/>
        </w:sectPr>
      </w:pPr>
    </w:p>
    <w:bookmarkStart w:id="125" w:name="page126"/>
    <w:bookmarkEnd w:id="12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Payroll Accounts</w:t>
      </w:r>
      <w:r>
        <w:rPr>
          <w:rFonts w:ascii="Arial" w:cs="Arial" w:eastAsia="Arial" w:hAnsi="Arial"/>
          <w:sz w:val="18"/>
          <w:szCs w:val="18"/>
          <w:color w:val="auto"/>
        </w:rPr>
        <w:t>” shall mean depository accounts used only for payroll.</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Bond Hedge Transaction</w:t>
      </w:r>
      <w:r>
        <w:rPr>
          <w:rFonts w:ascii="Arial" w:cs="Arial" w:eastAsia="Arial" w:hAnsi="Arial"/>
          <w:sz w:val="18"/>
          <w:szCs w:val="18"/>
          <w:color w:val="auto"/>
        </w:rPr>
        <w:t xml:space="preserve">” shall mean any call or capped call option (or substantively equivalent derivative transaction) on Parent’s common stock purchased by the issuer of any Convertible Indebtedness in connection with the issuance of any such Convertible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spacing w:after="0" w:line="18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shall mean any business that is similar, or reasonably related, ancillary, supportive or complementary to, or any reasonable extension of the businesses in which Parent and its Restricted Subsidiaries are engaged on the date of this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Convertible Indebtedness Call Transaction</w:t>
      </w:r>
      <w:r>
        <w:rPr>
          <w:rFonts w:ascii="Arial" w:cs="Arial" w:eastAsia="Arial" w:hAnsi="Arial"/>
          <w:sz w:val="17"/>
          <w:szCs w:val="17"/>
          <w:color w:val="auto"/>
        </w:rPr>
        <w:t>” shall mean any Permitted Bond Hedge Transaction and any Permitted Warrant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Disposition</w:t>
      </w:r>
      <w:r>
        <w:rPr>
          <w:rFonts w:ascii="Arial" w:cs="Arial" w:eastAsia="Arial" w:hAnsi="Arial"/>
          <w:sz w:val="18"/>
          <w:szCs w:val="18"/>
          <w:color w:val="auto"/>
        </w:rPr>
        <w:t>” shall mean, with respect to Dispositions of Collateral, any of the following:</w:t>
      </w:r>
    </w:p>
    <w:p>
      <w:pPr>
        <w:spacing w:after="0" w:line="117" w:lineRule="exact"/>
        <w:rPr>
          <w:sz w:val="20"/>
          <w:szCs w:val="20"/>
          <w:color w:val="auto"/>
        </w:rPr>
      </w:pPr>
    </w:p>
    <w:p>
      <w:pPr>
        <w:ind w:left="460" w:right="740" w:firstLine="443"/>
        <w:spacing w:after="0" w:line="277" w:lineRule="auto"/>
        <w:tabs>
          <w:tab w:leader="none" w:pos="11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the Disposition of assets having a Fair Market Value of less than $50,000,000 during any six-month period;</w:t>
      </w:r>
    </w:p>
    <w:p>
      <w:pPr>
        <w:spacing w:after="0" w:line="62" w:lineRule="exact"/>
        <w:rPr>
          <w:rFonts w:ascii="Arial" w:cs="Arial" w:eastAsia="Arial" w:hAnsi="Arial"/>
          <w:sz w:val="18"/>
          <w:szCs w:val="18"/>
          <w:color w:val="auto"/>
        </w:rPr>
      </w:pPr>
    </w:p>
    <w:p>
      <w:pPr>
        <w:ind w:left="460" w:firstLine="443"/>
        <w:spacing w:after="0" w:line="286" w:lineRule="auto"/>
        <w:tabs>
          <w:tab w:leader="none" w:pos="1153"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Dispositions between or among any of Parent and any of its Restricted Subsidiaries that are Grantors (including any Person that shall become a Grantor simultaneous with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concurrently with any Disposition of Collateral to any such Grantor or any Person that shall become a Grantor simultaneous with such Disposition, such Grantor or Person shall have granted a security interest in such Collateral to the Collateral Agent pursuant to a security agreement or mortgage, as applicable, in substantially the same form as the security agreement or mortgage covering such Collateral prior to such Disposition; and (ii) if reasonably requested by the Collateral Agent, concurrently with, or promptly after, such Disposition, the Collateral Agent shall receive an opinion of counsel to the Borrower (which may be in-house counsel) (x) in the case of Collateral that consists of Route Authorities, Slots and/or Foreign Gate Leaseholds, as to the creation and perfection under Article 9 of the UCC of the Lien of the security agreement or mortgage, as applicable, and subject to assumptions and qualifications (including as provided in the opinion delivered pursuant to Section 4.01(e)(i)), and (y) in the case of any other Collateral, as to the creation and perfection of the Lien of such security agreement or mortgage, as applicable, in form and substance reasonably satisfactory to the Collateral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this clause (2) shall not permit any Disposition of the Letter of Credit Account or any amounts on deposit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following such Disposition, such Collateral is subject to a Lien with the priority and perfection required by the applicable Collateral Document immediately prior to such Disposition (and otherwise subject only to Permitted Liens) in favor of the Collateral Agent or trustee (as applicable) for the benefit of the Secured Parties;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126" w:name="page127"/>
    <w:bookmarkEnd w:id="126"/>
    <w:p>
      <w:pPr>
        <w:ind w:left="700" w:hanging="257"/>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Liens not prohibited by Section 6.06;</w:t>
      </w:r>
    </w:p>
    <w:p>
      <w:pPr>
        <w:spacing w:after="0" w:line="117" w:lineRule="exact"/>
        <w:rPr>
          <w:rFonts w:ascii="Arial" w:cs="Arial" w:eastAsia="Arial" w:hAnsi="Arial"/>
          <w:sz w:val="18"/>
          <w:szCs w:val="18"/>
          <w:color w:val="auto"/>
        </w:rPr>
      </w:pPr>
    </w:p>
    <w:p>
      <w:pPr>
        <w:ind w:right="400" w:firstLine="443"/>
        <w:spacing w:after="0" w:line="264" w:lineRule="auto"/>
        <w:tabs>
          <w:tab w:leader="none" w:pos="6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Disposition of cash or Cash Equivalents in exchange for other cash or Cash Equivalents constituting Collateral and having reasonably equivalent value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(4) shall not permit any Disposition of the Letter of Credit Account or any amounts on deposit therein;</w:t>
      </w:r>
    </w:p>
    <w:p>
      <w:pPr>
        <w:spacing w:after="0" w:line="73" w:lineRule="exact"/>
        <w:rPr>
          <w:rFonts w:ascii="Arial" w:cs="Arial" w:eastAsia="Arial" w:hAnsi="Arial"/>
          <w:sz w:val="18"/>
          <w:szCs w:val="18"/>
          <w:color w:val="auto"/>
        </w:rPr>
      </w:pPr>
    </w:p>
    <w:p>
      <w:pPr>
        <w:ind w:right="100" w:firstLine="443"/>
        <w:spacing w:after="0" w:line="264" w:lineRule="auto"/>
        <w:tabs>
          <w:tab w:leader="none" w:pos="6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abandonment or Disposition of assets no longer useful or used in the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abandonment or Disposition is (A) in the Ordinary Course of Business and (B) with respect to assets that are not material to the business of Parent and its Restricted Subsidiaries taken as a whole;</w:t>
      </w:r>
    </w:p>
    <w:p>
      <w:pPr>
        <w:spacing w:after="0" w:line="73" w:lineRule="exact"/>
        <w:rPr>
          <w:rFonts w:ascii="Arial" w:cs="Arial" w:eastAsia="Arial" w:hAnsi="Arial"/>
          <w:sz w:val="18"/>
          <w:szCs w:val="18"/>
          <w:color w:val="auto"/>
        </w:rPr>
      </w:pPr>
    </w:p>
    <w:p>
      <w:pPr>
        <w:jc w:val="both"/>
        <w:ind w:right="40" w:firstLine="443"/>
        <w:spacing w:after="0" w:line="305" w:lineRule="auto"/>
        <w:tabs>
          <w:tab w:leader="none" w:pos="693"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lease or sublease of, use, license or sublicense agreement, swap or exchange agreement or similar arrangement with respect to, assets and properties that constitute Collateral in the Ordinary Course of Business, so long as, in the case of any Pledged Slot or Pledged Foreign Gate Leasehold (the “</w:t>
      </w:r>
      <w:r>
        <w:rPr>
          <w:rFonts w:ascii="Arial" w:cs="Arial" w:eastAsia="Arial" w:hAnsi="Arial"/>
          <w:sz w:val="15"/>
          <w:szCs w:val="15"/>
          <w:i w:val="1"/>
          <w:iCs w:val="1"/>
          <w:color w:val="auto"/>
        </w:rPr>
        <w:t>Leased Collateral</w:t>
      </w:r>
      <w:r>
        <w:rPr>
          <w:rFonts w:ascii="Arial" w:cs="Arial" w:eastAsia="Arial" w:hAnsi="Arial"/>
          <w:sz w:val="15"/>
          <w:szCs w:val="15"/>
          <w:color w:val="auto"/>
        </w:rPr>
        <w:t>”), (A) such transaction has a term of one year or less, or in the case of Leased Collateral comprised of Pledged Slots (“</w:t>
      </w:r>
      <w:r>
        <w:rPr>
          <w:rFonts w:ascii="Arial" w:cs="Arial" w:eastAsia="Arial" w:hAnsi="Arial"/>
          <w:sz w:val="15"/>
          <w:szCs w:val="15"/>
          <w:i w:val="1"/>
          <w:iCs w:val="1"/>
          <w:color w:val="auto"/>
        </w:rPr>
        <w:t>Leased</w:t>
      </w:r>
      <w:r>
        <w:rPr>
          <w:rFonts w:ascii="Arial" w:cs="Arial" w:eastAsia="Arial" w:hAnsi="Arial"/>
          <w:sz w:val="15"/>
          <w:szCs w:val="15"/>
          <w:color w:val="auto"/>
        </w:rPr>
        <w:t xml:space="preserve"> </w:t>
      </w:r>
      <w:r>
        <w:rPr>
          <w:rFonts w:ascii="Arial" w:cs="Arial" w:eastAsia="Arial" w:hAnsi="Arial"/>
          <w:sz w:val="15"/>
          <w:szCs w:val="15"/>
          <w:i w:val="1"/>
          <w:iCs w:val="1"/>
          <w:color w:val="auto"/>
        </w:rPr>
        <w:t>Slots</w:t>
      </w:r>
      <w:r>
        <w:rPr>
          <w:rFonts w:ascii="Arial" w:cs="Arial" w:eastAsia="Arial" w:hAnsi="Arial"/>
          <w:sz w:val="15"/>
          <w:szCs w:val="15"/>
          <w:color w:val="auto"/>
        </w:rPr>
        <w:t>”), does not extend beyond three comparable IATA traffic seasons or (B) if the term of such transaction is longer than provided for in clause (6)</w:t>
      </w:r>
    </w:p>
    <w:p>
      <w:pPr>
        <w:spacing w:after="0" w:line="1" w:lineRule="exact"/>
        <w:rPr>
          <w:rFonts w:ascii="Arial" w:cs="Arial" w:eastAsia="Arial" w:hAnsi="Arial"/>
          <w:sz w:val="15"/>
          <w:szCs w:val="15"/>
          <w:color w:val="auto"/>
        </w:rPr>
      </w:pPr>
    </w:p>
    <w:p>
      <w:pPr>
        <w:spacing w:after="0" w:line="267" w:lineRule="auto"/>
        <w:rPr>
          <w:rFonts w:ascii="Arial" w:cs="Arial" w:eastAsia="Arial" w:hAnsi="Arial"/>
          <w:sz w:val="15"/>
          <w:szCs w:val="15"/>
          <w:color w:val="auto"/>
        </w:rPr>
      </w:pPr>
      <w:r>
        <w:rPr>
          <w:rFonts w:ascii="Arial" w:cs="Arial" w:eastAsia="Arial" w:hAnsi="Arial"/>
          <w:sz w:val="17"/>
          <w:szCs w:val="17"/>
          <w:color w:val="auto"/>
        </w:rPr>
        <w:t xml:space="preserve">(A), a Responsible Officer of the Borrower determines in good faith and certifies in a Collateral Coverage Ratio Certificate delivered to the Administrative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1.6 to 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Leased Collateral is comprised of one or more Leased Slots, (x) the Borrower shall deliver to the Administrative Agent an Appraisal of the portion of the Collateral comprised of Route Authorities, Slots and Foreign Gate Leaseholds, which Appraisal gives pro forma effect to such transaction with respect to such Leased Slots and (y) the Appraised Value stated in such Appraisal shall be used as the value of the portion of Collateral comprised of Route Authorities, Slots and Foreign Gate Leaseholds in the calculation of the Collateral Coverage Ratio with respect to the date of commencement of such transaction, (ii) the Collateral Agent’s Liens on such Collateral are not materially adversely affected by such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certification in this clause (ii) shall not be required with respect to any Leased Collateral comprised of Slots or Foreign Gate Leaseholds and (iii) no Event of Default exists at the time of such transaction;</w:t>
      </w:r>
    </w:p>
    <w:p>
      <w:pPr>
        <w:spacing w:after="0" w:line="78" w:lineRule="exact"/>
        <w:rPr>
          <w:rFonts w:ascii="Arial" w:cs="Arial" w:eastAsia="Arial" w:hAnsi="Arial"/>
          <w:sz w:val="15"/>
          <w:szCs w:val="15"/>
          <w:color w:val="auto"/>
        </w:rPr>
      </w:pPr>
    </w:p>
    <w:p>
      <w:pPr>
        <w:jc w:val="both"/>
        <w:ind w:firstLine="443"/>
        <w:spacing w:after="0" w:line="312" w:lineRule="auto"/>
        <w:tabs>
          <w:tab w:leader="none" w:pos="693"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Borrower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such retiming or other adjustment of the time or time</w:t>
      </w:r>
    </w:p>
    <w:p>
      <w:pPr>
        <w:spacing w:after="0" w:line="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80"/>
          </w:cols>
          <w:pgMar w:left="700" w:top="274" w:right="319" w:bottom="1440" w:gutter="0" w:footer="0" w:header="0"/>
        </w:sectPr>
      </w:pPr>
    </w:p>
    <w:bookmarkStart w:id="127" w:name="page128"/>
    <w:bookmarkEnd w:id="127"/>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for landing or takeoff or any adjustment with respect to terminal access or seating capacity, in each case, with respect to any Slot shall be deemed to constitute a new Slot, such new Slot shall not constitute consideration received by the Borrower or any of its Affiliates for purposes of this clause (7);</w:t>
      </w:r>
    </w:p>
    <w:p>
      <w:pPr>
        <w:spacing w:after="0" w:line="73" w:lineRule="exact"/>
        <w:rPr>
          <w:sz w:val="20"/>
          <w:szCs w:val="20"/>
          <w:color w:val="auto"/>
        </w:rPr>
      </w:pPr>
    </w:p>
    <w:p>
      <w:pPr>
        <w:ind w:right="240" w:firstLine="443"/>
        <w:spacing w:after="0" w:line="270" w:lineRule="auto"/>
        <w:tabs>
          <w:tab w:leader="none" w:pos="693"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any Disposition of a Route Authority, Additional Route Authority, Slot, Gate Leasehold or Foreign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including any such legislation, regulation, policy or action relating to the applicability of Foreign Slots or FAA Slots to flight operations at any airport and for which no consideration is received by the Borrower or any of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other Route Authority, Additional Route Authority, Slot, Gate Leasehold or Foreign Gate Leasehold and any retiming or other adjustment of the time or time period for landing or takeoff or any adjustment with respect to the terminal access or seating capacity with respect to any Slot, as the case may be, received by the Borrower or any of its Affiliates in connection with such Disposition shall not constitute consideration;</w:t>
      </w:r>
    </w:p>
    <w:p>
      <w:pPr>
        <w:spacing w:after="0" w:line="73" w:lineRule="exact"/>
        <w:rPr>
          <w:rFonts w:ascii="Arial" w:cs="Arial" w:eastAsia="Arial" w:hAnsi="Arial"/>
          <w:sz w:val="17"/>
          <w:szCs w:val="17"/>
          <w:color w:val="auto"/>
        </w:rPr>
      </w:pPr>
    </w:p>
    <w:p>
      <w:pPr>
        <w:ind w:right="400" w:firstLine="443"/>
        <w:spacing w:after="0" w:line="342" w:lineRule="auto"/>
        <w:tabs>
          <w:tab w:leader="none" w:pos="693"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Disposition of property resulting from an event of loss with respect to any aircraft, airframe, engine or spare engine if the Grantor is replacing such aircraft, airframe, engine or spare engine in accordance with the terms of the applicable Aircraft Security Agreement; and</w:t>
      </w:r>
    </w:p>
    <w:p>
      <w:pPr>
        <w:spacing w:after="0" w:line="15" w:lineRule="exact"/>
        <w:rPr>
          <w:rFonts w:ascii="Arial" w:cs="Arial" w:eastAsia="Arial" w:hAnsi="Arial"/>
          <w:sz w:val="16"/>
          <w:szCs w:val="16"/>
          <w:color w:val="auto"/>
        </w:rPr>
      </w:pPr>
    </w:p>
    <w:p>
      <w:pPr>
        <w:ind w:firstLine="443"/>
        <w:spacing w:after="0" w:line="277" w:lineRule="auto"/>
        <w:tabs>
          <w:tab w:leader="none" w:pos="78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Disposition of Collateral permitted by any of the Collateral Documents (to the extent such permission is not made by cross-reference to, or incorporation by reference of, a Disposition of Collateral permitted under Section 6.04(ii)).</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shall mean:</w:t>
      </w:r>
    </w:p>
    <w:p>
      <w:pPr>
        <w:spacing w:after="0" w:line="117" w:lineRule="exact"/>
        <w:rPr>
          <w:sz w:val="20"/>
          <w:szCs w:val="20"/>
          <w:color w:val="auto"/>
        </w:rPr>
      </w:pPr>
    </w:p>
    <w:p>
      <w:pPr>
        <w:ind w:left="700" w:hanging="257"/>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Investment in Parent or in a Restricted Subsidiary of Parent;</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Investment in cash, Cash Equivalents and any foreign equivalents;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Investment by Parent or any Restricted Subsidiary of Parent in a Person, if as a result of such Investment:</w:t>
      </w:r>
    </w:p>
    <w:p>
      <w:pPr>
        <w:spacing w:after="0" w:line="130" w:lineRule="exact"/>
        <w:rPr>
          <w:rFonts w:ascii="Arial" w:cs="Arial" w:eastAsia="Arial" w:hAnsi="Arial"/>
          <w:sz w:val="18"/>
          <w:szCs w:val="18"/>
          <w:color w:val="auto"/>
        </w:rPr>
      </w:pPr>
    </w:p>
    <w:p>
      <w:pPr>
        <w:ind w:left="1460" w:hanging="440"/>
        <w:spacing w:after="0"/>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Person becomes a Restricted Subsidiary of Parent; or</w:t>
      </w:r>
    </w:p>
    <w:p>
      <w:pPr>
        <w:spacing w:after="0" w:line="130" w:lineRule="exact"/>
        <w:rPr>
          <w:rFonts w:ascii="Arial" w:cs="Arial" w:eastAsia="Arial" w:hAnsi="Arial"/>
          <w:sz w:val="18"/>
          <w:szCs w:val="18"/>
          <w:color w:val="auto"/>
        </w:rPr>
      </w:pPr>
    </w:p>
    <w:p>
      <w:pPr>
        <w:ind w:left="1460" w:right="480" w:hanging="440"/>
        <w:spacing w:after="0" w:line="264"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Person, in one transaction or a series of related and substantially concurrent transactions, is merged, consolidated or amalgamated with or into, or transfers or conveys substantially all of its assets to, or is liquidated into, Parent or a Restricted Subsidiary of Parent;</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700" w:top="274" w:right="299" w:bottom="1440" w:gutter="0" w:footer="0" w:header="0"/>
        </w:sectPr>
      </w:pPr>
    </w:p>
    <w:bookmarkStart w:id="128" w:name="page129"/>
    <w:bookmarkEnd w:id="128"/>
    <w:p>
      <w:pPr>
        <w:ind w:left="700" w:hanging="257"/>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Investment made as a result of the receipt of non-cash consideration from a Disposition of assets;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acquisition of assets or Capital Stock in exchange for the issuance of Qualifying Equity Interests;</w:t>
      </w:r>
    </w:p>
    <w:p>
      <w:pPr>
        <w:spacing w:after="0" w:line="117" w:lineRule="exact"/>
        <w:rPr>
          <w:rFonts w:ascii="Arial" w:cs="Arial" w:eastAsia="Arial" w:hAnsi="Arial"/>
          <w:sz w:val="18"/>
          <w:szCs w:val="18"/>
          <w:color w:val="auto"/>
        </w:rPr>
      </w:pPr>
    </w:p>
    <w:p>
      <w:pPr>
        <w:ind w:right="220" w:firstLine="443"/>
        <w:spacing w:after="0" w:line="264"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w:t>
      </w:r>
    </w:p>
    <w:p>
      <w:pPr>
        <w:spacing w:after="0" w:line="73" w:lineRule="exact"/>
        <w:rPr>
          <w:rFonts w:ascii="Arial" w:cs="Arial" w:eastAsia="Arial" w:hAnsi="Arial"/>
          <w:sz w:val="18"/>
          <w:szCs w:val="18"/>
          <w:color w:val="auto"/>
        </w:rPr>
      </w:pPr>
    </w:p>
    <w:p>
      <w:pPr>
        <w:ind w:right="120" w:firstLine="443"/>
        <w:spacing w:after="0" w:line="308" w:lineRule="auto"/>
        <w:tabs>
          <w:tab w:leader="none" w:pos="693"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Investments represented by Hedging Obligations or made in connection therewith (including any cash collateral or other collateral that does not constitute Collateral provided to or by Parent or any of its Restricted Subsidiaries in connection with any Hedging Obligation);</w:t>
      </w:r>
    </w:p>
    <w:p>
      <w:pPr>
        <w:spacing w:after="0" w:line="38" w:lineRule="exact"/>
        <w:rPr>
          <w:rFonts w:ascii="Arial" w:cs="Arial" w:eastAsia="Arial" w:hAnsi="Arial"/>
          <w:sz w:val="17"/>
          <w:szCs w:val="17"/>
          <w:color w:val="auto"/>
        </w:rPr>
      </w:pPr>
    </w:p>
    <w:p>
      <w:pPr>
        <w:ind w:right="420" w:firstLine="443"/>
        <w:spacing w:after="0" w:line="277"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loans or advances to officers, directors or employees made in the Ordinary Course of Business of Parent or any Restricted Subsidiary of Parent in an aggregate principal amount not to exceed $30,000,000 at any one time outstanding;</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prepayment or purchase of any Loans in accordance with the terms and conditions of this Agreement;</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Guarantee of Indebtedness;</w:t>
      </w:r>
    </w:p>
    <w:p>
      <w:pPr>
        <w:spacing w:after="0" w:line="117" w:lineRule="exact"/>
        <w:rPr>
          <w:rFonts w:ascii="Arial" w:cs="Arial" w:eastAsia="Arial" w:hAnsi="Arial"/>
          <w:sz w:val="18"/>
          <w:szCs w:val="18"/>
          <w:color w:val="auto"/>
        </w:rPr>
      </w:pPr>
    </w:p>
    <w:p>
      <w:pPr>
        <w:ind w:right="20" w:firstLine="443"/>
        <w:spacing w:after="0" w:line="259" w:lineRule="auto"/>
        <w:tabs>
          <w:tab w:leader="none" w:pos="7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Investment existing on, or made pursuant to binding commitments existing on, the Closing Date and any Investment consisting of an extension, modification or renewal of any Investment existing on, or made pursuant to a binding commitment existing on,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such Investment may be increased (A) as required by the terms of such Investment as in existence on the Closing Date or (B) as otherwise permitted under this Agreement;</w:t>
      </w:r>
    </w:p>
    <w:p>
      <w:pPr>
        <w:spacing w:after="0" w:line="78" w:lineRule="exact"/>
        <w:rPr>
          <w:rFonts w:ascii="Arial" w:cs="Arial" w:eastAsia="Arial" w:hAnsi="Arial"/>
          <w:sz w:val="18"/>
          <w:szCs w:val="18"/>
          <w:color w:val="auto"/>
        </w:rPr>
      </w:pPr>
    </w:p>
    <w:p>
      <w:pPr>
        <w:ind w:firstLine="443"/>
        <w:spacing w:after="0" w:line="255" w:lineRule="auto"/>
        <w:tabs>
          <w:tab w:leader="none" w:pos="78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Investments or commitments to make Investments existing on the date hereof and any Investments consisting of extensions, modifications or renewals of such Investments and (b) any other Investments or commitments to make Investments acquired after the Closing Date and any Investments consisting of extensions, modifications or renewals of such Investments as a result of the acquisition by Parent or any Restricted Subsidiary of Parent of another Person, including by way of a merger, amalgamation or consolidation with or into Parent or any of its Restricted Subsidiaries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w:t>
      </w:r>
    </w:p>
    <w:p>
      <w:pPr>
        <w:spacing w:after="0" w:line="81" w:lineRule="exact"/>
        <w:rPr>
          <w:rFonts w:ascii="Arial" w:cs="Arial" w:eastAsia="Arial" w:hAnsi="Arial"/>
          <w:sz w:val="18"/>
          <w:szCs w:val="18"/>
          <w:color w:val="auto"/>
        </w:rPr>
      </w:pPr>
    </w:p>
    <w:p>
      <w:pPr>
        <w:ind w:right="280" w:firstLine="443"/>
        <w:spacing w:after="0" w:line="277" w:lineRule="auto"/>
        <w:tabs>
          <w:tab w:leader="none" w:pos="78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acquisition by a Receivables Subsidiary in connection with a Qualified Receivables Transaction of Equity Interests of a trust or other Person established by such Receivables Subsidiary to effect such Qualified Receivables Transaction; and any other</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700" w:top="274" w:right="299" w:bottom="1440" w:gutter="0" w:footer="0" w:header="0"/>
        </w:sectPr>
      </w:pPr>
    </w:p>
    <w:bookmarkStart w:id="129" w:name="page130"/>
    <w:bookmarkEnd w:id="129"/>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by Parent or a Subsidiary of Parent in a Receivables Subsidiary or any Investment by a Receivables Subsidiary in any other Person in connection with a Qualified Receivables Transaction;</w:t>
      </w:r>
    </w:p>
    <w:p>
      <w:pPr>
        <w:spacing w:after="0" w:line="62" w:lineRule="exact"/>
        <w:rPr>
          <w:sz w:val="20"/>
          <w:szCs w:val="20"/>
          <w:color w:val="auto"/>
        </w:rPr>
      </w:pPr>
    </w:p>
    <w:p>
      <w:pPr>
        <w:ind w:right="880" w:firstLine="443"/>
        <w:spacing w:after="0" w:line="277" w:lineRule="auto"/>
        <w:tabs>
          <w:tab w:leader="none" w:pos="783"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Receivables arising in the Ordinary Course of Business, and Investment in Receivables and related assets including pursuant to a Receivables Repurchase Obligation;</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in connection with outsourcing initiatives in the Ordinary Course of Business;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117" w:lineRule="exact"/>
        <w:rPr>
          <w:rFonts w:ascii="Arial" w:cs="Arial" w:eastAsia="Arial" w:hAnsi="Arial"/>
          <w:sz w:val="18"/>
          <w:szCs w:val="18"/>
          <w:color w:val="auto"/>
        </w:rPr>
      </w:pPr>
    </w:p>
    <w:p>
      <w:pPr>
        <w:ind w:right="360" w:firstLine="443"/>
        <w:spacing w:after="0" w:line="259" w:lineRule="auto"/>
        <w:tabs>
          <w:tab w:leader="none" w:pos="783"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w:t>
      </w:r>
    </w:p>
    <w:p>
      <w:pPr>
        <w:spacing w:after="0" w:line="78" w:lineRule="exact"/>
        <w:rPr>
          <w:rFonts w:ascii="Arial" w:cs="Arial" w:eastAsia="Arial" w:hAnsi="Arial"/>
          <w:sz w:val="18"/>
          <w:szCs w:val="18"/>
          <w:color w:val="auto"/>
        </w:rPr>
      </w:pPr>
    </w:p>
    <w:p>
      <w:pPr>
        <w:ind w:right="20" w:firstLine="443"/>
        <w:spacing w:after="0" w:line="277" w:lineRule="auto"/>
        <w:tabs>
          <w:tab w:leader="none" w:pos="783"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Investments consisting of reimbursable extensions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Investment made pursuant to this clause (18) shall not be permitted if unreimbursed within 90 days of any such extension of credit;</w:t>
      </w:r>
    </w:p>
    <w:p>
      <w:pPr>
        <w:spacing w:after="0" w:line="62" w:lineRule="exact"/>
        <w:rPr>
          <w:rFonts w:ascii="Arial" w:cs="Arial" w:eastAsia="Arial" w:hAnsi="Arial"/>
          <w:sz w:val="18"/>
          <w:szCs w:val="18"/>
          <w:color w:val="auto"/>
        </w:rPr>
      </w:pPr>
    </w:p>
    <w:p>
      <w:pPr>
        <w:ind w:right="100" w:firstLine="443"/>
        <w:spacing w:after="0" w:line="277" w:lineRule="auto"/>
        <w:tabs>
          <w:tab w:leader="none" w:pos="783"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in connection with financing any pre-delivery, progress or other similar payments relating to the acquisition of Aircraft Related Equipment;</w:t>
      </w:r>
    </w:p>
    <w:p>
      <w:pPr>
        <w:spacing w:after="0" w:line="62" w:lineRule="exact"/>
        <w:rPr>
          <w:rFonts w:ascii="Arial" w:cs="Arial" w:eastAsia="Arial" w:hAnsi="Arial"/>
          <w:sz w:val="18"/>
          <w:szCs w:val="18"/>
          <w:color w:val="auto"/>
        </w:rPr>
      </w:pPr>
    </w:p>
    <w:p>
      <w:pPr>
        <w:ind w:right="660" w:firstLine="443"/>
        <w:spacing w:after="0" w:line="277" w:lineRule="auto"/>
        <w:tabs>
          <w:tab w:leader="none" w:pos="783"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in Non-Recourse Financing Subsidiaries (other than Receivables Subsidiaries in connection with Qualified Receivables Transactions), in an aggregate amount outstanding at any time not to exceed $300,000,000;</w:t>
      </w:r>
    </w:p>
    <w:p>
      <w:pPr>
        <w:spacing w:after="0" w:line="62" w:lineRule="exact"/>
        <w:rPr>
          <w:rFonts w:ascii="Arial" w:cs="Arial" w:eastAsia="Arial" w:hAnsi="Arial"/>
          <w:sz w:val="18"/>
          <w:szCs w:val="18"/>
          <w:color w:val="auto"/>
        </w:rPr>
      </w:pPr>
    </w:p>
    <w:p>
      <w:pPr>
        <w:jc w:val="both"/>
        <w:ind w:firstLine="443"/>
        <w:spacing w:after="0" w:line="286" w:lineRule="auto"/>
        <w:tabs>
          <w:tab w:leader="none" w:pos="783"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w:t>
      </w:r>
    </w:p>
    <w:p>
      <w:pPr>
        <w:spacing w:after="0" w:line="57" w:lineRule="exact"/>
        <w:rPr>
          <w:rFonts w:ascii="Arial" w:cs="Arial" w:eastAsia="Arial" w:hAnsi="Arial"/>
          <w:sz w:val="17"/>
          <w:szCs w:val="17"/>
          <w:color w:val="auto"/>
        </w:rPr>
      </w:pPr>
    </w:p>
    <w:p>
      <w:pPr>
        <w:ind w:right="20" w:firstLine="443"/>
        <w:spacing w:after="0" w:line="259" w:lineRule="auto"/>
        <w:tabs>
          <w:tab w:leader="none" w:pos="783"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$300,000,000 at any time outstanding;</w:t>
      </w:r>
    </w:p>
    <w:p>
      <w:pPr>
        <w:spacing w:after="0" w:line="78" w:lineRule="exact"/>
        <w:rPr>
          <w:rFonts w:ascii="Arial" w:cs="Arial" w:eastAsia="Arial" w:hAnsi="Arial"/>
          <w:sz w:val="18"/>
          <w:szCs w:val="18"/>
          <w:color w:val="auto"/>
        </w:rPr>
      </w:pPr>
    </w:p>
    <w:p>
      <w:pPr>
        <w:ind w:left="780" w:hanging="337"/>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Investments consisting of payroll advances and advances for business and travel expenses in the Ordinary Course of Business;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700" w:top="274" w:right="239" w:bottom="1440" w:gutter="0" w:footer="0" w:header="0"/>
        </w:sectPr>
      </w:pPr>
    </w:p>
    <w:bookmarkStart w:id="130" w:name="page131"/>
    <w:bookmarkEnd w:id="130"/>
    <w:p>
      <w:pPr>
        <w:ind w:right="180" w:firstLine="443"/>
        <w:spacing w:after="0" w:line="277" w:lineRule="auto"/>
        <w:tabs>
          <w:tab w:leader="none" w:pos="783"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made by way of any endorsement of negotiable instruments received in the Ordinary Course of Business and presented to any bank for collection or deposit;</w:t>
      </w:r>
    </w:p>
    <w:p>
      <w:pPr>
        <w:spacing w:after="0" w:line="62" w:lineRule="exact"/>
        <w:rPr>
          <w:rFonts w:ascii="Arial" w:cs="Arial" w:eastAsia="Arial" w:hAnsi="Arial"/>
          <w:sz w:val="18"/>
          <w:szCs w:val="18"/>
          <w:color w:val="auto"/>
        </w:rPr>
      </w:pPr>
    </w:p>
    <w:p>
      <w:pPr>
        <w:ind w:right="140" w:firstLine="443"/>
        <w:spacing w:after="0" w:line="277" w:lineRule="auto"/>
        <w:tabs>
          <w:tab w:leader="none" w:pos="783"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stock, obligations or securities received in settlement of amounts owing to Parent or any Restricted Subsidiary in the Ordinary Course of Business or in a distribution received in respect of an Investment permitted hereunder;</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made in Unrestricted Subsidiaries not to exceed $30,000,000 in any fiscal year in the aggregate;</w:t>
      </w:r>
    </w:p>
    <w:p>
      <w:pPr>
        <w:spacing w:after="0" w:line="117" w:lineRule="exact"/>
        <w:rPr>
          <w:rFonts w:ascii="Arial" w:cs="Arial" w:eastAsia="Arial" w:hAnsi="Arial"/>
          <w:sz w:val="18"/>
          <w:szCs w:val="18"/>
          <w:color w:val="auto"/>
        </w:rPr>
      </w:pPr>
    </w:p>
    <w:p>
      <w:pPr>
        <w:ind w:right="60" w:firstLine="443"/>
        <w:spacing w:after="0" w:line="342" w:lineRule="auto"/>
        <w:tabs>
          <w:tab w:leader="none" w:pos="783"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spacing w:after="0" w:line="15" w:lineRule="exact"/>
        <w:rPr>
          <w:rFonts w:ascii="Arial" w:cs="Arial" w:eastAsia="Arial" w:hAnsi="Arial"/>
          <w:sz w:val="16"/>
          <w:szCs w:val="16"/>
          <w:color w:val="auto"/>
        </w:rPr>
      </w:pPr>
    </w:p>
    <w:p>
      <w:pPr>
        <w:ind w:firstLine="443"/>
        <w:spacing w:after="0" w:line="277" w:lineRule="auto"/>
        <w:tabs>
          <w:tab w:leader="none" w:pos="783"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advances and loans to Affiliates of Parent or any of its Restricted Subsidiaries, in an aggregate amount outstanding at any time not to exceed $300,000,000;</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Investments made in Excluded Subsidiaries consistent with past practice and not to exceed $30,000,000 per fiscal year in the aggregate;</w:t>
      </w:r>
    </w:p>
    <w:p>
      <w:pPr>
        <w:spacing w:after="0" w:line="140" w:lineRule="exact"/>
        <w:rPr>
          <w:rFonts w:ascii="Arial" w:cs="Arial" w:eastAsia="Arial" w:hAnsi="Arial"/>
          <w:sz w:val="16"/>
          <w:szCs w:val="16"/>
          <w:color w:val="auto"/>
        </w:rPr>
      </w:pPr>
    </w:p>
    <w:p>
      <w:pPr>
        <w:ind w:right="60" w:firstLine="443"/>
        <w:spacing w:after="0" w:line="259" w:lineRule="auto"/>
        <w:tabs>
          <w:tab w:leader="none" w:pos="783" w:val="left"/>
        </w:tabs>
        <w:numPr>
          <w:ilvl w:val="0"/>
          <w:numId w:val="89"/>
        </w:numPr>
        <w:rPr>
          <w:rFonts w:ascii="Arial" w:cs="Arial" w:eastAsia="Arial" w:hAnsi="Arial"/>
          <w:sz w:val="18"/>
          <w:szCs w:val="18"/>
          <w:color w:val="auto"/>
        </w:rPr>
      </w:pPr>
      <w:r>
        <w:rPr>
          <w:rFonts w:ascii="Arial" w:cs="Arial" w:eastAsia="Arial" w:hAnsi="Arial"/>
          <w:sz w:val="18"/>
          <w:szCs w:val="18"/>
          <w:color w:val="auto"/>
        </w:rPr>
        <w:t>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w:t>
      </w:r>
    </w:p>
    <w:p>
      <w:pPr>
        <w:spacing w:after="0" w:line="78" w:lineRule="exact"/>
        <w:rPr>
          <w:rFonts w:ascii="Arial" w:cs="Arial" w:eastAsia="Arial" w:hAnsi="Arial"/>
          <w:sz w:val="18"/>
          <w:szCs w:val="18"/>
          <w:color w:val="auto"/>
        </w:rPr>
      </w:pPr>
    </w:p>
    <w:p>
      <w:pPr>
        <w:ind w:left="780" w:hanging="337"/>
        <w:spacing w:after="0"/>
        <w:tabs>
          <w:tab w:leader="none" w:pos="7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so long as no Default or Event of Default has occurred and is continuing, any Investment by Parent and/or any Restricted Subsidiary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Parent;</w:t>
      </w:r>
    </w:p>
    <w:p>
      <w:pPr>
        <w:spacing w:after="0" w:line="102" w:lineRule="exact"/>
        <w:rPr>
          <w:rFonts w:ascii="Arial" w:cs="Arial" w:eastAsia="Arial" w:hAnsi="Arial"/>
          <w:sz w:val="17"/>
          <w:szCs w:val="17"/>
          <w:color w:val="auto"/>
        </w:rPr>
      </w:pPr>
    </w:p>
    <w:p>
      <w:pPr>
        <w:ind w:right="60" w:firstLine="443"/>
        <w:spacing w:after="0" w:line="259" w:lineRule="auto"/>
        <w:tabs>
          <w:tab w:leader="none" w:pos="783"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 and</w:t>
      </w:r>
    </w:p>
    <w:p>
      <w:pPr>
        <w:spacing w:after="0" w:line="78" w:lineRule="exact"/>
        <w:rPr>
          <w:rFonts w:ascii="Arial" w:cs="Arial" w:eastAsia="Arial" w:hAnsi="Arial"/>
          <w:sz w:val="18"/>
          <w:szCs w:val="18"/>
          <w:color w:val="auto"/>
        </w:rPr>
      </w:pPr>
    </w:p>
    <w:p>
      <w:pPr>
        <w:ind w:left="780" w:hanging="337"/>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ownership by each of Parent and its Restricted Subsidiaries of the Capital Stock of each of its wholly-owned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shall mean:</w:t>
      </w:r>
    </w:p>
    <w:p>
      <w:pPr>
        <w:spacing w:after="0" w:line="117" w:lineRule="exact"/>
        <w:rPr>
          <w:sz w:val="20"/>
          <w:szCs w:val="20"/>
          <w:color w:val="auto"/>
        </w:rPr>
      </w:pPr>
    </w:p>
    <w:p>
      <w:pPr>
        <w:ind w:left="5160" w:right="4340" w:hanging="4717"/>
        <w:spacing w:after="0" w:line="449" w:lineRule="auto"/>
        <w:tabs>
          <w:tab w:leader="none" w:pos="694"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Liens held by the Collateral Agent or trustee (as applicable) securing Obligations; 46</w:t>
      </w:r>
    </w:p>
    <w:p>
      <w:pPr>
        <w:sectPr>
          <w:pgSz w:w="11900" w:h="16838" w:orient="portrait"/>
          <w:cols w:equalWidth="0" w:num="1">
            <w:col w:w="10940"/>
          </w:cols>
          <w:pgMar w:left="700" w:top="274" w:right="259" w:bottom="1440" w:gutter="0" w:footer="0" w:header="0"/>
        </w:sectPr>
      </w:pPr>
    </w:p>
    <w:bookmarkStart w:id="131" w:name="page132"/>
    <w:bookmarkEnd w:id="131"/>
    <w:p>
      <w:pPr>
        <w:ind w:right="200" w:firstLine="443"/>
        <w:spacing w:after="0" w:line="277" w:lineRule="auto"/>
        <w:tabs>
          <w:tab w:leader="none" w:pos="693"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securing Junior Secured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shall (x) rank junior to the Liens in favor of the Collateral Agent securing the Obligations and (y) be subject to any Intercreditor Agreement or any Other Intercreditor Agreement;</w:t>
      </w:r>
    </w:p>
    <w:p>
      <w:pPr>
        <w:spacing w:after="0" w:line="62" w:lineRule="exact"/>
        <w:rPr>
          <w:rFonts w:ascii="Arial" w:cs="Arial" w:eastAsia="Arial" w:hAnsi="Arial"/>
          <w:sz w:val="18"/>
          <w:szCs w:val="18"/>
          <w:color w:val="auto"/>
        </w:rPr>
      </w:pPr>
    </w:p>
    <w:p>
      <w:pPr>
        <w:ind w:right="620" w:firstLine="443"/>
        <w:spacing w:after="0" w:line="264" w:lineRule="auto"/>
        <w:tabs>
          <w:tab w:leader="none" w:pos="6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pursued;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73" w:lineRule="exact"/>
        <w:rPr>
          <w:rFonts w:ascii="Arial" w:cs="Arial" w:eastAsia="Arial" w:hAnsi="Arial"/>
          <w:sz w:val="18"/>
          <w:szCs w:val="18"/>
          <w:color w:val="auto"/>
        </w:rPr>
      </w:pPr>
    </w:p>
    <w:p>
      <w:pPr>
        <w:ind w:right="360" w:firstLine="443"/>
        <w:spacing w:after="0" w:line="277" w:lineRule="auto"/>
        <w:tabs>
          <w:tab w:leader="none" w:pos="6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imposed by law, including carriers’, vendors’, materialmen’s, warehousemen’s, landlord’s, mechanics’, repairmen’s, employees’ or other like Liens, in each case, incurred in the Ordinary Course of Business;</w:t>
      </w:r>
    </w:p>
    <w:p>
      <w:pPr>
        <w:spacing w:after="0" w:line="62" w:lineRule="exact"/>
        <w:rPr>
          <w:rFonts w:ascii="Arial" w:cs="Arial" w:eastAsia="Arial" w:hAnsi="Arial"/>
          <w:sz w:val="18"/>
          <w:szCs w:val="18"/>
          <w:color w:val="auto"/>
        </w:rPr>
      </w:pPr>
    </w:p>
    <w:p>
      <w:pPr>
        <w:ind w:right="780" w:firstLine="443"/>
        <w:spacing w:after="0" w:line="277" w:lineRule="auto"/>
        <w:tabs>
          <w:tab w:leader="none" w:pos="6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arising by operation of law in connection with judgments, attachments or awards which do not constitute an Event of Default hereunder;</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Obligations or any Guaranty Obligations;</w:t>
      </w:r>
    </w:p>
    <w:p>
      <w:pPr>
        <w:spacing w:after="0" w:line="117" w:lineRule="exact"/>
        <w:rPr>
          <w:rFonts w:ascii="Arial" w:cs="Arial" w:eastAsia="Arial" w:hAnsi="Arial"/>
          <w:sz w:val="18"/>
          <w:szCs w:val="18"/>
          <w:color w:val="auto"/>
        </w:rPr>
      </w:pPr>
    </w:p>
    <w:p>
      <w:pPr>
        <w:ind w:right="100" w:firstLine="443"/>
        <w:spacing w:after="0" w:line="277" w:lineRule="auto"/>
        <w:tabs>
          <w:tab w:leader="none" w:pos="6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on Receivables and related assets of the type specified in the definition of “Qualified Receivables Transaction,” incurred in connection with a Qualified Receivables Transaction;</w:t>
      </w:r>
    </w:p>
    <w:p>
      <w:pPr>
        <w:spacing w:after="0" w:line="62" w:lineRule="exact"/>
        <w:rPr>
          <w:rFonts w:ascii="Arial" w:cs="Arial" w:eastAsia="Arial" w:hAnsi="Arial"/>
          <w:sz w:val="18"/>
          <w:szCs w:val="18"/>
          <w:color w:val="auto"/>
        </w:rPr>
      </w:pPr>
    </w:p>
    <w:p>
      <w:pPr>
        <w:jc w:val="both"/>
        <w:ind w:firstLine="443"/>
        <w:spacing w:after="0" w:line="259" w:lineRule="auto"/>
        <w:tabs>
          <w:tab w:leader="none" w:pos="6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set-off in favor of the depository bank or securities intermediary in respect of the Letter of Credit Account or the Collateral Proceeds Account;</w:t>
      </w:r>
    </w:p>
    <w:p>
      <w:pPr>
        <w:spacing w:after="0" w:line="78" w:lineRule="exact"/>
        <w:rPr>
          <w:rFonts w:ascii="Arial" w:cs="Arial" w:eastAsia="Arial" w:hAnsi="Arial"/>
          <w:sz w:val="18"/>
          <w:szCs w:val="18"/>
          <w:color w:val="auto"/>
        </w:rPr>
      </w:pPr>
    </w:p>
    <w:p>
      <w:pPr>
        <w:ind w:firstLine="443"/>
        <w:spacing w:after="0" w:line="279" w:lineRule="auto"/>
        <w:tabs>
          <w:tab w:leader="none" w:pos="693" w:val="left"/>
        </w:tabs>
        <w:numPr>
          <w:ilvl w:val="0"/>
          <w:numId w:val="91"/>
        </w:numPr>
        <w:rPr>
          <w:rFonts w:ascii="Arial" w:cs="Arial" w:eastAsia="Arial" w:hAnsi="Arial"/>
          <w:sz w:val="17"/>
          <w:szCs w:val="17"/>
          <w:color w:val="auto"/>
        </w:rPr>
      </w:pPr>
      <w:r>
        <w:rPr>
          <w:rFonts w:ascii="Arial" w:cs="Arial" w:eastAsia="Arial" w:hAnsi="Arial"/>
          <w:sz w:val="17"/>
          <w:szCs w:val="17"/>
          <w:color w:val="auto"/>
        </w:rPr>
        <w:t>licenses, sublicenses, leases and subleases by any Grantor as they relate to any aircraft, airframe, engine or any other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to the Liens granted to the Collateral Agent pursuant to the Collateral Documents or (B) otherwise expressly permitted by the Collateral Documents;</w:t>
      </w:r>
    </w:p>
    <w:p>
      <w:pPr>
        <w:spacing w:after="0" w:line="63" w:lineRule="exact"/>
        <w:rPr>
          <w:rFonts w:ascii="Arial" w:cs="Arial" w:eastAsia="Arial" w:hAnsi="Arial"/>
          <w:sz w:val="17"/>
          <w:szCs w:val="17"/>
          <w:color w:val="auto"/>
        </w:rPr>
      </w:pPr>
    </w:p>
    <w:p>
      <w:pPr>
        <w:ind w:right="160" w:firstLine="443"/>
        <w:spacing w:after="0" w:line="297" w:lineRule="auto"/>
        <w:tabs>
          <w:tab w:leader="none" w:pos="7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Parent and its Subsidiaries, taken as a whole, or their utilization of such property, (B) do not materially detract from the value of the property to which they attach or materially impair the use thereof to Parent and its Subsidiaries, taken as a whole and (C) do not materially adversely affect the marketability of the applicable property;</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700" w:top="274" w:right="259" w:bottom="1440" w:gutter="0" w:footer="0" w:header="0"/>
        </w:sectPr>
      </w:pPr>
    </w:p>
    <w:bookmarkStart w:id="132" w:name="page133"/>
    <w:bookmarkEnd w:id="13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 salvage or similar rights of insurers, in each case as it relates to any aircraft, airframe, engine, Spare Parts or any Additional Collateral, if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w:t>
      </w:r>
    </w:p>
    <w:p>
      <w:pPr>
        <w:spacing w:after="0" w:line="103" w:lineRule="exact"/>
        <w:rPr>
          <w:sz w:val="20"/>
          <w:szCs w:val="20"/>
          <w:color w:val="auto"/>
        </w:rPr>
      </w:pPr>
    </w:p>
    <w:p>
      <w:pPr>
        <w:ind w:firstLine="443"/>
        <w:spacing w:after="0" w:line="277"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each case as it relates to any aircraft, Liens on appliances, parts, components, instruments, appurtenances, furnishings and other equipment installed on such aircraft and separately financed by a Grantor, to secure such financing;</w:t>
      </w:r>
    </w:p>
    <w:p>
      <w:pPr>
        <w:spacing w:after="0" w:line="62" w:lineRule="exact"/>
        <w:rPr>
          <w:rFonts w:ascii="Arial" w:cs="Arial" w:eastAsia="Arial" w:hAnsi="Arial"/>
          <w:sz w:val="18"/>
          <w:szCs w:val="18"/>
          <w:color w:val="auto"/>
        </w:rPr>
      </w:pPr>
    </w:p>
    <w:p>
      <w:pPr>
        <w:ind w:right="300" w:firstLine="443"/>
        <w:spacing w:after="0" w:line="277"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Parent or any Restricted Subsidiary of Parent with respect to obligations that do not exceed in the aggregate $30,000,000 at any one time outstanding;</w:t>
      </w:r>
    </w:p>
    <w:p>
      <w:pPr>
        <w:spacing w:after="0" w:line="62" w:lineRule="exact"/>
        <w:rPr>
          <w:rFonts w:ascii="Arial" w:cs="Arial" w:eastAsia="Arial" w:hAnsi="Arial"/>
          <w:sz w:val="18"/>
          <w:szCs w:val="18"/>
          <w:color w:val="auto"/>
        </w:rPr>
      </w:pPr>
    </w:p>
    <w:p>
      <w:pPr>
        <w:ind w:right="100" w:firstLine="443"/>
        <w:spacing w:after="0" w:line="277"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Liens on Collateral directly resulting from (x) any Disposition permitted under Section 6.04 or (y) any sale of such Collateral in compliance with Section 6.04;</w:t>
      </w:r>
    </w:p>
    <w:p>
      <w:pPr>
        <w:spacing w:after="0" w:line="62" w:lineRule="exact"/>
        <w:rPr>
          <w:rFonts w:ascii="Arial" w:cs="Arial" w:eastAsia="Arial" w:hAnsi="Arial"/>
          <w:sz w:val="18"/>
          <w:szCs w:val="18"/>
          <w:color w:val="auto"/>
        </w:rPr>
      </w:pPr>
    </w:p>
    <w:p>
      <w:pPr>
        <w:ind w:right="80" w:firstLine="443"/>
        <w:spacing w:after="0" w:line="277"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Transfer Restriction that applies to the transfer or assignment (other than the pledge, grant or creation of a security interest or mortgage) of any asset, right or property constituting Collateral;</w:t>
      </w:r>
    </w:p>
    <w:p>
      <w:pPr>
        <w:spacing w:after="0" w:line="62" w:lineRule="exact"/>
        <w:rPr>
          <w:rFonts w:ascii="Arial" w:cs="Arial" w:eastAsia="Arial" w:hAnsi="Arial"/>
          <w:sz w:val="18"/>
          <w:szCs w:val="18"/>
          <w:color w:val="auto"/>
        </w:rPr>
      </w:pPr>
    </w:p>
    <w:p>
      <w:pPr>
        <w:ind w:right="480" w:firstLine="443"/>
        <w:spacing w:after="0" w:line="277"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engines (including spare engines) or parts (including spare parts), Liens relating to any pooling, exchange, interchange, borrowing or maintenance servicing agreement or arrangement entered into in the Ordinary Course of Business;</w:t>
      </w:r>
    </w:p>
    <w:p>
      <w:pPr>
        <w:spacing w:after="0" w:line="62" w:lineRule="exact"/>
        <w:rPr>
          <w:rFonts w:ascii="Arial" w:cs="Arial" w:eastAsia="Arial" w:hAnsi="Arial"/>
          <w:sz w:val="18"/>
          <w:szCs w:val="18"/>
          <w:color w:val="auto"/>
        </w:rPr>
      </w:pPr>
    </w:p>
    <w:p>
      <w:pPr>
        <w:ind w:right="100" w:firstLine="443"/>
        <w:spacing w:after="0" w:line="264"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spare parts (including Spare Parts), purchase money security interest Liens held by a vendor for goods purchased from such vendor, in each case arising in the Ordinary Course of Business and for which the Borrower or the applicable Grantor pays such vendor within 60 days of such purchase;</w:t>
      </w:r>
    </w:p>
    <w:p>
      <w:pPr>
        <w:spacing w:after="0" w:line="73" w:lineRule="exact"/>
        <w:rPr>
          <w:rFonts w:ascii="Arial" w:cs="Arial" w:eastAsia="Arial" w:hAnsi="Arial"/>
          <w:sz w:val="18"/>
          <w:szCs w:val="18"/>
          <w:color w:val="auto"/>
        </w:rPr>
      </w:pPr>
    </w:p>
    <w:p>
      <w:pPr>
        <w:ind w:left="780" w:hanging="337"/>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Liens on Collateral permitted by any of the Collateral Documents;</w:t>
      </w:r>
    </w:p>
    <w:p>
      <w:pPr>
        <w:spacing w:after="0" w:line="117" w:lineRule="exact"/>
        <w:rPr>
          <w:rFonts w:ascii="Arial" w:cs="Arial" w:eastAsia="Arial" w:hAnsi="Arial"/>
          <w:sz w:val="18"/>
          <w:szCs w:val="18"/>
          <w:color w:val="auto"/>
        </w:rPr>
      </w:pPr>
    </w:p>
    <w:p>
      <w:pPr>
        <w:ind w:right="220" w:firstLine="443"/>
        <w:spacing w:after="0" w:line="277"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Liens securing Pari Passu Senior Secured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shall (x)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in favor of the Collateral Agent securing the Obligations and (y) be subject to any Intercreditor Agreement or any Other Intercreditor Agreement;</w:t>
      </w:r>
    </w:p>
    <w:p>
      <w:pPr>
        <w:spacing w:after="0" w:line="62" w:lineRule="exact"/>
        <w:rPr>
          <w:rFonts w:ascii="Arial" w:cs="Arial" w:eastAsia="Arial" w:hAnsi="Arial"/>
          <w:sz w:val="18"/>
          <w:szCs w:val="18"/>
          <w:color w:val="auto"/>
        </w:rPr>
      </w:pPr>
    </w:p>
    <w:p>
      <w:pPr>
        <w:ind w:right="440" w:firstLine="443"/>
        <w:spacing w:after="0" w:line="277"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case of any leased real property, any interest or title of the lessor thereof;</w:t>
      </w:r>
    </w:p>
    <w:p>
      <w:pPr>
        <w:spacing w:after="0" w:line="117" w:lineRule="exact"/>
        <w:rPr>
          <w:rFonts w:ascii="Arial" w:cs="Arial" w:eastAsia="Arial" w:hAnsi="Arial"/>
          <w:sz w:val="18"/>
          <w:szCs w:val="18"/>
          <w:color w:val="auto"/>
        </w:rPr>
      </w:pPr>
    </w:p>
    <w:p>
      <w:pPr>
        <w:ind w:right="40" w:firstLine="443"/>
        <w:spacing w:after="0" w:line="264"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Liens of creditors of any Person to whom Parent’s or any of its Restricted Subsidiaries’ assets constituting Collateral of the type described in clause (b), (c), (d), (e) or (f) of the definition of “Additional Collateral” are consigned for sale in the Ordinary Course of Business, so long as such Liens of such creditors are subject and subordinate to the Liens of the Collateral Agent on such Collateral;</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700" w:top="274" w:right="239" w:bottom="1440" w:gutter="0" w:footer="0" w:header="0"/>
        </w:sectPr>
      </w:pPr>
    </w:p>
    <w:bookmarkStart w:id="133" w:name="page134"/>
    <w:bookmarkEnd w:id="133"/>
    <w:p>
      <w:pPr>
        <w:ind w:left="460" w:right="360" w:firstLine="443"/>
        <w:spacing w:after="0" w:line="277" w:lineRule="auto"/>
        <w:tabs>
          <w:tab w:leader="none" w:pos="1243"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arising from precautionary UCC and similar financing statements relating to Operating Leases not otherwise prohibited under any Loan Document; and</w:t>
      </w:r>
    </w:p>
    <w:p>
      <w:pPr>
        <w:spacing w:after="0" w:line="62" w:lineRule="exact"/>
        <w:rPr>
          <w:rFonts w:ascii="Arial" w:cs="Arial" w:eastAsia="Arial" w:hAnsi="Arial"/>
          <w:sz w:val="18"/>
          <w:szCs w:val="18"/>
          <w:color w:val="auto"/>
        </w:rPr>
      </w:pPr>
    </w:p>
    <w:p>
      <w:pPr>
        <w:jc w:val="both"/>
        <w:ind w:left="460" w:right="80" w:firstLine="443"/>
        <w:spacing w:after="0" w:line="264" w:lineRule="auto"/>
        <w:tabs>
          <w:tab w:leader="none" w:pos="12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on Ground Service Equipment constituting Collateral solely to the extent attributable to the possession or use of such Ground Service Equipment constituting Collateral by any Subsidiary of Parent, so long as such Liens are subject and subordinate to the Lien of the Collateral Agent on such Collateral.</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Person</w:t>
      </w:r>
      <w:r>
        <w:rPr>
          <w:rFonts w:ascii="Arial" w:cs="Arial" w:eastAsia="Arial" w:hAnsi="Arial"/>
          <w:sz w:val="18"/>
          <w:szCs w:val="18"/>
          <w:color w:val="auto"/>
        </w:rPr>
        <w:t>” shall have the meaning set forth in the definition of “</w:t>
      </w:r>
      <w:r>
        <w:rPr>
          <w:rFonts w:ascii="Arial" w:cs="Arial" w:eastAsia="Arial" w:hAnsi="Arial"/>
          <w:sz w:val="18"/>
          <w:szCs w:val="18"/>
          <w:i w:val="1"/>
          <w:iCs w:val="1"/>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Refinancing Indebtedness</w:t>
      </w:r>
      <w:r>
        <w:rPr>
          <w:rFonts w:ascii="Arial" w:cs="Arial" w:eastAsia="Arial" w:hAnsi="Arial"/>
          <w:sz w:val="17"/>
          <w:szCs w:val="17"/>
          <w:color w:val="auto"/>
        </w:rPr>
        <w:t xml:space="preserve">” shall mean any Indebtedness (or commitments in respect thereof) of Parent or any of its Restricted Subsidiaries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57" w:lineRule="exact"/>
        <w:rPr>
          <w:sz w:val="20"/>
          <w:szCs w:val="20"/>
          <w:color w:val="auto"/>
        </w:rPr>
      </w:pPr>
    </w:p>
    <w:p>
      <w:pPr>
        <w:ind w:left="460" w:right="40" w:firstLine="443"/>
        <w:spacing w:after="0" w:line="253" w:lineRule="auto"/>
        <w:tabs>
          <w:tab w:leader="none" w:pos="11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w:t>
      </w:r>
      <w:r>
        <w:rPr>
          <w:rFonts w:ascii="Arial" w:cs="Arial" w:eastAsia="Arial" w:hAnsi="Arial"/>
          <w:sz w:val="18"/>
          <w:szCs w:val="18"/>
          <w:i w:val="1"/>
          <w:iCs w:val="1"/>
          <w:color w:val="auto"/>
        </w:rPr>
        <w:t>preceding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Permitted Refinancing Indebtedness that is refinancing secured Indebtedness and is secured by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86" w:lineRule="exact"/>
        <w:rPr>
          <w:rFonts w:ascii="Arial" w:cs="Arial" w:eastAsia="Arial" w:hAnsi="Arial"/>
          <w:sz w:val="18"/>
          <w:szCs w:val="18"/>
          <w:color w:val="auto"/>
        </w:rPr>
      </w:pPr>
    </w:p>
    <w:p>
      <w:pPr>
        <w:ind w:left="460" w:right="60" w:firstLine="443"/>
        <w:spacing w:after="0" w:line="302" w:lineRule="auto"/>
        <w:tabs>
          <w:tab w:leader="none" w:pos="1153"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w:t>
      </w:r>
    </w:p>
    <w:p>
      <w:pPr>
        <w:spacing w:after="0" w:line="46" w:lineRule="exact"/>
        <w:rPr>
          <w:rFonts w:ascii="Arial" w:cs="Arial" w:eastAsia="Arial" w:hAnsi="Arial"/>
          <w:sz w:val="16"/>
          <w:szCs w:val="16"/>
          <w:color w:val="auto"/>
        </w:rPr>
      </w:pPr>
    </w:p>
    <w:p>
      <w:pPr>
        <w:ind w:left="460" w:firstLine="443"/>
        <w:spacing w:after="0" w:line="312" w:lineRule="auto"/>
        <w:tabs>
          <w:tab w:leader="none" w:pos="1153"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 and</w:t>
      </w:r>
    </w:p>
    <w:p>
      <w:pPr>
        <w:spacing w:after="0" w:line="38" w:lineRule="exact"/>
        <w:rPr>
          <w:rFonts w:ascii="Arial" w:cs="Arial" w:eastAsia="Arial" w:hAnsi="Arial"/>
          <w:sz w:val="16"/>
          <w:szCs w:val="16"/>
          <w:color w:val="auto"/>
        </w:rPr>
      </w:pPr>
    </w:p>
    <w:p>
      <w:pPr>
        <w:ind w:left="460" w:right="40" w:firstLine="443"/>
        <w:spacing w:after="0" w:line="257" w:lineRule="auto"/>
        <w:tabs>
          <w:tab w:leader="none" w:pos="11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134" w:name="page135"/>
    <w:bookmarkEnd w:id="134"/>
    <w:p>
      <w:pPr>
        <w:ind w:right="14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Permitted Warrant Transaction</w:t>
      </w:r>
      <w:r>
        <w:rPr>
          <w:rFonts w:ascii="Arial" w:cs="Arial" w:eastAsia="Arial" w:hAnsi="Arial"/>
          <w:sz w:val="17"/>
          <w:szCs w:val="17"/>
          <w:color w:val="auto"/>
        </w:rPr>
        <w:t>” shall mean any call option, warrant or right to purchase (or substantively equivalent derivative transaction) on Parent’s common stock sold by Parent substantially concurrently with any purchase of a related Permitted Bond Hedge Transaction.</w:t>
      </w:r>
    </w:p>
    <w:p>
      <w:pPr>
        <w:spacing w:after="0" w:line="147" w:lineRule="exact"/>
        <w:rPr>
          <w:sz w:val="20"/>
          <w:szCs w:val="20"/>
          <w:color w:val="auto"/>
        </w:rPr>
      </w:pPr>
    </w:p>
    <w:p>
      <w:pPr>
        <w:ind w:right="3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shall mean any person, including any individual, corporation, partnership, joint venture, association, joint stock company, trust, unincorporated organization, limited liability company, government or any agency or political subdivision thereof or other entity and, for the avoidance of doubt, includes the DOT, the FAA, any Airport Authority, any Foreign Aviation Authority and any other Governmental Authority.</w:t>
      </w:r>
    </w:p>
    <w:p>
      <w:pPr>
        <w:spacing w:after="0" w:line="166"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any “employee benefit plan” (other than a “multiemployer plan” as defined in Section 4001(a)(3) of ERISA), that is maintained or is contributed to by the Borrower or any ERISA Affiliate and that is a pension plan subject to the provisions of Title IV of ERISA, Sections 412 or 430 of the Code or Section 302 of ERISA.</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Pledged Foreign Gate Leaseholds</w:t>
      </w:r>
      <w:r>
        <w:rPr>
          <w:rFonts w:ascii="Arial" w:cs="Arial" w:eastAsia="Arial" w:hAnsi="Arial"/>
          <w:sz w:val="16"/>
          <w:szCs w:val="16"/>
          <w:color w:val="auto"/>
        </w:rPr>
        <w:t>” shall mean, as of any date, the Foreign Gate Leaseholds included in the Collateral as of such date, if any.</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Route Authorities</w:t>
      </w:r>
      <w:r>
        <w:rPr>
          <w:rFonts w:ascii="Arial" w:cs="Arial" w:eastAsia="Arial" w:hAnsi="Arial"/>
          <w:sz w:val="18"/>
          <w:szCs w:val="18"/>
          <w:color w:val="auto"/>
        </w:rPr>
        <w:t>” shall mean, as of any date, the Route Authorities included in the Collateral as of such date, if 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Slots</w:t>
      </w:r>
      <w:r>
        <w:rPr>
          <w:rFonts w:ascii="Arial" w:cs="Arial" w:eastAsia="Arial" w:hAnsi="Arial"/>
          <w:sz w:val="18"/>
          <w:szCs w:val="18"/>
          <w:color w:val="auto"/>
        </w:rPr>
        <w:t>” shall mean, as of any date, the Slots included in the Collateral as of such date, if 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Spare Parts</w:t>
      </w:r>
      <w:r>
        <w:rPr>
          <w:rFonts w:ascii="Arial" w:cs="Arial" w:eastAsia="Arial" w:hAnsi="Arial"/>
          <w:sz w:val="18"/>
          <w:szCs w:val="18"/>
          <w:color w:val="auto"/>
        </w:rPr>
        <w:t>” shall have the meaning set forth in the Spare Parts Security Agreement.</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Precedent SGR Appraisal</w:t>
      </w:r>
      <w:r>
        <w:rPr>
          <w:rFonts w:ascii="Arial" w:cs="Arial" w:eastAsia="Arial" w:hAnsi="Arial"/>
          <w:sz w:val="18"/>
          <w:szCs w:val="18"/>
          <w:color w:val="auto"/>
        </w:rPr>
        <w:t>” shall mean that certain appraisal dated as of April 8, 2015 and delivered in connection with that certain Amended and Restated Credit and Guaranty Agreement, dated as of April 20, 2015 by and among the Parent, Borrower and Citibank N.A., as administrative agent and collateral agent.</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Prime Rate</w:t>
      </w:r>
      <w:r>
        <w:rPr>
          <w:rFonts w:ascii="Arial" w:cs="Arial" w:eastAsia="Arial" w:hAnsi="Arial"/>
          <w:sz w:val="18"/>
          <w:szCs w:val="18"/>
          <w:color w:val="auto"/>
        </w:rPr>
        <w:t>” shall mean the rate of interest last quoted by The Wall Street Journal as the “Prime Rate” in the U.S. or, if The Wall Street Journal ceases to quote such rate, the highest per annum interest rate published by the Federal Reserve Board in Federal Reserve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135" w:name="page136"/>
    <w:bookmarkEnd w:id="135"/>
    <w:p>
      <w:pPr>
        <w:jc w:val="both"/>
        <w:ind w:right="5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QEC Kits</w:t>
      </w:r>
      <w:r>
        <w:rPr>
          <w:rFonts w:ascii="Arial" w:cs="Arial" w:eastAsia="Arial" w:hAnsi="Arial"/>
          <w:sz w:val="18"/>
          <w:szCs w:val="18"/>
          <w:color w:val="auto"/>
        </w:rPr>
        <w:t>” shall mean the quick engine change kits owned by Parent or any of its Restricted Subsidiaries.</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Receivables Transaction</w:t>
      </w:r>
      <w:r>
        <w:rPr>
          <w:rFonts w:ascii="Arial" w:cs="Arial" w:eastAsia="Arial" w:hAnsi="Arial"/>
          <w:sz w:val="18"/>
          <w:szCs w:val="18"/>
          <w:color w:val="auto"/>
        </w:rPr>
        <w:t>” shall mean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Receivables (whether now existing or arising in the future) of Parent or any of its Subsidiaries,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connection with asset securitization transactions involving Receivables, other than assets that constitute Collateral or proceeds of Collateral.</w:t>
      </w:r>
    </w:p>
    <w:p>
      <w:pPr>
        <w:spacing w:after="0" w:line="192"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Replacement Assets</w:t>
      </w:r>
      <w:r>
        <w:rPr>
          <w:rFonts w:ascii="Arial" w:cs="Arial" w:eastAsia="Arial" w:hAnsi="Arial"/>
          <w:sz w:val="18"/>
          <w:szCs w:val="18"/>
          <w:color w:val="auto"/>
        </w:rPr>
        <w:t>” shall mean Additional Collateral of the types described in clauses (b), (c), (d), (e), (f) and (g) of the definition of “Additional Collateral.”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Collateral</w:t>
      </w:r>
      <w:r>
        <w:rPr>
          <w:rFonts w:ascii="Arial" w:cs="Arial" w:eastAsia="Arial" w:hAnsi="Arial"/>
          <w:sz w:val="18"/>
          <w:szCs w:val="18"/>
          <w:color w:val="auto"/>
        </w:rPr>
        <w:t>” shall mean Collateral other than Foreign Gate Leaseholds.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Equity Interests</w:t>
      </w:r>
      <w:r>
        <w:rPr>
          <w:rFonts w:ascii="Arial" w:cs="Arial" w:eastAsia="Arial" w:hAnsi="Arial"/>
          <w:sz w:val="18"/>
          <w:szCs w:val="18"/>
          <w:color w:val="auto"/>
        </w:rPr>
        <w:t>” shall mean Equity Interests of Parent other than Disqualified Stock.</w:t>
      </w:r>
    </w:p>
    <w:p>
      <w:pPr>
        <w:spacing w:after="0" w:line="225"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Real Property Assets</w:t>
      </w:r>
      <w:r>
        <w:rPr>
          <w:rFonts w:ascii="Arial" w:cs="Arial" w:eastAsia="Arial" w:hAnsi="Arial"/>
          <w:sz w:val="17"/>
          <w:szCs w:val="17"/>
          <w:color w:val="auto"/>
        </w:rPr>
        <w:t>” shall mean parcels of real property owned in fee by the Borrower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Borrower or any other Grantor.</w:t>
      </w:r>
    </w:p>
    <w:p>
      <w:pPr>
        <w:spacing w:after="0" w:line="166"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shall mean Accounts, and shall also include ticket receivables, sales of frequent flyer miles and other present and future revenues and receivables that may be the subset of a Qualified Receivables Transaction.</w:t>
      </w:r>
    </w:p>
    <w:p>
      <w:pPr>
        <w:spacing w:after="0" w:line="17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Repurchase Obligation</w:t>
      </w:r>
      <w:r>
        <w:rPr>
          <w:rFonts w:ascii="Arial" w:cs="Arial" w:eastAsia="Arial" w:hAnsi="Arial"/>
          <w:sz w:val="18"/>
          <w:szCs w:val="18"/>
          <w:color w:val="auto"/>
        </w:rPr>
        <w:t>”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136" w:name="page137"/>
    <w:bookmarkEnd w:id="136"/>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Receivables Subsidiary</w:t>
      </w:r>
      <w:r>
        <w:rPr>
          <w:rFonts w:ascii="Arial" w:cs="Arial" w:eastAsia="Arial" w:hAnsi="Arial"/>
          <w:sz w:val="16"/>
          <w:szCs w:val="16"/>
          <w:color w:val="auto"/>
        </w:rPr>
        <w:t>” shall mean (x) a Subsidiary of Parent which engages in no activities other than in connection with the financing or securitization of Receivables and which is designated by the Board of Directors of the Borrower or of Parent (as provided below) as a Receivables Subsidiary</w:t>
      </w:r>
    </w:p>
    <w:p>
      <w:pPr>
        <w:ind w:right="60" w:firstLine="8"/>
        <w:spacing w:after="0" w:line="266" w:lineRule="auto"/>
        <w:tabs>
          <w:tab w:leader="none" w:pos="245"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 portion of the Indebtedness or any other obligations (contingent or otherwise) of which (1) is guaranteed by Parent or any Restricted Subsidiary of Parent (other than comprising a pledge of the Capital Stock or other interests in such Receivables Subsidiary (an “</w:t>
      </w:r>
      <w:r>
        <w:rPr>
          <w:rFonts w:ascii="Arial" w:cs="Arial" w:eastAsia="Arial" w:hAnsi="Arial"/>
          <w:sz w:val="17"/>
          <w:szCs w:val="17"/>
          <w:i w:val="1"/>
          <w:iCs w:val="1"/>
          <w:color w:val="auto"/>
        </w:rPr>
        <w:t>incidental pledge</w:t>
      </w:r>
      <w:r>
        <w:rPr>
          <w:rFonts w:ascii="Arial" w:cs="Arial" w:eastAsia="Arial" w:hAnsi="Arial"/>
          <w:sz w:val="17"/>
          <w:szCs w:val="17"/>
          <w:color w:val="auto"/>
        </w:rPr>
        <w:t>”),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w:t>
      </w:r>
      <w:r>
        <w:rPr>
          <w:rFonts w:ascii="Arial" w:cs="Arial" w:eastAsia="Arial" w:hAnsi="Arial"/>
          <w:sz w:val="17"/>
          <w:szCs w:val="17"/>
          <w:i w:val="1"/>
          <w:iCs w:val="1"/>
          <w:color w:val="auto"/>
        </w:rPr>
        <w:t>Qualified Receivables Transaction</w:t>
      </w:r>
      <w:r>
        <w:rPr>
          <w:rFonts w:ascii="Arial" w:cs="Arial" w:eastAsia="Arial" w:hAnsi="Arial"/>
          <w:sz w:val="17"/>
          <w:szCs w:val="17"/>
          <w:color w:val="auto"/>
        </w:rPr>
        <w:t>”),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Borrower or of Parent will be evidenced to the Administrative Agent by filing with the Administrative Agent a certified copy of the resolution of the Board of Directors of the Borrower or of Parent giving effect to such designation and an Officer’s Certificate certifying that such designation complied with the foregoing conditions. For the avoidance of doubt, Parent and any Restricted Subsidiary of Parent may enter into Standard Securitization Undertakings for the benefit of a Receivables Subsidiary.</w:t>
      </w:r>
    </w:p>
    <w:p>
      <w:pPr>
        <w:spacing w:after="0" w:line="19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Recovery Event</w:t>
      </w:r>
      <w:r>
        <w:rPr>
          <w:rFonts w:ascii="Arial" w:cs="Arial" w:eastAsia="Arial" w:hAnsi="Arial"/>
          <w:sz w:val="18"/>
          <w:szCs w:val="18"/>
          <w:color w:val="auto"/>
        </w:rPr>
        <w:t>” shall mean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Agent or trustee (as applicable), if applicable).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Refinanced Loans</w:t>
      </w:r>
      <w:r>
        <w:rPr>
          <w:rFonts w:ascii="Arial" w:cs="Arial" w:eastAsia="Arial" w:hAnsi="Arial"/>
          <w:sz w:val="18"/>
          <w:szCs w:val="18"/>
          <w:color w:val="auto"/>
        </w:rPr>
        <w:t>” shall have the meaning set forth in Section 10.08(e).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Refinanced Revolving Loans</w:t>
      </w:r>
      <w:r>
        <w:rPr>
          <w:rFonts w:ascii="Arial" w:cs="Arial" w:eastAsia="Arial" w:hAnsi="Arial"/>
          <w:sz w:val="18"/>
          <w:szCs w:val="18"/>
          <w:color w:val="auto"/>
        </w:rPr>
        <w:t>” shall have the meaning set forth in Section 10.08(e).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Refinanced Term Loans</w:t>
      </w:r>
      <w:r>
        <w:rPr>
          <w:rFonts w:ascii="Arial" w:cs="Arial" w:eastAsia="Arial" w:hAnsi="Arial"/>
          <w:sz w:val="18"/>
          <w:szCs w:val="18"/>
          <w:color w:val="auto"/>
        </w:rPr>
        <w:t>” shall have the meaning set forth in Section 10.08(e).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137" w:name="page138"/>
    <w:bookmarkEnd w:id="137"/>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Regional Airline</w:t>
      </w:r>
      <w:r>
        <w:rPr>
          <w:rFonts w:ascii="Arial" w:cs="Arial" w:eastAsia="Arial" w:hAnsi="Arial"/>
          <w:sz w:val="17"/>
          <w:szCs w:val="17"/>
          <w:color w:val="auto"/>
        </w:rPr>
        <w:t>” shall mean Envoy Aviation Group Inc., Piedmont Airlines, Inc. and PSA Airlines, Inc. and their respective Subsidiaries.</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shall have the meaning set forth in Section 10.02(b)(iv).</w:t>
      </w:r>
    </w:p>
    <w:p>
      <w:pPr>
        <w:spacing w:after="0" w:line="225"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Parties</w:t>
      </w:r>
      <w:r>
        <w:rPr>
          <w:rFonts w:ascii="Arial" w:cs="Arial" w:eastAsia="Arial" w:hAnsi="Arial"/>
          <w:sz w:val="18"/>
          <w:szCs w:val="18"/>
          <w:color w:val="auto"/>
        </w:rPr>
        <w:t>” shall mean, with respect to any specified Person, such Person’s Affiliates and the respective directors, officers, partners, members, employees, agents and advisors of such Person and such Person’s Affiliates.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w:t>
      </w:r>
      <w:r>
        <w:rPr>
          <w:rFonts w:ascii="Arial" w:cs="Arial" w:eastAsia="Arial" w:hAnsi="Arial"/>
          <w:sz w:val="16"/>
          <w:szCs w:val="16"/>
          <w:color w:val="auto"/>
        </w:rPr>
        <w:t>” shall have the meaning specified in Section 101(22) of the Comprehensive Environmental Response Compensation and Liability Act.</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Replaceable Lender</w:t>
      </w:r>
      <w:r>
        <w:rPr>
          <w:rFonts w:ascii="Arial" w:cs="Arial" w:eastAsia="Arial" w:hAnsi="Arial"/>
          <w:sz w:val="18"/>
          <w:szCs w:val="18"/>
          <w:color w:val="auto"/>
        </w:rPr>
        <w:t>” shall have the meaning set forth in Section 10.02(j).</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Loans</w:t>
      </w:r>
      <w:r>
        <w:rPr>
          <w:rFonts w:ascii="Arial" w:cs="Arial" w:eastAsia="Arial" w:hAnsi="Arial"/>
          <w:sz w:val="18"/>
          <w:szCs w:val="18"/>
          <w:color w:val="auto"/>
        </w:rPr>
        <w:t>” shall have the meaning set forth in Section 10.08(e).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Loans</w:t>
      </w:r>
      <w:r>
        <w:rPr>
          <w:rFonts w:ascii="Arial" w:cs="Arial" w:eastAsia="Arial" w:hAnsi="Arial"/>
          <w:sz w:val="18"/>
          <w:szCs w:val="18"/>
          <w:color w:val="auto"/>
        </w:rPr>
        <w:t>” shall have the meaning set forth in Section 10.08(e).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Term Loans</w:t>
      </w:r>
      <w:r>
        <w:rPr>
          <w:rFonts w:ascii="Arial" w:cs="Arial" w:eastAsia="Arial" w:hAnsi="Arial"/>
          <w:sz w:val="18"/>
          <w:szCs w:val="18"/>
          <w:color w:val="auto"/>
        </w:rPr>
        <w:t>” shall have the meaning set forth in Section 10.08(e).</w:t>
      </w:r>
    </w:p>
    <w:p>
      <w:pPr>
        <w:spacing w:after="0" w:line="22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Repricing Event</w:t>
      </w:r>
      <w:r>
        <w:rPr>
          <w:rFonts w:ascii="Arial" w:cs="Arial" w:eastAsia="Arial" w:hAnsi="Arial"/>
          <w:sz w:val="16"/>
          <w:szCs w:val="16"/>
          <w:color w:val="auto"/>
        </w:rPr>
        <w:t>” shall mean (a) any prepayment, repayment, refinancing, substitution or replacement of all or a portion of the Class B Term Loans with the proceeds of, or any conversion of Term Loans into, any new or replacement Class of, or new facility of, syndicated term loans by the Borrower in the principal amount of the Class B Term Loans prepaid, repaid, refinanced, substituted, replaced or converted and secured by the Collateral (including Replacement Term Loans or other term loans under this Agreement) having an “effective yield,” determined by the Administrative Agent in consultation with the Borrower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Class B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Class B Term Loans or any tranche thereof which reduces the “effective yield” applicable to such Class B Term Loans (as determined on the same basis as provided in clause (a)), in each case only if the primary purpose of such prepayment, repayment, substitution, replacement or amendment was to reduce the “effective yield” applicable to such Class B Term Loans.</w:t>
      </w:r>
    </w:p>
    <w:p>
      <w:pPr>
        <w:spacing w:after="0" w:line="169"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Class Lenders</w:t>
      </w:r>
      <w:r>
        <w:rPr>
          <w:rFonts w:ascii="Arial" w:cs="Arial" w:eastAsia="Arial" w:hAnsi="Arial"/>
          <w:sz w:val="18"/>
          <w:szCs w:val="18"/>
          <w:color w:val="auto"/>
        </w:rPr>
        <w:t>” shall mean (i) with respect to any Class of Term Loans, the Term Lenders having more than 50% of all outstanding Term Loans of such Class and (ii) with respect to the Revolving Loans of a Class, the Required Revolving Lenders of such Class. The outstanding Term Loans and Term Loan Commitments of any Defaulting Lender should be disregarded for purposes of any determination with respect to a Class of Term Loans.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138" w:name="page139"/>
    <w:bookmarkEnd w:id="13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Required Lenders</w:t>
      </w:r>
      <w:r>
        <w:rPr>
          <w:rFonts w:ascii="Arial" w:cs="Arial" w:eastAsia="Arial" w:hAnsi="Arial"/>
          <w:sz w:val="16"/>
          <w:szCs w:val="16"/>
          <w:color w:val="auto"/>
        </w:rPr>
        <w:t>” shall mean, at any time, Lenders holding more than 50% of (a) until the Closing Date, the Commitments then in effect and</w:t>
      </w:r>
    </w:p>
    <w:p>
      <w:pPr>
        <w:spacing w:after="0" w:line="46" w:lineRule="exact"/>
        <w:rPr>
          <w:sz w:val="20"/>
          <w:szCs w:val="20"/>
          <w:color w:val="auto"/>
        </w:rPr>
      </w:pPr>
    </w:p>
    <w:p>
      <w:pPr>
        <w:jc w:val="both"/>
        <w:ind w:right="100" w:firstLine="8"/>
        <w:spacing w:after="0" w:line="277" w:lineRule="auto"/>
        <w:tabs>
          <w:tab w:leader="none" w:pos="2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thereafter, the sum of (i) the aggregate principal amount of all Term Loans outstanding and (ii) the Total Revolving Commitments then in effect or, if the Revolving Commitments have been terminated, the Total Revolving Extensions of Credit then outstanding. The Revolving Extensions of Credit, outstanding Loans and Commitments of any Defaulting Lender shall be disregarded in determining the “Required Lenders” at any time.</w:t>
      </w:r>
    </w:p>
    <w:p>
      <w:pPr>
        <w:spacing w:after="0" w:line="173"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Revolving Lenders</w:t>
      </w:r>
      <w:r>
        <w:rPr>
          <w:rFonts w:ascii="Arial" w:cs="Arial" w:eastAsia="Arial" w:hAnsi="Arial"/>
          <w:sz w:val="17"/>
          <w:szCs w:val="17"/>
          <w:color w:val="auto"/>
        </w:rPr>
        <w:t>” shall mean, at any time, Lenders holding more than 50% of the Total Revolving Commitments then in effect or, if the Revolving Commitments have been terminated, the Total Revolving Extensions of Credit then outstanding. The Revolving Extensions of Credit and Revolving Commitments of any Defaulting Lender shall be disregarded in determining the “Required Revolving Lenders” at any time.</w:t>
      </w:r>
    </w:p>
    <w:p>
      <w:pPr>
        <w:spacing w:after="0" w:line="166"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Term Lenders</w:t>
      </w:r>
      <w:r>
        <w:rPr>
          <w:rFonts w:ascii="Arial" w:cs="Arial" w:eastAsia="Arial" w:hAnsi="Arial"/>
          <w:sz w:val="18"/>
          <w:szCs w:val="18"/>
          <w:color w:val="auto"/>
        </w:rPr>
        <w:t>” shall mean, at any time, Lenders holding more than 50% of (a) until the Closing Date, the Term Loan Commitments then in effect and (b) thereafter, the aggregate principal amount of all Term Loans outstanding. The outstanding Term Loans and Term Loan Commitments of any Defaulting Lender shall be disregarded in determining the “Required Term Lenders” at any time.</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shall mean, with respect to any Person, the Chairman of the Board of Directors, the Vice Chairman of the Board of Directors, the President, the Chief Financial Officer, any Executive Vice President, any Senior Vice President, any Vice President, the Secretary, any Assistant Corporate Secretary, the Treasurer or any Assistant Treasurer.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shall mean an Investment other than a Permitted Investment.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 shall have the meaning set forth in Section 6.01(a)(iv).</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shall mean any Subsidiary of the referent Person that is not an Unrestricted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Revolver Availability Date</w:t>
      </w:r>
      <w:r>
        <w:rPr>
          <w:rFonts w:ascii="Arial" w:cs="Arial" w:eastAsia="Arial" w:hAnsi="Arial"/>
          <w:sz w:val="18"/>
          <w:szCs w:val="18"/>
          <w:color w:val="auto"/>
        </w:rPr>
        <w:t>” shall mean the date to be agreed between the Borrower and the Revolving Lenders.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Revolver Extension</w:t>
      </w:r>
      <w:r>
        <w:rPr>
          <w:rFonts w:ascii="Arial" w:cs="Arial" w:eastAsia="Arial" w:hAnsi="Arial"/>
          <w:sz w:val="18"/>
          <w:szCs w:val="18"/>
          <w:color w:val="auto"/>
        </w:rPr>
        <w:t>” shall have the meaning set forth in Section 2.28(b).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Revolver Extension Offer</w:t>
      </w:r>
      <w:r>
        <w:rPr>
          <w:rFonts w:ascii="Arial" w:cs="Arial" w:eastAsia="Arial" w:hAnsi="Arial"/>
          <w:sz w:val="18"/>
          <w:szCs w:val="18"/>
          <w:color w:val="auto"/>
        </w:rPr>
        <w:t>” shall have the meaning set forth in Section 2.28(b).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Revolver Extension Offer Date</w:t>
      </w:r>
      <w:r>
        <w:rPr>
          <w:rFonts w:ascii="Arial" w:cs="Arial" w:eastAsia="Arial" w:hAnsi="Arial"/>
          <w:sz w:val="18"/>
          <w:szCs w:val="18"/>
          <w:color w:val="auto"/>
        </w:rPr>
        <w:t>” shall have the meaning set forth in Section 2.28(b)(i).</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Availability Period</w:t>
      </w:r>
      <w:r>
        <w:rPr>
          <w:rFonts w:ascii="Arial" w:cs="Arial" w:eastAsia="Arial" w:hAnsi="Arial"/>
          <w:sz w:val="18"/>
          <w:szCs w:val="18"/>
          <w:color w:val="auto"/>
        </w:rPr>
        <w:t>” shall mean the period from and including the Revolver Availability Date to but excluding the Revolving Facility Termination Date with respect to the applicable Revolving Commitments.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139" w:name="page140"/>
    <w:bookmarkEnd w:id="13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Revolving Commitment</w:t>
      </w:r>
      <w:r>
        <w:rPr>
          <w:rFonts w:ascii="Arial" w:cs="Arial" w:eastAsia="Arial" w:hAnsi="Arial"/>
          <w:sz w:val="18"/>
          <w:szCs w:val="18"/>
          <w:color w:val="auto"/>
        </w:rPr>
        <w:t>” shall mean $0, as the same may be changed from time to time pursuant to the terms hereof.</w:t>
      </w:r>
    </w:p>
    <w:p>
      <w:pPr>
        <w:spacing w:after="0" w:line="225"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Commitment Percentage</w:t>
      </w:r>
      <w:r>
        <w:rPr>
          <w:rFonts w:ascii="Arial" w:cs="Arial" w:eastAsia="Arial" w:hAnsi="Arial"/>
          <w:sz w:val="18"/>
          <w:szCs w:val="18"/>
          <w:color w:val="auto"/>
        </w:rPr>
        <w:t>” shall mean, at any time, with respect to each Revolving Lender, the percentage obtained by dividing its Revolving Commitment at such time by the Total Revolving Commitment or, if the Revolving Commitments have been terminated, the Revolving Commitment Percentage of each Revolving Lender that existed immediately prior to such termination.</w:t>
      </w:r>
    </w:p>
    <w:p>
      <w:pPr>
        <w:spacing w:after="0" w:line="18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Extension of Credit</w:t>
      </w:r>
      <w:r>
        <w:rPr>
          <w:rFonts w:ascii="Arial" w:cs="Arial" w:eastAsia="Arial" w:hAnsi="Arial"/>
          <w:sz w:val="18"/>
          <w:szCs w:val="18"/>
          <w:color w:val="auto"/>
        </w:rPr>
        <w:t>” shall mean, as to any Revolving Lender at any time, an amount equal to the sum of (a) the aggregate principal amount of all Revolving Loans held by such Lender then outstanding and (b) such Lender’s Revolving Commitment Percentage of the LC Exposure then outstanding.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Facility</w:t>
      </w:r>
      <w:r>
        <w:rPr>
          <w:rFonts w:ascii="Arial" w:cs="Arial" w:eastAsia="Arial" w:hAnsi="Arial"/>
          <w:sz w:val="18"/>
          <w:szCs w:val="18"/>
          <w:color w:val="auto"/>
        </w:rPr>
        <w:t>” shall mean the Revolving Commitments and the Revolving Loans made and Letters of Credit issued thereunder.</w:t>
      </w:r>
    </w:p>
    <w:p>
      <w:pPr>
        <w:spacing w:after="0" w:line="225"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Revolving Facility Maturity Date</w:t>
      </w:r>
      <w:r>
        <w:rPr>
          <w:rFonts w:ascii="Arial" w:cs="Arial" w:eastAsia="Arial" w:hAnsi="Arial"/>
          <w:sz w:val="17"/>
          <w:szCs w:val="17"/>
          <w:color w:val="auto"/>
        </w:rPr>
        <w:t>” shall mean, with respect to (a) Revolving Commitments that have not been extended pursuant to Section 2.28(b), a date to be agreed between the Borrower and the Revolving Lenders and (b) with respect to Extended Revolving Commitments, the final maturity date therefor as specified in the applicable Extension Offer accepted by the respective Revolving Lender or Revolving Lenders.</w:t>
      </w:r>
    </w:p>
    <w:p>
      <w:pPr>
        <w:spacing w:after="0" w:line="166"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Facility Termination Date</w:t>
      </w:r>
      <w:r>
        <w:rPr>
          <w:rFonts w:ascii="Arial" w:cs="Arial" w:eastAsia="Arial" w:hAnsi="Arial"/>
          <w:sz w:val="18"/>
          <w:szCs w:val="18"/>
          <w:color w:val="auto"/>
        </w:rPr>
        <w:t>” shall mean the earlier to occur of (a) the Revolving Facility Maturity Date with respect to the applicable Revolving Commitments, (b) the acceleration of the Loans (if any) and the termination of the Commitments in accordance with the terms hereof and (c) the termination of the applicable Revolving Commitments as a whole pursuant to Section 2.11.</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Lender</w:t>
      </w:r>
      <w:r>
        <w:rPr>
          <w:rFonts w:ascii="Arial" w:cs="Arial" w:eastAsia="Arial" w:hAnsi="Arial"/>
          <w:sz w:val="18"/>
          <w:szCs w:val="18"/>
          <w:color w:val="auto"/>
        </w:rPr>
        <w:t>” shall mean each Lender having a Revolving Commitment.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Loans</w:t>
      </w:r>
      <w:r>
        <w:rPr>
          <w:rFonts w:ascii="Arial" w:cs="Arial" w:eastAsia="Arial" w:hAnsi="Arial"/>
          <w:sz w:val="18"/>
          <w:szCs w:val="18"/>
          <w:color w:val="auto"/>
        </w:rPr>
        <w:t>” shall have the meaning set forth in Section 2.01(a).</w:t>
      </w:r>
    </w:p>
    <w:p>
      <w:pPr>
        <w:spacing w:after="0" w:line="225"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Route Authority</w:t>
      </w:r>
      <w:r>
        <w:rPr>
          <w:rFonts w:ascii="Arial" w:cs="Arial" w:eastAsia="Arial" w:hAnsi="Arial"/>
          <w:sz w:val="17"/>
          <w:szCs w:val="17"/>
          <w:color w:val="auto"/>
        </w:rPr>
        <w:t>” shall mean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shall mean Standard &amp; Poor’s, a division of The McGraw-Hill Companies, Inc.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Sage</w:t>
      </w:r>
      <w:r>
        <w:rPr>
          <w:rFonts w:ascii="Arial" w:cs="Arial" w:eastAsia="Arial" w:hAnsi="Arial"/>
          <w:sz w:val="18"/>
          <w:szCs w:val="18"/>
          <w:color w:val="auto"/>
        </w:rPr>
        <w:t>” shall mean Sage Popovich, Inc.</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of a Grantor</w:t>
      </w:r>
      <w:r>
        <w:rPr>
          <w:rFonts w:ascii="Arial" w:cs="Arial" w:eastAsia="Arial" w:hAnsi="Arial"/>
          <w:sz w:val="18"/>
          <w:szCs w:val="18"/>
          <w:color w:val="auto"/>
        </w:rPr>
        <w:t>” shall mean,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140" w:name="page141"/>
    <w:bookmarkEnd w:id="14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Scheduled Services</w:t>
      </w:r>
      <w:r>
        <w:rPr>
          <w:rFonts w:ascii="Arial" w:cs="Arial" w:eastAsia="Arial" w:hAnsi="Arial"/>
          <w:sz w:val="16"/>
          <w:szCs w:val="16"/>
          <w:color w:val="auto"/>
        </w:rPr>
        <w:t>” shall mean, at any time of determination, each scheduled air carrier service specified in any SGR Security Agreement.</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Screen Rate</w:t>
      </w:r>
      <w:r>
        <w:rPr>
          <w:rFonts w:ascii="Arial" w:cs="Arial" w:eastAsia="Arial" w:hAnsi="Arial"/>
          <w:sz w:val="18"/>
          <w:szCs w:val="18"/>
          <w:color w:val="auto"/>
        </w:rPr>
        <w:t>” shall have the meaning set forth in the definition of “LIBO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shall mean each Agent, any trustee appointed pursuant to Section 8.01(d) with respect to an Aircraft Security Agreement, the Issuing Lenders, the Lenders and all other holders of Obligations.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SGR Security Agreement</w:t>
      </w:r>
      <w:r>
        <w:rPr>
          <w:rFonts w:ascii="Arial" w:cs="Arial" w:eastAsia="Arial" w:hAnsi="Arial"/>
          <w:sz w:val="16"/>
          <w:szCs w:val="16"/>
          <w:color w:val="auto"/>
        </w:rPr>
        <w:t>” shall mean any security agreement related to FAA Slots, Foreign Slots or Gate Leaseholds in the form of Exhibit 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7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shall mean any Restricted Subsidiary of Parent that would be a “significant subsidiary” as defined in Article 1, Rule 1-02 of Regulation S-X, promulgated pursuant to the Securities Act, as such Regulation is in effect on the date of this Agreement.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Slot</w:t>
      </w:r>
      <w:r>
        <w:rPr>
          <w:rFonts w:ascii="Arial" w:cs="Arial" w:eastAsia="Arial" w:hAnsi="Arial"/>
          <w:sz w:val="18"/>
          <w:szCs w:val="18"/>
          <w:color w:val="auto"/>
        </w:rPr>
        <w:t>” shall mean each FAA Route Slot and each Foreign Route Slot, or any of them.</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Solvent</w:t>
      </w:r>
      <w:r>
        <w:rPr>
          <w:rFonts w:ascii="Arial" w:cs="Arial" w:eastAsia="Arial" w:hAnsi="Arial"/>
          <w:sz w:val="16"/>
          <w:szCs w:val="16"/>
          <w:color w:val="auto"/>
        </w:rPr>
        <w:t>” shall mean, with respect to any Person, that as of the date of determination, (1) the sum of such Person’s debt and liabilities (including contingent and subordinated liabilities) does not exceed the fair value of such Person’s present assets; (2) such Person’s capital is not unreasonably small in relation to its business as contemplated on the Closing Date; (3) such Person is able to pay its debts and liabilities as they become due (whether at maturity or otherwise) and (4) the present fair saleable value of the property of such Person is greater than the amount that will be required to pay the probable liability of its debts and other liabilities, subordinated, contingent or otherwise, as such debts and other liabilities become absolute and matured. For purposes of this definition, the amount of any contingent liability at any time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or any other analogous criteria in any jurisdiction).</w:t>
      </w:r>
    </w:p>
    <w:p>
      <w:pPr>
        <w:spacing w:after="0" w:line="166"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Spare Parts</w:t>
      </w:r>
      <w:r>
        <w:rPr>
          <w:rFonts w:ascii="Arial" w:cs="Arial" w:eastAsia="Arial" w:hAnsi="Arial"/>
          <w:sz w:val="18"/>
          <w:szCs w:val="18"/>
          <w:color w:val="auto"/>
        </w:rPr>
        <w:t>” shall mean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Spare Parts Locations</w:t>
      </w:r>
      <w:r>
        <w:rPr>
          <w:rFonts w:ascii="Arial" w:cs="Arial" w:eastAsia="Arial" w:hAnsi="Arial"/>
          <w:sz w:val="18"/>
          <w:szCs w:val="18"/>
          <w:color w:val="auto"/>
        </w:rPr>
        <w:t>” shall have the meaning set forth in the Spare Parts Security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4" w:right="279" w:bottom="1440" w:gutter="0" w:footer="0" w:header="0"/>
        </w:sectPr>
      </w:pPr>
    </w:p>
    <w:bookmarkStart w:id="141" w:name="page142"/>
    <w:bookmarkEnd w:id="141"/>
    <w:p>
      <w:pPr>
        <w:ind w:right="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Spare Parts Security Agreement</w:t>
      </w:r>
      <w:r>
        <w:rPr>
          <w:rFonts w:ascii="Arial" w:cs="Arial" w:eastAsia="Arial" w:hAnsi="Arial"/>
          <w:sz w:val="18"/>
          <w:szCs w:val="18"/>
          <w:color w:val="auto"/>
        </w:rPr>
        <w:t>” shall mean the Security Agreement (Spare Parts), dated as of the Closing Date by and among the Borrower, as grantor, the other grantors thereto from time to time and the Collateral Agent, or any subsequent security agreement executed and delivered to the Administrative Agent substantially in the form of Exhibit A hereto.</w:t>
      </w:r>
    </w:p>
    <w:p>
      <w:pPr>
        <w:spacing w:after="0" w:line="18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shall mean all representations, warranties, covenants, indemnities, performance Guarantees and servicing obligations entered into by Parent or any Subsidiary (other than a Receivables Subsidiary), which are customary in connection with any Qualified Receivables Transaction.</w:t>
      </w:r>
    </w:p>
    <w:p>
      <w:pPr>
        <w:spacing w:after="0" w:line="181"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4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Statutory Reserve Rate</w:t>
      </w:r>
      <w:r>
        <w:rPr>
          <w:rFonts w:ascii="Arial" w:cs="Arial" w:eastAsia="Arial" w:hAnsi="Arial"/>
          <w:sz w:val="16"/>
          <w:szCs w:val="16"/>
          <w:color w:val="auto"/>
        </w:rPr>
        <w:t>” shall mean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LIBO Rate,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reserve percentage.</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Subject Company</w:t>
      </w:r>
      <w:r>
        <w:rPr>
          <w:rFonts w:ascii="Arial" w:cs="Arial" w:eastAsia="Arial" w:hAnsi="Arial"/>
          <w:sz w:val="18"/>
          <w:szCs w:val="18"/>
          <w:color w:val="auto"/>
        </w:rPr>
        <w:t>” shall have the meaning set forth in Section 6.10(a).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shall mean, with respect to any Person:</w:t>
      </w:r>
    </w:p>
    <w:p>
      <w:pPr>
        <w:spacing w:after="0" w:line="117" w:lineRule="exact"/>
        <w:rPr>
          <w:sz w:val="20"/>
          <w:szCs w:val="20"/>
          <w:color w:val="auto"/>
        </w:rPr>
      </w:pPr>
    </w:p>
    <w:p>
      <w:pPr>
        <w:ind w:left="460" w:right="120" w:firstLine="443"/>
        <w:spacing w:after="0" w:line="257" w:lineRule="auto"/>
        <w:tabs>
          <w:tab w:leader="none" w:pos="11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80" w:lineRule="exact"/>
        <w:rPr>
          <w:rFonts w:ascii="Arial" w:cs="Arial" w:eastAsia="Arial" w:hAnsi="Arial"/>
          <w:sz w:val="18"/>
          <w:szCs w:val="18"/>
          <w:color w:val="auto"/>
        </w:rPr>
      </w:pPr>
    </w:p>
    <w:p>
      <w:pPr>
        <w:ind w:left="460" w:firstLine="443"/>
        <w:spacing w:after="0" w:line="286" w:lineRule="auto"/>
        <w:tabs>
          <w:tab w:leader="none" w:pos="1153"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142" w:name="page143"/>
    <w:bookmarkEnd w:id="142"/>
    <w:p>
      <w:pPr>
        <w:ind w:left="46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or limited partnership interests or otherwise and (B) such Person or any Subsidiary of such Person is a controlling general partner or otherwise controls such entity.</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Syndication Agent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System Value</w:t>
      </w:r>
      <w:r>
        <w:rPr>
          <w:rFonts w:ascii="Arial" w:cs="Arial" w:eastAsia="Arial" w:hAnsi="Arial"/>
          <w:sz w:val="18"/>
          <w:szCs w:val="18"/>
          <w:color w:val="auto"/>
        </w:rPr>
        <w:t>” shall have the meaning set forth in the Spare Parts Security Agreement.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shall mean any and all present or future taxes, levies, imposts, duties, assessments, fees, deductions, charges or withholdings imposed by any Governmental Authority including any interest, additions to tax or penalties applicable thereto.</w:t>
      </w:r>
    </w:p>
    <w:p>
      <w:pPr>
        <w:spacing w:after="0" w:line="170"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Temporary FAA Slot</w:t>
      </w:r>
      <w:r>
        <w:rPr>
          <w:rFonts w:ascii="Arial" w:cs="Arial" w:eastAsia="Arial" w:hAnsi="Arial"/>
          <w:sz w:val="16"/>
          <w:szCs w:val="16"/>
          <w:color w:val="auto"/>
        </w:rPr>
        <w:t>” shall mean an FAA Slot that was obtained by any Grantor from another air carrier pursuant to an agreement (including but not limited to a loan agreement, lease agreement, slot exchange agreement or slot release agreement) and is held by such Grantor on a temporary basis.</w:t>
      </w:r>
    </w:p>
    <w:p>
      <w:pPr>
        <w:spacing w:after="0" w:line="124" w:lineRule="exact"/>
        <w:rPr>
          <w:sz w:val="20"/>
          <w:szCs w:val="20"/>
          <w:color w:val="auto"/>
        </w:rPr>
      </w:pPr>
    </w:p>
    <w:p>
      <w:pPr>
        <w:ind w:right="5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Temporary Foreign Slot</w:t>
      </w:r>
      <w:r>
        <w:rPr>
          <w:rFonts w:ascii="Arial" w:cs="Arial" w:eastAsia="Arial" w:hAnsi="Arial"/>
          <w:sz w:val="18"/>
          <w:szCs w:val="18"/>
          <w:color w:val="auto"/>
        </w:rPr>
        <w:t>” shall mean a Foreign Slot that was obtained by any Grantor from another air carrier pursuant to an agreement (including but not limited to a loan agreement, lease agreement, slot exchange agreement or a slot release agreement) and is held by such Grantor on a temporary basis.</w:t>
      </w:r>
    </w:p>
    <w:p>
      <w:pPr>
        <w:spacing w:after="0" w:line="18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Temporary Slot</w:t>
      </w:r>
      <w:r>
        <w:rPr>
          <w:rFonts w:ascii="Arial" w:cs="Arial" w:eastAsia="Arial" w:hAnsi="Arial"/>
          <w:sz w:val="18"/>
          <w:szCs w:val="18"/>
          <w:color w:val="auto"/>
        </w:rPr>
        <w:t>” shall mean any Temporary FAA Slot or any Temporary Foreign Slot and any FAA Slot or Foreign Slot subject to a Transfer Restriction, in each case, for so long as such Transfer Restriction is in effect.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Lender</w:t>
      </w:r>
      <w:r>
        <w:rPr>
          <w:rFonts w:ascii="Arial" w:cs="Arial" w:eastAsia="Arial" w:hAnsi="Arial"/>
          <w:sz w:val="18"/>
          <w:szCs w:val="18"/>
          <w:color w:val="auto"/>
        </w:rPr>
        <w:t>” shall mean each Lender having a Term Loan Commitment or, as the case may be, an outstanding Term Loan.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w:t>
      </w:r>
      <w:r>
        <w:rPr>
          <w:rFonts w:ascii="Arial" w:cs="Arial" w:eastAsia="Arial" w:hAnsi="Arial"/>
          <w:sz w:val="18"/>
          <w:szCs w:val="18"/>
          <w:color w:val="auto"/>
        </w:rPr>
        <w:t>” shall mean the Class B Term Loans and any other Class of Term Loan hereunder.</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Commitment</w:t>
      </w:r>
      <w:r>
        <w:rPr>
          <w:rFonts w:ascii="Arial" w:cs="Arial" w:eastAsia="Arial" w:hAnsi="Arial"/>
          <w:sz w:val="18"/>
          <w:szCs w:val="18"/>
          <w:color w:val="auto"/>
        </w:rPr>
        <w:t>” shall mean the commitment of each Term Lender to make Term Loans hereunder and, in the case of the Class B Term Loans, in an aggregate principal amount not to exceed the amount set forth under the heading “Class B Term Loan Commitment” opposite its name in the Annex A hereto or in the Assignment and Acceptance pursuant to which such Term Lender became a party hereto, as the same may be changed from time to time pursuant to the terms hereof. The aggregate amount of the Term Loan Commitments as of the Closing Date is $1,000,000,000. The Term Loan Commitments as of the Closing Date are for Class B Term Loans.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Extension</w:t>
      </w:r>
      <w:r>
        <w:rPr>
          <w:rFonts w:ascii="Arial" w:cs="Arial" w:eastAsia="Arial" w:hAnsi="Arial"/>
          <w:sz w:val="18"/>
          <w:szCs w:val="18"/>
          <w:color w:val="auto"/>
        </w:rPr>
        <w:t>” shall have the meaning set forth in Section 2.28(a).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4" w:right="279" w:bottom="1440" w:gutter="0" w:footer="0" w:header="0"/>
        </w:sectPr>
      </w:pPr>
    </w:p>
    <w:bookmarkStart w:id="143" w:name="page144"/>
    <w:bookmarkEnd w:id="14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Term Loan Extension Offer</w:t>
      </w:r>
      <w:r>
        <w:rPr>
          <w:rFonts w:ascii="Arial" w:cs="Arial" w:eastAsia="Arial" w:hAnsi="Arial"/>
          <w:sz w:val="18"/>
          <w:szCs w:val="18"/>
          <w:color w:val="auto"/>
        </w:rPr>
        <w:t>” shall have the meaning set forth in Section 2.28(a).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Facility</w:t>
      </w:r>
      <w:r>
        <w:rPr>
          <w:rFonts w:ascii="Arial" w:cs="Arial" w:eastAsia="Arial" w:hAnsi="Arial"/>
          <w:sz w:val="18"/>
          <w:szCs w:val="18"/>
          <w:color w:val="auto"/>
        </w:rPr>
        <w:t>” shall mean the Term Loan Commitments and the Term Loans made thereunder.</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Maturity Date</w:t>
      </w:r>
      <w:r>
        <w:rPr>
          <w:rFonts w:ascii="Arial" w:cs="Arial" w:eastAsia="Arial" w:hAnsi="Arial"/>
          <w:sz w:val="18"/>
          <w:szCs w:val="18"/>
          <w:color w:val="auto"/>
        </w:rPr>
        <w:t>” shall mean, with respect to (a) Class B Term Loans that have not been extended pursuant to Section 2.28, April 28, 2023 and (b) with respect to Extended Term Loans, the final maturity date therefor as specified in the applicable Extension Offer accepted by the respective Term Lenders (as the same may be further extended pursuant to Section 2.28).</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Termination Date</w:t>
      </w:r>
      <w:r>
        <w:rPr>
          <w:rFonts w:ascii="Arial" w:cs="Arial" w:eastAsia="Arial" w:hAnsi="Arial"/>
          <w:sz w:val="18"/>
          <w:szCs w:val="18"/>
          <w:color w:val="auto"/>
        </w:rPr>
        <w:t>” shall mean the earlier to occur of (a) the Term Loan Maturity Date and (b) the acceleration of the Term Loans in accordance with the terms hereof.</w:t>
      </w:r>
    </w:p>
    <w:p>
      <w:pPr>
        <w:spacing w:after="0" w:line="170"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shall mean (i) with respect to the Revolving Loans, the Revolving Facility Termination Date applicable to the related Revolving Commitments and (ii) with respect to the Term Loans, the Term Loan Termination Date.</w:t>
      </w:r>
    </w:p>
    <w:p>
      <w:pPr>
        <w:spacing w:after="0" w:line="170" w:lineRule="exact"/>
        <w:rPr>
          <w:sz w:val="20"/>
          <w:szCs w:val="20"/>
          <w:color w:val="auto"/>
        </w:rPr>
      </w:pPr>
    </w:p>
    <w:p>
      <w:pPr>
        <w:jc w:val="both"/>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14</w:t>
      </w:r>
      <w:r>
        <w:rPr>
          <w:rFonts w:ascii="Arial" w:cs="Arial" w:eastAsia="Arial" w:hAnsi="Arial"/>
          <w:sz w:val="18"/>
          <w:szCs w:val="18"/>
          <w:color w:val="auto"/>
        </w:rPr>
        <w:t>” shall mean Title 14 of the United States Code of Federal Regulations, including Part 93, Subparts K and S thereof, as amended from time to time or any subsequent regulation that amends, supplements or supersedes such provisions.</w:t>
      </w:r>
    </w:p>
    <w:p>
      <w:pPr>
        <w:spacing w:after="0" w:line="170"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49</w:t>
      </w:r>
      <w:r>
        <w:rPr>
          <w:rFonts w:ascii="Arial" w:cs="Arial" w:eastAsia="Arial" w:hAnsi="Arial"/>
          <w:sz w:val="18"/>
          <w:szCs w:val="18"/>
          <w:color w:val="auto"/>
        </w:rPr>
        <w:t>” shall mean Title 49 of the United States Code, which, among other things, recodified and replaced the U.S. Federal Aviation Act of 1958, and the rules and regulations promulgated pursuant thereto, as amended from time to time or any subsequent legislation that amends, supplements or supersedes such provisions.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Obligations</w:t>
      </w:r>
      <w:r>
        <w:rPr>
          <w:rFonts w:ascii="Arial" w:cs="Arial" w:eastAsia="Arial" w:hAnsi="Arial"/>
          <w:sz w:val="18"/>
          <w:szCs w:val="18"/>
          <w:color w:val="auto"/>
        </w:rPr>
        <w:t>” shall have the meaning provided in the definition of “</w:t>
      </w:r>
      <w:r>
        <w:rPr>
          <w:rFonts w:ascii="Arial" w:cs="Arial" w:eastAsia="Arial" w:hAnsi="Arial"/>
          <w:sz w:val="18"/>
          <w:szCs w:val="18"/>
          <w:i w:val="1"/>
          <w:iCs w:val="1"/>
          <w:color w:val="auto"/>
        </w:rPr>
        <w:t>Collateral Coverage Ratio</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Revolving Commitment</w:t>
      </w:r>
      <w:r>
        <w:rPr>
          <w:rFonts w:ascii="Arial" w:cs="Arial" w:eastAsia="Arial" w:hAnsi="Arial"/>
          <w:sz w:val="18"/>
          <w:szCs w:val="18"/>
          <w:color w:val="auto"/>
        </w:rPr>
        <w:t>” shall mean, at any time, the sum of the Revolving Commitments at such time.</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Revolving Extensions of Credit</w:t>
      </w:r>
      <w:r>
        <w:rPr>
          <w:rFonts w:ascii="Arial" w:cs="Arial" w:eastAsia="Arial" w:hAnsi="Arial"/>
          <w:sz w:val="18"/>
          <w:szCs w:val="18"/>
          <w:color w:val="auto"/>
        </w:rPr>
        <w:t>” shall mean, at any time, the aggregate amount of the Revolving Extensions of Credit of the Revolving Lenders outstanding at such time.</w:t>
      </w:r>
    </w:p>
    <w:p>
      <w:pPr>
        <w:spacing w:after="0" w:line="170"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Transactions</w:t>
      </w:r>
      <w:r>
        <w:rPr>
          <w:rFonts w:ascii="Arial" w:cs="Arial" w:eastAsia="Arial" w:hAnsi="Arial"/>
          <w:sz w:val="17"/>
          <w:szCs w:val="17"/>
          <w:color w:val="auto"/>
        </w:rPr>
        <w:t>” shall mean the execution, delivery and performance by the Borrower and Guarantors of this Agreement and the other Loan Documents to which they may be a party, the creation of the Liens in the Collateral in favor of the Collateral Agent for the benefit of the Secured Parties, the borrowing of Loans and the use of the proceeds thereof, and the request for and issuance of Letters of Credit hereunder.</w:t>
      </w:r>
    </w:p>
    <w:p>
      <w:pPr>
        <w:spacing w:after="0" w:line="166"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Restriction</w:t>
      </w:r>
      <w:r>
        <w:rPr>
          <w:rFonts w:ascii="Arial" w:cs="Arial" w:eastAsia="Arial" w:hAnsi="Arial"/>
          <w:sz w:val="18"/>
          <w:szCs w:val="18"/>
          <w:color w:val="auto"/>
        </w:rPr>
        <w:t>” shall mean, with respect to any grant of a security interest in any FAA Slots, Foreign Slots, Route Authorities or Gate Leaseholds, any prohibition, restriction or consent requirement, whether arising under contract, applicable law, rule or regulation, or otherwise, relating to the transfer or assignment by a Grantor of, or the pledge,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4" w:right="299" w:bottom="1440" w:gutter="0" w:footer="0" w:header="0"/>
        </w:sectPr>
      </w:pPr>
    </w:p>
    <w:bookmarkStart w:id="144" w:name="page145"/>
    <w:bookmarkEnd w:id="14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 or creation by a Grantor of a security interest or mortgage in, any right, title or interest in any asset, right or property, or any claim, right or benefit arising thereunder or resulting therefrom, if any such transfer or assignment thereof (or any pledge, grant or creation of a security interest or mortgage therein) or any attempt to so transfer, assign, pledge, grant or create, in contravention or violation of any such prohibition or restriction or without any required consent of any Person would (</w:t>
      </w:r>
      <w:r>
        <w:rPr>
          <w:rFonts w:ascii="Arial" w:cs="Arial" w:eastAsia="Arial" w:hAnsi="Arial"/>
          <w:sz w:val="17"/>
          <w:szCs w:val="17"/>
          <w:u w:val="single" w:color="auto"/>
          <w:color w:val="auto"/>
        </w:rPr>
        <w:t>i</w:t>
      </w:r>
      <w:r>
        <w:rPr>
          <w:rFonts w:ascii="Arial" w:cs="Arial" w:eastAsia="Arial" w:hAnsi="Arial"/>
          <w:sz w:val="17"/>
          <w:szCs w:val="17"/>
          <w:color w:val="auto"/>
        </w:rPr>
        <w:t>) constitute a violation of the terms under which such Grantor was granted such right, title or interest or give rise to a default, breach, right of recoupment, claim, defense, termination, right of termination or remedy with respect thereto, (</w:t>
      </w:r>
      <w:r>
        <w:rPr>
          <w:rFonts w:ascii="Arial" w:cs="Arial" w:eastAsia="Arial" w:hAnsi="Arial"/>
          <w:sz w:val="17"/>
          <w:szCs w:val="17"/>
          <w:u w:val="single" w:color="auto"/>
          <w:color w:val="auto"/>
        </w:rPr>
        <w:t>ii</w:t>
      </w:r>
      <w:r>
        <w:rPr>
          <w:rFonts w:ascii="Arial" w:cs="Arial" w:eastAsia="Arial" w:hAnsi="Arial"/>
          <w:sz w:val="17"/>
          <w:szCs w:val="17"/>
          <w:color w:val="auto"/>
        </w:rPr>
        <w:t>) entitle any Governmental Authority or other Person to terminate or suspend any such right, title or interest (or such Grantor’s interest in any agreement or license related thereto), or (</w:t>
      </w:r>
      <w:r>
        <w:rPr>
          <w:rFonts w:ascii="Arial" w:cs="Arial" w:eastAsia="Arial" w:hAnsi="Arial"/>
          <w:sz w:val="17"/>
          <w:szCs w:val="17"/>
          <w:u w:val="single" w:color="auto"/>
          <w:color w:val="auto"/>
        </w:rPr>
        <w:t>iii</w:t>
      </w:r>
      <w:r>
        <w:rPr>
          <w:rFonts w:ascii="Arial" w:cs="Arial" w:eastAsia="Arial" w:hAnsi="Arial"/>
          <w:sz w:val="17"/>
          <w:szCs w:val="17"/>
          <w:color w:val="auto"/>
        </w:rPr>
        <w:t>) be prohibited by or violate any applicable law, rule or regulation, except, in any case, to the extent such “Transfer Restriction” shall be rendered ineffective (both to the extent that it (</w:t>
      </w:r>
      <w:r>
        <w:rPr>
          <w:rFonts w:ascii="Arial" w:cs="Arial" w:eastAsia="Arial" w:hAnsi="Arial"/>
          <w:sz w:val="17"/>
          <w:szCs w:val="17"/>
          <w:u w:val="single" w:color="auto"/>
          <w:color w:val="auto"/>
        </w:rPr>
        <w:t>x</w:t>
      </w:r>
      <w:r>
        <w:rPr>
          <w:rFonts w:ascii="Arial" w:cs="Arial" w:eastAsia="Arial" w:hAnsi="Arial"/>
          <w:sz w:val="17"/>
          <w:szCs w:val="17"/>
          <w:color w:val="auto"/>
        </w:rPr>
        <w:t>) prohibits, restricts or requires consent and (</w:t>
      </w:r>
      <w:r>
        <w:rPr>
          <w:rFonts w:ascii="Arial" w:cs="Arial" w:eastAsia="Arial" w:hAnsi="Arial"/>
          <w:sz w:val="17"/>
          <w:szCs w:val="17"/>
          <w:u w:val="single" w:color="auto"/>
          <w:color w:val="auto"/>
        </w:rPr>
        <w:t>y</w:t>
      </w:r>
      <w:r>
        <w:rPr>
          <w:rFonts w:ascii="Arial" w:cs="Arial" w:eastAsia="Arial" w:hAnsi="Arial"/>
          <w:sz w:val="17"/>
          <w:szCs w:val="17"/>
          <w:color w:val="auto"/>
        </w:rPr>
        <w:t>) gives rise to a default, breach, right of recoupment, claim, defense, termination, right of termination or remedy) by virtue of any applicable law, including, but not limited to Sections 9-406, 9-407, 9-408 or 9-409 of the NY UCC, to the extent applicable (or any corresponding sections of the UCC in a jurisdiction other than the State of New York to the extent applicable).</w:t>
      </w:r>
    </w:p>
    <w:p>
      <w:pPr>
        <w:spacing w:after="0" w:line="178"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LIBO Rate or the Alternate Base Rate and when used in reference to any Commitment, refers to whether such Commitment is a Revolving Commitment or a Term Loan Commitment.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shall mean the Uniform Commercial Code as in effect from time to time in any applicable jurisdiction.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 Citizen</w:t>
      </w:r>
      <w:r>
        <w:rPr>
          <w:rFonts w:ascii="Arial" w:cs="Arial" w:eastAsia="Arial" w:hAnsi="Arial"/>
          <w:sz w:val="18"/>
          <w:szCs w:val="18"/>
          <w:color w:val="auto"/>
        </w:rPr>
        <w:t>” shall have the meaning set forth in Section 3.02.</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shall mean any Subsidiary of Parent (other than the Borrower) that is designated by Parent as an Unrestricted Subsidiary in compliance with Section 5.05 or any Subsidiary of an Unrestricted Subsidiary, but only if such Subsidiary:</w:t>
      </w:r>
    </w:p>
    <w:p>
      <w:pPr>
        <w:spacing w:after="0" w:line="62" w:lineRule="exact"/>
        <w:rPr>
          <w:sz w:val="20"/>
          <w:szCs w:val="20"/>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17" w:lineRule="exact"/>
        <w:rPr>
          <w:rFonts w:ascii="Arial" w:cs="Arial" w:eastAsia="Arial" w:hAnsi="Arial"/>
          <w:sz w:val="18"/>
          <w:szCs w:val="18"/>
          <w:color w:val="auto"/>
        </w:rPr>
      </w:pPr>
    </w:p>
    <w:p>
      <w:pPr>
        <w:ind w:left="460" w:right="120" w:firstLine="443"/>
        <w:spacing w:after="0" w:line="264"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as permitted by Section 6.05,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145" w:name="page146"/>
    <w:bookmarkEnd w:id="145"/>
    <w:p>
      <w:pPr>
        <w:ind w:left="460" w:right="780" w:firstLine="443"/>
        <w:spacing w:after="0" w:line="277" w:lineRule="auto"/>
        <w:tabs>
          <w:tab w:leader="none" w:pos="1153"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not guaranteed or otherwise directly or indirectly provided credit support for any Indebtedness of Parent or any of its Restricted Subsidiaries;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does not own any assets or properties that constitute Collateral.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Unused Total Revolving Commitment</w:t>
      </w:r>
      <w:r>
        <w:rPr>
          <w:rFonts w:ascii="Arial" w:cs="Arial" w:eastAsia="Arial" w:hAnsi="Arial"/>
          <w:sz w:val="16"/>
          <w:szCs w:val="16"/>
          <w:color w:val="auto"/>
        </w:rPr>
        <w:t>” shall mean, at any time, (a) the Total Revolving Commitment less (b) the Total Revolving Extensions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Upfront Fee</w:t>
      </w:r>
      <w:r>
        <w:rPr>
          <w:rFonts w:ascii="Arial" w:cs="Arial" w:eastAsia="Arial" w:hAnsi="Arial"/>
          <w:sz w:val="18"/>
          <w:szCs w:val="18"/>
          <w:color w:val="auto"/>
        </w:rPr>
        <w:t>” shall have the meaning set forth in Section 2.20(b).</w:t>
      </w:r>
    </w:p>
    <w:p>
      <w:pPr>
        <w:spacing w:after="0" w:line="225"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Airways</w:t>
      </w:r>
      <w:r>
        <w:rPr>
          <w:rFonts w:ascii="Arial" w:cs="Arial" w:eastAsia="Arial" w:hAnsi="Arial"/>
          <w:sz w:val="18"/>
          <w:szCs w:val="18"/>
          <w:color w:val="auto"/>
        </w:rPr>
        <w:t>” shall mean US Airways, Inc., a Delaware corporation, which merged with and into the Borrower with the Borrower as the surviving entity.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Airways Closing Date</w:t>
      </w:r>
      <w:r>
        <w:rPr>
          <w:rFonts w:ascii="Arial" w:cs="Arial" w:eastAsia="Arial" w:hAnsi="Arial"/>
          <w:sz w:val="18"/>
          <w:szCs w:val="18"/>
          <w:color w:val="auto"/>
        </w:rPr>
        <w:t>” shall mean May 24, 2013.</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Airways Indenture</w:t>
      </w:r>
      <w:r>
        <w:rPr>
          <w:rFonts w:ascii="Arial" w:cs="Arial" w:eastAsia="Arial" w:hAnsi="Arial"/>
          <w:sz w:val="18"/>
          <w:szCs w:val="18"/>
          <w:color w:val="auto"/>
        </w:rPr>
        <w:t>” shall mean the Indenture, dated as of May 24, 2013, between US Airways and Wilmington Trust, National Association, as trustee, as amended or supplemented from time to time.</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Use or Lose Rule</w:t>
      </w:r>
      <w:r>
        <w:rPr>
          <w:rFonts w:ascii="Arial" w:cs="Arial" w:eastAsia="Arial" w:hAnsi="Arial"/>
          <w:sz w:val="18"/>
          <w:szCs w:val="18"/>
          <w:color w:val="auto"/>
        </w:rPr>
        <w:t>” shall mean with respect to Slots, any applicable utilization requirements issued by the FAA, other Governmental Authorities, any Foreign Aviation Authorities or any Airport Authorities.</w:t>
      </w:r>
    </w:p>
    <w:p>
      <w:pPr>
        <w:spacing w:after="0" w:line="170"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shall mean the Capital Stock of such Person that is at the time entitled to vote in the election of the Board of Directors of such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shall mean, when applied to any Indebtedness at any date, the number of years obtained by dividing:</w:t>
      </w:r>
    </w:p>
    <w:p>
      <w:pPr>
        <w:spacing w:after="0" w:line="129" w:lineRule="exact"/>
        <w:rPr>
          <w:sz w:val="20"/>
          <w:szCs w:val="20"/>
          <w:color w:val="auto"/>
        </w:rPr>
      </w:pPr>
    </w:p>
    <w:p>
      <w:pPr>
        <w:ind w:left="460" w:firstLine="443"/>
        <w:spacing w:after="0" w:line="264"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Withholding Agent</w:t>
      </w:r>
      <w:r>
        <w:rPr>
          <w:rFonts w:ascii="Arial" w:cs="Arial" w:eastAsia="Arial" w:hAnsi="Arial"/>
          <w:sz w:val="18"/>
          <w:szCs w:val="18"/>
          <w:color w:val="auto"/>
        </w:rPr>
        <w:t>” shall mean any of the Borrower, a Guarantor and the Administrative Agent.</w:t>
      </w:r>
    </w:p>
    <w:p>
      <w:pPr>
        <w:spacing w:after="0" w:line="225"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Working Capital</w:t>
      </w:r>
      <w:r>
        <w:rPr>
          <w:rFonts w:ascii="Arial" w:cs="Arial" w:eastAsia="Arial" w:hAnsi="Arial"/>
          <w:sz w:val="18"/>
          <w:szCs w:val="18"/>
          <w:color w:val="auto"/>
        </w:rPr>
        <w:t>”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w:t>
      </w:r>
    </w:p>
    <w:p>
      <w:pPr>
        <w:spacing w:after="0" w:line="181"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146" w:name="page147"/>
    <w:bookmarkEnd w:id="1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Yield Differential</w:t>
      </w:r>
      <w:r>
        <w:rPr>
          <w:rFonts w:ascii="Arial" w:cs="Arial" w:eastAsia="Arial" w:hAnsi="Arial"/>
          <w:sz w:val="18"/>
          <w:szCs w:val="18"/>
          <w:color w:val="auto"/>
        </w:rPr>
        <w:t>” shall have the meaning set forth in Section 2.27(c)(iv).</w:t>
      </w:r>
    </w:p>
    <w:p>
      <w:pPr>
        <w:spacing w:after="0" w:line="225"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Guarantors, the actual knowledge of any Responsible Officer of the Borrower or such Guarantors, as applicable.</w:t>
      </w:r>
    </w:p>
    <w:p>
      <w:pPr>
        <w:spacing w:after="0" w:line="18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Accounting Terms; GAAP</w:t>
      </w:r>
      <w:r>
        <w:rPr>
          <w:rFonts w:ascii="Arial" w:cs="Arial" w:eastAsia="Arial" w:hAnsi="Arial"/>
          <w:sz w:val="17"/>
          <w:szCs w:val="17"/>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or Required Class Lenders, as applicable,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Parent’s consolidated financial condition shall be the same after such accounting changes as if such accounting changes had not occurred.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AMOUNT AND TERMS OF CREDIT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 of the Lenders; Term Loans</w:t>
      </w:r>
      <w:r>
        <w:rPr>
          <w:rFonts w:ascii="Arial" w:cs="Arial" w:eastAsia="Arial" w:hAnsi="Arial"/>
          <w:sz w:val="18"/>
          <w:szCs w:val="18"/>
          <w:color w:val="auto"/>
        </w:rPr>
        <w:t>.</w:t>
      </w:r>
    </w:p>
    <w:p>
      <w:pPr>
        <w:spacing w:after="0" w:line="225" w:lineRule="exact"/>
        <w:rPr>
          <w:sz w:val="20"/>
          <w:szCs w:val="20"/>
          <w:color w:val="auto"/>
        </w:rPr>
      </w:pPr>
    </w:p>
    <w:p>
      <w:pPr>
        <w:ind w:left="1120" w:hanging="239"/>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Revolving Commitments</w:t>
      </w:r>
      <w:r>
        <w:rPr>
          <w:rFonts w:ascii="Arial" w:cs="Arial" w:eastAsia="Arial" w:hAnsi="Arial"/>
          <w:sz w:val="18"/>
          <w:szCs w:val="18"/>
          <w:color w:val="auto"/>
        </w:rPr>
        <w:t>.</w:t>
      </w:r>
    </w:p>
    <w:p>
      <w:pPr>
        <w:spacing w:after="0" w:line="225" w:lineRule="exact"/>
        <w:rPr>
          <w:sz w:val="20"/>
          <w:szCs w:val="20"/>
          <w:color w:val="auto"/>
        </w:rPr>
      </w:pPr>
    </w:p>
    <w:p>
      <w:pPr>
        <w:ind w:left="-40" w:firstLine="921"/>
        <w:spacing w:after="0" w:line="255" w:lineRule="auto"/>
        <w:tabs>
          <w:tab w:leader="none" w:pos="10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Revolving Lender severally, and not jointly with the other Revolving Lenders, agrees, upon the terms and subject to the conditions herein set forth, to make revolving credit loans denominated in Dollars (each a “</w:t>
      </w:r>
      <w:r>
        <w:rPr>
          <w:rFonts w:ascii="Arial" w:cs="Arial" w:eastAsia="Arial" w:hAnsi="Arial"/>
          <w:sz w:val="18"/>
          <w:szCs w:val="18"/>
          <w:i w:val="1"/>
          <w:iCs w:val="1"/>
          <w:color w:val="auto"/>
        </w:rPr>
        <w:t>Revolving Loan</w:t>
      </w:r>
      <w:r>
        <w:rPr>
          <w:rFonts w:ascii="Arial" w:cs="Arial" w:eastAsia="Arial" w:hAnsi="Arial"/>
          <w:sz w:val="18"/>
          <w:szCs w:val="18"/>
          <w:color w:val="auto"/>
        </w:rPr>
        <w:t>” and collectively, the “</w:t>
      </w:r>
      <w:r>
        <w:rPr>
          <w:rFonts w:ascii="Arial" w:cs="Arial" w:eastAsia="Arial" w:hAnsi="Arial"/>
          <w:sz w:val="18"/>
          <w:szCs w:val="18"/>
          <w:i w:val="1"/>
          <w:iCs w:val="1"/>
          <w:color w:val="auto"/>
        </w:rPr>
        <w:t>Revolving Loans</w:t>
      </w:r>
      <w:r>
        <w:rPr>
          <w:rFonts w:ascii="Arial" w:cs="Arial" w:eastAsia="Arial" w:hAnsi="Arial"/>
          <w:sz w:val="18"/>
          <w:szCs w:val="18"/>
          <w:color w:val="auto"/>
        </w:rPr>
        <w:t>”) to the Borrower at any time and from time to time during the Revolving Availability Period in an aggregate principal amount not to exceed, when added to such Revolving Lender’s LC Exposure, the Revolving Commitment of such Revolving Lender, which Revolving Loans may be repaid and reborrowed in accordance with the provisions of this Agreement. At no time shall the sum of the then outstanding aggregate principal amount of the Revolving Loans plus the LC Exposure exceed the Total Revolving Commitment.</w:t>
      </w:r>
    </w:p>
    <w:p>
      <w:pPr>
        <w:spacing w:after="0" w:line="193" w:lineRule="exact"/>
        <w:rPr>
          <w:rFonts w:ascii="Arial" w:cs="Arial" w:eastAsia="Arial" w:hAnsi="Arial"/>
          <w:sz w:val="18"/>
          <w:szCs w:val="18"/>
          <w:color w:val="auto"/>
        </w:rPr>
      </w:pPr>
    </w:p>
    <w:p>
      <w:pPr>
        <w:ind w:left="-40" w:right="420" w:firstLine="921"/>
        <w:spacing w:after="0" w:line="264" w:lineRule="auto"/>
        <w:tabs>
          <w:tab w:leader="none" w:pos="11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Each Borrowing of a Revolving Loan shall be made from the Revolving Lenders pro rata in accordance with their respective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Revolving Lender to make any Revolving Loan shall not in itself relieve the other Revolving Lenders of their obligations to lend.</w:t>
      </w:r>
    </w:p>
    <w:p>
      <w:pPr>
        <w:spacing w:after="0" w:line="181" w:lineRule="exact"/>
        <w:rPr>
          <w:sz w:val="20"/>
          <w:szCs w:val="20"/>
          <w:color w:val="auto"/>
        </w:rPr>
      </w:pPr>
    </w:p>
    <w:p>
      <w:pPr>
        <w:ind w:left="-40" w:firstLine="921"/>
        <w:spacing w:after="0" w:line="272" w:lineRule="auto"/>
        <w:tabs>
          <w:tab w:leader="none" w:pos="1128"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Closing Date Term Loan Commitments</w:t>
      </w:r>
      <w:r>
        <w:rPr>
          <w:rFonts w:ascii="Arial" w:cs="Arial" w:eastAsia="Arial" w:hAnsi="Arial"/>
          <w:sz w:val="17"/>
          <w:szCs w:val="17"/>
          <w:color w:val="auto"/>
        </w:rPr>
        <w:t>. Each Term B Lender severally, and not jointly with the other Term B Lenders, agrees, upon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subject to the conditions herein set forth, to make a term loan denominated in Dollars (each a “</w:t>
      </w:r>
      <w:r>
        <w:rPr>
          <w:rFonts w:ascii="Arial" w:cs="Arial" w:eastAsia="Arial" w:hAnsi="Arial"/>
          <w:sz w:val="17"/>
          <w:szCs w:val="17"/>
          <w:i w:val="1"/>
          <w:iCs w:val="1"/>
          <w:color w:val="auto"/>
        </w:rPr>
        <w:t>Class B Term Loan</w:t>
      </w:r>
      <w:r>
        <w:rPr>
          <w:rFonts w:ascii="Arial" w:cs="Arial" w:eastAsia="Arial" w:hAnsi="Arial"/>
          <w:sz w:val="17"/>
          <w:szCs w:val="17"/>
          <w:color w:val="auto"/>
        </w:rPr>
        <w:t>” and collectively the “</w:t>
      </w:r>
      <w:r>
        <w:rPr>
          <w:rFonts w:ascii="Arial" w:cs="Arial" w:eastAsia="Arial" w:hAnsi="Arial"/>
          <w:sz w:val="17"/>
          <w:szCs w:val="17"/>
          <w:i w:val="1"/>
          <w:iCs w:val="1"/>
          <w:color w:val="auto"/>
        </w:rPr>
        <w:t>Class B Term</w:t>
      </w:r>
      <w:r>
        <w:rPr>
          <w:rFonts w:ascii="Arial" w:cs="Arial" w:eastAsia="Arial" w:hAnsi="Arial"/>
          <w:sz w:val="17"/>
          <w:szCs w:val="17"/>
          <w:color w:val="auto"/>
        </w:rPr>
        <w:t xml:space="preserve"> </w:t>
      </w:r>
      <w:r>
        <w:rPr>
          <w:rFonts w:ascii="Arial" w:cs="Arial" w:eastAsia="Arial" w:hAnsi="Arial"/>
          <w:sz w:val="17"/>
          <w:szCs w:val="17"/>
          <w:i w:val="1"/>
          <w:iCs w:val="1"/>
          <w:color w:val="auto"/>
        </w:rPr>
        <w:t>Loans</w:t>
      </w:r>
      <w:r>
        <w:rPr>
          <w:rFonts w:ascii="Arial" w:cs="Arial" w:eastAsia="Arial" w:hAnsi="Arial"/>
          <w:sz w:val="17"/>
          <w:szCs w:val="17"/>
          <w:color w:val="auto"/>
        </w:rPr>
        <w:t>”) to the Borrower on the Closing Date in an aggregate principal amount not to exceed the Term Loan Commitment for Class B Term Loans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Term B Lender, which Class B Term Loans shall constitute Term Loans for all purposes of this Agreement and shall be repaid in accordance with the provisions of this Agreement. Any amount borrowed under this Section 2.01(b) and subsequently repaid or prepaid may not be reborrowed. Each Term B Lender’s Term Loan Commitment for Class B Term Loans shall terminate immediately and without further action on the Closing Date after giving effect to the funding by such Term B Lender of the Class B Term Loans to be made by it on such date.</w:t>
      </w:r>
    </w:p>
    <w:p>
      <w:pPr>
        <w:spacing w:after="0" w:line="177" w:lineRule="exact"/>
        <w:rPr>
          <w:rFonts w:ascii="Arial" w:cs="Arial" w:eastAsia="Arial" w:hAnsi="Arial"/>
          <w:sz w:val="17"/>
          <w:szCs w:val="17"/>
          <w:color w:val="auto"/>
        </w:rPr>
      </w:pPr>
    </w:p>
    <w:p>
      <w:pPr>
        <w:ind w:left="-40" w:right="60" w:firstLine="921"/>
        <w:spacing w:after="0" w:line="259" w:lineRule="auto"/>
        <w:tabs>
          <w:tab w:leader="none" w:pos="1117"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Type of Borrowing</w:t>
      </w:r>
      <w:r>
        <w:rPr>
          <w:rFonts w:ascii="Arial" w:cs="Arial" w:eastAsia="Arial" w:hAnsi="Arial"/>
          <w:sz w:val="18"/>
          <w:szCs w:val="18"/>
          <w:color w:val="auto"/>
        </w:rPr>
        <w:t>. Each Borrowing shall be comprised entirely of ABR Loans or Eurodollar Loans as the Borrower may request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herewith. Each Lender at its option may make any Eurodollar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 There may be multiple Borrowings incurred, converted or continued on the same day.</w:t>
      </w:r>
    </w:p>
    <w:p>
      <w:pPr>
        <w:spacing w:after="0" w:line="186" w:lineRule="exact"/>
        <w:rPr>
          <w:rFonts w:ascii="Arial" w:cs="Arial" w:eastAsia="Arial" w:hAnsi="Arial"/>
          <w:sz w:val="18"/>
          <w:szCs w:val="18"/>
          <w:color w:val="auto"/>
        </w:rPr>
      </w:pPr>
    </w:p>
    <w:p>
      <w:pPr>
        <w:jc w:val="both"/>
        <w:ind w:left="-40" w:right="80" w:firstLine="921"/>
        <w:spacing w:after="0" w:line="312" w:lineRule="auto"/>
        <w:tabs>
          <w:tab w:leader="none" w:pos="1128"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Amount of Borrowing</w:t>
      </w:r>
      <w:r>
        <w:rPr>
          <w:rFonts w:ascii="Arial" w:cs="Arial" w:eastAsia="Arial" w:hAnsi="Arial"/>
          <w:sz w:val="16"/>
          <w:szCs w:val="16"/>
          <w:color w:val="auto"/>
        </w:rPr>
        <w:t>. At the commencement of each Interest Period for any Eurodollar Borrowing, such Borrowing shall be in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that is in an integral multiple of $1,000,000 and not less than $1,000,000. At the time that each ABR Borrowing is made, such Borrowing shall be in an aggregate amount that is an integral multiple of $100,000 and not less than $1,000,000;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Borrowing may be in an aggregate amount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80" w:top="274" w:right="279" w:bottom="1440" w:gutter="0" w:footer="0" w:header="0"/>
        </w:sectPr>
      </w:pPr>
    </w:p>
    <w:bookmarkStart w:id="148" w:name="page149"/>
    <w:bookmarkEnd w:id="148"/>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is equal to the entire Unused Total Revolving Commitment or that is required to finance the reimbursement of an LC Disbursement as contemplated by Section 2.02(e). Borrowings of more than one Type may be outstanding at the same time.</w:t>
      </w:r>
    </w:p>
    <w:p>
      <w:pPr>
        <w:spacing w:after="0" w:line="170" w:lineRule="exact"/>
        <w:rPr>
          <w:sz w:val="20"/>
          <w:szCs w:val="20"/>
          <w:color w:val="auto"/>
        </w:rPr>
      </w:pPr>
    </w:p>
    <w:p>
      <w:pPr>
        <w:ind w:right="20" w:firstLine="921"/>
        <w:spacing w:after="0" w:line="259" w:lineRule="auto"/>
        <w:tabs>
          <w:tab w:leader="none" w:pos="1157"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Limitation on Interest Period</w:t>
      </w:r>
      <w:r>
        <w:rPr>
          <w:rFonts w:ascii="Arial" w:cs="Arial" w:eastAsia="Arial" w:hAnsi="Arial"/>
          <w:sz w:val="18"/>
          <w:szCs w:val="18"/>
          <w:color w:val="auto"/>
        </w:rPr>
        <w:t>. Notwithstanding any other provision of this Agreement, the Borrower shall not be entitled to request, or to elect</w:t>
      </w:r>
      <w:r>
        <w:rPr>
          <w:rFonts w:ascii="Arial" w:cs="Arial" w:eastAsia="Arial" w:hAnsi="Arial"/>
          <w:sz w:val="18"/>
          <w:szCs w:val="18"/>
          <w:i w:val="1"/>
          <w:iCs w:val="1"/>
          <w:color w:val="auto"/>
        </w:rPr>
        <w:t xml:space="preserve"> </w:t>
      </w:r>
      <w:r>
        <w:rPr>
          <w:rFonts w:ascii="Arial" w:cs="Arial" w:eastAsia="Arial" w:hAnsi="Arial"/>
          <w:sz w:val="18"/>
          <w:szCs w:val="18"/>
          <w:color w:val="auto"/>
        </w:rPr>
        <w:t>to convert or continue, (i) any Borrowing of a Revolving Loan if the Interest Period requested with respect thereto would end after the Revolving Facility Maturity Date with respect to the applicable Revolving Commitments or (ii) any Borrowing of a Term Loan if the Interest Period requested with respect thereto would end after the applicable Term Loan Maturity Date.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55" w:lineRule="auto"/>
        <w:tabs>
          <w:tab w:leader="none" w:pos="1157"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LC Commitment</w:t>
      </w:r>
      <w:r>
        <w:rPr>
          <w:rFonts w:ascii="Arial" w:cs="Arial" w:eastAsia="Arial" w:hAnsi="Arial"/>
          <w:sz w:val="18"/>
          <w:szCs w:val="18"/>
          <w:color w:val="auto"/>
        </w:rPr>
        <w:t>. Subject to the terms and conditions set forth herein, the Borrower may request the issuance of and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representation in the second sentence of clause (b) below being true and correct) each Issuing Lender agrees to issue Letters of Credit in Dollars upon request of the Borrower at any time and from time to time from the Revolver Availability Date to but excluding the date that is five (5) Business Days prior to the Revolving Facility Maturity Date, for the Borrower’s own account or the account of any other Subsidiary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Lender shall issue (or amend, renew or extend) any Letter of Credit if, after giving effect to such issuance (or amendment, renewal or extension), (i) the LC Exposure in respect of Letters of Credit issued by it would exceed its LC Commitment or (ii) the aggregate amount of the Unused Total Revolving Commitment would be less than zero.</w:t>
      </w:r>
    </w:p>
    <w:p>
      <w:pPr>
        <w:spacing w:after="0" w:line="189" w:lineRule="exact"/>
        <w:rPr>
          <w:rFonts w:ascii="Arial" w:cs="Arial" w:eastAsia="Arial" w:hAnsi="Arial"/>
          <w:sz w:val="18"/>
          <w:szCs w:val="18"/>
          <w:color w:val="auto"/>
        </w:rPr>
      </w:pPr>
    </w:p>
    <w:p>
      <w:pPr>
        <w:ind w:firstLine="921"/>
        <w:spacing w:after="0" w:line="284" w:lineRule="auto"/>
        <w:tabs>
          <w:tab w:leader="none" w:pos="1168" w:val="left"/>
        </w:tabs>
        <w:numPr>
          <w:ilvl w:val="1"/>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Notice of Issuance, Amendment, Renewal, Extension. </w:t>
      </w:r>
      <w:r>
        <w:rPr>
          <w:rFonts w:ascii="Arial" w:cs="Arial" w:eastAsia="Arial" w:hAnsi="Arial"/>
          <w:sz w:val="16"/>
          <w:szCs w:val="16"/>
          <w:color w:val="auto"/>
        </w:rPr>
        <w:t>The Borrower may request the issuance of a Letter of Credit (or the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renewal or extension of an outstanding Letter of Credit) by delivering (i) written Letter of Credit Request or (ii) hand deliver or telecopy (or transmit by electronic communication, if arrangements for doing so have been approved by the applicable Issuing Lender (which approval shall not be unreasonably withheld, delayed or conditioned)) to the applicable Issuing Lender and the Administrative Agent (at least two (2) Business Days in advance of the requested date of issuance, amendment, renewal or extension) a written Letter of Credit Request requesting the issuance of a Letter of Credit, or identifying the Letter of Credit to be amended, renewed or extended, and specifying (1) the date of issuance, amendment, renewal or extension (which shall be a Business Day),</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date on which such Letter of Credit is to expire (which shall comply with paragraph (c) of this Section 2.02), (3) the amount of such Letter of Credit,</w:t>
      </w:r>
    </w:p>
    <w:p>
      <w:pPr>
        <w:spacing w:after="0" w:line="32" w:lineRule="exact"/>
        <w:rPr>
          <w:rFonts w:ascii="Arial" w:cs="Arial" w:eastAsia="Arial" w:hAnsi="Arial"/>
          <w:sz w:val="16"/>
          <w:szCs w:val="16"/>
          <w:color w:val="auto"/>
        </w:rPr>
      </w:pPr>
    </w:p>
    <w:p>
      <w:pPr>
        <w:ind w:firstLine="8"/>
        <w:spacing w:after="0" w:line="288" w:lineRule="auto"/>
        <w:tabs>
          <w:tab w:leader="none" w:pos="25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name and address of the beneficiary thereof and (5) such other information as shall be necessary to prepare, amend, renew or extend such Letter of Credit. Upon the issuance, amendment, renewal or extension of each Letter of Credit, the Borrower shall be deemed to represent and warrant that, after giving effect to such issuance, amendment, renewal or extension, (x) the LC Exposure shall not exceed the LC Commitment and (y) the aggregate amount of the Unused Total Revolving Commitment shall not be less than zero. If requested by the applicable Issuing Lender, the Borrower also shall submit a letter of credit application on such Issuing Lender’s standard form in connection with any request for a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standard form (and/or any related reimbursement agreement) is inconsistent with the Loan Documents, the Loan Documents shall control. Upon receipt of a written notice from the Administrative Agent that the applicable conditions in Section 4.02 have been satisfied, the Issuing Lender shall issue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149" w:name="page150"/>
    <w:bookmarkEnd w:id="149"/>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requested Letter of Credit in accordance with its usual and customary procedures. In the event of any inconsistency between the terms and conditions of this Agreement and the terms and conditions of any form of letter of credit application or other agreement submitted by the Borrower to, or entered into by the Borrower with, an Issuing Lender relating to any Letter of Credit, the terms and conditions of this Agreement shall control.</w:t>
      </w:r>
    </w:p>
    <w:p>
      <w:pPr>
        <w:spacing w:after="0" w:line="166" w:lineRule="exact"/>
        <w:rPr>
          <w:sz w:val="20"/>
          <w:szCs w:val="20"/>
          <w:color w:val="auto"/>
        </w:rPr>
      </w:pPr>
    </w:p>
    <w:p>
      <w:pPr>
        <w:ind w:firstLine="921"/>
        <w:spacing w:after="0" w:line="255" w:lineRule="auto"/>
        <w:tabs>
          <w:tab w:leader="none" w:pos="1157"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Expiration Date</w:t>
      </w:r>
      <w:r>
        <w:rPr>
          <w:rFonts w:ascii="Arial" w:cs="Arial" w:eastAsia="Arial" w:hAnsi="Arial"/>
          <w:sz w:val="18"/>
          <w:szCs w:val="18"/>
          <w:color w:val="auto"/>
        </w:rPr>
        <w:t>. Each Letter of Credit shall expire at or prior to the close of business on the earlier of (i) the date that is (x) one year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issuance of such Letter of Credit (or, in the case of any renewal or extension thereof, one year after such renewal or extension) or (y) such later date as may be agreed by the Borrower and the Issuing Lender, and (ii) the date that is five (5) Business Days prior to the Revolving Facility Maturity Date with respect to the applicable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all of the participations in such Letter of Credit held by the holders of such Revolving Commitments have been re-allocated or Cash Collateralized pursuant to the terms of any Extension Amendment, such Revolving Commitments shall be disregarded for purposes of this clause (ii)).</w:t>
      </w:r>
    </w:p>
    <w:p>
      <w:pPr>
        <w:spacing w:after="0" w:line="193" w:lineRule="exact"/>
        <w:rPr>
          <w:rFonts w:ascii="Arial" w:cs="Arial" w:eastAsia="Arial" w:hAnsi="Arial"/>
          <w:sz w:val="18"/>
          <w:szCs w:val="18"/>
          <w:color w:val="auto"/>
        </w:rPr>
      </w:pPr>
    </w:p>
    <w:p>
      <w:pPr>
        <w:ind w:firstLine="921"/>
        <w:spacing w:after="0" w:line="269" w:lineRule="auto"/>
        <w:tabs>
          <w:tab w:leader="none" w:pos="1168"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Participations</w:t>
      </w:r>
      <w:r>
        <w:rPr>
          <w:rFonts w:ascii="Arial" w:cs="Arial" w:eastAsia="Arial" w:hAnsi="Arial"/>
          <w:sz w:val="17"/>
          <w:szCs w:val="17"/>
          <w:color w:val="auto"/>
        </w:rPr>
        <w:t>. By the issuance of a Letter of Credit (or an amendment, renewal or extension of a Letter of Credit, including any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the amount thereof), and without any further action on the part of the applicable Issuing Lender or the Revolving Lenders, such Issuing Lender hereby grants to each Revolving Lender (other than such Issuing Lender), and each Revolving Lender (other than such Issuing Lender) hereby acquires from such Issuing Lender, a participation in such Letter of Credit equal to such Revolving Lender’s Revolving Commitment Percentage of the amount available to be drawn under such Letter of Credit. In consideration and in furtherance of the foregoing, each Revolving Lender (other than the applicable Issuing Lender) hereby absolutely and unconditionally agrees to pay to the Administrative Agent, for the account of such Issuing Lender, such Revolving Lender’s Revolving Commitment Percentage of the amount of each LC Disbursement made by such Issuing Lender and not reimbursed by the Borrower on the date due as provided in Section 2.02(e), or of any reimbursement payment required to be refunded to the Borrower for any reason. Each Revolving Lender (other than the applicable Issuing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of an Event of Default or reduction or termination of the Revolving Commitments, and that each such payment shall be made without any offset, abatement, withholding or reduction whatsoever.</w:t>
      </w:r>
    </w:p>
    <w:p>
      <w:pPr>
        <w:spacing w:after="0" w:line="179" w:lineRule="exact"/>
        <w:rPr>
          <w:rFonts w:ascii="Arial" w:cs="Arial" w:eastAsia="Arial" w:hAnsi="Arial"/>
          <w:sz w:val="17"/>
          <w:szCs w:val="17"/>
          <w:color w:val="auto"/>
        </w:rPr>
      </w:pPr>
    </w:p>
    <w:p>
      <w:pPr>
        <w:ind w:left="1160" w:hanging="239"/>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Reimbursement</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97" w:lineRule="auto"/>
        <w:tabs>
          <w:tab w:leader="none" w:pos="112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If an Issuing Lender shall make any LC Disbursement in respect of a Letter of Credit, the Borrower shall reimburse such LC Disbursement (whether or not such Letter of Credit was issued for the Borrower’s own account or in its name for the account or name of any other Subsidiary of the Parent) by paying to the Administrative Agent an amount equal to the amount of such LC Disbursement not later than the first Business Day following the date the Borrower receives notice from the Issuing Lender of such LC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LC Disbursement, to the extent not reimbursed and, subject to the satisfaction (or waiver) of the conditions to borrowing set forth herein, including, without limitation, making 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74" w:right="279" w:bottom="1440" w:gutter="0" w:footer="0" w:header="0"/>
        </w:sectPr>
      </w:pPr>
    </w:p>
    <w:bookmarkStart w:id="150" w:name="page151"/>
    <w:bookmarkEnd w:id="150"/>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in accordance with Section 2.03(a) that such payment shall be financed with a Borrowing of ABR Revolving Loans, as the case may be, in an equivalent amount, to the extent so financed, the Borrower’s obligation to make such payment shall be discharged and replaced by the resulting Borrowing of ABR Revolving Loans.</w:t>
      </w:r>
    </w:p>
    <w:p>
      <w:pPr>
        <w:spacing w:after="0" w:line="181" w:lineRule="exact"/>
        <w:rPr>
          <w:sz w:val="20"/>
          <w:szCs w:val="20"/>
          <w:color w:val="auto"/>
        </w:rPr>
      </w:pPr>
    </w:p>
    <w:p>
      <w:pPr>
        <w:ind w:firstLine="921"/>
        <w:spacing w:after="0" w:line="269" w:lineRule="auto"/>
        <w:tabs>
          <w:tab w:leader="none" w:pos="117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If the Borrower fails to make any payment due under the preceding paragraph (i) with respect to a Letter of Credit when due (including by a Borrowing), the Administrative Agent shall notify each Revolving Lender of the applicable LC Disbursement, the payment then due from the Borrower in respect thereof and such Revolving Lender’s Revolving Commitment Percentage thereof. Promptly following receipt of such notice, each Revolving Lender shall pay to the Administrative Agent its Revolving Commitment Percentage of the payment then due from the Borrower, in the same manner as provided in Section 2.04 with respect to Revolving Loans made by such Revolving Lender (and Section 2.04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the payment obligations of the Revolving Lenders), and the Administrative Agent shall promptly pay to the Issuing Lender the amounts so received by it from the Revolving Lenders. Promptly following receipt by the Administrative Agent of any payment from the Borrower pursuant to this Section 2.02(e) with respect to any LC Disbursement, the Administrative Agent shall distribute such payment to the applicable Issuing Lender or, to the extent that Revolving Lenders have made payments pursuant to this paragraph to reimburse such Issuing Lender, then to such Revolving Lenders and such Issuing Lender as their interests may appear. Any payment made by a Revolving Lender pursuant to this paragraph to reimburse the applicable Issuing Lender for any LC Disbursement (other than the funding of ABR Loans as contemplated above) shall not constitute a Revolving Loan and shall not relieve the Borrower of its obligation to reimburse such LC Disbursement.</w:t>
      </w:r>
    </w:p>
    <w:p>
      <w:pPr>
        <w:spacing w:after="0" w:line="180" w:lineRule="exact"/>
        <w:rPr>
          <w:sz w:val="20"/>
          <w:szCs w:val="20"/>
          <w:color w:val="auto"/>
        </w:rPr>
      </w:pPr>
    </w:p>
    <w:p>
      <w:pPr>
        <w:ind w:right="100" w:firstLine="921"/>
        <w:spacing w:after="0" w:line="268" w:lineRule="auto"/>
        <w:tabs>
          <w:tab w:leader="none" w:pos="1138"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Obligations Absolute</w:t>
      </w:r>
      <w:r>
        <w:rPr>
          <w:rFonts w:ascii="Arial" w:cs="Arial" w:eastAsia="Arial" w:hAnsi="Arial"/>
          <w:sz w:val="17"/>
          <w:szCs w:val="17"/>
          <w:color w:val="auto"/>
        </w:rPr>
        <w:t>. The Borrower’s obligation to reimburse LC Disbursements as provided in Section 2.02(e) shall be absolute,</w:t>
      </w:r>
      <w:r>
        <w:rPr>
          <w:rFonts w:ascii="Arial" w:cs="Arial" w:eastAsia="Arial" w:hAnsi="Arial"/>
          <w:sz w:val="17"/>
          <w:szCs w:val="17"/>
          <w:i w:val="1"/>
          <w:iCs w:val="1"/>
          <w:color w:val="auto"/>
        </w:rPr>
        <w:t xml:space="preserve"> </w:t>
      </w:r>
      <w:r>
        <w:rPr>
          <w:rFonts w:ascii="Arial" w:cs="Arial" w:eastAsia="Arial" w:hAnsi="Arial"/>
          <w:sz w:val="17"/>
          <w:szCs w:val="17"/>
          <w:color w:val="auto"/>
        </w:rPr>
        <w:t>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2.02,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Nothing in the preceding two sentences shall be construed to excuse an Issuing Lender from liability to the Borrower to the extent of any direct damages (as opposed to consequential damages, claims in respect of which are hereby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151" w:name="page152"/>
    <w:bookmarkEnd w:id="151"/>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waived by the Borrower to the extent permitted by applicable law) suffered by the Borrower (i) that are caused by such Issuing Lender’s failure to exercise care when determining whether drafts and other documents presented under a Letter of Credit comply with the terms thereof or (ii) that result from such Issuing Lender’s willful or grossly negligent failure to pay under any Letter of Credit after the presentation to it by the beneficiary of a sight draft and certificate(s) strictly complying with the terms and conditions of such Letter of Credit (as finally determined by a court of competent jurisdiction). The parties hereto expressly agree that, in the absence of gross negligence, bad faith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9" w:lineRule="exact"/>
        <w:rPr>
          <w:sz w:val="20"/>
          <w:szCs w:val="20"/>
          <w:color w:val="auto"/>
        </w:rPr>
      </w:pPr>
    </w:p>
    <w:p>
      <w:pPr>
        <w:ind w:right="100" w:firstLine="921"/>
        <w:spacing w:after="0" w:line="255" w:lineRule="auto"/>
        <w:tabs>
          <w:tab w:leader="none" w:pos="1168"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Disbursement Procedures</w:t>
      </w:r>
      <w:r>
        <w:rPr>
          <w:rFonts w:ascii="Arial" w:cs="Arial" w:eastAsia="Arial" w:hAnsi="Arial"/>
          <w:sz w:val="18"/>
          <w:szCs w:val="18"/>
          <w:color w:val="auto"/>
        </w:rPr>
        <w:t>. The applicable Issuing Lender shall, promptly following its receipt thereof, examine all documents purporting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 a demand for payment under a Letter of Credit. The applicable Issuing Lender shall promptly notify the Administrative Agent and the Borrower by telephone (confirmed by telecopy or electronic mail) of such demand for payment, whether the applicable Issuing Lender has made or will make an LC Disbursement thereunder and the amount of such LC Disbursement;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the applicable Issuing Lender and the Revolving Lenders with respect to any such LC Disbursement in accordance with the terms herein.</w:t>
      </w:r>
    </w:p>
    <w:p>
      <w:pPr>
        <w:spacing w:after="0" w:line="193" w:lineRule="exact"/>
        <w:rPr>
          <w:rFonts w:ascii="Arial" w:cs="Arial" w:eastAsia="Arial" w:hAnsi="Arial"/>
          <w:sz w:val="18"/>
          <w:szCs w:val="18"/>
          <w:color w:val="auto"/>
        </w:rPr>
      </w:pPr>
    </w:p>
    <w:p>
      <w:pPr>
        <w:ind w:firstLine="921"/>
        <w:spacing w:after="0" w:line="272" w:lineRule="auto"/>
        <w:tabs>
          <w:tab w:leader="none" w:pos="1168"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Interim Interest</w:t>
      </w:r>
      <w:r>
        <w:rPr>
          <w:rFonts w:ascii="Arial" w:cs="Arial" w:eastAsia="Arial" w:hAnsi="Arial"/>
          <w:sz w:val="17"/>
          <w:szCs w:val="17"/>
          <w:color w:val="auto"/>
        </w:rPr>
        <w:t>. If the applicable Issuing Lender shall make any LC Disbursement, then, unless the Borrower shall reimburse (including by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Borrowing) such LC Disbursement in full not later than the first Business Day following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(including by a Borrowing) such LC Disbursement when due pursuant to Section 2.02(e), then Section 2.08 shall apply. Interest accrued pursuant to this paragraph shall be for the account of the applicable Issuing Lender, except that interest accrued on and after the date of payment by any Revolving Lender pursuant to Section 2.02(e) to reimburse the applicable Issuing Lender shall be for the account of such Lender to the extent of such payment.</w:t>
      </w:r>
    </w:p>
    <w:p>
      <w:pPr>
        <w:spacing w:after="0" w:line="177" w:lineRule="exact"/>
        <w:rPr>
          <w:rFonts w:ascii="Arial" w:cs="Arial" w:eastAsia="Arial" w:hAnsi="Arial"/>
          <w:sz w:val="17"/>
          <w:szCs w:val="17"/>
          <w:color w:val="auto"/>
        </w:rPr>
      </w:pPr>
    </w:p>
    <w:p>
      <w:pPr>
        <w:ind w:right="200" w:firstLine="921"/>
        <w:spacing w:after="0" w:line="257" w:lineRule="auto"/>
        <w:tabs>
          <w:tab w:leader="none" w:pos="1128"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Replacement of the Issuing Lender</w:t>
      </w:r>
      <w:r>
        <w:rPr>
          <w:rFonts w:ascii="Arial" w:cs="Arial" w:eastAsia="Arial" w:hAnsi="Arial"/>
          <w:sz w:val="18"/>
          <w:szCs w:val="18"/>
          <w:color w:val="auto"/>
        </w:rPr>
        <w:t>. Any Issuing Lender may be replaced at any time by written agreement among the Borrower,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the replaced Issuing Lender and the successor Issuing Lender. The Administrative Agent shall notify the Revolving Lenders of any such replacement of an Issuing Lender. At the time any such replacement shall become effective, the Borrower shall pay all unpaid fees accrued for the account of the replaced Issuing Lender pursuant to Section 2.21. From and after the effective date of any such replacement, (i) the successor Issuing Lender shall have all the rights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152" w:name="page153"/>
    <w:bookmarkEnd w:id="152"/>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88" w:lineRule="exact"/>
        <w:rPr>
          <w:sz w:val="20"/>
          <w:szCs w:val="20"/>
          <w:color w:val="auto"/>
        </w:rPr>
      </w:pPr>
    </w:p>
    <w:p>
      <w:pPr>
        <w:ind w:firstLine="921"/>
        <w:spacing w:after="0" w:line="284" w:lineRule="auto"/>
        <w:tabs>
          <w:tab w:leader="none" w:pos="1128"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Replacement of Letters of Credit; Cash Collateralization</w:t>
      </w:r>
      <w:r>
        <w:rPr>
          <w:rFonts w:ascii="Arial" w:cs="Arial" w:eastAsia="Arial" w:hAnsi="Arial"/>
          <w:sz w:val="16"/>
          <w:szCs w:val="16"/>
          <w:color w:val="auto"/>
        </w:rPr>
        <w:t>. The Borrower shall (i) upon or prior to the occurrence of the earlier of (A) the</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Facility Maturity Date with respect to all Revolving Commitments and (B) the acceleration of the Revolving Loans (if any) and the termination of the Revolving Commitments in accordance with the terms hereof, (x) cause all Letters of Credit which expire after the earlier to occur of (A) the Revolving Facility Maturity Date with respect to all Revolving Commitments and (B) the acceleration of the Revolving Loans (if any) and the termination of the Revolving Commitments in accordance with the terms hereof (the “</w:t>
      </w:r>
      <w:r>
        <w:rPr>
          <w:rFonts w:ascii="Arial" w:cs="Arial" w:eastAsia="Arial" w:hAnsi="Arial"/>
          <w:sz w:val="16"/>
          <w:szCs w:val="16"/>
          <w:i w:val="1"/>
          <w:iCs w:val="1"/>
          <w:color w:val="auto"/>
        </w:rPr>
        <w:t>Outstanding Letters of Credit</w:t>
      </w:r>
      <w:r>
        <w:rPr>
          <w:rFonts w:ascii="Arial" w:cs="Arial" w:eastAsia="Arial" w:hAnsi="Arial"/>
          <w:sz w:val="16"/>
          <w:szCs w:val="16"/>
          <w:color w:val="auto"/>
        </w:rPr>
        <w:t>”) to be returned to the applicable Issuing Lender undrawn and marked “cancelled” or (y) if the Borrower does not do so in whole or in part either (A) provide one or more “back-to-back” letters of credit to each applicable Issuing Lender with respect to any such Outstanding Letters of Credit in a form reasonably satisfactory to each such Issuing Lender and the Administrative Agent, issued by a bank reasonably satisfactory to each such Issuing Lender and the Administrative Agent, and/or (B) deposit cash in the Letter of Credit Account, as collateral security for the Borrower’s reimbursement obligations in connection with any such Outstanding Letters of Credit, such cash (or any applicable portion thereof) to be promptly remitted to the Borrower upon the expiration, cancellation or other termination or satisfaction of the Borrower’s reimbursement obligations with respect to such Outstanding Letters of Credit, in whole or in part, in an aggregate principal amount for all such “back-to-back” letters of credit and any such Cash Collateralization equal to 102% of the then outstanding amount of all LC Exposure (less the amount, if any, on deposit in the Letter of Credit Account prior to taking any action pursuant to clauses (A) or (B) above), and (ii) if required pursuant to Section 2.02(l), 2.12(c), 2.12(d), 2.12(e), 2.12(g), 2.26(d)(ii), 2.26(e)(ii), 2.26(f) or 7.01 or pursuant to any Extension Amendment, deposit in the Letter of Credit Account an amount required pursuant to Section 2.02(l), 2.12(c), 2.12(d), 2.12(e), 2.12(g), 2.26(d)(ii), 2.26(e)(ii), 2.26(f) or 7.01, or pursuant to any such Extension Amendment, as applicable (any such deposit or provision of “back-to-back” letters of credit described in the preceding clause (i) or clause (ii), “</w:t>
      </w:r>
      <w:r>
        <w:rPr>
          <w:rFonts w:ascii="Arial" w:cs="Arial" w:eastAsia="Arial" w:hAnsi="Arial"/>
          <w:sz w:val="16"/>
          <w:szCs w:val="16"/>
          <w:i w:val="1"/>
          <w:iCs w:val="1"/>
          <w:color w:val="auto"/>
        </w:rPr>
        <w:t>Cash</w:t>
      </w:r>
      <w:r>
        <w:rPr>
          <w:rFonts w:ascii="Arial" w:cs="Arial" w:eastAsia="Arial" w:hAnsi="Arial"/>
          <w:sz w:val="16"/>
          <w:szCs w:val="16"/>
          <w:color w:val="auto"/>
        </w:rPr>
        <w:t xml:space="preserve"> </w:t>
      </w:r>
      <w:r>
        <w:rPr>
          <w:rFonts w:ascii="Arial" w:cs="Arial" w:eastAsia="Arial" w:hAnsi="Arial"/>
          <w:sz w:val="16"/>
          <w:szCs w:val="16"/>
          <w:i w:val="1"/>
          <w:iCs w:val="1"/>
          <w:color w:val="auto"/>
        </w:rPr>
        <w:t>Collateralization</w:t>
      </w:r>
      <w:r>
        <w:rPr>
          <w:rFonts w:ascii="Arial" w:cs="Arial" w:eastAsia="Arial" w:hAnsi="Arial"/>
          <w:sz w:val="16"/>
          <w:szCs w:val="16"/>
          <w:color w:val="auto"/>
        </w:rPr>
        <w:t>” (it being understood that any LC Exposure shall be deemed to be “</w:t>
      </w:r>
      <w:r>
        <w:rPr>
          <w:rFonts w:ascii="Arial" w:cs="Arial" w:eastAsia="Arial" w:hAnsi="Arial"/>
          <w:sz w:val="16"/>
          <w:szCs w:val="16"/>
          <w:i w:val="1"/>
          <w:iCs w:val="1"/>
          <w:color w:val="auto"/>
        </w:rPr>
        <w:t>Cash Collateralized</w:t>
      </w:r>
      <w:r>
        <w:rPr>
          <w:rFonts w:ascii="Arial" w:cs="Arial" w:eastAsia="Arial" w:hAnsi="Arial"/>
          <w:sz w:val="16"/>
          <w:szCs w:val="16"/>
          <w:color w:val="auto"/>
        </w:rPr>
        <w:t>” only to the extent a deposit or provision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“back-to-back” letters of credit as described above is made in an amount equal to 102% of the amount of such LC Exposure)). The Administrative Agent shall have exclusive dominion and control, including the exclusive right of withdrawal, over the Letter of Credit Account. Other than any interest earned on the investment of such deposits, which investments shall be made at the option and sole discretion of the Administrative Agent (in accordance with its usual and customary practices for investments of this type) and at the Borrower’s risk and reasonable expense, such deposits shall not bear interest. Interest or profits, if any, on such investments shall accumulate in such account and shall be paid to the Borrower on its request. Moneys in such account shall be applied by the Administrative Agent to reimburse the applicable Issuing Lender for LC Disbursements for which it has not been reimbursed and, to the extent not so applied, shall be held for the satisfaction of the reimbursement obligations of the Borrower for the LC Exposure at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153" w:name="page154"/>
    <w:bookmarkEnd w:id="15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time. If the Borrower is required to provide Cash Collateralization hereunder pursuant to Section 2.02(l), 2.12(c), 2.12(d), 2.12(e), 2.12(g), 2.26(d)(ii), 2.26(e)(ii) or 2.26(f),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w:t>
      </w:r>
    </w:p>
    <w:p>
      <w:pPr>
        <w:spacing w:after="0" w:line="187" w:lineRule="exact"/>
        <w:rPr>
          <w:sz w:val="20"/>
          <w:szCs w:val="20"/>
          <w:color w:val="auto"/>
        </w:rPr>
      </w:pPr>
    </w:p>
    <w:p>
      <w:pPr>
        <w:ind w:right="160" w:firstLine="921"/>
        <w:spacing w:after="0" w:line="288" w:lineRule="auto"/>
        <w:tabs>
          <w:tab w:leader="none" w:pos="1168" w:val="left"/>
        </w:tabs>
        <w:numPr>
          <w:ilvl w:val="1"/>
          <w:numId w:val="114"/>
        </w:numPr>
        <w:rPr>
          <w:rFonts w:ascii="Arial" w:cs="Arial" w:eastAsia="Arial" w:hAnsi="Arial"/>
          <w:sz w:val="16"/>
          <w:szCs w:val="16"/>
          <w:color w:val="auto"/>
        </w:rPr>
      </w:pPr>
      <w:r>
        <w:rPr>
          <w:rFonts w:ascii="Arial" w:cs="Arial" w:eastAsia="Arial" w:hAnsi="Arial"/>
          <w:sz w:val="16"/>
          <w:szCs w:val="16"/>
          <w:i w:val="1"/>
          <w:iCs w:val="1"/>
          <w:color w:val="auto"/>
        </w:rPr>
        <w:t>Issuing Lender Agreements</w:t>
      </w:r>
      <w:r>
        <w:rPr>
          <w:rFonts w:ascii="Arial" w:cs="Arial" w:eastAsia="Arial" w:hAnsi="Arial"/>
          <w:sz w:val="16"/>
          <w:szCs w:val="16"/>
          <w:color w:val="auto"/>
        </w:rPr>
        <w:t>. Unless otherwise requested by the Administrative Agent, each Issuing Lender shall report in writing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w:t>
      </w:r>
    </w:p>
    <w:p>
      <w:pPr>
        <w:ind w:right="20" w:firstLine="8"/>
        <w:spacing w:after="0" w:line="287" w:lineRule="auto"/>
        <w:tabs>
          <w:tab w:leader="none" w:pos="26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on or prior to each Business Day on which such Issuing Lender expects to issue, amend, renew or extend any Letter of Credit, the date of such issuance, amendment, renewal or extension, the aggregate face amount of the Letters of Credit to be issued, amended, renewed, or extended by it (and whether, subject to Section 2.02(b),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 The Issuing Lender shall furnish a copy of each Letter of Credit to the Borrower and the Administrative Agent promptly following the issuance, amendment, renewal and extension thereof.</w:t>
      </w:r>
    </w:p>
    <w:p>
      <w:pPr>
        <w:spacing w:after="0" w:line="170" w:lineRule="exact"/>
        <w:rPr>
          <w:rFonts w:ascii="Arial" w:cs="Arial" w:eastAsia="Arial" w:hAnsi="Arial"/>
          <w:sz w:val="16"/>
          <w:szCs w:val="16"/>
          <w:color w:val="auto"/>
        </w:rPr>
      </w:pPr>
    </w:p>
    <w:p>
      <w:pPr>
        <w:ind w:firstLine="921"/>
        <w:spacing w:after="0" w:line="269" w:lineRule="auto"/>
        <w:tabs>
          <w:tab w:leader="none" w:pos="1128" w:val="left"/>
        </w:tabs>
        <w:numPr>
          <w:ilvl w:val="1"/>
          <w:numId w:val="115"/>
        </w:numPr>
        <w:rPr>
          <w:rFonts w:ascii="Arial" w:cs="Arial" w:eastAsia="Arial" w:hAnsi="Arial"/>
          <w:sz w:val="17"/>
          <w:szCs w:val="17"/>
          <w:color w:val="auto"/>
        </w:rPr>
      </w:pPr>
      <w:r>
        <w:rPr>
          <w:rFonts w:ascii="Arial" w:cs="Arial" w:eastAsia="Arial" w:hAnsi="Arial"/>
          <w:sz w:val="17"/>
          <w:szCs w:val="17"/>
          <w:i w:val="1"/>
          <w:iCs w:val="1"/>
          <w:color w:val="auto"/>
        </w:rPr>
        <w:t>Provisions Related to Extended Revolving Commitments</w:t>
      </w:r>
      <w:r>
        <w:rPr>
          <w:rFonts w:ascii="Arial" w:cs="Arial" w:eastAsia="Arial" w:hAnsi="Arial"/>
          <w:sz w:val="17"/>
          <w:szCs w:val="17"/>
          <w:color w:val="auto"/>
        </w:rPr>
        <w:t>. If the Revolving Facility Maturity Date in respect of any tranche of Revolving</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occurs prior to the expiration of any Letter of Credit with respect to which Lenders holding such Revolving Commitments hold participation interests, then (i) if one or more other tranches of Revolving Commitments in respect of which the Revolving Facility Maturity Date shall not have occurred are then in effect, such Letters of Credit automatically shall be deemed to have been issued (including for purposes of the obligations of the Revolving Lenders to purchase participations therein and to make payments in respect thereof pursuant to Section 2.02(d) or (e) and for any reallocations required pursuant to Section 2.26(d)(i)) under (and ratably participated in by Revolving Lenders pursuant to) the Revolving Commitments in respect of such non-terminating tranches up to an aggregate amount not to exceed the aggregate principal amount of the Unused Total Revolving Commitments thereunder at such time (it being understood that no partial face amount of any Letter of Credit may be so reallocated) and (ii) to the extent not reallocated pursuant to the immediately preceding clause (i), the Borrower shall Cash Collateralize any such Letter of Credit in accordance with Section 2.02(j). For the avoidance of doubt, commencing with the Revolving Facility Maturity Date of any tranche of Revolving Commitments, the sublimit for Letters of Credit under any tranche of Revolving Commitments that has not so then matured shall be as agreed in the relevant Extension Amendment with such Revolving Lenders (to the extent such Extension Amendment so provides).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154" w:name="page155"/>
    <w:bookmarkEnd w:id="15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2.03. </w:t>
      </w:r>
      <w:r>
        <w:rPr>
          <w:rFonts w:ascii="Arial" w:cs="Arial" w:eastAsia="Arial" w:hAnsi="Arial"/>
          <w:sz w:val="18"/>
          <w:szCs w:val="18"/>
          <w:u w:val="single" w:color="auto"/>
          <w:color w:val="auto"/>
        </w:rPr>
        <w:t>Requests for Loans</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93" w:lineRule="auto"/>
        <w:tabs>
          <w:tab w:leader="none" w:pos="1157"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Revolving Loans</w:t>
      </w:r>
      <w:r>
        <w:rPr>
          <w:rFonts w:ascii="Arial" w:cs="Arial" w:eastAsia="Arial" w:hAnsi="Arial"/>
          <w:sz w:val="16"/>
          <w:szCs w:val="16"/>
          <w:color w:val="auto"/>
        </w:rPr>
        <w:t>. Unless otherwise agreed to by the Administrative Agent in connection with making the initial Revolving Loans, to request a</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Loan, the Borrower shall notify the Administrative Agent of such request by (i) electronic mail or (ii) by hand or by facsimile delivery of a written Loan Request (A) in the case of a Eurodollar Loan, not later than 2:00 p.m., New York City time, three (3) Business Days before proposed Borrowing Date and (B) in the case of an ABR Loan, not later than 11:00 a.m., New York City time, on the proposed Borrowing Date. Each such Revolving Loan request shall be irrevocable and shall be confirmed promptly by hand delivery or telecopy to the Administrative Agent of a written Loan Request signed by the Borrower. Each such Revolving Loan request and written Loan Request shall specify the following information in compliance with Section 2.01:</w:t>
      </w:r>
    </w:p>
    <w:p>
      <w:pPr>
        <w:spacing w:after="0" w:line="56" w:lineRule="exact"/>
        <w:rPr>
          <w:rFonts w:ascii="Arial" w:cs="Arial" w:eastAsia="Arial" w:hAnsi="Arial"/>
          <w:sz w:val="16"/>
          <w:szCs w:val="16"/>
          <w:color w:val="auto"/>
        </w:rPr>
      </w:pPr>
    </w:p>
    <w:p>
      <w:pPr>
        <w:ind w:left="1120" w:hanging="217"/>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aggregate amount of the requested Revolving Loan (which shall comply with Section 2.01(d));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Borrowing Date of such Revolving Loan, which shall be a Business Day;</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whether such Revolving Loan is to be an ABR Loan or a Eurodollar Loan; and</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20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case of a Eurodollar Loan, the initial Interest Period to be applicable thereto, which shall be a period contemplated by the definition of the term “Interest Period.”</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If no election as to the Type of Revolving Loan is specified, then the requested Revolving Loan shall be an ABR Loan. If no Interest Period is specified with respect to any requested Eurodollar Loan, then the Borrower shall be deemed to have selected an Interest Period of one month’s duration. Promptly following receipt of a Loan Request in accordance with this Section 2.03(a), the Administrative Agent shall advise each Revolving Lender of the details thereof and of the amount of such Revolving Lender’s Loan to be made as part of the requested Revolving Loan.</w:t>
      </w:r>
    </w:p>
    <w:p>
      <w:pPr>
        <w:spacing w:after="0" w:line="171" w:lineRule="exact"/>
        <w:rPr>
          <w:sz w:val="20"/>
          <w:szCs w:val="20"/>
          <w:color w:val="auto"/>
        </w:rPr>
      </w:pPr>
    </w:p>
    <w:p>
      <w:pPr>
        <w:ind w:firstLine="921"/>
        <w:spacing w:after="0" w:line="297" w:lineRule="auto"/>
        <w:tabs>
          <w:tab w:leader="none" w:pos="1168" w:val="left"/>
        </w:tabs>
        <w:numPr>
          <w:ilvl w:val="1"/>
          <w:numId w:val="118"/>
        </w:numPr>
        <w:rPr>
          <w:rFonts w:ascii="Arial" w:cs="Arial" w:eastAsia="Arial" w:hAnsi="Arial"/>
          <w:sz w:val="16"/>
          <w:szCs w:val="16"/>
          <w:color w:val="auto"/>
        </w:rPr>
      </w:pPr>
      <w:r>
        <w:rPr>
          <w:rFonts w:ascii="Arial" w:cs="Arial" w:eastAsia="Arial" w:hAnsi="Arial"/>
          <w:sz w:val="16"/>
          <w:szCs w:val="16"/>
          <w:i w:val="1"/>
          <w:iCs w:val="1"/>
          <w:color w:val="auto"/>
        </w:rPr>
        <w:t>Term Loans</w:t>
      </w:r>
      <w:r>
        <w:rPr>
          <w:rFonts w:ascii="Arial" w:cs="Arial" w:eastAsia="Arial" w:hAnsi="Arial"/>
          <w:sz w:val="16"/>
          <w:szCs w:val="16"/>
          <w:color w:val="auto"/>
        </w:rPr>
        <w:t>. Unless otherwise agreed to by the Administrative Agent, to request the Term Loans, the Borrower shall notify the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Agent of such request by electronic mail (i) in the case of a Eurodollar Loan, not later than 2:00 p.m., New York City time, two (2) Business Days before the Closing Date and (ii) in the case of an ABR Loan, not later than 1:00 p.m., New York City time one (1) Business Day before the Closing Date. Each such Term Loan request shall be irrevocable and shall be confirmed promptly by hand delivery or telecopy to the Administrative Agent of a written Loan Request signed by the Borrower. Each such Loan Request shall specify the following information in compliance with Section 2.01:</w:t>
      </w:r>
    </w:p>
    <w:p>
      <w:pPr>
        <w:spacing w:after="0" w:line="50" w:lineRule="exact"/>
        <w:rPr>
          <w:rFonts w:ascii="Arial" w:cs="Arial" w:eastAsia="Arial" w:hAnsi="Arial"/>
          <w:sz w:val="16"/>
          <w:szCs w:val="16"/>
          <w:color w:val="auto"/>
        </w:rPr>
      </w:pPr>
    </w:p>
    <w:p>
      <w:pPr>
        <w:ind w:left="1120" w:hanging="217"/>
        <w:spacing w:after="0"/>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aggregate amount of the requested Term Loan (which shall comply with Section 2.01(d));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Borrowing Date of such Term Loan, which shall be a Business Day;</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whether such Term Loan is to be an ABR Loan or a Eurodollar Loan; and</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20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a Eurodollar Loan, the initial Interest Period to be applicable thereto, which shall be a period contemplated by the definition of the term “Interest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155" w:name="page156"/>
    <w:bookmarkEnd w:id="15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no election as to the Type of Term Loan is specified, then the requested Term Loan shall be an ABR Loan. If no Interest Period is specified with respect to any requested Eurodollar Loan, then the Borrower shall be deemed to have selected an Interest Period of one month’s duration. Promptly following receipt of a Loan Request in accordance with this Section 2.03(b), the Administrative Agent shall advise each Term Lender of the details thereof and of the amount of such Term Lender’s Loan to be made as part of the requested Term Loan.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Funding of Loans</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73" w:lineRule="auto"/>
        <w:tabs>
          <w:tab w:leader="none" w:pos="115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Each Revolving Lender shall make each Revolving Loan to be made by it hereunder on the proposed Borrowing Date by wire transfer of immediately available funds by 12:00 noon,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Loans made to finance the reimbursement of an LC Disbursement as provided in Section 2.02(e) shall be remitted by the Administrative Agent to the relevant Issuing Lender.</w:t>
      </w:r>
    </w:p>
    <w:p>
      <w:pPr>
        <w:spacing w:after="0" w:line="178" w:lineRule="exact"/>
        <w:rPr>
          <w:rFonts w:ascii="Arial" w:cs="Arial" w:eastAsia="Arial" w:hAnsi="Arial"/>
          <w:sz w:val="17"/>
          <w:szCs w:val="17"/>
          <w:color w:val="auto"/>
        </w:rPr>
      </w:pPr>
    </w:p>
    <w:p>
      <w:pPr>
        <w:ind w:right="40" w:firstLine="921"/>
        <w:spacing w:after="0" w:line="257" w:lineRule="auto"/>
        <w:tabs>
          <w:tab w:leader="none" w:pos="11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Term Lender shall make each Term Loan to be made by it hereunder on the Borrowing Date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w:t>
      </w:r>
    </w:p>
    <w:p>
      <w:pPr>
        <w:spacing w:after="0" w:line="188" w:lineRule="exact"/>
        <w:rPr>
          <w:rFonts w:ascii="Arial" w:cs="Arial" w:eastAsia="Arial" w:hAnsi="Arial"/>
          <w:sz w:val="18"/>
          <w:szCs w:val="18"/>
          <w:color w:val="auto"/>
        </w:rPr>
      </w:pPr>
    </w:p>
    <w:p>
      <w:pPr>
        <w:ind w:firstLine="921"/>
        <w:spacing w:after="0" w:line="253" w:lineRule="auto"/>
        <w:tabs>
          <w:tab w:leader="none" w:pos="11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Borrowing Date (or, with respect to any ABR Loan made on same-day notice, prior to 11:00 a.m., New York City time, on the Borrowing Date of such Loan) that such Lender will not make available to the Administrative Agent such Lender’s share of such Loan, the Administrative Agent may assume that such Lender has made such share available on such Borrowing Date in accordance with paragraph (a) and/or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156" w:name="page157"/>
    <w:bookmarkEnd w:id="156"/>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pays such amount to the Administrative Agent, then such amount shall constitute such Lender’s Loan included in such Loan and the Borrower shall not be obligated to repay such amount pursuant to the preceding sentence if not previously repaid.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225" w:lineRule="exact"/>
        <w:rPr>
          <w:sz w:val="20"/>
          <w:szCs w:val="20"/>
          <w:color w:val="auto"/>
        </w:rPr>
      </w:pPr>
    </w:p>
    <w:p>
      <w:pPr>
        <w:jc w:val="both"/>
        <w:ind w:right="460" w:firstLine="921"/>
        <w:spacing w:after="0" w:line="264" w:lineRule="auto"/>
        <w:tabs>
          <w:tab w:leader="none" w:pos="1158" w:val="left"/>
        </w:tabs>
        <w:numPr>
          <w:ilvl w:val="2"/>
          <w:numId w:val="121"/>
        </w:numPr>
        <w:rPr>
          <w:rFonts w:ascii="Arial" w:cs="Arial" w:eastAsia="Arial" w:hAnsi="Arial"/>
          <w:sz w:val="18"/>
          <w:szCs w:val="18"/>
          <w:color w:val="auto"/>
        </w:rPr>
      </w:pPr>
      <w:r>
        <w:rPr>
          <w:rFonts w:ascii="Arial" w:cs="Arial" w:eastAsia="Arial" w:hAnsi="Arial"/>
          <w:sz w:val="18"/>
          <w:szCs w:val="18"/>
          <w:color w:val="auto"/>
        </w:rPr>
        <w:t xml:space="preserve">The Borrower may elect from time to time to (i) convert ABR Loans to Eurodollar Loans, (ii) convert Eurodollar Loans to ABR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conversion of Eurodollar Loans may be made only on the last day of an Interest Period with respect thereto or (iii) continue any Eurodollar Loan as such upon the expiration of the then current Interest Period with respect thereto.</w:t>
      </w:r>
    </w:p>
    <w:p>
      <w:pPr>
        <w:spacing w:after="0" w:line="181" w:lineRule="exact"/>
        <w:rPr>
          <w:rFonts w:ascii="Arial" w:cs="Arial" w:eastAsia="Arial" w:hAnsi="Arial"/>
          <w:sz w:val="18"/>
          <w:szCs w:val="18"/>
          <w:color w:val="auto"/>
        </w:rPr>
      </w:pPr>
    </w:p>
    <w:p>
      <w:pPr>
        <w:ind w:right="240" w:firstLine="921"/>
        <w:spacing w:after="0" w:line="291" w:lineRule="auto"/>
        <w:tabs>
          <w:tab w:leader="none" w:pos="1168" w:val="left"/>
        </w:tabs>
        <w:numPr>
          <w:ilvl w:val="2"/>
          <w:numId w:val="121"/>
        </w:numPr>
        <w:rPr>
          <w:rFonts w:ascii="Arial" w:cs="Arial" w:eastAsia="Arial" w:hAnsi="Arial"/>
          <w:sz w:val="16"/>
          <w:szCs w:val="16"/>
          <w:color w:val="auto"/>
        </w:rPr>
      </w:pPr>
      <w:r>
        <w:rPr>
          <w:rFonts w:ascii="Arial" w:cs="Arial" w:eastAsia="Arial" w:hAnsi="Arial"/>
          <w:sz w:val="16"/>
          <w:szCs w:val="16"/>
          <w:color w:val="auto"/>
        </w:rPr>
        <w:t>To make an Interest Election Request pursuant to this Section 2.05, the Borrower shall notify the Administrative Agent of such election by hand or facsimile delivery or by electronic mail of a written Interest Election Request by the time that a Loan Request would be required under</w:t>
      </w:r>
    </w:p>
    <w:p>
      <w:pPr>
        <w:ind w:right="200"/>
        <w:spacing w:after="0" w:line="277" w:lineRule="auto"/>
        <w:rPr>
          <w:rFonts w:ascii="Arial" w:cs="Arial" w:eastAsia="Arial" w:hAnsi="Arial"/>
          <w:sz w:val="16"/>
          <w:szCs w:val="16"/>
          <w:color w:val="auto"/>
        </w:rPr>
      </w:pPr>
      <w:r>
        <w:rPr>
          <w:rFonts w:ascii="Arial" w:cs="Arial" w:eastAsia="Arial" w:hAnsi="Arial"/>
          <w:sz w:val="17"/>
          <w:szCs w:val="17"/>
          <w:color w:val="auto"/>
        </w:rPr>
        <w:t>Section 2.03(a) or Section 2.03(b) if the Borrower were requesting a Loan of the Type resulting from such election to be made on the effective date of such election. Each such Interest Election Request shall be irrevocable and shall be confirmed promptly by hand delivery, electronic mail or telecopy to the Administrative Agent of a written Interest Election Request in substantially the same form as a Loan Request signed by the Borrower.</w:t>
      </w:r>
    </w:p>
    <w:p>
      <w:pPr>
        <w:spacing w:after="0" w:line="173" w:lineRule="exact"/>
        <w:rPr>
          <w:rFonts w:ascii="Arial" w:cs="Arial" w:eastAsia="Arial" w:hAnsi="Arial"/>
          <w:sz w:val="16"/>
          <w:szCs w:val="16"/>
          <w:color w:val="auto"/>
        </w:rPr>
      </w:pPr>
    </w:p>
    <w:p>
      <w:pPr>
        <w:ind w:left="1160" w:hanging="239"/>
        <w:spacing w:after="0"/>
        <w:tabs>
          <w:tab w:leader="none" w:pos="116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Each Interest Election Request shall specify the following information in compliance with Section 2.01:</w:t>
      </w:r>
    </w:p>
    <w:p>
      <w:pPr>
        <w:spacing w:after="0" w:line="117" w:lineRule="exact"/>
        <w:rPr>
          <w:rFonts w:ascii="Arial" w:cs="Arial" w:eastAsia="Arial" w:hAnsi="Arial"/>
          <w:sz w:val="18"/>
          <w:szCs w:val="18"/>
          <w:color w:val="auto"/>
        </w:rPr>
      </w:pPr>
    </w:p>
    <w:p>
      <w:pPr>
        <w:jc w:val="both"/>
        <w:ind w:left="460" w:right="360" w:firstLine="443"/>
        <w:spacing w:after="0" w:line="291" w:lineRule="auto"/>
        <w:tabs>
          <w:tab w:leader="none" w:pos="111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760" w:hanging="296"/>
        <w:spacing w:after="0"/>
        <w:tabs>
          <w:tab w:leader="none" w:pos="7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below shall be specified for each resulting Borrowing);</w:t>
      </w:r>
    </w:p>
    <w:p>
      <w:pPr>
        <w:spacing w:after="0" w:line="102" w:lineRule="exact"/>
        <w:rPr>
          <w:rFonts w:ascii="Arial" w:cs="Arial" w:eastAsia="Arial" w:hAnsi="Arial"/>
          <w:sz w:val="18"/>
          <w:szCs w:val="18"/>
          <w:color w:val="auto"/>
        </w:rPr>
      </w:pPr>
    </w:p>
    <w:p>
      <w:pPr>
        <w:ind w:left="1160" w:hanging="257"/>
        <w:spacing w:after="0"/>
        <w:tabs>
          <w:tab w:leader="none" w:pos="11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20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any such Interest Election Request requests a Eurodollar Borrowing but does not specify an Interest Period, then the Borrower shall be deemed to have selected an Interest Period of one month’s duration.</w:t>
      </w:r>
    </w:p>
    <w:p>
      <w:pPr>
        <w:spacing w:after="0" w:line="170" w:lineRule="exact"/>
        <w:rPr>
          <w:sz w:val="20"/>
          <w:szCs w:val="20"/>
          <w:color w:val="auto"/>
        </w:rPr>
      </w:pPr>
    </w:p>
    <w:p>
      <w:pPr>
        <w:ind w:right="220" w:firstLine="921"/>
        <w:spacing w:after="0" w:line="277" w:lineRule="auto"/>
        <w:tabs>
          <w:tab w:leader="none" w:pos="116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ind w:firstLine="921"/>
        <w:spacing w:after="0" w:line="276" w:lineRule="auto"/>
        <w:tabs>
          <w:tab w:leader="none" w:pos="115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 one-month Eurodollar Borrowing. Notwithstanding any contrary provision hereof, if an Event of Default has occurred and is continuing, and upon the request of the Required Lenders, (i) no outstanding Borrowing may be converted to or continued as a Eurodollar Borrowing and (ii) unless repaid, each Eurodollar Borrowing shall be converted to an ABR Borrowing at the end of the Interest Period applicable thereto.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74" w:right="279" w:bottom="1440" w:gutter="0" w:footer="0" w:header="0"/>
        </w:sectPr>
      </w:pPr>
    </w:p>
    <w:bookmarkStart w:id="157" w:name="page158"/>
    <w:bookmarkEnd w:id="157"/>
    <w:p>
      <w:pPr>
        <w:ind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2.06. </w:t>
      </w:r>
      <w:r>
        <w:rPr>
          <w:rFonts w:ascii="Arial" w:cs="Arial" w:eastAsia="Arial" w:hAnsi="Arial"/>
          <w:sz w:val="17"/>
          <w:szCs w:val="17"/>
          <w:u w:val="single" w:color="auto"/>
          <w:color w:val="auto"/>
        </w:rPr>
        <w:t>Limitation on Eurodollar Tranches</w:t>
      </w:r>
      <w:r>
        <w:rPr>
          <w:rFonts w:ascii="Arial" w:cs="Arial" w:eastAsia="Arial" w:hAnsi="Arial"/>
          <w:sz w:val="17"/>
          <w:szCs w:val="17"/>
          <w:color w:val="auto"/>
        </w:rPr>
        <w:t>. Notwithstanding anything to the contrary in this Agreement, all borrowings, conversions and continuations of Eurodollar Loans and all selections of Interest Periods shall be in such amounts and be made pursuant to such elections so that, (a) after giving effect thereto, the aggregate principal amount of the Eurodollar Loans comprising each Eurodollar Tranche shall be equal to $1,000,000 or a whole multiple of $1,000,000 in excess thereof and (b) no more than twenty Eurodollar Tranches shall be outstanding at any one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on Loans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308" w:lineRule="auto"/>
        <w:tabs>
          <w:tab w:leader="none" w:pos="115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Subject to the provisions of Section 2.08, each ABR Loan shall bear interest (computed on the basis of the actual number of days elapsed over a year of 365 days or 366 days in a leap year) at a rate per annum equal to the Alternate Base Rate plus the Applicable Margin.</w:t>
      </w:r>
    </w:p>
    <w:p>
      <w:pPr>
        <w:spacing w:after="0" w:line="146" w:lineRule="exact"/>
        <w:rPr>
          <w:rFonts w:ascii="Arial" w:cs="Arial" w:eastAsia="Arial" w:hAnsi="Arial"/>
          <w:sz w:val="17"/>
          <w:szCs w:val="17"/>
          <w:color w:val="auto"/>
        </w:rPr>
      </w:pPr>
    </w:p>
    <w:p>
      <w:pPr>
        <w:ind w:right="160" w:firstLine="921"/>
        <w:spacing w:after="0" w:line="264" w:lineRule="auto"/>
        <w:tabs>
          <w:tab w:leader="none" w:pos="116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the provisions of Section 2.08, each Eurodollar Loan shall bear interest (computed on the basis of the actual number of days elapsed over a year of 360 days) at a rate per annum equal, during each Interest Period applicable thereto, to the LIBO Rate for such Interest Period in effect for such Borrowing plus the Applicable Margin.</w:t>
      </w:r>
    </w:p>
    <w:p>
      <w:pPr>
        <w:spacing w:after="0" w:line="181" w:lineRule="exact"/>
        <w:rPr>
          <w:rFonts w:ascii="Arial" w:cs="Arial" w:eastAsia="Arial" w:hAnsi="Arial"/>
          <w:sz w:val="18"/>
          <w:szCs w:val="18"/>
          <w:color w:val="auto"/>
        </w:rPr>
      </w:pPr>
    </w:p>
    <w:p>
      <w:pPr>
        <w:ind w:right="60" w:firstLine="921"/>
        <w:spacing w:after="0" w:line="312" w:lineRule="auto"/>
        <w:tabs>
          <w:tab w:leader="none" w:pos="115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Accrued interest on all Loans shall be payable in arrears on each Interest Payment Date applicable thereto, on the Termination Date with respect to such Loans and thereafter on written demand and upon any repayment or prepayment thereof (on the amount repaid or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conversion of any Eurodollar Loan to an ABR Loan, accrued interest on such Loan shall be payable on the effective date of such conversion.</w:t>
      </w:r>
    </w:p>
    <w:p>
      <w:pPr>
        <w:spacing w:after="0" w:line="147"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Default Interest</w:t>
      </w:r>
      <w:r>
        <w:rPr>
          <w:rFonts w:ascii="Arial" w:cs="Arial" w:eastAsia="Arial" w:hAnsi="Arial"/>
          <w:sz w:val="16"/>
          <w:szCs w:val="16"/>
          <w:color w:val="auto"/>
        </w:rPr>
        <w:t>. If the Borrower or any Guarantor, as the case may be, shall default in the payment of the principal of or interest on any Loan or in the payment of any other amount becoming due hereunder (including, without limitation, the reimbursement pursuant to Section 2.02(e) of any LC Disbursements),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158" w:name="page159"/>
    <w:bookmarkEnd w:id="158"/>
    <w:p>
      <w:pPr>
        <w:ind w:right="1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2.09.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In the event, and on each occasion, that on the date that is two (2) Business Days prior to the commencement of any Interest Period for a Eurodollar Loan, the Administrative Agent shall have reasonably determined (which determination shall be conclusive and binding upon the Borrower absent manifest error) that reasonable means do not exist for ascertaining the applicable LIBO Rate, the Administrative Agent shall, as soon as practicable thereafter, give written, facsimile or telegraphic notice of such determination to the Borrower and the Lenders and, until the circumstances giving rise to such notice no longer exist, any request by the Borrower for a Borrowing of Eurodollar Loans hereunder (including pursuant to a refinancing with Eurodollar Loans and including any request to continue, or to convert to, Eurodollar Loans) shall be deemed a request for a Borrowing of ABR Loans.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Amortization of Term Loans; Repayment of Loans; Evidence of Debt</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308" w:lineRule="auto"/>
        <w:tabs>
          <w:tab w:leader="none" w:pos="115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Borrower hereby unconditionally promises to pay to the Administrative Agent for the ratable account of each Revolving Lender the then unpaid principal amount of each Revolving Loan then outstanding on the Revolving Facility Termination Date applicable to such Revolving Loan.</w:t>
      </w:r>
    </w:p>
    <w:p>
      <w:pPr>
        <w:spacing w:after="0" w:line="146" w:lineRule="exact"/>
        <w:rPr>
          <w:rFonts w:ascii="Arial" w:cs="Arial" w:eastAsia="Arial" w:hAnsi="Arial"/>
          <w:sz w:val="17"/>
          <w:szCs w:val="17"/>
          <w:color w:val="auto"/>
        </w:rPr>
      </w:pPr>
    </w:p>
    <w:p>
      <w:pPr>
        <w:ind w:firstLine="921"/>
        <w:spacing w:after="0" w:line="255" w:lineRule="auto"/>
        <w:tabs>
          <w:tab w:leader="none" w:pos="11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principal amounts of the Class B Term Loans shall be repaid in consecutive annual installments (each, an “</w:t>
      </w:r>
      <w:r>
        <w:rPr>
          <w:rFonts w:ascii="Arial" w:cs="Arial" w:eastAsia="Arial" w:hAnsi="Arial"/>
          <w:sz w:val="18"/>
          <w:szCs w:val="18"/>
          <w:i w:val="1"/>
          <w:iCs w:val="1"/>
          <w:color w:val="auto"/>
        </w:rPr>
        <w:t>Installment</w:t>
      </w:r>
      <w:r>
        <w:rPr>
          <w:rFonts w:ascii="Arial" w:cs="Arial" w:eastAsia="Arial" w:hAnsi="Arial"/>
          <w:sz w:val="18"/>
          <w:szCs w:val="18"/>
          <w:color w:val="auto"/>
        </w:rPr>
        <w:t xml:space="preserve">”) of 1.00% of the sum of (i) the original aggregate principal amount hereunder as of the Closing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original aggregate principal amount of any Incremental Term Loans of the same Class as the Class B Term Loans from time to time after the Closing Date, on each anniversary of the Closing Date occurring prior to the Term Loan Maturity Date with respect to such Class B Term Loans commencing on April 28, 2017. Notwithstanding the foregoing, (1) such Installments shall be reduced in connection with any mandatory or voluntary prepayments of the Class B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189"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ind w:right="20" w:firstLine="921"/>
        <w:spacing w:after="0" w:line="302" w:lineRule="auto"/>
        <w:tabs>
          <w:tab w:leader="none" w:pos="116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274" w:right="319" w:bottom="1440" w:gutter="0" w:footer="0" w:header="0"/>
        </w:sectPr>
      </w:pPr>
    </w:p>
    <w:bookmarkStart w:id="159" w:name="page160"/>
    <w:bookmarkEnd w:id="159"/>
    <w:p>
      <w:pPr>
        <w:ind w:right="180" w:firstLine="921"/>
        <w:spacing w:after="0" w:line="312" w:lineRule="auto"/>
        <w:tabs>
          <w:tab w:leader="none" w:pos="1158" w:val="left"/>
        </w:tabs>
        <w:numPr>
          <w:ilvl w:val="0"/>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entries made in the accounts maintained pursuant to paragraph (c) or (d) of this Section 2.10 shall be prima facie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46" w:lineRule="exact"/>
        <w:rPr>
          <w:rFonts w:ascii="Arial" w:cs="Arial" w:eastAsia="Arial" w:hAnsi="Arial"/>
          <w:sz w:val="16"/>
          <w:szCs w:val="16"/>
          <w:color w:val="auto"/>
        </w:rPr>
      </w:pPr>
    </w:p>
    <w:p>
      <w:pPr>
        <w:jc w:val="both"/>
        <w:ind w:right="240" w:firstLine="921"/>
        <w:spacing w:after="0" w:line="302" w:lineRule="auto"/>
        <w:tabs>
          <w:tab w:leader="none" w:pos="113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Optional Termination or Reduction of Revolving Commitments</w:t>
      </w:r>
      <w:r>
        <w:rPr>
          <w:rFonts w:ascii="Arial" w:cs="Arial" w:eastAsia="Arial" w:hAnsi="Arial"/>
          <w:sz w:val="16"/>
          <w:szCs w:val="16"/>
          <w:color w:val="auto"/>
        </w:rPr>
        <w:t>. Upon at least one (1) Business Day prior written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the Borrower may at any time in whole permanently terminate the Total Revolving Commitment (subject to compliance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2.12(e)), or from time to time in part permanently reduce the Unused Total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notice shall be revocable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any time prior to such reduction or termination, as the case may be, or to the extent such termination or reduction would have resulted from a refinancing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which refinancing shall not be consummated or shall otherwise be delayed. Each such reduction of the Unused Total Revolving Commitment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in the principal amount not less than $1,000,000 and in an integral multiple of $1,000,000. Simultaneously with each reduction or termination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Revolving Commitment, the Borrower shall pay to the Administrative Agent for the account of each Revolving Lender the Commitment Fee accrued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unpaid on the amount of the Revolving Commitment of such Revolving Lender so terminated or reduced through the date thereof. Any reduction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Unused Total Revolving Commitment pursuant to this Section 2.11 shall be applied to reduce the Revolving Commitment of each Revolving Lender on a pro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rata basis.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Mandatory Prepayment of Loans; Commitment Termination</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0" w:lineRule="auto"/>
        <w:tabs>
          <w:tab w:leader="none" w:pos="115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If, as a result of a Disposition of Collateral or Recovery Event (which for the purposes of Section 6.04 shall be deemed to be a Disposition that is not a voluntary Disposition), the Borrower is not in compliance with Section 6.04 within the time periods set forth in Section 6.04, the Borrower shall deposit, on the next Business Day (or, if later, within five (5) Business Days of Parent or any of its Subsidiaries receiving any Net Proceeds as a result of such Disposition of Collateral or Recovery Event), cash in an amount (the “</w:t>
      </w:r>
      <w:r>
        <w:rPr>
          <w:rFonts w:ascii="Arial" w:cs="Arial" w:eastAsia="Arial" w:hAnsi="Arial"/>
          <w:sz w:val="17"/>
          <w:szCs w:val="17"/>
          <w:i w:val="1"/>
          <w:iCs w:val="1"/>
          <w:color w:val="auto"/>
        </w:rPr>
        <w:t>Net Proceeds Amount</w:t>
      </w:r>
      <w:r>
        <w:rPr>
          <w:rFonts w:ascii="Arial" w:cs="Arial" w:eastAsia="Arial" w:hAnsi="Arial"/>
          <w:sz w:val="17"/>
          <w:szCs w:val="17"/>
          <w:color w:val="auto"/>
        </w:rPr>
        <w:t xml:space="preserve">”) equal to the amount of such received Net Proceeds (solely to the extent necessary to maintain compliance with Section 6.04) into the Collateral Proceeds Account that is maintained with the Collateral Agent for such purpose and subject to an Account Control Agreement and thereafter such Net Proceeds Amount shall be applied (to the extent not otherwise applied pursuant to the immediately succeeding proviso and solely to the extent the Borrower is not in compliance with Section 6.04) in accordance with the requirements of Section 2.12(c);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may use such Net Proceeds Amount to replace with Qualified Replacement Assets or, solely in the case of any Net Proceeds Amount in respect of any Recovery Event,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160" w:name="page161"/>
    <w:bookmarkEnd w:id="16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repair the assets which are the subject of such Disposition of Collateral or Recovery Event within 365 days after such deposit is made, (ii) all such Net Proceeds Amounts shall be subject to release as provided in Section 6.09(c) or, at the option of the Borrower at any time, may be applied in accordance with the requirements of Section 2.12(c) and (iii) upon the occurrence of an Event of Default, the amount of any such deposit may be applied by the Administrative Agent in accordance with Section 2.12(c);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release of any Net Proceeds Amount pursuant to clause (ii) of this Section 2.12(a) shall be conditioned on the Borrower being in compliance with Section 6.04 after giving effect thereto (it being understood that the failure to be in compliance with Section 6.04 shall not prevent the release of any Net Proceeds Amount in connection with any repair or replacement of assets permitted hereunder so long as no decrease in the Collateral Coverage Ratio will result therefrom).</w:t>
      </w:r>
    </w:p>
    <w:p>
      <w:pPr>
        <w:spacing w:after="0" w:line="178" w:lineRule="exact"/>
        <w:rPr>
          <w:sz w:val="20"/>
          <w:szCs w:val="20"/>
          <w:color w:val="auto"/>
        </w:rPr>
      </w:pPr>
    </w:p>
    <w:p>
      <w:pPr>
        <w:ind w:right="80" w:firstLine="921"/>
        <w:spacing w:after="0" w:line="277" w:lineRule="auto"/>
        <w:tabs>
          <w:tab w:leader="none" w:pos="116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Borrower shall prepay the Loans (without, in the case of any Revolving Loan, any corresponding reduction in Revolving Commitments) when and in an amount necessary to comply with Section 6.09(b).</w:t>
      </w:r>
    </w:p>
    <w:p>
      <w:pPr>
        <w:spacing w:after="0" w:line="170" w:lineRule="exact"/>
        <w:rPr>
          <w:rFonts w:ascii="Arial" w:cs="Arial" w:eastAsia="Arial" w:hAnsi="Arial"/>
          <w:sz w:val="18"/>
          <w:szCs w:val="18"/>
          <w:color w:val="auto"/>
        </w:rPr>
      </w:pPr>
    </w:p>
    <w:p>
      <w:pPr>
        <w:ind w:right="20" w:firstLine="921"/>
        <w:spacing w:after="0" w:line="291" w:lineRule="auto"/>
        <w:tabs>
          <w:tab w:leader="none" w:pos="115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Amounts required to be applied to the prepayment of Loans pursuant to Sections 2.12(a), (b), (h) and (i) shall be applied to prepay the outstanding Term Loans in accordance with Section 2.17(e)(i) and/or the outstanding Revolving Loans in accordance with Section 2.17(e)(ii) (and to provide Cash Collateralization for the outstanding LC Exposure following the repayment of all outstanding Revolving Loans), in an amount necessary to comply with Section 6.04 or 6.09(b), as the case may be, in each case as directed by the Borrower. Any such prepayments of Revolving Loans (and Cash Collateralization of the outstanding LC Exposure) shall not result in a corresponding permanent reduction in the Revolving Commitments. Any Cash Collateralization of outstanding LC Exposure shall be consummated in accordance with Section 2.02(j). The application of any prepayment pursuant to this Section 2.12 shall be made,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ABR Loans and, </w:t>
      </w:r>
      <w:r>
        <w:rPr>
          <w:rFonts w:ascii="Arial" w:cs="Arial" w:eastAsia="Arial" w:hAnsi="Arial"/>
          <w:sz w:val="16"/>
          <w:szCs w:val="16"/>
          <w:i w:val="1"/>
          <w:iCs w:val="1"/>
          <w:color w:val="auto"/>
        </w:rPr>
        <w:t>second</w:t>
      </w:r>
      <w:r>
        <w:rPr>
          <w:rFonts w:ascii="Arial" w:cs="Arial" w:eastAsia="Arial" w:hAnsi="Arial"/>
          <w:sz w:val="16"/>
          <w:szCs w:val="16"/>
          <w:color w:val="auto"/>
        </w:rPr>
        <w:t>, to Eurodollar Loans. Term Loans prepaid pursuant to this Section 2.12 may not be reborrowed.</w:t>
      </w:r>
    </w:p>
    <w:p>
      <w:pPr>
        <w:spacing w:after="0" w:line="167" w:lineRule="exact"/>
        <w:rPr>
          <w:rFonts w:ascii="Arial" w:cs="Arial" w:eastAsia="Arial" w:hAnsi="Arial"/>
          <w:sz w:val="16"/>
          <w:szCs w:val="16"/>
          <w:color w:val="auto"/>
        </w:rPr>
      </w:pPr>
    </w:p>
    <w:p>
      <w:pPr>
        <w:ind w:right="160" w:firstLine="921"/>
        <w:spacing w:after="0" w:line="259" w:lineRule="auto"/>
        <w:tabs>
          <w:tab w:leader="none" w:pos="116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w:t>
      </w:r>
    </w:p>
    <w:p>
      <w:pPr>
        <w:spacing w:after="0" w:line="186" w:lineRule="exact"/>
        <w:rPr>
          <w:rFonts w:ascii="Arial" w:cs="Arial" w:eastAsia="Arial" w:hAnsi="Arial"/>
          <w:sz w:val="18"/>
          <w:szCs w:val="18"/>
          <w:color w:val="auto"/>
        </w:rPr>
      </w:pPr>
    </w:p>
    <w:p>
      <w:pPr>
        <w:jc w:val="both"/>
        <w:ind w:firstLine="921"/>
        <w:spacing w:after="0" w:line="264" w:lineRule="auto"/>
        <w:tabs>
          <w:tab w:leader="none" w:pos="11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the Revolving Facility Termination Date applicable to any Revolving Commitment, such Revolving Commitment shall be terminated in full and the Borrower shall repay the applicable Revolving Loans in full and, except as the Administrative Agent may otherwise agree in writing, if any Letter of Credit remains outstanding, comply with Section 2.02(j) in accordance therewith.</w:t>
      </w:r>
    </w:p>
    <w:p>
      <w:pPr>
        <w:spacing w:after="0" w:line="181" w:lineRule="exact"/>
        <w:rPr>
          <w:rFonts w:ascii="Arial" w:cs="Arial" w:eastAsia="Arial" w:hAnsi="Arial"/>
          <w:sz w:val="18"/>
          <w:szCs w:val="18"/>
          <w:color w:val="auto"/>
        </w:rPr>
      </w:pPr>
    </w:p>
    <w:p>
      <w:pPr>
        <w:ind w:right="240" w:firstLine="921"/>
        <w:spacing w:after="0" w:line="264" w:lineRule="auto"/>
        <w:tabs>
          <w:tab w:leader="none" w:pos="112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prepayments under this Section 2.12 shall be accompanied by accrued but unpaid interest on the principal amount being prepaid to (but not including) the date of prepayment, plus, if applicable, any accrued and unpaid Fees and any losses, costs and expenses, as more fully described in Section 2.15.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161" w:name="page162"/>
    <w:bookmarkEnd w:id="161"/>
    <w:p>
      <w:pPr>
        <w:ind w:left="-8" w:right="40" w:firstLine="921"/>
        <w:spacing w:after="0" w:line="288" w:lineRule="auto"/>
        <w:tabs>
          <w:tab w:leader="none" w:pos="1160" w:val="left"/>
        </w:tabs>
        <w:numPr>
          <w:ilvl w:val="1"/>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Change of Control occurs, within thirty (30) days following the occurrence of such Change of Control, the Borrower (or Parent (or any third party on behalf of the Borrower)) shall (i) prepay all of the outstanding Loans at a prepayment price equal to 100% of the principal amount thereof, plus accrued and unpaid interest, if any, to the date of prepayment, (ii) discharge all of the LC Exposure, if any, by Cash Collateralizing such LC Exposure and</w:t>
      </w:r>
    </w:p>
    <w:p>
      <w:pPr>
        <w:ind w:left="312" w:hanging="312"/>
        <w:spacing w:after="0"/>
        <w:tabs>
          <w:tab w:leader="none" w:pos="31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terminate all of the Unused Total Revolving Commitment, if any, in accordance with this Section 2.12.</w:t>
      </w:r>
    </w:p>
    <w:p>
      <w:pPr>
        <w:spacing w:after="0" w:line="210" w:lineRule="exact"/>
        <w:rPr>
          <w:rFonts w:ascii="Arial" w:cs="Arial" w:eastAsia="Arial" w:hAnsi="Arial"/>
          <w:sz w:val="18"/>
          <w:szCs w:val="18"/>
          <w:color w:val="auto"/>
        </w:rPr>
      </w:pPr>
    </w:p>
    <w:p>
      <w:pPr>
        <w:ind w:left="-8" w:firstLine="921"/>
        <w:spacing w:after="0" w:line="255" w:lineRule="auto"/>
        <w:tabs>
          <w:tab w:leader="none" w:pos="11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at any time on or after Initial Collateral Release Date, it is determined that a Core Collateral Failure has occurred, and the Borrower has not granted (or caused another Grantor to grant), within the time period specified in Section 6.09(b)(y), a security interest in Additional Collateral such that following such grant the Collateral shall include at least one category of Core Collateral,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w:t>
      </w:r>
    </w:p>
    <w:p>
      <w:pPr>
        <w:spacing w:after="0" w:line="193" w:lineRule="exact"/>
        <w:rPr>
          <w:rFonts w:ascii="Arial" w:cs="Arial" w:eastAsia="Arial" w:hAnsi="Arial"/>
          <w:sz w:val="18"/>
          <w:szCs w:val="18"/>
          <w:color w:val="auto"/>
        </w:rPr>
      </w:pPr>
    </w:p>
    <w:p>
      <w:pPr>
        <w:ind w:left="-8" w:right="60" w:firstLine="921"/>
        <w:spacing w:after="0" w:line="255" w:lineRule="auto"/>
        <w:tabs>
          <w:tab w:leader="none" w:pos="11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immediately after giving effect to any Borrower Release, there would be a Collateral Coverage Ratio Failure, the Borrower shall do one or more of the following: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w:t>
      </w:r>
    </w:p>
    <w:p>
      <w:pPr>
        <w:spacing w:after="0" w:line="19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Optional Prepayment of Loans</w:t>
      </w:r>
      <w:r>
        <w:rPr>
          <w:rFonts w:ascii="Arial" w:cs="Arial" w:eastAsia="Arial" w:hAnsi="Arial"/>
          <w:sz w:val="18"/>
          <w:szCs w:val="18"/>
          <w:color w:val="auto"/>
        </w:rPr>
        <w:t>.</w:t>
      </w:r>
    </w:p>
    <w:p>
      <w:pPr>
        <w:spacing w:after="0" w:line="225" w:lineRule="exact"/>
        <w:rPr>
          <w:sz w:val="20"/>
          <w:szCs w:val="20"/>
          <w:color w:val="auto"/>
        </w:rPr>
      </w:pPr>
    </w:p>
    <w:p>
      <w:pPr>
        <w:ind w:left="-8" w:right="120" w:firstLine="921"/>
        <w:spacing w:after="0" w:line="269" w:lineRule="auto"/>
        <w:tabs>
          <w:tab w:leader="none" w:pos="115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The Borrower shall have the right, at any time and from time to time, to prepay any Loans, in whole or in part, (i) with respect to Eurodollar Loans, upon (A) written or facsimile notice or notice by electronic mail (which notice may be conditional notice) to the Administrative Agent or (B) written or facsimile notice (or notice by electronic mail) (which notice may be conditional notice) to the Administrative Agent, in any case received by 1:00 p.m., New York City time, three (3) Business Days prior to the proposed date of prepayment and (ii) with respect to ABR Loans, upon written or facsimile notice (or notice by electronic mail) (which notice may be conditional notice) to the Administrative Agent received by 1:00 p.m., New York City time, one (1) Business Day prior to the proposed date of prepayment;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Loans may be prepaid on the same day notice is given if such notice is received by the Administrative Agent by 12:00 noon, New York City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revocation of such conditional notice occurs within the applicable notice period plus 5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each such partial prepayment shall be in an amount not less than $1,000,000 and in integral multiples of $1,000,000 in the case of Eurodollar Loans and integral multiples of $100,000 in the case of ABR Loans, (B) no prepayment of Eurodollar Loans shall be permitted pursuant to this Section 2.13(a) other than on the last day of an Interest Period applicable thereto unless such prepayment is accompanied by the payment of the amounts</w:t>
      </w:r>
    </w:p>
    <w:p>
      <w:pPr>
        <w:spacing w:after="0" w:line="1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72"/>
          </w:cols>
          <w:pgMar w:left="248" w:top="274" w:right="279" w:bottom="1440" w:gutter="0" w:footer="0" w:header="0"/>
        </w:sectPr>
      </w:pPr>
    </w:p>
    <w:bookmarkStart w:id="162" w:name="page163"/>
    <w:bookmarkEnd w:id="162"/>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described in Section 2.15, and (C) no partial prepayment of a Eurodollar Tranche shall result in the aggregate principal amount of the Eurodollar Loans remaining outstanding pursuant to such Eurodollar Tranche being less than $1,000,000.</w:t>
      </w:r>
    </w:p>
    <w:p>
      <w:pPr>
        <w:spacing w:after="0" w:line="170" w:lineRule="exact"/>
        <w:rPr>
          <w:sz w:val="20"/>
          <w:szCs w:val="20"/>
          <w:color w:val="auto"/>
        </w:rPr>
      </w:pPr>
    </w:p>
    <w:p>
      <w:pPr>
        <w:ind w:right="140" w:firstLine="921"/>
        <w:spacing w:after="0" w:line="272" w:lineRule="auto"/>
        <w:tabs>
          <w:tab w:leader="none" w:pos="116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prepayments under Section 2.13(a) shall be applied, at the option of the Borrower, to (i) repay the outstanding Revolving Loans of the Revolving Lenders (without any reduction in the Total Revolving Commitment) until all Revolving Loans shall have been paid in full (plus any accrued but unpaid interest and fees thereon) and/or (ii) prepay the Term Loans, in each case as the Borrower shall specify. All such prepayments of Term Loans shall be applied in the manner directed by the Borrower (or, if no such direction is given, in direct order of maturity) to the remaining scheduled Installments of the applicable Class of Term Loans being prepaid. All prepayments under Section 2.13(a) shall be accompanied by accrued but unpaid interest on the principal amount being prepaid to (but not including) the date of prepayment, plus, if applicable, any Fees and any losses, costs and expenses, as more fully described in Section 2.15. Term Loans prepaid pursuant to Section 2.13(a) may not be reborrowed.</w:t>
      </w:r>
    </w:p>
    <w:p>
      <w:pPr>
        <w:spacing w:after="0" w:line="177" w:lineRule="exact"/>
        <w:rPr>
          <w:rFonts w:ascii="Arial" w:cs="Arial" w:eastAsia="Arial" w:hAnsi="Arial"/>
          <w:sz w:val="17"/>
          <w:szCs w:val="17"/>
          <w:color w:val="auto"/>
        </w:rPr>
      </w:pPr>
    </w:p>
    <w:p>
      <w:pPr>
        <w:ind w:firstLine="921"/>
        <w:spacing w:after="0" w:line="293" w:lineRule="auto"/>
        <w:tabs>
          <w:tab w:leader="none" w:pos="115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Each notice of prepayment shall specify the prepayment date, the principal amount of the Loans to be prepaid and, in the case of Eurodollar Loans, the Borrowing or Borrowings to be prepaid and shall commit the Borrower to prepay such Loan by the amount and on the date stated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revoke any notice of prepayment under this Section 2.13 if such prepayment would have resulted from a refinancing of any or all of the Obligations hereunder, which refinancing shall not be consummated or shall otherwise be delayed, or in accordance with Section 2.13(a) if the notice of prepayment was a conditional notice. The Administrative Agent shall, promptly after receiving notice from the Borrower hereunder, notify each Lender of the principal amount of the Loans held by such Lender which are to be prepaid, the prepayment date and the manner of application of the prepayment.</w:t>
      </w:r>
    </w:p>
    <w:p>
      <w:pPr>
        <w:spacing w:after="0" w:line="164" w:lineRule="exact"/>
        <w:rPr>
          <w:rFonts w:ascii="Arial" w:cs="Arial" w:eastAsia="Arial" w:hAnsi="Arial"/>
          <w:sz w:val="16"/>
          <w:szCs w:val="16"/>
          <w:color w:val="auto"/>
        </w:rPr>
      </w:pPr>
    </w:p>
    <w:p>
      <w:pPr>
        <w:ind w:right="100" w:firstLine="921"/>
        <w:spacing w:after="0" w:line="270" w:lineRule="auto"/>
        <w:tabs>
          <w:tab w:leader="none" w:pos="116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In the event that, prior to the date that is six months after the Closing Date, there shall occur any Repricing Event, the Borrower shall pay to the Administrative Agent, for the ratable account of each of the Term Lenders holding Class B Term Loans subject to such Repricing Event, (i) in the case of a Repricing Event of the type described in clause (a) of the definition thereof, a prepayment premium of 1% of the aggregate principal amount of the Class B Term Loans subject to such Repricing Event and (ii) in the case of a Repricing Event of the type described in clause (b) of the definition thereof, an amount equal to 1% of the aggregate principal amount of the Class B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permitted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Term Lender so replaced shall be entitled to the prepayment premium set forth in clause (i) of the preceding sentence with respect to its Class B Term Loans so assigned unless such fee is waived by such Term Lender.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163" w:name="page164"/>
    <w:bookmarkEnd w:id="16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rFonts w:ascii="Arial" w:cs="Arial" w:eastAsia="Arial" w:hAnsi="Arial"/>
          <w:sz w:val="18"/>
          <w:szCs w:val="18"/>
          <w:color w:val="auto"/>
        </w:rPr>
      </w:pPr>
    </w:p>
    <w:p>
      <w:pPr>
        <w:ind w:left="460" w:right="220" w:firstLine="443"/>
        <w:spacing w:after="0" w:line="291" w:lineRule="auto"/>
        <w:tabs>
          <w:tab w:leader="none" w:pos="111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by, any Lender or Issuing Lender (except any such reserve requirement subject to</w:t>
      </w:r>
    </w:p>
    <w:p>
      <w:pPr>
        <w:ind w:left="460"/>
        <w:spacing w:after="0"/>
        <w:rPr>
          <w:rFonts w:ascii="Arial" w:cs="Arial" w:eastAsia="Arial" w:hAnsi="Arial"/>
          <w:sz w:val="16"/>
          <w:szCs w:val="16"/>
          <w:color w:val="auto"/>
        </w:rPr>
      </w:pPr>
      <w:r>
        <w:rPr>
          <w:rFonts w:ascii="Arial" w:cs="Arial" w:eastAsia="Arial" w:hAnsi="Arial"/>
          <w:sz w:val="18"/>
          <w:szCs w:val="18"/>
          <w:color w:val="auto"/>
        </w:rPr>
        <w:t>Section 2.14(c)); or</w:t>
      </w:r>
    </w:p>
    <w:p>
      <w:pPr>
        <w:spacing w:after="0" w:line="102" w:lineRule="exact"/>
        <w:rPr>
          <w:rFonts w:ascii="Arial" w:cs="Arial" w:eastAsia="Arial" w:hAnsi="Arial"/>
          <w:sz w:val="16"/>
          <w:szCs w:val="16"/>
          <w:color w:val="auto"/>
        </w:rPr>
      </w:pPr>
    </w:p>
    <w:p>
      <w:pPr>
        <w:ind w:left="460" w:right="20" w:firstLine="443"/>
        <w:spacing w:after="0" w:line="277" w:lineRule="auto"/>
        <w:tabs>
          <w:tab w:leader="none" w:pos="116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impose on any Lender or Issuing Lender or the London interbank market any other condition, cost or expense (other than Taxes) affecting this Agreement or Eurodollar Loans made by such Lender or any Letter of Credit or participation therein;</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into, continuing or maintaining any Eurodollar Loan (or of maintaining its obligation to make any such Loan) or to increase the cost to such Lender or Issuing Lender of participating in, issuing or maintaining any Letter of Credit or to reduce the amount of any sum received or receivable by such Lender or Issuing Lender hereunder with respect to any Eurodollar Loan or Letter of Credit (whether of principal, interest or otherwise), then, upon the request of such Lender or Issuing Lender, the Borrower will pay to such Lender or Issuing Lender, as the case may be, such additional amount or amounts as will compensate such Lender or Issuing Lender, as the case may be, for such additional costs incurred or reduction suffered.</w:t>
      </w:r>
    </w:p>
    <w:p>
      <w:pPr>
        <w:spacing w:after="0" w:line="178" w:lineRule="exact"/>
        <w:rPr>
          <w:sz w:val="20"/>
          <w:szCs w:val="20"/>
          <w:color w:val="auto"/>
        </w:rPr>
      </w:pPr>
    </w:p>
    <w:p>
      <w:pPr>
        <w:ind w:right="60" w:firstLine="921"/>
        <w:spacing w:after="0" w:line="289" w:lineRule="auto"/>
        <w:tabs>
          <w:tab w:leader="none" w:pos="116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any Lender or Issuing Lender reasonably determines in good faith that any Change in Law affecting such Lender or Issuing Lender or such Lender’s or Issuing Lender’s holding company regarding capital or liquidity requirements has or would have the effect of reducing the rate of return on such Lender’s or Issuing Lender’s capital or on the capital of such Lender’s or Issuing Lender’s holding company, if any, as a consequence of this Agreement or the Eurodollar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in each case as documented by such Lender or Issuing Lender to the Borrower as will compensate such Lender or Issuing Lender or such Lender’s or Issuing Lender’s holding company for any such reduction suffered; it being understood that this Section 2.14(b) shall not apply to Taxes.</w:t>
      </w:r>
    </w:p>
    <w:p>
      <w:pPr>
        <w:spacing w:after="0" w:line="166" w:lineRule="exact"/>
        <w:rPr>
          <w:rFonts w:ascii="Arial" w:cs="Arial" w:eastAsia="Arial" w:hAnsi="Arial"/>
          <w:sz w:val="16"/>
          <w:szCs w:val="16"/>
          <w:color w:val="auto"/>
        </w:rPr>
      </w:pPr>
    </w:p>
    <w:p>
      <w:pPr>
        <w:ind w:firstLine="921"/>
        <w:spacing w:after="0" w:line="276" w:lineRule="auto"/>
        <w:tabs>
          <w:tab w:leader="none" w:pos="115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Solely to the extent arising from a Change in Law, the Borrower shall pay to each Lender (i) as long as such Lender shall be required to maintain reserves with respect to liabilities or assets consisting of or including Eurodollar funds or deposits, additional interest on the unpaid principal amount of each Eurodollar Loan equal to the actual costs of such reserves allocated to such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164" w:name="page165"/>
    <w:bookmarkEnd w:id="16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maintenance of the Commitments or the funding of the Eurodollar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received at least fifteen (15) days’ prior written notice (with a copy to the Administrative Agent, and which notice shall specify the Statutory Reserve Rate, if any, applicable to such Lender) of such additional interest or cost from such Lender. If a Lender fails to give written notice fifteen (15) days prior to the relevant Interest Payment Date, such additional interest or cost shall be due and payable fifteen (15) days from receipt of such notice.</w:t>
      </w:r>
    </w:p>
    <w:p>
      <w:pPr>
        <w:spacing w:after="0" w:line="189" w:lineRule="exact"/>
        <w:rPr>
          <w:sz w:val="20"/>
          <w:szCs w:val="20"/>
          <w:color w:val="auto"/>
        </w:rPr>
      </w:pPr>
    </w:p>
    <w:p>
      <w:pPr>
        <w:ind w:right="60" w:firstLine="921"/>
        <w:spacing w:after="0" w:line="259" w:lineRule="auto"/>
        <w:tabs>
          <w:tab w:leader="none" w:pos="11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 certificate of a Lender or Issuing Lender setting forth the amount or amounts necessary to compensate such Lender or Issuing Lender or its holding company, as the case may be, as specified in paragraph (a) or (b) of this Section 2.14 and the basis for calculating such amount or amounts shall be delivered to the Borrower and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amount due. The Borrower shall pay such Lender or Issuing Lender, as the case may be, the amount due within fifteen (15) days after receipt of such certificate.</w:t>
      </w:r>
    </w:p>
    <w:p>
      <w:pPr>
        <w:spacing w:after="0" w:line="186" w:lineRule="exact"/>
        <w:rPr>
          <w:rFonts w:ascii="Arial" w:cs="Arial" w:eastAsia="Arial" w:hAnsi="Arial"/>
          <w:sz w:val="18"/>
          <w:szCs w:val="18"/>
          <w:color w:val="auto"/>
        </w:rPr>
      </w:pPr>
    </w:p>
    <w:p>
      <w:pPr>
        <w:ind w:right="40" w:firstLine="921"/>
        <w:spacing w:after="0" w:line="271" w:lineRule="auto"/>
        <w:tabs>
          <w:tab w:leader="none" w:pos="115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Lender to demand compensation pursuant to this Section 2.14 shall not constitute a waiver of such Lender’s or Issuing Lender’s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Issuing Lender pursuant to this Section 2.14 for any increased costs or reductions incurred more than 180 days prior to the date that such Lender or Issuing Lender, as the case may be, notifies the Borrower of the Change in Law giving rise to such increased costs or reductions and of such Lender’s or Issuing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the Change in Law giving rise to such increased costs or reductions is retroactive, then the 180-day period referred to above shall be extended to include the period of retroactive effect thereof. The protection of this Section 2.14 shall be available to each Lender regardless of any possible contention as to the invalidity or inapplicability of the law, rule, regulation, guideline or other change or condition which shall have occurred or been imposed.</w:t>
      </w:r>
    </w:p>
    <w:p>
      <w:pPr>
        <w:spacing w:after="0" w:line="178" w:lineRule="exact"/>
        <w:rPr>
          <w:rFonts w:ascii="Arial" w:cs="Arial" w:eastAsia="Arial" w:hAnsi="Arial"/>
          <w:sz w:val="17"/>
          <w:szCs w:val="17"/>
          <w:color w:val="auto"/>
        </w:rPr>
      </w:pPr>
    </w:p>
    <w:p>
      <w:pPr>
        <w:ind w:right="80" w:firstLine="921"/>
        <w:spacing w:after="0" w:line="297" w:lineRule="auto"/>
        <w:tabs>
          <w:tab w:leader="none" w:pos="113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Borrower shall not be required to make payments under this Section 2.14 to any Lender or Issuing Lender if (A) a claim hereunder arises solely through circumstances peculiar to such Lender or Issuing Lender and which do not affect commercial banks in the jurisdiction of organization of such Lender or Issuing Lender generally, (B) the claim arises out of a voluntary relocation by such Lender or Issuing Lender of its applicable lending office (it being understood that any such relocation effected pursuant to Section 2.18 is not “voluntary”), or (C) such Lender or Issuing Lender is not seeking similar compensation for such costs to which it is entitled from its borrowers generally in commercial loans of a similar size.</w:t>
      </w:r>
    </w:p>
    <w:p>
      <w:pPr>
        <w:spacing w:after="0" w:line="158" w:lineRule="exact"/>
        <w:rPr>
          <w:rFonts w:ascii="Arial" w:cs="Arial" w:eastAsia="Arial" w:hAnsi="Arial"/>
          <w:sz w:val="16"/>
          <w:szCs w:val="16"/>
          <w:color w:val="auto"/>
        </w:rPr>
      </w:pPr>
    </w:p>
    <w:p>
      <w:pPr>
        <w:ind w:right="260" w:firstLine="921"/>
        <w:spacing w:after="0" w:line="264" w:lineRule="auto"/>
        <w:tabs>
          <w:tab w:leader="none" w:pos="11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regulations, requests, rules, guidelines or directives implemented after the Closing Date pursuant to the Dodd-Frank Wall Street Reform and Consumer Protection Act or Basel III shall be deemed to be a Change in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determination by a Lender or Issuing Lender of amounts owed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165" w:name="page166"/>
    <w:bookmarkEnd w:id="165"/>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this Section 2.14 to such Lender or Issuing Lender due to any such Change in Law shall be made in good faith in a manner generally consistent with such Lender’s or Issuing Lender’s standard practice.</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Eurodollar Loan other than on the last day of an Interest Period applicable thereto (including as a result of the occurrence and continuance of an Event of Default), (b) the failure to borrow, convert, continue or prepay any Eurodollar Loan on the date specified in any notice delivered pursuant hereto or (c) the assignment of any Eurodollar Loan other than on the last day of the Interest Period applicable thereto as a result of a request by the Borrower pursuant to Section 2.18, Section 2.27(d) or Section 10.08(d), then, in any such event, at the request of such Lender, the Borrower shall compensate such Lender for the loss, cost and expense sustained by such Lender attributable to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case shall this Section 2.15 apply to any payment of an Installment pursuant to Section 2.10(b). Such loss, cost or expense to any Lender shall be deemed to include an amount reasonably determined in good faith by such Lender or Issuing Lender to be the excess, if any, of (i) the amount of interest which would have accrued on the principal amount of such Loan had such event not occurred, at the applicable rate of interest for such Loan (excluding, however the Applicable Margin included therein, if any), for the period 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(and the basis for requesting such amount or amounts) that such Lender is entitled to receive pursuant to this Section 2.15 shall be delivered to the Borrower and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amount due. The Borrower shall pay such Lender the amount due within fifteen (15) days after receipt of such certificate.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0" w:lineRule="auto"/>
        <w:tabs>
          <w:tab w:leader="none" w:pos="115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the Borrower or any Guarantor hereunder or under any other Loan Document shall be made free and clear of and without deduction for any Taxes except as required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Taxes are required to be withheld from any amounts payable to the Administrative Agent, any Lender or any Issuing Lender, as determined in good faith by the applicable Withholding Agent, then (i) if such Taxes are Indemnified Taxes or Other Taxes, the sum payable by the Borrower or applicable Guarantor shall be increased as necessary so that after making all required deductions for any Indemnified Taxes or Other Taxes (including deductions for any Indemnified Taxes or Other Taxes applicable to additional sums payable under this Section 2.16), the Administrative Agent, Lender, Issuing Lender or any other recipient of such payments (as the case may be)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4" w:right="259" w:bottom="1440" w:gutter="0" w:footer="0" w:header="0"/>
        </w:sectPr>
      </w:pPr>
    </w:p>
    <w:bookmarkStart w:id="166" w:name="page167"/>
    <w:bookmarkEnd w:id="166"/>
    <w:p>
      <w:pPr>
        <w:ind w:left="-60" w:right="180" w:firstLine="921"/>
        <w:spacing w:after="0" w:line="277" w:lineRule="auto"/>
        <w:tabs>
          <w:tab w:leader="none" w:pos="1108" w:val="left"/>
        </w:tabs>
        <w:numPr>
          <w:ilvl w:val="1"/>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the Borrower or any Guarantor, as applicable, shall pay any Other Taxes to the relevant Governmental Authority in accordance with applicable law.</w:t>
      </w:r>
    </w:p>
    <w:p>
      <w:pPr>
        <w:spacing w:after="0" w:line="170" w:lineRule="exact"/>
        <w:rPr>
          <w:rFonts w:ascii="Arial" w:cs="Arial" w:eastAsia="Arial" w:hAnsi="Arial"/>
          <w:sz w:val="18"/>
          <w:szCs w:val="18"/>
          <w:color w:val="auto"/>
        </w:rPr>
      </w:pPr>
    </w:p>
    <w:p>
      <w:pPr>
        <w:ind w:left="-60" w:firstLine="921"/>
        <w:spacing w:after="0" w:line="271" w:lineRule="auto"/>
        <w:tabs>
          <w:tab w:leader="none" w:pos="109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Borrower shall indemnify the Administrative Agent, each Lender and each Issuing Lender, within ten (10) days after written demand therefor, for the full amount of any Indemnified Taxes or Other Taxes paid by or on behalf of or withheld or deducted from payments owing to the Administrative Agent, such Lender or such Issuing Lender, as the case may be, on or with respect to any payment by or on account of any obligation of the Borrower or any Guarantor hereunder or under any other Loan Document (including Indemnified Taxes or Other Taxes imposed or asserted on or attributable to amounts payable under this Section 2.16)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Issuing Lender, or by the Administrative Agent on its own behalf or on behalf of a Lender or Issuing Lender, shall be conclusive absent manifest error.</w:t>
      </w:r>
    </w:p>
    <w:p>
      <w:pPr>
        <w:spacing w:after="0" w:line="178" w:lineRule="exact"/>
        <w:rPr>
          <w:rFonts w:ascii="Arial" w:cs="Arial" w:eastAsia="Arial" w:hAnsi="Arial"/>
          <w:sz w:val="17"/>
          <w:szCs w:val="17"/>
          <w:color w:val="auto"/>
        </w:rPr>
      </w:pPr>
    </w:p>
    <w:p>
      <w:pPr>
        <w:jc w:val="both"/>
        <w:ind w:left="-60" w:right="80" w:firstLine="921"/>
        <w:spacing w:after="0" w:line="312" w:lineRule="auto"/>
        <w:tabs>
          <w:tab w:leader="none" w:pos="110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w:t>
      </w:r>
    </w:p>
    <w:p>
      <w:pPr>
        <w:spacing w:after="0" w:line="146" w:lineRule="exact"/>
        <w:rPr>
          <w:rFonts w:ascii="Arial" w:cs="Arial" w:eastAsia="Arial" w:hAnsi="Arial"/>
          <w:sz w:val="16"/>
          <w:szCs w:val="16"/>
          <w:color w:val="auto"/>
        </w:rPr>
      </w:pPr>
    </w:p>
    <w:p>
      <w:pPr>
        <w:ind w:left="-60" w:right="20" w:firstLine="921"/>
        <w:spacing w:after="0" w:line="257" w:lineRule="auto"/>
        <w:tabs>
          <w:tab w:leader="none" w:pos="109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8" w:lineRule="exact"/>
        <w:rPr>
          <w:rFonts w:ascii="Arial" w:cs="Arial" w:eastAsia="Arial" w:hAnsi="Arial"/>
          <w:sz w:val="18"/>
          <w:szCs w:val="18"/>
          <w:color w:val="auto"/>
        </w:rPr>
      </w:pPr>
    </w:p>
    <w:p>
      <w:pPr>
        <w:ind w:left="-60" w:right="40" w:firstLine="921"/>
        <w:spacing w:after="0" w:line="293" w:lineRule="auto"/>
        <w:tabs>
          <w:tab w:leader="none" w:pos="107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Foreign Lender shall not be required to deliver any documentation pursuant to this Section 2.16(f) that such Foreign Lender is not legally able to deliver. For purposes of this paragraph (f) and paragraphs (g) and (h), the term “Lender” includes any Issuing Lender.</w:t>
      </w:r>
    </w:p>
    <w:p>
      <w:pPr>
        <w:spacing w:after="0" w:line="164" w:lineRule="exact"/>
        <w:rPr>
          <w:rFonts w:ascii="Arial" w:cs="Arial" w:eastAsia="Arial" w:hAnsi="Arial"/>
          <w:sz w:val="16"/>
          <w:szCs w:val="16"/>
          <w:color w:val="auto"/>
        </w:rPr>
      </w:pPr>
    </w:p>
    <w:p>
      <w:pPr>
        <w:ind w:left="-60" w:right="200" w:firstLine="921"/>
        <w:spacing w:after="0" w:line="286" w:lineRule="auto"/>
        <w:tabs>
          <w:tab w:leader="none" w:pos="110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(1) Without limiting the generality of the foregoing, each Foreign Lender shall deliver to the Borrower and the Administrative Agent on or prior to the date on which such Foreign Lender becomes a Lender under this Agreement (and from time to time thereafter when the previously delivered certificates and/or forms expire, or upon request of the Borrower or the Administrative Agent) whichever of the following is applicable:</w:t>
      </w:r>
    </w:p>
    <w:p>
      <w:pPr>
        <w:spacing w:after="0" w:line="57" w:lineRule="exact"/>
        <w:rPr>
          <w:rFonts w:ascii="Arial" w:cs="Arial" w:eastAsia="Arial" w:hAnsi="Arial"/>
          <w:sz w:val="17"/>
          <w:szCs w:val="17"/>
          <w:color w:val="auto"/>
        </w:rPr>
      </w:pPr>
    </w:p>
    <w:p>
      <w:pPr>
        <w:ind w:left="400" w:right="340" w:firstLine="443"/>
        <w:spacing w:after="0" w:line="277" w:lineRule="auto"/>
        <w:tabs>
          <w:tab w:leader="none" w:pos="10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two (2) duly executed originals of Internal Revenue Service Form W-8BEN or Internal Revenue Service Form W-8BEN-E, as applicable, claiming eligibility for benefits of an income tax treaty to which the United States is a party;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00"/>
          </w:cols>
          <w:pgMar w:left="300" w:top="274" w:right="299" w:bottom="1440" w:gutter="0" w:footer="0" w:header="0"/>
        </w:sectPr>
      </w:pPr>
    </w:p>
    <w:bookmarkStart w:id="167" w:name="page168"/>
    <w:bookmarkEnd w:id="167"/>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two (2) duly executed originals of Internal Revenue Service Form W-8ECI;</w:t>
      </w:r>
    </w:p>
    <w:p>
      <w:pPr>
        <w:spacing w:after="0" w:line="117" w:lineRule="exact"/>
        <w:rPr>
          <w:rFonts w:ascii="Arial" w:cs="Arial" w:eastAsia="Arial" w:hAnsi="Arial"/>
          <w:sz w:val="18"/>
          <w:szCs w:val="18"/>
          <w:color w:val="auto"/>
        </w:rPr>
      </w:pPr>
    </w:p>
    <w:p>
      <w:pPr>
        <w:ind w:left="460" w:firstLine="443"/>
        <w:spacing w:after="0" w:line="308" w:lineRule="auto"/>
        <w:tabs>
          <w:tab w:leader="none" w:pos="121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two (2) duly executed originals of Internal Revenue Service Form W 8IMY, together with the forms for its beneficiaries, partners or members described in clauses (i), (ii), (iii) or (iv) of this subparagraph (g)(1) or in subparagraph (g)(2) and other applicable attachments;</w:t>
      </w:r>
    </w:p>
    <w:p>
      <w:pPr>
        <w:spacing w:after="0" w:line="38" w:lineRule="exact"/>
        <w:rPr>
          <w:rFonts w:ascii="Arial" w:cs="Arial" w:eastAsia="Arial" w:hAnsi="Arial"/>
          <w:sz w:val="17"/>
          <w:szCs w:val="17"/>
          <w:color w:val="auto"/>
        </w:rPr>
      </w:pPr>
    </w:p>
    <w:p>
      <w:pPr>
        <w:ind w:left="460" w:right="20" w:firstLine="443"/>
        <w:spacing w:after="0" w:line="297" w:lineRule="auto"/>
        <w:tabs>
          <w:tab w:leader="none" w:pos="120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exemption for portfolio interest under Section 881(c) of the Code, (x) a certificate to the effect that such Foreign Lender is not (A) a “bank” within the meaning of Section 881(c)(3)(A) of the Code, (B) a “10 percent shareholder” of the Borrower within the meaning of Section 881(c)(3)(B) of the Code, (C) a “controlled foreign corporation” described in Section 881(c)(3)(C) of the Code or (D) conducting a trade or business in the United States with which the relevant interest payments are effectively connected and (y) two (2) duly executed originals of the Internal Revenue Service Form W-8BEN or Internal Revenue Service Form W-8BEN-E, as applicable; or</w:t>
      </w:r>
    </w:p>
    <w:p>
      <w:pPr>
        <w:spacing w:after="0" w:line="50" w:lineRule="exact"/>
        <w:rPr>
          <w:rFonts w:ascii="Arial" w:cs="Arial" w:eastAsia="Arial" w:hAnsi="Arial"/>
          <w:sz w:val="16"/>
          <w:szCs w:val="16"/>
          <w:color w:val="auto"/>
        </w:rPr>
      </w:pPr>
    </w:p>
    <w:p>
      <w:pPr>
        <w:ind w:left="460" w:right="20" w:firstLine="443"/>
        <w:spacing w:after="0" w:line="264" w:lineRule="auto"/>
        <w:tabs>
          <w:tab w:leader="none" w:pos="11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other 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Foreign Lender shall not be required to deliver any form or statement pursuant to this Section 2.16(g) that such Foreign Lender is not legally able to deliver.</w:t>
      </w:r>
    </w:p>
    <w:p>
      <w:pPr>
        <w:spacing w:after="0" w:line="248" w:lineRule="exact"/>
        <w:rPr>
          <w:sz w:val="20"/>
          <w:szCs w:val="20"/>
          <w:color w:val="auto"/>
        </w:rPr>
      </w:pPr>
    </w:p>
    <w:p>
      <w:pPr>
        <w:ind w:right="200" w:firstLine="921"/>
        <w:spacing w:after="0" w:line="257" w:lineRule="auto"/>
        <w:tabs>
          <w:tab w:leader="none" w:pos="116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Lender that is a “United States Person” (as such term is defined in Section 7701(a)(30) of the Code) shall deliver to the Administrative Agent and the 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backup withholding tax.</w:t>
      </w:r>
    </w:p>
    <w:p>
      <w:pPr>
        <w:spacing w:after="0" w:line="188" w:lineRule="exact"/>
        <w:rPr>
          <w:rFonts w:ascii="Arial" w:cs="Arial" w:eastAsia="Arial" w:hAnsi="Arial"/>
          <w:sz w:val="18"/>
          <w:szCs w:val="18"/>
          <w:color w:val="auto"/>
        </w:rPr>
      </w:pPr>
    </w:p>
    <w:p>
      <w:pPr>
        <w:ind w:right="400" w:firstLine="921"/>
        <w:spacing w:after="0" w:line="259" w:lineRule="auto"/>
        <w:tabs>
          <w:tab w:leader="none" w:pos="116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Administrative Agent shall deliver to the Borrower on or prior to the date on which it becomes the Administrative Agent under this Agreement (and from time to time thereafter when the previously delivered forms expire, or upon request of the Borrower) executed originals of Internal Revenue Service Form W-8IMY. The Administrative Agent represents that it is a financial institution within the meaning of U.S. Treasury Regulation § 1.1441-1(c)(5).</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168" w:name="page169"/>
    <w:bookmarkEnd w:id="168"/>
    <w:p>
      <w:pPr>
        <w:ind w:firstLine="921"/>
        <w:spacing w:after="0" w:line="272" w:lineRule="auto"/>
        <w:tabs>
          <w:tab w:leader="none" w:pos="1168" w:val="left"/>
        </w:tabs>
        <w:numPr>
          <w:ilvl w:val="0"/>
          <w:numId w:val="1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w:t>
      </w:r>
    </w:p>
    <w:p>
      <w:pPr>
        <w:spacing w:after="0" w:line="178" w:lineRule="exact"/>
        <w:rPr>
          <w:sz w:val="20"/>
          <w:szCs w:val="20"/>
          <w:color w:val="auto"/>
        </w:rPr>
      </w:pPr>
    </w:p>
    <w:p>
      <w:pPr>
        <w:ind w:right="20" w:firstLine="921"/>
        <w:spacing w:after="0" w:line="286" w:lineRule="auto"/>
        <w:tabs>
          <w:tab w:leader="none" w:pos="116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in its sole discretion,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(h), in no event will the Administrative Agent or any Lender be required to pay any amount to the Borrower pursuant to this paragraph (h) if, and then only to the extent, the payment of such amount would place the Administrative Agent or such Lender in a less favorable net after-Tax position than the Administrative Agent or such Lender would have been in if the indemnification payments or additional amounts giving rise to such refund had never been paid. This Section 2.16 shall not be construed to require the Administrative Agent or any Lender to make available its tax returns (or any other information relating to its taxes which it deems confidential) to the Borrower or any other Person.</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Generally; Pro Rata Treatment</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7" w:lineRule="auto"/>
        <w:tabs>
          <w:tab w:leader="none" w:pos="115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Borrower shall make each payment or prepayment required to be made by it hereunder (whether of principal, interest, fees or reimbursement of LC Disbursements, or of amounts payable under Section 2.14 or Section 2.15,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169" w:name="page170"/>
    <w:bookmarkEnd w:id="169"/>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made to the Administrative Agent at its offices at Barclays Bank PLC, 745 Seventh Avenue, New York, New York 10019, pursuant to wire instructions to be provided by the Administrative Agent, except payments to be made directly to an Issuing Lender as expressly provided herein and except that payments pursuant to Sections 2.14, 2.15 and 10.04 shall be made directly to the Persons entitled thereto. The Administrative Agent shall distribute any such payments received by it (including, subject to the terms of any Intercreditor Agreement or any Other Intercreditor Agreement, any payment received from the sale or disposal of Collateral pursuant to any Collateral Document)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2" w:lineRule="exact"/>
        <w:rPr>
          <w:sz w:val="20"/>
          <w:szCs w:val="20"/>
          <w:color w:val="auto"/>
        </w:rPr>
      </w:pPr>
    </w:p>
    <w:p>
      <w:pPr>
        <w:ind w:right="40" w:firstLine="921"/>
        <w:spacing w:after="0" w:line="268" w:lineRule="auto"/>
        <w:tabs>
          <w:tab w:leader="none" w:pos="116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If at any time insufficient funds are received by and available to the Administrative Agent to pay fully all Obligations then due hereunder, such funds shall be applied, subject to the terms of any Intercreditor Agreement or any Other Intercreditor Agreement, as applicable, (i)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towards payment of Fees and expenses then due under Sections 2.19 and 10.04 payable to each Agent and any trustee appointed pursuant to Section 8.01(d), to the extent applicable, (ii)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towards payment of Fees and expenses then due under Sections 2.20, 2.21 and 10.04 payable to the Lenders and the Issuing Lenders and towards payment of interest then due on account of the Revolving Loans, Term Loans and Letters of Credit, ratably among the parties entitled thereto in accordance with the amounts of such Fees and expenses and interest then due to such parties and (iii) </w:t>
      </w:r>
      <w:r>
        <w:rPr>
          <w:rFonts w:ascii="Arial" w:cs="Arial" w:eastAsia="Arial" w:hAnsi="Arial"/>
          <w:sz w:val="17"/>
          <w:szCs w:val="17"/>
          <w:i w:val="1"/>
          <w:iCs w:val="1"/>
          <w:color w:val="auto"/>
        </w:rPr>
        <w:t>third</w:t>
      </w:r>
      <w:r>
        <w:rPr>
          <w:rFonts w:ascii="Arial" w:cs="Arial" w:eastAsia="Arial" w:hAnsi="Arial"/>
          <w:sz w:val="17"/>
          <w:szCs w:val="17"/>
          <w:color w:val="auto"/>
        </w:rPr>
        <w:t>, towards payment of (A) principal of the Revolving Loans, Term Loans and unreimbursed LC Disbursements then due hereunder, (B) any Designated Banking Product Obligations then due, to the extent such Designated Banking Product Obligations constitute “Obligations” hereunder, and (C) any Designated Hedging Obligations then due, to the extent such Designated Hedging Obligations constitute “Obligations” hereunder, ratably among the parties entitled thereto in accordance with the amounts of principal, unreimbursed LC Disbursements, Designated Banking Product Obligations constituting Obligations and Designated Hedging Obligations constituting Obligations then due to such parties. 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Section 2.17(b).</w:t>
      </w:r>
    </w:p>
    <w:p>
      <w:pPr>
        <w:spacing w:after="0" w:line="187" w:lineRule="exact"/>
        <w:rPr>
          <w:rFonts w:ascii="Arial" w:cs="Arial" w:eastAsia="Arial" w:hAnsi="Arial"/>
          <w:sz w:val="17"/>
          <w:szCs w:val="17"/>
          <w:color w:val="auto"/>
        </w:rPr>
      </w:pPr>
    </w:p>
    <w:p>
      <w:pPr>
        <w:ind w:firstLine="921"/>
        <w:spacing w:after="0" w:line="271" w:lineRule="auto"/>
        <w:tabs>
          <w:tab w:leader="none" w:pos="115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170" w:name="page171"/>
    <w:bookmarkEnd w:id="170"/>
    <w:p>
      <w:pPr>
        <w:jc w:val="both"/>
        <w:ind w:right="220" w:firstLine="921"/>
        <w:spacing w:after="0" w:line="259" w:lineRule="auto"/>
        <w:tabs>
          <w:tab w:leader="none" w:pos="11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Lender shall fail to make any payment or Extension of Credit required to be made by it pursuant to Section 2.02(d), 2.02(e), 2.04(a),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Pro Rata Treatment</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7" w:lineRule="auto"/>
        <w:tabs>
          <w:tab w:leader="none" w:pos="11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payment (including each prepayment) by the Borrower on account of principal of and interest on any Class of Term Loans shall be made pro rata according to the respective outstanding principal amounts of such Class of Term Loans then held by the applicable Term Lenders (except that assignments to the Borrower pursuant to Section 10.02(g) shall not be subject to this Section 2.17(e)(i)). All such prepayments of Term Loans shall be applied in the manner directed by the Borrower (or, if no such direction is given, in direct order of maturity) to the remaining scheduled Installments of the applicable Class of Term Loans being prepaid.</w:t>
      </w:r>
    </w:p>
    <w:p>
      <w:pPr>
        <w:spacing w:after="0" w:line="188" w:lineRule="exact"/>
        <w:rPr>
          <w:rFonts w:ascii="Arial" w:cs="Arial" w:eastAsia="Arial" w:hAnsi="Arial"/>
          <w:sz w:val="18"/>
          <w:szCs w:val="18"/>
          <w:color w:val="auto"/>
        </w:rPr>
      </w:pPr>
    </w:p>
    <w:p>
      <w:pPr>
        <w:ind w:right="20" w:firstLine="921"/>
        <w:spacing w:after="0" w:line="342" w:lineRule="auto"/>
        <w:tabs>
          <w:tab w:leader="none" w:pos="117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Each payment (including each prepayment) by the Borrower on account of principal of and interest on any Class of Revolving Loans shall be made pro rata according to the respective outstanding principal amounts of such Class of Revolving Loans then held by the Revolving Lenders.</w:t>
      </w:r>
    </w:p>
    <w:p>
      <w:pPr>
        <w:spacing w:after="0" w:line="124"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For the avoidance of doubt, the provisions of this Section 2.17 shall not be constructed to apply to (A) Cash Collateralization provided for in this Agreement, (B) assignments and participations (including by means of a Dutch Auction or open-market purchase) described in Section 10.02, (C) any circumstance contemplated by Section 2.18(b), 2.26, 2.27, 2.28, 10.08(d), 10.08(e) or 10.08(f), (D) the application of funds resulting from the existence of a Defaulting Lender, or (E) any other circumstance expressly provided for herein.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ind w:right="160" w:firstLine="921"/>
        <w:spacing w:after="0" w:line="290" w:lineRule="auto"/>
        <w:tabs>
          <w:tab w:leader="none" w:pos="115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 (i) would eliminate or reduce amounts payable pursuant to Section 2.14 or 2.16,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171" w:name="page172"/>
    <w:bookmarkEnd w:id="171"/>
    <w:p>
      <w:pPr>
        <w:ind w:right="40" w:firstLine="921"/>
        <w:spacing w:after="0" w:line="287" w:lineRule="auto"/>
        <w:tabs>
          <w:tab w:leader="none" w:pos="1168"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after the date hereof, any Lender requests compensation under Section 2.14 or if the Borrower is required to pay any additional amount to any Lender or any Governmental Authority for the account of any Lender pursuant to Section 2.16, then the Borrower may, at its sole expense and effort, upon notice to such Lender and the Administrative Agent, (i) terminate such Lender’s Revolving Commitment, prepay such Lender’s outstanding Loans and provide Cash Collateralization for such Lender’s LC Exposure, as applicable,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 any case as of a Business Day specified in such notice from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terminated or assigning Lender shall have received payment of an amount equal to the outstanding principal of its Loans and unreimbursed payments attributable to its participations in LC Disbursements, as applicable,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Section 2.16, such assignment will result in a reduction in such compensation or payments.</w:t>
      </w:r>
    </w:p>
    <w:p>
      <w:pPr>
        <w:spacing w:after="0" w:line="173"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Certain Fees</w:t>
      </w:r>
      <w:r>
        <w:rPr>
          <w:rFonts w:ascii="Arial" w:cs="Arial" w:eastAsia="Arial" w:hAnsi="Arial"/>
          <w:sz w:val="17"/>
          <w:szCs w:val="17"/>
          <w:color w:val="auto"/>
        </w:rPr>
        <w:t>. The Borrower shall pay (i) to the Administrative Agent the fees set forth in that certain Administrative Agent Fee Letter, dated as of the Closing Date, between the Administrative Agent and the Borrower as amended, restated, modified, supplemented or replaced from time to time (the “</w:t>
      </w:r>
      <w:r>
        <w:rPr>
          <w:rFonts w:ascii="Arial" w:cs="Arial" w:eastAsia="Arial" w:hAnsi="Arial"/>
          <w:sz w:val="17"/>
          <w:szCs w:val="17"/>
          <w:i w:val="1"/>
          <w:iCs w:val="1"/>
          <w:color w:val="auto"/>
        </w:rPr>
        <w:t>Administrative Agent Fee Letter</w:t>
      </w:r>
      <w:r>
        <w:rPr>
          <w:rFonts w:ascii="Arial" w:cs="Arial" w:eastAsia="Arial" w:hAnsi="Arial"/>
          <w:sz w:val="17"/>
          <w:szCs w:val="17"/>
          <w:color w:val="auto"/>
        </w:rPr>
        <w:t>”) and (ii) the fees set forth in the certain Engagement Letter dated as of April 18, 2016 by and between the Borrower and the Joint Lead Arrangers and Bookrunners (the “</w:t>
      </w:r>
      <w:r>
        <w:rPr>
          <w:rFonts w:ascii="Arial" w:cs="Arial" w:eastAsia="Arial" w:hAnsi="Arial"/>
          <w:sz w:val="17"/>
          <w:szCs w:val="17"/>
          <w:i w:val="1"/>
          <w:iCs w:val="1"/>
          <w:color w:val="auto"/>
        </w:rPr>
        <w:t>Engagement Letter</w:t>
      </w:r>
      <w:r>
        <w:rPr>
          <w:rFonts w:ascii="Arial" w:cs="Arial" w:eastAsia="Arial" w:hAnsi="Arial"/>
          <w:sz w:val="17"/>
          <w:szCs w:val="17"/>
          <w:color w:val="auto"/>
        </w:rPr>
        <w:t>”) at the times and to the entities set forth therein.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Commitment Fee and Upfront Fee</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1" w:lineRule="auto"/>
        <w:tabs>
          <w:tab w:leader="none" w:pos="115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Borrower shall pay to the Administrative Agent for the accounts of the Revolving Lenders a commitment fee (the “</w:t>
      </w:r>
      <w:r>
        <w:rPr>
          <w:rFonts w:ascii="Arial" w:cs="Arial" w:eastAsia="Arial" w:hAnsi="Arial"/>
          <w:sz w:val="16"/>
          <w:szCs w:val="16"/>
          <w:i w:val="1"/>
          <w:iCs w:val="1"/>
          <w:color w:val="auto"/>
        </w:rPr>
        <w:t>Commitment Fee</w:t>
      </w:r>
      <w:r>
        <w:rPr>
          <w:rFonts w:ascii="Arial" w:cs="Arial" w:eastAsia="Arial" w:hAnsi="Arial"/>
          <w:sz w:val="16"/>
          <w:szCs w:val="16"/>
          <w:color w:val="auto"/>
        </w:rPr>
        <w:t>”) for the period commencing on the Revolver Availability Date (or such other date agreed by the Borrower and the Revolving Lenders) and ending on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Revolver Availability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w:t>
      </w:r>
    </w:p>
    <w:p>
      <w:pPr>
        <w:spacing w:after="0" w:line="167" w:lineRule="exact"/>
        <w:rPr>
          <w:rFonts w:ascii="Arial" w:cs="Arial" w:eastAsia="Arial" w:hAnsi="Arial"/>
          <w:sz w:val="16"/>
          <w:szCs w:val="16"/>
          <w:color w:val="auto"/>
        </w:rPr>
      </w:pPr>
    </w:p>
    <w:p>
      <w:pPr>
        <w:ind w:right="60" w:firstLine="921"/>
        <w:spacing w:after="0" w:line="277" w:lineRule="auto"/>
        <w:tabs>
          <w:tab w:leader="none" w:pos="11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 shall pay on the Revolver Availability Date to each Revolving Lender as of such date, an upfront fee (the “</w:t>
      </w:r>
      <w:r>
        <w:rPr>
          <w:rFonts w:ascii="Arial" w:cs="Arial" w:eastAsia="Arial" w:hAnsi="Arial"/>
          <w:sz w:val="18"/>
          <w:szCs w:val="18"/>
          <w:i w:val="1"/>
          <w:iCs w:val="1"/>
          <w:color w:val="auto"/>
        </w:rPr>
        <w:t>Upfront Fee</w:t>
      </w:r>
      <w:r>
        <w:rPr>
          <w:rFonts w:ascii="Arial" w:cs="Arial" w:eastAsia="Arial" w:hAnsi="Arial"/>
          <w:sz w:val="18"/>
          <w:szCs w:val="18"/>
          <w:color w:val="auto"/>
        </w:rPr>
        <w:t>”) to be agreed between the Borrower and the Revolving Lenders.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172" w:name="page173"/>
    <w:bookmarkEnd w:id="172"/>
    <w:p>
      <w:pPr>
        <w:ind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2.21. </w:t>
      </w:r>
      <w:r>
        <w:rPr>
          <w:rFonts w:ascii="Arial" w:cs="Arial" w:eastAsia="Arial" w:hAnsi="Arial"/>
          <w:sz w:val="17"/>
          <w:szCs w:val="17"/>
          <w:u w:val="single" w:color="auto"/>
          <w:color w:val="auto"/>
        </w:rPr>
        <w:t>Letter of Credit Fees</w:t>
      </w:r>
      <w:r>
        <w:rPr>
          <w:rFonts w:ascii="Arial" w:cs="Arial" w:eastAsia="Arial" w:hAnsi="Arial"/>
          <w:sz w:val="17"/>
          <w:szCs w:val="17"/>
          <w:color w:val="auto"/>
        </w:rPr>
        <w:t>. The Borrower shall pay with respect to each Letter of Credit (i) to the Administrative Agent for the account of the Revolving Lenders a fee calculated (on the basis of the actual number of days elapsed over a year of 360 days) at the per annum rate equal to the Applicable Margin then in effect with respect to Eurodollar Loans under the Revolving Facility on the daily average LC Exposure (excluding any portion thereof attributable to unreimbursed LC Disbursements), to be shared ratably among the Revolving Lenders and (ii) to each Issuing Lender (with respect to each Letter of Credit issued by it), such Issuing Lender’s customary and reasonable fees as may be agreed by the Issuing Lender and the Borrower for issuance, amendments and processing referred to in Section 2.02. In addition, the Borrower agrees to pay each Issuing Lender for its account a fronting fee of 0.125% per annum in respect of each Letter of Credit issued by such Issuing Lender, for the period from and including the date of issuance of such Letter of Credit to and including the date of termination or expiration of such Letter of Credit. Accrued fees described in this paragraph in respect of each Letter of Credit shall be due and payable quarterly in arrears on the last Business Day of each March, June, September and December and on the Revolving Facility Termination Date with respect to the applicable Revolving Commitments. Fees accruing on any Letter of Credit outstanding after the applicable Revolving Facility Termination Date shall be payable quarterly in the manner described in the immediately preceding sentence and on the date of expiration or termination of any such Letter of Credit.</w:t>
      </w:r>
    </w:p>
    <w:p>
      <w:pPr>
        <w:spacing w:after="0" w:line="18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Nature of Fees</w:t>
      </w:r>
      <w:r>
        <w:rPr>
          <w:rFonts w:ascii="Arial" w:cs="Arial" w:eastAsia="Arial" w:hAnsi="Arial"/>
          <w:sz w:val="18"/>
          <w:szCs w:val="18"/>
          <w:color w:val="auto"/>
        </w:rPr>
        <w:t>. All Fees shall be paid on the dates due, in immediately available funds, to the Administrative Agent, the Issuing Lenders and the Joint Lead Arrangers and Bookrunners, as provided herein and in the Fee Letters. Once paid, none of the Fees shall be refundable or creditable under any circumstances, except as otherwise provided in the Fee Letters and Engagement Letter.</w:t>
      </w:r>
    </w:p>
    <w:p>
      <w:pPr>
        <w:spacing w:after="0" w:line="1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SECTION 2.23.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Upon the occurrence and during the continuance of any Event of Default pursuant to Section 7.01(b), the Administrative Agent, the Collateral Agent, each Issuing Lender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the Administrative Agent, each such Issuing Lender and each such Lender (or any of such banking Affiliates) to or for the credit or the account of the Borrower or any Guarantor against any and all of any such overdue amounts owing under the Loan Documents, irrespective of whether or not the Administrative Agent or such Lender shall have made any demand under any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exercises any such right of setoff, (x) all amounts so set off will be paid over immediately to the Administrative Agent for further application in accordance with the provisions of Section 2.26(g) and, pending such payment, will be segregated by such Defaulting Lender from its other funds and deemed held in trust for the benefit of the Administrative Agent, the Issuing Lenders and the Lenders and (y) the Defaulting Lender will provide promptly to the Administrative Agent a statement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274" w:right="299" w:bottom="1440" w:gutter="0" w:footer="0" w:header="0"/>
        </w:sectPr>
      </w:pPr>
    </w:p>
    <w:bookmarkStart w:id="173" w:name="page174"/>
    <w:bookmarkEnd w:id="17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describing in reasonable detail the Obligations owing to such Defaulting Lender as to which it exercised such right of setoff. Each Lender, each Issuing Lender and the Administrative Agent agree promptly to notify the Borrower and Guarantors after any such set-off and application made by such Lender, such Issuing Lender or the Administrative Agent (or any of such banking Affiliates),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 The rights of each Lender, each Issuing Lender and the Administrative Agent under this Section 2.23 are in addition to other rights and remedies which such Lender and the Administrative Agent may have upon the occurrence and during the continuance of any Event of Default.</w:t>
      </w:r>
    </w:p>
    <w:p>
      <w:pPr>
        <w:spacing w:after="0" w:line="193"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SECTION 2.24. </w:t>
      </w:r>
      <w:r>
        <w:rPr>
          <w:rFonts w:ascii="Arial" w:cs="Arial" w:eastAsia="Arial" w:hAnsi="Arial"/>
          <w:sz w:val="17"/>
          <w:szCs w:val="17"/>
          <w:u w:val="single" w:color="auto"/>
          <w:color w:val="auto"/>
        </w:rPr>
        <w:t>Security Interest in Letter of Credit Account</w:t>
      </w:r>
      <w:r>
        <w:rPr>
          <w:rFonts w:ascii="Arial" w:cs="Arial" w:eastAsia="Arial" w:hAnsi="Arial"/>
          <w:sz w:val="17"/>
          <w:szCs w:val="17"/>
          <w:color w:val="auto"/>
        </w:rPr>
        <w:t>. The Borrower and the Guarantors hereby pledge to the Collateral Agent, for its benefit and for the benefit of the other Secured Parties, and hereby grant to the Collateral Agent, for its benefit and for the benefit of the other Secured Parties, a first priority security interest, senior to all other Liens, if any, in all of the Borrower’s and the Guarantors’ right, title and interest in and to the Letter of Credit Account, any direct investment of the funds contained therein and any proceeds thereof. Cash held in the Letter of Credit Account shall not be available for use by the Borrower, and shall be released to the Borrower only as described in Section 2.02(j).</w:t>
      </w:r>
    </w:p>
    <w:p>
      <w:pPr>
        <w:spacing w:after="0" w:line="173"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SECTION 2.25.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Subject to the provisions of Section 7.01, upon the maturity (whether by acceleration or otherwise) of any of the Obligations under this Agreement or any of the other Loan Documents of the Borrower and the Guarantors, the Lenders shall be entitled to immediate payment of such Obligations.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2.26.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55" w:lineRule="auto"/>
        <w:tabs>
          <w:tab w:leader="none" w:pos="115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If at any time any Lender becomes a Defaulting Lender, then the Borrower may, on ten (10) Business Days’ prior written notice to the Administrative Agent and such Lender, (i) terminate such Lender’s Revolving Commitment, prepay such Lender’s outstanding Loans and provide Cash Collateralization for such Lender’s LC Exposure, as applicable, or (ii)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Administrative Agent nor any Lender shall have any obligation to the Borrower to find a replacement Lender or other such Person.</w:t>
      </w:r>
    </w:p>
    <w:p>
      <w:pPr>
        <w:spacing w:after="0" w:line="193" w:lineRule="exact"/>
        <w:rPr>
          <w:rFonts w:ascii="Arial" w:cs="Arial" w:eastAsia="Arial" w:hAnsi="Arial"/>
          <w:sz w:val="18"/>
          <w:szCs w:val="18"/>
          <w:color w:val="auto"/>
        </w:rPr>
      </w:pPr>
    </w:p>
    <w:p>
      <w:pPr>
        <w:ind w:right="120" w:firstLine="921"/>
        <w:spacing w:after="0" w:line="272" w:lineRule="auto"/>
        <w:tabs>
          <w:tab w:leader="none" w:pos="116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Lender being replaced pursuant to Section 2.26(a) shall (i) execute and deliver an Assignment and Acceptance with respect to such Lender’s outstanding Commitments, Loans and participations in Letters of Credit and (ii) deliver any documentation evidencing such Loans to the Borrower or the Administrative Agent. Pursuant to such Assignment and Acceptance, (A) the assignee Lender shall acquire all or a portion, as specified by the Borrower and such assignee, of the assigning Lender’s outstanding Commitments, Loans and participations in Letters of Credit,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 (C) upon such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74" w:right="259" w:bottom="1440" w:gutter="0" w:footer="0" w:header="0"/>
        </w:sectPr>
      </w:pPr>
    </w:p>
    <w:bookmarkStart w:id="174" w:name="page175"/>
    <w:bookmarkEnd w:id="17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Loans and participations, except with respect to indemnification provisions under this Agreement, which shall survive as to such assigning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w:t>
      </w:r>
    </w:p>
    <w:p>
      <w:pPr>
        <w:spacing w:after="0" w:line="193" w:lineRule="exact"/>
        <w:rPr>
          <w:sz w:val="20"/>
          <w:szCs w:val="20"/>
          <w:color w:val="auto"/>
        </w:rPr>
      </w:pPr>
    </w:p>
    <w:p>
      <w:pPr>
        <w:ind w:firstLine="921"/>
        <w:spacing w:after="0" w:line="271" w:lineRule="auto"/>
        <w:tabs>
          <w:tab w:leader="none" w:pos="114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Anything herein to the contrary notwithstanding, if a Revolving Lender becomes, and during the period it remains, a Defaulting Lender, during such period, such Defaulting Lender shall not be entitled to any fees accruing during such period pursuant to Section 2.20 and 2.21 (without prejudice to the rights of the Non-Defaulting Lenders in respect of such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to the extent that all or a portion of the LC Exposure of such Defaulting Lender is reallocated to the Non-Defaulting Lenders pursuant to Section 2.26(d)(i), such fees that would have accrued for the benefit of such Defaulting Lender shall instead accrue for the benefit of and be payable to such Non-Defaulting Lenders and (b) to the extent that all or any portion of such LC Exposure cannot be so reallocated and is not Cash Collateralized in accordance with Section 2.26(d)(ii), such fees shall instead accrue for the benefit of and be payable to the Issuing Lenders as their interests appear (and the applicable pro rata payment provisions under this Agreement shall automatically be deemed adjusted to reflect the provisions of this Section 2.26).</w:t>
      </w:r>
    </w:p>
    <w:p>
      <w:pPr>
        <w:spacing w:after="0" w:line="178" w:lineRule="exact"/>
        <w:rPr>
          <w:rFonts w:ascii="Arial" w:cs="Arial" w:eastAsia="Arial" w:hAnsi="Arial"/>
          <w:sz w:val="17"/>
          <w:szCs w:val="17"/>
          <w:color w:val="auto"/>
        </w:rPr>
      </w:pPr>
    </w:p>
    <w:p>
      <w:pPr>
        <w:ind w:left="1180" w:hanging="259"/>
        <w:spacing w:after="0"/>
        <w:tabs>
          <w:tab w:leader="none" w:pos="11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any LC Exposure exists at the time a Revolving Lender becomes a Defaulting Lender then:</w:t>
      </w:r>
    </w:p>
    <w:p>
      <w:pPr>
        <w:spacing w:after="0" w:line="117" w:lineRule="exact"/>
        <w:rPr>
          <w:rFonts w:ascii="Arial" w:cs="Arial" w:eastAsia="Arial" w:hAnsi="Arial"/>
          <w:sz w:val="18"/>
          <w:szCs w:val="18"/>
          <w:color w:val="auto"/>
        </w:rPr>
      </w:pPr>
    </w:p>
    <w:p>
      <w:pPr>
        <w:ind w:left="460" w:right="40" w:firstLine="443"/>
        <w:spacing w:after="0" w:line="291" w:lineRule="auto"/>
        <w:tabs>
          <w:tab w:leader="none" w:pos="111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LC Exposure of such Defaulting Lender will, upon at least two (2) Business Days prior notice to the Borrower and the Non-Defaulting Lenders by the Administrative Agent, and subject in any event to the limitation in the first proviso below, automatically be reallocated (effective on the</w:t>
      </w:r>
    </w:p>
    <w:p>
      <w:pPr>
        <w:ind w:left="460"/>
        <w:spacing w:after="0"/>
        <w:rPr>
          <w:sz w:val="20"/>
          <w:szCs w:val="20"/>
          <w:color w:val="auto"/>
        </w:rPr>
      </w:pPr>
      <w:r>
        <w:rPr>
          <w:rFonts w:ascii="Arial" w:cs="Arial" w:eastAsia="Arial" w:hAnsi="Arial"/>
          <w:sz w:val="16"/>
          <w:szCs w:val="16"/>
          <w:color w:val="auto"/>
        </w:rPr>
        <w:t xml:space="preserve">day specified in such notice) among the Non-Defaulting Lenders pro rata in accordance with their respective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2" w:lineRule="exact"/>
        <w:rPr>
          <w:sz w:val="20"/>
          <w:szCs w:val="20"/>
          <w:color w:val="auto"/>
        </w:rPr>
      </w:pPr>
    </w:p>
    <w:p>
      <w:pPr>
        <w:ind w:left="460" w:right="60" w:firstLine="4"/>
        <w:spacing w:after="0" w:line="271" w:lineRule="auto"/>
        <w:tabs>
          <w:tab w:leader="none" w:pos="7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Revolving Extensions of Credit of each such Non-Defaulting Lender may not in any event exceed the Revolving Commitment of such Non-Defaulting Lender as in effect at the time of such reallocation, (B) such reallocation will not constitute a waiver or release of any claim the Borrower, the Administrative Agent, the Issuing Lenders or any other Lender may have against such Defaulting Lender, (C) at the time of such reallocation, no Event of Default pursuant to Section 7.01(b), (e)(B), (f) or (g) has occurred and is continuing and (D) neither such reallocation nor any payment by a Non-Defaulting Lender as a result thereof will cause such Defaulting Lender to be a Non-Defaulting Lender; and</w:t>
      </w:r>
    </w:p>
    <w:p>
      <w:pPr>
        <w:spacing w:after="0" w:line="70" w:lineRule="exact"/>
        <w:rPr>
          <w:rFonts w:ascii="Arial" w:cs="Arial" w:eastAsia="Arial" w:hAnsi="Arial"/>
          <w:sz w:val="17"/>
          <w:szCs w:val="17"/>
          <w:color w:val="auto"/>
        </w:rPr>
      </w:pPr>
    </w:p>
    <w:p>
      <w:pPr>
        <w:ind w:left="460" w:firstLine="443"/>
        <w:spacing w:after="0" w:line="264" w:lineRule="auto"/>
        <w:tabs>
          <w:tab w:leader="none" w:pos="116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to the extent that any portion (the “</w:t>
      </w:r>
      <w:r>
        <w:rPr>
          <w:rFonts w:ascii="Arial" w:cs="Arial" w:eastAsia="Arial" w:hAnsi="Arial"/>
          <w:sz w:val="18"/>
          <w:szCs w:val="18"/>
          <w:i w:val="1"/>
          <w:iCs w:val="1"/>
          <w:color w:val="auto"/>
        </w:rPr>
        <w:t>unreallocated portion</w:t>
      </w:r>
      <w:r>
        <w:rPr>
          <w:rFonts w:ascii="Arial" w:cs="Arial" w:eastAsia="Arial" w:hAnsi="Arial"/>
          <w:sz w:val="18"/>
          <w:szCs w:val="18"/>
          <w:color w:val="auto"/>
        </w:rPr>
        <w:t>”) of the Defaulting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175" w:name="page176"/>
    <w:bookmarkEnd w:id="175"/>
    <w:p>
      <w:pPr>
        <w:jc w:val="both"/>
        <w:ind w:left="440" w:right="5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Exposure in an amount at least equal to the aggregate amount of the unreallocated portion of such LC Exposure or (B) make other arrangements satisfactory to the Administrative Agent and the Issuing Lenders in their sole discretion to protect them against the risk of non-payment by such Defaulting Lender.</w:t>
      </w:r>
    </w:p>
    <w:p>
      <w:pPr>
        <w:spacing w:after="0" w:line="181" w:lineRule="exact"/>
        <w:rPr>
          <w:sz w:val="20"/>
          <w:szCs w:val="20"/>
          <w:color w:val="auto"/>
        </w:rPr>
      </w:pPr>
    </w:p>
    <w:p>
      <w:pPr>
        <w:ind w:left="-20" w:right="100" w:firstLine="921"/>
        <w:spacing w:after="0" w:line="308" w:lineRule="auto"/>
        <w:tabs>
          <w:tab w:leader="none" w:pos="1138" w:val="left"/>
        </w:tabs>
        <w:numPr>
          <w:ilvl w:val="1"/>
          <w:numId w:val="156"/>
        </w:numPr>
        <w:rPr>
          <w:rFonts w:ascii="Arial" w:cs="Arial" w:eastAsia="Arial" w:hAnsi="Arial"/>
          <w:sz w:val="17"/>
          <w:szCs w:val="17"/>
          <w:color w:val="auto"/>
        </w:rPr>
      </w:pPr>
      <w:r>
        <w:rPr>
          <w:rFonts w:ascii="Arial" w:cs="Arial" w:eastAsia="Arial" w:hAnsi="Arial"/>
          <w:sz w:val="17"/>
          <w:szCs w:val="17"/>
          <w:color w:val="auto"/>
        </w:rPr>
        <w:t>In addition to the other conditions precedent set forth in this Agreement, if any Revolving Lender becomes, and during the period it remains, a Defaulting Lender, no Issuing Lender shall be required to issue any Letter of Credit or to amend any outstanding Letter of Credit, unless:</w:t>
      </w:r>
    </w:p>
    <w:p>
      <w:pPr>
        <w:spacing w:after="0" w:line="38" w:lineRule="exact"/>
        <w:rPr>
          <w:rFonts w:ascii="Arial" w:cs="Arial" w:eastAsia="Arial" w:hAnsi="Arial"/>
          <w:sz w:val="17"/>
          <w:szCs w:val="17"/>
          <w:color w:val="auto"/>
        </w:rPr>
      </w:pPr>
    </w:p>
    <w:p>
      <w:pPr>
        <w:ind w:left="440" w:right="40" w:firstLine="443"/>
        <w:spacing w:after="0" w:line="277" w:lineRule="auto"/>
        <w:tabs>
          <w:tab w:leader="none" w:pos="109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case of a Defaulting Lender, the LC Exposure of such Defaulting Lender is reallocated, as to outstanding and future Letters of Credit, to the Non-Defaulting Lenders as provided in Section 2.26(d)(i), except as provided in clause (ii) below, and</w:t>
      </w:r>
    </w:p>
    <w:p>
      <w:pPr>
        <w:spacing w:after="0" w:line="62" w:lineRule="exact"/>
        <w:rPr>
          <w:rFonts w:ascii="Arial" w:cs="Arial" w:eastAsia="Arial" w:hAnsi="Arial"/>
          <w:sz w:val="18"/>
          <w:szCs w:val="18"/>
          <w:color w:val="auto"/>
        </w:rPr>
      </w:pPr>
    </w:p>
    <w:p>
      <w:pPr>
        <w:ind w:left="440" w:right="120" w:firstLine="443"/>
        <w:spacing w:after="0" w:line="302" w:lineRule="auto"/>
        <w:tabs>
          <w:tab w:leader="none" w:pos="114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 the extent full reallocation does not occur as provided in clause (i) above, without limiting the provisions of Section 2.26(f), the Borrower shall Cash Collateralize the obligations of the Borrower in respect of such Letter of Credit in an amount at least equal to the aggregate amount of the obligations (contingent or otherwise) of such Defaulting Lender in respect of such Letter of Credit, or makes other arrangements satisfactory to the Administrative Agent and such Issuing Lenders in their sole discretion to protect them against the risk of non-payment by such Defaulting Lender, or</w:t>
      </w:r>
    </w:p>
    <w:p>
      <w:pPr>
        <w:spacing w:after="0" w:line="46" w:lineRule="exact"/>
        <w:rPr>
          <w:rFonts w:ascii="Arial" w:cs="Arial" w:eastAsia="Arial" w:hAnsi="Arial"/>
          <w:sz w:val="16"/>
          <w:szCs w:val="16"/>
          <w:color w:val="auto"/>
        </w:rPr>
      </w:pPr>
    </w:p>
    <w:p>
      <w:pPr>
        <w:ind w:left="440" w:firstLine="443"/>
        <w:spacing w:after="0" w:line="290" w:lineRule="auto"/>
        <w:tabs>
          <w:tab w:leader="none" w:pos="119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 the extent that neither reallocation nor Cash Collateralization occurs pursuant to clauses (i) or (ii), then in the case of a proposed issuance of a Letter of Credit, by an instrument or instruments in form and substance reasonably satisfactory to the Administrative Agent, and to such Issuing Lender, as the case may be, (A) the Borrower agrees that the face amount of such requested Letter of Credit will be reduced by an amount equal to the portion thereof as to which such Defaulting Lender would otherwise be liable, and (B) the Non-Defaulting Lenders’ obligations in respect of such Letter of Credit shall be on a pro rata basis in accordance with the Revolving Commitments of the Non-Defaulting Lenders, and that the applicable pro rata payment provisions under this Agreement will be deemed adjusted to reflect this provision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clause (iii) will be deemed to increase the Revolving Commitments of any Lender, nor to constitute a waiver or release of any claim the Borrower, the Administrative Agent, any Issuing Lender or any other Lender may have against such Defaulting Lender, nor to cause such Defaulting Lender to be a Non-Defaulting Lender).</w:t>
      </w:r>
    </w:p>
    <w:p>
      <w:pPr>
        <w:spacing w:after="0" w:line="166" w:lineRule="exact"/>
        <w:rPr>
          <w:rFonts w:ascii="Arial" w:cs="Arial" w:eastAsia="Arial" w:hAnsi="Arial"/>
          <w:sz w:val="16"/>
          <w:szCs w:val="16"/>
          <w:color w:val="auto"/>
        </w:rPr>
      </w:pPr>
    </w:p>
    <w:p>
      <w:pPr>
        <w:ind w:left="-20" w:right="40" w:firstLine="921"/>
        <w:spacing w:after="0" w:line="276" w:lineRule="auto"/>
        <w:tabs>
          <w:tab w:leader="none" w:pos="1118"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If any Revolving Lender becomes, and during the period it remains, a Defaulting Lender and if any Letter of Credit is at the time outstanding, the applicable Issuing Lender may (except to the extent the Revolving Commitments of such Defaulting Lender have been fully reallocated pursuant to Section 2.26(d)(i)), by notice to the Borrower and such Defaulting Lender through the Administrative Agent, require the Borrower to Cash Collateralize, not later than three (3) Business Days after receipt by the Borrower of such notice, the obligations of the Borrower to such Issuing Lender in respect of such Letter of Credit in an amount equal to the aggregate amount of the obligations (contingent or otherwise) of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60" w:top="274" w:right="259" w:bottom="1440" w:gutter="0" w:footer="0" w:header="0"/>
        </w:sectPr>
      </w:pPr>
    </w:p>
    <w:bookmarkStart w:id="176" w:name="page177"/>
    <w:bookmarkEnd w:id="176"/>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 in respect thereof, or to make other arrangements satisfactory to the Administrative Agent and such Issuing Lender in their sole discretion to protect them against the risk of non-payment by such Defaulting Lender.</w:t>
      </w:r>
    </w:p>
    <w:p>
      <w:pPr>
        <w:spacing w:after="0" w:line="170" w:lineRule="exact"/>
        <w:rPr>
          <w:sz w:val="20"/>
          <w:szCs w:val="20"/>
          <w:color w:val="auto"/>
        </w:rPr>
      </w:pPr>
    </w:p>
    <w:p>
      <w:pPr>
        <w:ind w:right="40" w:firstLine="921"/>
        <w:spacing w:after="0" w:line="257" w:lineRule="auto"/>
        <w:tabs>
          <w:tab w:leader="none" w:pos="116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amount paid by the Borrower or otherwise received by the Administrative Agent for the account of any Lender that is a Defaulting Lender (whether on account of principal, interest, fees, indemnity payments or other amounts) will not be paid or distributed to such Defaulting Lender, but shall instead be retained by the Administrative Agent in a segregated account until (subject to Section 2.26(i)) the termination of the Revolving Commitments and payment in full of all obligations of the Borrower hereunder and will be applied by the Administrative Agent, to the fullest extent permitted by law, to the making of payments from time to time in the following order of priority:</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any amounts owing by such Defaulting Lender to the Administrative Agent;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any amounts owing by such Defaulting Lender to the Issuing Lenders under this Agreement;</w:t>
      </w:r>
    </w:p>
    <w:p>
      <w:pPr>
        <w:spacing w:after="0" w:line="117" w:lineRule="exact"/>
        <w:rPr>
          <w:sz w:val="20"/>
          <w:szCs w:val="20"/>
          <w:color w:val="auto"/>
        </w:rPr>
      </w:pPr>
    </w:p>
    <w:p>
      <w:pPr>
        <w:ind w:left="460" w:firstLine="43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payment of the default interest and then current interest due and payable to the Revolving Lenders which are Non-Defaulting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ratably among them in accordance with the amounts of such interest then due and payable to them;</w:t>
      </w:r>
    </w:p>
    <w:p>
      <w:pPr>
        <w:spacing w:after="0" w:line="62" w:lineRule="exact"/>
        <w:rPr>
          <w:sz w:val="20"/>
          <w:szCs w:val="20"/>
          <w:color w:val="auto"/>
        </w:rPr>
      </w:pPr>
    </w:p>
    <w:p>
      <w:pPr>
        <w:ind w:left="460" w:right="600" w:firstLine="438"/>
        <w:spacing w:after="0" w:line="277"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payment of fees then due and payable to the Non-Defaulting Lenders hereunder, ratably among them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of such fees then due and payable to them;</w:t>
      </w:r>
    </w:p>
    <w:p>
      <w:pPr>
        <w:spacing w:after="0" w:line="62" w:lineRule="exact"/>
        <w:rPr>
          <w:sz w:val="20"/>
          <w:szCs w:val="20"/>
          <w:color w:val="auto"/>
        </w:rPr>
      </w:pPr>
    </w:p>
    <w:p>
      <w:pPr>
        <w:ind w:left="460" w:right="100" w:firstLine="438"/>
        <w:spacing w:after="0" w:line="277" w:lineRule="auto"/>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to pay principal and unreimbursed LC Disbursements then due and payable to the Non-Defaulting Lenders hereunder ratably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amounts thereof then due and payable to them;</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to the ratable payment of other amounts then due and payable to the Non-Defaulting Lenders;</w:t>
      </w:r>
    </w:p>
    <w:p>
      <w:pPr>
        <w:spacing w:after="0" w:line="117" w:lineRule="exact"/>
        <w:rPr>
          <w:sz w:val="20"/>
          <w:szCs w:val="20"/>
          <w:color w:val="auto"/>
        </w:rPr>
      </w:pPr>
    </w:p>
    <w:p>
      <w:pPr>
        <w:ind w:left="460" w:right="160" w:firstLine="438"/>
        <w:spacing w:after="0" w:line="308" w:lineRule="auto"/>
        <w:rPr>
          <w:sz w:val="20"/>
          <w:szCs w:val="20"/>
          <w:color w:val="auto"/>
        </w:rPr>
      </w:pPr>
      <w:r>
        <w:rPr>
          <w:rFonts w:ascii="Arial" w:cs="Arial" w:eastAsia="Arial" w:hAnsi="Arial"/>
          <w:sz w:val="17"/>
          <w:szCs w:val="17"/>
          <w:i w:val="1"/>
          <w:iCs w:val="1"/>
          <w:color w:val="auto"/>
        </w:rPr>
        <w:t>seventh</w:t>
      </w:r>
      <w:r>
        <w:rPr>
          <w:rFonts w:ascii="Arial" w:cs="Arial" w:eastAsia="Arial" w:hAnsi="Arial"/>
          <w:sz w:val="17"/>
          <w:szCs w:val="17"/>
          <w:color w:val="auto"/>
        </w:rPr>
        <w:t>, to the funding of any Loan or the funding or Cash Collateralization of any participation in any Letter of Credit in respect of which such</w:t>
      </w:r>
      <w:r>
        <w:rPr>
          <w:rFonts w:ascii="Arial" w:cs="Arial" w:eastAsia="Arial" w:hAnsi="Arial"/>
          <w:sz w:val="17"/>
          <w:szCs w:val="17"/>
          <w:i w:val="1"/>
          <w:iCs w:val="1"/>
          <w:color w:val="auto"/>
        </w:rPr>
        <w:t xml:space="preserve"> </w:t>
      </w:r>
      <w:r>
        <w:rPr>
          <w:rFonts w:ascii="Arial" w:cs="Arial" w:eastAsia="Arial" w:hAnsi="Arial"/>
          <w:sz w:val="17"/>
          <w:szCs w:val="17"/>
          <w:color w:val="auto"/>
        </w:rPr>
        <w:t>Defaulting Lender has failed to fund its portion thereof as required by this Agreement, as determined by the Administrative Agent;</w:t>
      </w:r>
    </w:p>
    <w:p>
      <w:pPr>
        <w:spacing w:after="0" w:line="38" w:lineRule="exact"/>
        <w:rPr>
          <w:sz w:val="20"/>
          <w:szCs w:val="20"/>
          <w:color w:val="auto"/>
        </w:rPr>
      </w:pPr>
    </w:p>
    <w:p>
      <w:pPr>
        <w:ind w:left="460" w:right="120" w:firstLine="438"/>
        <w:spacing w:after="0" w:line="277" w:lineRule="auto"/>
        <w:rPr>
          <w:sz w:val="20"/>
          <w:szCs w:val="20"/>
          <w:color w:val="auto"/>
        </w:rPr>
      </w:pPr>
      <w:r>
        <w:rPr>
          <w:rFonts w:ascii="Arial" w:cs="Arial" w:eastAsia="Arial" w:hAnsi="Arial"/>
          <w:sz w:val="18"/>
          <w:szCs w:val="18"/>
          <w:i w:val="1"/>
          <w:iCs w:val="1"/>
          <w:color w:val="auto"/>
        </w:rPr>
        <w:t>eighth</w:t>
      </w:r>
      <w:r>
        <w:rPr>
          <w:rFonts w:ascii="Arial" w:cs="Arial" w:eastAsia="Arial" w:hAnsi="Arial"/>
          <w:sz w:val="18"/>
          <w:szCs w:val="18"/>
          <w:color w:val="auto"/>
        </w:rPr>
        <w:t>, if so determined by the Administrative Agent and the Borrower, held in such account as Cash Collateral for future funding obligations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Defaulting Lender under this Agreement;</w:t>
      </w:r>
    </w:p>
    <w:p>
      <w:pPr>
        <w:spacing w:after="0" w:line="62" w:lineRule="exact"/>
        <w:rPr>
          <w:sz w:val="20"/>
          <w:szCs w:val="20"/>
          <w:color w:val="auto"/>
        </w:rPr>
      </w:pPr>
    </w:p>
    <w:p>
      <w:pPr>
        <w:ind w:left="460" w:right="420" w:firstLine="438"/>
        <w:spacing w:after="0" w:line="264" w:lineRule="auto"/>
        <w:rPr>
          <w:sz w:val="20"/>
          <w:szCs w:val="20"/>
          <w:color w:val="auto"/>
        </w:rPr>
      </w:pPr>
      <w:r>
        <w:rPr>
          <w:rFonts w:ascii="Arial" w:cs="Arial" w:eastAsia="Arial" w:hAnsi="Arial"/>
          <w:sz w:val="18"/>
          <w:szCs w:val="18"/>
          <w:i w:val="1"/>
          <w:iCs w:val="1"/>
          <w:color w:val="auto"/>
        </w:rPr>
        <w:t>ninth</w:t>
      </w:r>
      <w:r>
        <w:rPr>
          <w:rFonts w:ascii="Arial" w:cs="Arial" w:eastAsia="Arial" w:hAnsi="Arial"/>
          <w:sz w:val="18"/>
          <w:szCs w:val="18"/>
          <w:color w:val="auto"/>
        </w:rPr>
        <w:t>, pro rata, to the payment of any amounts owing to the Borrower or the Lenders as a result of any judgment of a court of competent</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obtained by a Borrower or any Lender against such Defaulting Lender as a result of such Defaulting Lender’s breach of its obligations under this Agreement; and</w:t>
      </w:r>
    </w:p>
    <w:p>
      <w:pPr>
        <w:spacing w:after="0" w:line="73" w:lineRule="exact"/>
        <w:rPr>
          <w:sz w:val="20"/>
          <w:szCs w:val="20"/>
          <w:color w:val="auto"/>
        </w:rPr>
      </w:pPr>
    </w:p>
    <w:p>
      <w:pPr>
        <w:ind w:left="460" w:right="420" w:firstLine="438"/>
        <w:spacing w:after="0" w:line="277" w:lineRule="auto"/>
        <w:rPr>
          <w:sz w:val="20"/>
          <w:szCs w:val="20"/>
          <w:color w:val="auto"/>
        </w:rPr>
      </w:pPr>
      <w:r>
        <w:rPr>
          <w:rFonts w:ascii="Arial" w:cs="Arial" w:eastAsia="Arial" w:hAnsi="Arial"/>
          <w:sz w:val="18"/>
          <w:szCs w:val="18"/>
          <w:i w:val="1"/>
          <w:iCs w:val="1"/>
          <w:color w:val="auto"/>
        </w:rPr>
        <w:t>tenth</w:t>
      </w:r>
      <w:r>
        <w:rPr>
          <w:rFonts w:ascii="Arial" w:cs="Arial" w:eastAsia="Arial" w:hAnsi="Arial"/>
          <w:sz w:val="18"/>
          <w:szCs w:val="18"/>
          <w:color w:val="auto"/>
        </w:rPr>
        <w:t>, after the termination of the Revolving Commitments and payment in full of all obligations of the Borrower hereunder, to pay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owing under this Agreement to such Defaulting Lender or as a court of competent jurisdiction may otherwise direct.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177" w:name="page178"/>
    <w:bookmarkEnd w:id="177"/>
    <w:p>
      <w:pPr>
        <w:ind w:right="300" w:firstLine="921"/>
        <w:spacing w:after="0" w:line="291" w:lineRule="auto"/>
        <w:tabs>
          <w:tab w:leader="none" w:pos="1168" w:val="left"/>
        </w:tabs>
        <w:numPr>
          <w:ilvl w:val="0"/>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may terminate the unused amount of the Commitment of any Lender that is a Defaulting Lender upon not less than ten (10) Business Days’ prior notice to the Administrative Agent (which shall promptly notify the Lenders thereof), and in such event the provisions of</w:t>
      </w:r>
    </w:p>
    <w:p>
      <w:pPr>
        <w:ind w:right="14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Section 2.26(g) will apply to all amounts thereafter paid by the Borrower for the account of such Defaulting Lender under this Agreement (whether on account of principal, interest, fees, indemnity or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Event of Default shall have occurred and be continuing and (ii) such termination shall not be deemed to be a waiver or release of any claim the Borrower, the Administrative Agent, any Issuing Lender, or any Lender may have against such Defaulting Lender.</w:t>
      </w:r>
    </w:p>
    <w:p>
      <w:pPr>
        <w:spacing w:after="0" w:line="189" w:lineRule="exact"/>
        <w:rPr>
          <w:rFonts w:ascii="Arial" w:cs="Arial" w:eastAsia="Arial" w:hAnsi="Arial"/>
          <w:sz w:val="16"/>
          <w:szCs w:val="16"/>
          <w:color w:val="auto"/>
        </w:rPr>
      </w:pPr>
    </w:p>
    <w:p>
      <w:pPr>
        <w:ind w:right="60" w:firstLine="921"/>
        <w:spacing w:after="0" w:line="270" w:lineRule="auto"/>
        <w:tabs>
          <w:tab w:leader="none" w:pos="112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If the Borrower, the Administrative Agent and (in the case of Revolving Lender) the Issuing Lenders agree in writing that a Lender that is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2.26(g)), such Lender, to the extent applicable, shall purchase at par such portions of outstanding Loans of the other Lenders, and/or make such other adjustments, as the Administrative Agent may determine to be necessary to cause the Lenders to hold Loans on a pro rata basis in accordance with their ratable shares, whereupon such Lender shall cease to be a Defaulting Lender and will be a Non-Defaulting Lender (and the LC Exposure of each Revolving Lender shall automatically be adjusted on a prospective basis to reflect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shall be made retroactively with respect to fees accrued while such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Non-Defaulting Lender shall constitute a waiver or release of any claim of any party hereunder arising from such Lender’s having been a Defaulting Lender.</w:t>
      </w:r>
    </w:p>
    <w:p>
      <w:pPr>
        <w:spacing w:after="0" w:line="177" w:lineRule="exact"/>
        <w:rPr>
          <w:rFonts w:ascii="Arial" w:cs="Arial" w:eastAsia="Arial" w:hAnsi="Arial"/>
          <w:sz w:val="17"/>
          <w:szCs w:val="17"/>
          <w:color w:val="auto"/>
        </w:rPr>
      </w:pPr>
    </w:p>
    <w:p>
      <w:pPr>
        <w:ind w:right="160" w:firstLine="921"/>
        <w:spacing w:after="0" w:line="264" w:lineRule="auto"/>
        <w:tabs>
          <w:tab w:leader="none" w:pos="11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Notwithstanding anything to the contrary herein, any Lender that is an Issuing Lender hereunder may not be replaced in its capacity as an Issuing Lender at any time that it has a Letter of Credit outstanding hereunder unless arrangements reasonably satisfactory to such Issuing Lender have been made with respect to such outstanding Letters of Credit.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2.27. </w:t>
      </w:r>
      <w:r>
        <w:rPr>
          <w:rFonts w:ascii="Arial" w:cs="Arial" w:eastAsia="Arial" w:hAnsi="Arial"/>
          <w:sz w:val="18"/>
          <w:szCs w:val="18"/>
          <w:u w:val="single" w:color="auto"/>
          <w:color w:val="auto"/>
        </w:rPr>
        <w:t>Increase in Commitment</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5" w:lineRule="auto"/>
        <w:tabs>
          <w:tab w:leader="none" w:pos="1157"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Borrower Request</w:t>
      </w:r>
      <w:r>
        <w:rPr>
          <w:rFonts w:ascii="Arial" w:cs="Arial" w:eastAsia="Arial" w:hAnsi="Arial"/>
          <w:sz w:val="18"/>
          <w:szCs w:val="18"/>
          <w:color w:val="auto"/>
        </w:rPr>
        <w:t>. The Borrower may by written notice to the Administrative Agent request (x) prior to the Revolving Facility Maturity Date,</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to the existing Revolving Commitments and/or LC Commitment or to establish one or more new Revolving Commitments and/or LC Commitments (each, an “</w:t>
      </w:r>
      <w:r>
        <w:rPr>
          <w:rFonts w:ascii="Arial" w:cs="Arial" w:eastAsia="Arial" w:hAnsi="Arial"/>
          <w:sz w:val="18"/>
          <w:szCs w:val="18"/>
          <w:i w:val="1"/>
          <w:iCs w:val="1"/>
          <w:color w:val="auto"/>
        </w:rPr>
        <w:t>Incremental Revolving Commitment</w:t>
      </w:r>
      <w:r>
        <w:rPr>
          <w:rFonts w:ascii="Arial" w:cs="Arial" w:eastAsia="Arial" w:hAnsi="Arial"/>
          <w:sz w:val="18"/>
          <w:szCs w:val="18"/>
          <w:color w:val="auto"/>
        </w:rPr>
        <w:t>”) and/or (y) at any time the establishment of one or more new Term Loan Commitments (each, an “</w:t>
      </w:r>
      <w:r>
        <w:rPr>
          <w:rFonts w:ascii="Arial" w:cs="Arial" w:eastAsia="Arial" w:hAnsi="Arial"/>
          <w:sz w:val="18"/>
          <w:szCs w:val="18"/>
          <w:i w:val="1"/>
          <w:iCs w:val="1"/>
          <w:color w:val="auto"/>
        </w:rPr>
        <w:t>Incremental Term Loan Commitment</w:t>
      </w:r>
      <w:r>
        <w:rPr>
          <w:rFonts w:ascii="Arial" w:cs="Arial" w:eastAsia="Arial" w:hAnsi="Arial"/>
          <w:sz w:val="18"/>
          <w:szCs w:val="18"/>
          <w:color w:val="auto"/>
        </w:rPr>
        <w:t>”, and together with the Incremental Revolving Commitments, the “</w:t>
      </w:r>
      <w:r>
        <w:rPr>
          <w:rFonts w:ascii="Arial" w:cs="Arial" w:eastAsia="Arial" w:hAnsi="Arial"/>
          <w:sz w:val="18"/>
          <w:szCs w:val="18"/>
          <w:i w:val="1"/>
          <w:iCs w:val="1"/>
          <w:color w:val="auto"/>
        </w:rPr>
        <w:t>Incremental Commitments</w:t>
      </w:r>
      <w:r>
        <w:rPr>
          <w:rFonts w:ascii="Arial" w:cs="Arial" w:eastAsia="Arial" w:hAnsi="Arial"/>
          <w:sz w:val="18"/>
          <w:szCs w:val="18"/>
          <w:color w:val="auto"/>
        </w:rPr>
        <w:t>”) by an amount not less than $50,000,000 individually. Each such notice shall specify (i) the date (each, an “</w:t>
      </w:r>
      <w:r>
        <w:rPr>
          <w:rFonts w:ascii="Arial" w:cs="Arial" w:eastAsia="Arial" w:hAnsi="Arial"/>
          <w:sz w:val="18"/>
          <w:szCs w:val="18"/>
          <w:i w:val="1"/>
          <w:iCs w:val="1"/>
          <w:color w:val="auto"/>
        </w:rPr>
        <w:t>Increase Effective Date</w:t>
      </w:r>
      <w:r>
        <w:rPr>
          <w:rFonts w:ascii="Arial" w:cs="Arial" w:eastAsia="Arial" w:hAnsi="Arial"/>
          <w:sz w:val="18"/>
          <w:szCs w:val="18"/>
          <w:color w:val="auto"/>
        </w:rPr>
        <w:t>”) on which the Borrower proposes that the Incremental Commitments shall be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78" w:name="page179"/>
    <w:bookmarkEnd w:id="17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which shall be a date not less than 10 Business Days after the date on which such notice is delivered to the Administrative Agent (or such earlier date agreed by the Administrative Agent) and (ii) the identity of each Eligible Assignee or other lender reasonably acceptable to the Administrative Agent (and, in the case of any Incremental Revolving Commitment that contains an LC Commitment, each Issuing Lender) to whom the Borrower proposes any portion of such Incremental Commitments be allocated (each, a “</w:t>
      </w:r>
      <w:r>
        <w:rPr>
          <w:rFonts w:ascii="Arial" w:cs="Arial" w:eastAsia="Arial" w:hAnsi="Arial"/>
          <w:sz w:val="16"/>
          <w:szCs w:val="16"/>
          <w:i w:val="1"/>
          <w:iCs w:val="1"/>
          <w:color w:val="auto"/>
        </w:rPr>
        <w:t>New Lender</w:t>
      </w:r>
      <w:r>
        <w:rPr>
          <w:rFonts w:ascii="Arial" w:cs="Arial" w:eastAsia="Arial" w:hAnsi="Arial"/>
          <w:sz w:val="16"/>
          <w:szCs w:val="16"/>
          <w:color w:val="auto"/>
        </w:rPr>
        <w:t xml:space="preserve">”) and the amounts of such allocations;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existing Lender approached to provide all or a portion of the Incremental Commitments may elect or decline, in its sole discretion, to provide such Incremental Commitment.</w:t>
      </w:r>
    </w:p>
    <w:p>
      <w:pPr>
        <w:spacing w:after="0" w:line="158" w:lineRule="exact"/>
        <w:rPr>
          <w:sz w:val="20"/>
          <w:szCs w:val="20"/>
          <w:color w:val="auto"/>
        </w:rPr>
      </w:pPr>
    </w:p>
    <w:p>
      <w:pPr>
        <w:ind w:left="1180" w:hanging="259"/>
        <w:spacing w:after="0"/>
        <w:tabs>
          <w:tab w:leader="none" w:pos="1180" w:val="left"/>
        </w:tabs>
        <w:numPr>
          <w:ilvl w:val="1"/>
          <w:numId w:val="161"/>
        </w:numPr>
        <w:rPr>
          <w:rFonts w:ascii="Arial" w:cs="Arial" w:eastAsia="Arial" w:hAnsi="Arial"/>
          <w:sz w:val="18"/>
          <w:szCs w:val="18"/>
          <w:color w:val="auto"/>
        </w:rPr>
      </w:pPr>
      <w:r>
        <w:rPr>
          <w:rFonts w:ascii="Arial" w:cs="Arial" w:eastAsia="Arial" w:hAnsi="Arial"/>
          <w:sz w:val="18"/>
          <w:szCs w:val="18"/>
          <w:i w:val="1"/>
          <w:iCs w:val="1"/>
          <w:color w:val="auto"/>
        </w:rPr>
        <w:t>Conditions</w:t>
      </w:r>
      <w:r>
        <w:rPr>
          <w:rFonts w:ascii="Arial" w:cs="Arial" w:eastAsia="Arial" w:hAnsi="Arial"/>
          <w:sz w:val="18"/>
          <w:szCs w:val="18"/>
          <w:color w:val="auto"/>
        </w:rPr>
        <w:t>. The Incremental Commitments shall become effective, as of such Increase Effective Date;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1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of the conditions set forth in Section 4.02 shall be satisfied on or prior to such Increase Effective Date before and after giving effect to such Incremental Commitments;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6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giving effect to the Incremental Commitments on, or the making of any new Loans on, such Increase Effective Date; and</w:t>
      </w:r>
    </w:p>
    <w:p>
      <w:pPr>
        <w:spacing w:after="0" w:line="62" w:lineRule="exact"/>
        <w:rPr>
          <w:rFonts w:ascii="Arial" w:cs="Arial" w:eastAsia="Arial" w:hAnsi="Arial"/>
          <w:sz w:val="18"/>
          <w:szCs w:val="18"/>
          <w:color w:val="auto"/>
        </w:rPr>
      </w:pPr>
    </w:p>
    <w:p>
      <w:pPr>
        <w:ind w:left="460" w:right="620" w:firstLine="443"/>
        <w:spacing w:after="0" w:line="312" w:lineRule="auto"/>
        <w:tabs>
          <w:tab w:leader="none" w:pos="121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Borrower shall provide an Officer’s Certificate demonstrating in reasonable detail that, after giving pro forma effect to (1) the Incremental Commitments, (2) any new Loans to be made on such Increase Effective Date and (3) the pledge of any Additional Collateral, the Collateral Coverage Ratio shall be no less than 1.6 to 1.0 and the aggregate amount of Liquidity shall be no less than $2,000,000,000.</w:t>
      </w:r>
    </w:p>
    <w:p>
      <w:pPr>
        <w:spacing w:after="0" w:line="146" w:lineRule="exact"/>
        <w:rPr>
          <w:rFonts w:ascii="Arial" w:cs="Arial" w:eastAsia="Arial" w:hAnsi="Arial"/>
          <w:sz w:val="16"/>
          <w:szCs w:val="16"/>
          <w:color w:val="auto"/>
        </w:rPr>
      </w:pPr>
    </w:p>
    <w:p>
      <w:pPr>
        <w:ind w:left="1160" w:hanging="239"/>
        <w:spacing w:after="0"/>
        <w:tabs>
          <w:tab w:leader="none" w:pos="1160"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Terms of New Loans and Commitments</w:t>
      </w:r>
      <w:r>
        <w:rPr>
          <w:rFonts w:ascii="Arial" w:cs="Arial" w:eastAsia="Arial" w:hAnsi="Arial"/>
          <w:sz w:val="16"/>
          <w:szCs w:val="16"/>
          <w:color w:val="auto"/>
        </w:rPr>
        <w:t>. The terms and provisions of Loans made pursuant to the new Commitments shall be as follows:</w:t>
      </w:r>
    </w:p>
    <w:p>
      <w:pPr>
        <w:spacing w:after="0" w:line="140" w:lineRule="exact"/>
        <w:rPr>
          <w:sz w:val="20"/>
          <w:szCs w:val="20"/>
          <w:color w:val="auto"/>
        </w:rPr>
      </w:pPr>
    </w:p>
    <w:p>
      <w:pPr>
        <w:ind w:left="460" w:right="80" w:firstLine="443"/>
        <w:spacing w:after="0" w:line="312" w:lineRule="auto"/>
        <w:tabs>
          <w:tab w:leader="none" w:pos="111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terms and provisions with respect to interest rates, maturity date and amortization schedule of Loans made pursuant to any Incremental Term Loan Commitments (“</w:t>
      </w:r>
      <w:r>
        <w:rPr>
          <w:rFonts w:ascii="Arial" w:cs="Arial" w:eastAsia="Arial" w:hAnsi="Arial"/>
          <w:sz w:val="16"/>
          <w:szCs w:val="16"/>
          <w:i w:val="1"/>
          <w:iCs w:val="1"/>
          <w:color w:val="auto"/>
        </w:rPr>
        <w:t>Incremental Term Loans</w:t>
      </w:r>
      <w:r>
        <w:rPr>
          <w:rFonts w:ascii="Arial" w:cs="Arial" w:eastAsia="Arial" w:hAnsi="Arial"/>
          <w:sz w:val="16"/>
          <w:szCs w:val="16"/>
          <w:color w:val="auto"/>
        </w:rPr>
        <w:t>”) shall be as agreed upon between the Borrower and the applicable Lenders providing such Loans (it being understood that the Incremental Term Loans may be part of the Class B Term Loans or any other Class of Term Loans);</w:t>
      </w:r>
    </w:p>
    <w:p>
      <w:pPr>
        <w:spacing w:after="0" w:line="38" w:lineRule="exact"/>
        <w:rPr>
          <w:rFonts w:ascii="Arial" w:cs="Arial" w:eastAsia="Arial" w:hAnsi="Arial"/>
          <w:sz w:val="16"/>
          <w:szCs w:val="16"/>
          <w:color w:val="auto"/>
        </w:rPr>
      </w:pPr>
    </w:p>
    <w:p>
      <w:pPr>
        <w:ind w:left="460" w:right="40" w:firstLine="443"/>
        <w:spacing w:after="0" w:line="277" w:lineRule="auto"/>
        <w:tabs>
          <w:tab w:leader="none" w:pos="116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maturity date of any Loans made pursuant to Incremental Term Loan Commitments shall be no earlier than the Term Loan Maturity Date applicable to the Class B Term Loans that have not been extended pursuant to Section 2.28;</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21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Weighted Average Life to Maturity of any Loans made pursuant to Incremental Term Loan Commitments shall be no shorter than the Weighted Average Life to Maturity of the Class B Term Loans made on the Closing Date;</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20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interest rate margins for new Incremental Term Loans shall be determined by the Borrower and the applicable Lenders providing such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Class of Incremental Term Loans, if the All-In Initial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274" w:right="319" w:bottom="1440" w:gutter="0" w:footer="0" w:header="0"/>
        </w:sectPr>
      </w:pPr>
    </w:p>
    <w:bookmarkStart w:id="179" w:name="page180"/>
    <w:bookmarkEnd w:id="179"/>
    <w:p>
      <w:pPr>
        <w:ind w:left="46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Yield on such Class of Incremental Term Loans exceeds the All-In Initial Yield on the Class B Term Loans funded hereunder (the “</w:t>
      </w:r>
      <w:r>
        <w:rPr>
          <w:rFonts w:ascii="Arial" w:cs="Arial" w:eastAsia="Arial" w:hAnsi="Arial"/>
          <w:sz w:val="16"/>
          <w:szCs w:val="16"/>
          <w:i w:val="1"/>
          <w:iCs w:val="1"/>
          <w:color w:val="auto"/>
        </w:rPr>
        <w:t>Original Term</w:t>
      </w:r>
      <w:r>
        <w:rPr>
          <w:rFonts w:ascii="Arial" w:cs="Arial" w:eastAsia="Arial" w:hAnsi="Arial"/>
          <w:sz w:val="16"/>
          <w:szCs w:val="16"/>
          <w:color w:val="auto"/>
        </w:rPr>
        <w:t xml:space="preserve"> </w:t>
      </w:r>
      <w:r>
        <w:rPr>
          <w:rFonts w:ascii="Arial" w:cs="Arial" w:eastAsia="Arial" w:hAnsi="Arial"/>
          <w:sz w:val="16"/>
          <w:szCs w:val="16"/>
          <w:i w:val="1"/>
          <w:iCs w:val="1"/>
          <w:color w:val="auto"/>
        </w:rPr>
        <w:t>Loans</w:t>
      </w:r>
      <w:r>
        <w:rPr>
          <w:rFonts w:ascii="Arial" w:cs="Arial" w:eastAsia="Arial" w:hAnsi="Arial"/>
          <w:sz w:val="16"/>
          <w:szCs w:val="16"/>
          <w:color w:val="auto"/>
        </w:rPr>
        <w:t>”) by more than 50 basis points (the amount of such excess, if any, above 50 basis points being referred to herein as the “</w:t>
      </w:r>
      <w:r>
        <w:rPr>
          <w:rFonts w:ascii="Arial" w:cs="Arial" w:eastAsia="Arial" w:hAnsi="Arial"/>
          <w:sz w:val="16"/>
          <w:szCs w:val="16"/>
          <w:i w:val="1"/>
          <w:iCs w:val="1"/>
          <w:color w:val="auto"/>
        </w:rPr>
        <w:t>Yield Differential</w:t>
      </w:r>
      <w:r>
        <w:rPr>
          <w:rFonts w:ascii="Arial" w:cs="Arial" w:eastAsia="Arial" w:hAnsi="Arial"/>
          <w:sz w:val="16"/>
          <w:szCs w:val="16"/>
          <w:color w:val="auto"/>
        </w:rPr>
        <w:t>”), then</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interest rate margin (and, as provided in the following proviso, the LIBO Rate floor) then in effect for the Original Term Loans shall be increased to eliminate such Yield Differential; provided that, to the extent any portion of the Yield Differential is attributable to any LIBO Rate floor applicable to such Class of Incremental Term Loans exceeding the LIBO Rate floor applicable to the Original Term Loans, the LIBO Rate floor applicable to the Original Term Loans shall first be increased to eliminate such Yield Differential to an amount not to exceed the LIBO Rate floor applicable to such Class of Incremental Term Loans prior to any increase in the interest rate margin applicable to such Original Term Loans.</w:t>
      </w:r>
    </w:p>
    <w:p>
      <w:pPr>
        <w:spacing w:after="0" w:line="59" w:lineRule="exact"/>
        <w:rPr>
          <w:sz w:val="20"/>
          <w:szCs w:val="20"/>
          <w:color w:val="auto"/>
        </w:rPr>
      </w:pPr>
    </w:p>
    <w:p>
      <w:pPr>
        <w:ind w:left="460" w:right="580" w:firstLine="443"/>
        <w:spacing w:after="0" w:line="277" w:lineRule="auto"/>
        <w:tabs>
          <w:tab w:leader="none" w:pos="115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maturity date of any Revolving Loans extended pursuant to such new Commitments shall be no earlier than the Revolving Facility Maturity Date applicable to the Revolving Commitments that have not been extended pursuant to Section 2.28;</w:t>
      </w:r>
    </w:p>
    <w:p>
      <w:pPr>
        <w:spacing w:after="0" w:line="62" w:lineRule="exact"/>
        <w:rPr>
          <w:rFonts w:ascii="Arial" w:cs="Arial" w:eastAsia="Arial" w:hAnsi="Arial"/>
          <w:sz w:val="18"/>
          <w:szCs w:val="18"/>
          <w:color w:val="auto"/>
        </w:rPr>
      </w:pPr>
    </w:p>
    <w:p>
      <w:pPr>
        <w:ind w:left="460" w:firstLine="443"/>
        <w:spacing w:after="0" w:line="277" w:lineRule="auto"/>
        <w:tabs>
          <w:tab w:leader="none" w:pos="120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Revolving Commitments established pursuant to such Incremental Revolving Commitments shall not require any scheduled amortization or mandatory commitment reduction prior to the Revolving Facility Maturity Date; and</w:t>
      </w:r>
    </w:p>
    <w:p>
      <w:pPr>
        <w:spacing w:after="0" w:line="62" w:lineRule="exact"/>
        <w:rPr>
          <w:rFonts w:ascii="Arial" w:cs="Arial" w:eastAsia="Arial" w:hAnsi="Arial"/>
          <w:sz w:val="18"/>
          <w:szCs w:val="18"/>
          <w:color w:val="auto"/>
        </w:rPr>
      </w:pPr>
    </w:p>
    <w:p>
      <w:pPr>
        <w:ind w:left="460" w:right="140" w:firstLine="443"/>
        <w:spacing w:after="0" w:line="259" w:lineRule="auto"/>
        <w:tabs>
          <w:tab w:leader="none" w:pos="125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to the extent that the terms and provisions of Incremental Term Loans or the Revolving Loans made pursuant to Incremental Revolving Commitments are not consistent with an outstanding Class of Term Loans or to the outstanding Revolving Loans, as applicable (except to the extent permitted by clauses (i), (ii), (iii), (iv), (v) and (vi) above), such terms and conditions shall be reasonably satisfactory to the Administrative Agent and the Borrower.</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Incremental Commitments shall be effected by a joinder agreement (the “</w:t>
      </w:r>
      <w:r>
        <w:rPr>
          <w:rFonts w:ascii="Arial" w:cs="Arial" w:eastAsia="Arial" w:hAnsi="Arial"/>
          <w:sz w:val="17"/>
          <w:szCs w:val="17"/>
          <w:i w:val="1"/>
          <w:iCs w:val="1"/>
          <w:color w:val="auto"/>
        </w:rPr>
        <w:t>Increase Joinder</w:t>
      </w:r>
      <w:r>
        <w:rPr>
          <w:rFonts w:ascii="Arial" w:cs="Arial" w:eastAsia="Arial" w:hAnsi="Arial"/>
          <w:sz w:val="17"/>
          <w:szCs w:val="17"/>
          <w:color w:val="auto"/>
        </w:rPr>
        <w:t>”) executed by the Borrower, the Administrative Agent and each Lender making such Incremental Commitment, in form and substance reasonably satisfactory to each of them. Notwithstanding anything else to the contrary in this Agreement or the other Loan Documents, the Increase Joinder may, without the consent of any other Lenders, effect such amendments to this Agreement and the other Loan Documents as may be necessary or appropriate, in the opinion of the Administrative Agent and the Borrower, to effect the provisions of this Section 2.27. In addition, unless otherwise specifically provided herein, all references in the Loan Documents to Revolving Loans or Term Loans shall be deemed, unless the context otherwise requires, to include references to Revolving Loans made pursuant to any increased Revolving Commitments and any Incremental Term Loans that are Term Loans, respectively, made pursuant to this Agreement.</w:t>
      </w:r>
    </w:p>
    <w:p>
      <w:pPr>
        <w:spacing w:after="0" w:line="178" w:lineRule="exact"/>
        <w:rPr>
          <w:sz w:val="20"/>
          <w:szCs w:val="20"/>
          <w:color w:val="auto"/>
        </w:rPr>
      </w:pPr>
    </w:p>
    <w:p>
      <w:pPr>
        <w:ind w:right="60" w:firstLine="921"/>
        <w:spacing w:after="0" w:line="259" w:lineRule="auto"/>
        <w:tabs>
          <w:tab w:leader="none" w:pos="1168"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Adjustment of Revolving Loans</w:t>
      </w:r>
      <w:r>
        <w:rPr>
          <w:rFonts w:ascii="Arial" w:cs="Arial" w:eastAsia="Arial" w:hAnsi="Arial"/>
          <w:sz w:val="18"/>
          <w:szCs w:val="18"/>
          <w:color w:val="auto"/>
        </w:rPr>
        <w:t>. To the extent the Commitments being increased on the relevant Increase Effective Date are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each of the existing Revolving Lenders shall assign to each of the applicable New Lenders, and each of the New Lenders shall purchase from each of the existing Revolving Lenders, at the principal amount thereof (together with accrued interest), such interests in the Revolving Loans outstanding on such Increase Effective Date as shall be necessary in order that, after giving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74" w:right="259" w:bottom="1440" w:gutter="0" w:footer="0" w:header="0"/>
        </w:sectPr>
      </w:pPr>
    </w:p>
    <w:bookmarkStart w:id="180" w:name="page181"/>
    <w:bookmarkEnd w:id="18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all such assignments and purchases, such Revolving Loans will be held by the existing Revolving Lenders and New Lenders ratably in accordance with their Revolving Commitments after giving effect to the increased Revolving Commitments on such Increase Effective Date. If there is a new Borrowing of Revolving Loans on such Increase Effective Date, the Revolving Lenders after giving effect to such Increase Effective Date shall make such Revolving Loans in accordance with Section 2.01(a).</w:t>
      </w:r>
    </w:p>
    <w:p>
      <w:pPr>
        <w:spacing w:after="0" w:line="187" w:lineRule="exact"/>
        <w:rPr>
          <w:sz w:val="20"/>
          <w:szCs w:val="20"/>
          <w:color w:val="auto"/>
        </w:rPr>
      </w:pPr>
    </w:p>
    <w:p>
      <w:pPr>
        <w:ind w:right="80" w:firstLine="921"/>
        <w:spacing w:after="0" w:line="264" w:lineRule="auto"/>
        <w:tabs>
          <w:tab w:leader="none" w:pos="1157"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Making of New Term Loans</w:t>
      </w:r>
      <w:r>
        <w:rPr>
          <w:rFonts w:ascii="Arial" w:cs="Arial" w:eastAsia="Arial" w:hAnsi="Arial"/>
          <w:sz w:val="18"/>
          <w:szCs w:val="18"/>
          <w:color w:val="auto"/>
        </w:rPr>
        <w:t>. On any Increase Effective Date on which one or more Incremental Term Loan Commitments becomes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satisfaction of the foregoing terms and conditions, each Lender of such Incremental Term Loan Commitment shall make an Incremental Term Loan to the Borrower in an amount equal to its Incremental Term Loan Commitment.</w:t>
      </w:r>
    </w:p>
    <w:p>
      <w:pPr>
        <w:spacing w:after="0" w:line="181" w:lineRule="exact"/>
        <w:rPr>
          <w:rFonts w:ascii="Arial" w:cs="Arial" w:eastAsia="Arial" w:hAnsi="Arial"/>
          <w:sz w:val="18"/>
          <w:szCs w:val="18"/>
          <w:color w:val="auto"/>
        </w:rPr>
      </w:pPr>
    </w:p>
    <w:p>
      <w:pPr>
        <w:jc w:val="both"/>
        <w:ind w:right="80" w:firstLine="921"/>
        <w:spacing w:after="0" w:line="302" w:lineRule="auto"/>
        <w:tabs>
          <w:tab w:leader="none" w:pos="1138"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Security and Guaranty</w:t>
      </w:r>
      <w:r>
        <w:rPr>
          <w:rFonts w:ascii="Arial" w:cs="Arial" w:eastAsia="Arial" w:hAnsi="Arial"/>
          <w:sz w:val="16"/>
          <w:szCs w:val="16"/>
          <w:color w:val="auto"/>
        </w:rPr>
        <w:t>. The Incremental Commitments will be secured on a</w:t>
      </w:r>
      <w:r>
        <w:rPr>
          <w:rFonts w:ascii="Arial" w:cs="Arial" w:eastAsia="Arial" w:hAnsi="Arial"/>
          <w:sz w:val="16"/>
          <w:szCs w:val="16"/>
          <w:i w:val="1"/>
          <w:iCs w:val="1"/>
          <w:color w:val="auto"/>
        </w:rPr>
        <w:t xml:space="preserve"> pari passu </w:t>
      </w:r>
      <w:r>
        <w:rPr>
          <w:rFonts w:ascii="Arial" w:cs="Arial" w:eastAsia="Arial" w:hAnsi="Arial"/>
          <w:sz w:val="16"/>
          <w:szCs w:val="16"/>
          <w:color w:val="auto"/>
        </w:rPr>
        <w:t>or (at the Borrower’s option) junior basis by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securing the obligations under the Facilities, and the Incremental Commitments and any incremental loans drawn thereunder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or (at the Borrower’s option) junior to the obligations under the Facilities (it being understood any such junior liens shall be subject to any Intercreditor Agreement or any Other Intercreditor Agreement). Incremental Commitments shall benefit from the same guarantees as the Facilities.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2.28. </w:t>
      </w:r>
      <w:r>
        <w:rPr>
          <w:rFonts w:ascii="Arial" w:cs="Arial" w:eastAsia="Arial" w:hAnsi="Arial"/>
          <w:sz w:val="18"/>
          <w:szCs w:val="18"/>
          <w:u w:val="single" w:color="auto"/>
          <w:color w:val="auto"/>
        </w:rPr>
        <w:t>Extension of Term Loans; Extension of the Revolving Facility</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9" w:lineRule="auto"/>
        <w:tabs>
          <w:tab w:leader="none" w:pos="1157"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Extension of Term Loans</w:t>
      </w:r>
      <w:r>
        <w:rPr>
          <w:rFonts w:ascii="Arial" w:cs="Arial" w:eastAsia="Arial" w:hAnsi="Arial"/>
          <w:sz w:val="16"/>
          <w:szCs w:val="16"/>
          <w:color w:val="auto"/>
        </w:rPr>
        <w:t>. Notwithstanding anything to the contrary in this Agreement, pursuant to one or more offers (each, a “</w:t>
      </w:r>
      <w:r>
        <w:rPr>
          <w:rFonts w:ascii="Arial" w:cs="Arial" w:eastAsia="Arial" w:hAnsi="Arial"/>
          <w:sz w:val="16"/>
          <w:szCs w:val="16"/>
          <w:i w:val="1"/>
          <w:iCs w:val="1"/>
          <w:color w:val="auto"/>
        </w:rPr>
        <w:t>Term Loan Extension Offer</w:t>
      </w:r>
      <w:r>
        <w:rPr>
          <w:rFonts w:ascii="Arial" w:cs="Arial" w:eastAsia="Arial" w:hAnsi="Arial"/>
          <w:sz w:val="16"/>
          <w:szCs w:val="16"/>
          <w:color w:val="auto"/>
        </w:rPr>
        <w:t>”), made from time to time by the Borrower to all Term Lenders holding Term Loans with like maturity date, on a pro rata basis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Term Loan Commitments with like maturity date) and on the same terms to each such Term Lender, the Borrower is hereby permitted to consummate from time to time transactions with individual Term Lenders that accept the terms contained in such Term Loan Extension Offers to extend the scheduled maturity date with respect to all or a portion of any outstanding principal amount of such Term Lender’s Term Loans and otherwise modify the terms of such Term Loans pursuant to the terms of the relevant Term Loan Extension Offer (including, without limitation, by changing the interest rate or fees payable in respect of such Term Loan Commitments) (each, a “</w:t>
      </w:r>
      <w:r>
        <w:rPr>
          <w:rFonts w:ascii="Arial" w:cs="Arial" w:eastAsia="Arial" w:hAnsi="Arial"/>
          <w:sz w:val="16"/>
          <w:szCs w:val="16"/>
          <w:i w:val="1"/>
          <w:iCs w:val="1"/>
          <w:color w:val="auto"/>
        </w:rPr>
        <w:t>Term Loan Extension</w:t>
      </w:r>
      <w:r>
        <w:rPr>
          <w:rFonts w:ascii="Arial" w:cs="Arial" w:eastAsia="Arial" w:hAnsi="Arial"/>
          <w:sz w:val="16"/>
          <w:szCs w:val="16"/>
          <w:color w:val="auto"/>
        </w:rPr>
        <w:t>,” and each group of Term Loans, as so extended, as well as the original Term Loans not so extended, being a “</w:t>
      </w:r>
      <w:r>
        <w:rPr>
          <w:rFonts w:ascii="Arial" w:cs="Arial" w:eastAsia="Arial" w:hAnsi="Arial"/>
          <w:sz w:val="16"/>
          <w:szCs w:val="16"/>
          <w:i w:val="1"/>
          <w:iCs w:val="1"/>
          <w:color w:val="auto"/>
        </w:rPr>
        <w:t>tranche of Term Loans</w:t>
      </w:r>
      <w:r>
        <w:rPr>
          <w:rFonts w:ascii="Arial" w:cs="Arial" w:eastAsia="Arial" w:hAnsi="Arial"/>
          <w:sz w:val="16"/>
          <w:szCs w:val="16"/>
          <w:color w:val="auto"/>
        </w:rPr>
        <w:t>,” and subject to the last sentence of the definition of “Class,” any Extended Term Loan shall constitute a separate tranche of Term Loans from the tranche of Term Loans from which they were converted), so long as the following terms are satisfied:</w:t>
      </w:r>
    </w:p>
    <w:p>
      <w:pPr>
        <w:spacing w:after="0" w:line="58" w:lineRule="exact"/>
        <w:rPr>
          <w:rFonts w:ascii="Arial" w:cs="Arial" w:eastAsia="Arial" w:hAnsi="Arial"/>
          <w:sz w:val="16"/>
          <w:szCs w:val="16"/>
          <w:color w:val="auto"/>
        </w:rPr>
      </w:pPr>
    </w:p>
    <w:p>
      <w:pPr>
        <w:ind w:left="460" w:right="200" w:firstLine="443"/>
        <w:spacing w:after="0" w:line="277" w:lineRule="auto"/>
        <w:tabs>
          <w:tab w:leader="none" w:pos="111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Event of Default pursuant to Section 7.01(b), (e)(B), (f) or (g) shall have occurred and be continuing at the time the offering document in respect of a Term Loan Extension Offer is delivered to the applicable Term Lenders;</w:t>
      </w:r>
    </w:p>
    <w:p>
      <w:pPr>
        <w:spacing w:after="0" w:line="62" w:lineRule="exact"/>
        <w:rPr>
          <w:rFonts w:ascii="Arial" w:cs="Arial" w:eastAsia="Arial" w:hAnsi="Arial"/>
          <w:sz w:val="18"/>
          <w:szCs w:val="18"/>
          <w:color w:val="auto"/>
        </w:rPr>
      </w:pPr>
    </w:p>
    <w:p>
      <w:pPr>
        <w:ind w:left="460" w:right="280" w:firstLine="443"/>
        <w:spacing w:after="0" w:line="264" w:lineRule="auto"/>
        <w:tabs>
          <w:tab w:leader="none" w:pos="116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except as to interest rates, fees, scheduled amortization payments of principal and final maturity (which shall be as set forth in the relevant Term Loan Extension Offer), the Term Loan of any Term Lender that agrees to a Term Loan Extension with respect to such Term Loan extended pursuant to an Extension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4" w:right="259" w:bottom="1440" w:gutter="0" w:footer="0" w:header="0"/>
        </w:sectPr>
      </w:pPr>
    </w:p>
    <w:bookmarkStart w:id="181" w:name="page182"/>
    <w:bookmarkEnd w:id="18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(an “</w:t>
      </w:r>
      <w:r>
        <w:rPr>
          <w:rFonts w:ascii="Arial" w:cs="Arial" w:eastAsia="Arial" w:hAnsi="Arial"/>
          <w:sz w:val="16"/>
          <w:szCs w:val="16"/>
          <w:i w:val="1"/>
          <w:iCs w:val="1"/>
          <w:color w:val="auto"/>
        </w:rPr>
        <w:t>Extended Term Loan</w:t>
      </w:r>
      <w:r>
        <w:rPr>
          <w:rFonts w:ascii="Arial" w:cs="Arial" w:eastAsia="Arial" w:hAnsi="Arial"/>
          <w:sz w:val="16"/>
          <w:szCs w:val="16"/>
          <w:color w:val="auto"/>
        </w:rPr>
        <w:t xml:space="preserve">”), shall be a Term Loan with the same terms as the original Class of Term Loans being extended;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sz w:val="20"/>
          <w:szCs w:val="20"/>
          <w:color w:val="auto"/>
        </w:rPr>
      </w:pPr>
    </w:p>
    <w:p>
      <w:pPr>
        <w:ind w:left="460" w:firstLine="4"/>
        <w:spacing w:after="0" w:line="281" w:lineRule="auto"/>
        <w:tabs>
          <w:tab w:leader="none" w:pos="71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permanent repayment of Extended Term Loans after the applicable Term Loan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(it being understood that amortization payments and prepayments of Term Loans shall not be required to be on a pro rata basis), (2) assignments and participations of Extended Term Loans shall be governed by the same assignment and participation provisions applicable to Term Loans or, at the Borrower’s discretion, governed by more restrictive assignment and participation provisions,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 and the applicable Term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w:t>
      </w:r>
    </w:p>
    <w:p>
      <w:pPr>
        <w:spacing w:after="0" w:line="6" w:lineRule="exact"/>
        <w:rPr>
          <w:rFonts w:ascii="Arial" w:cs="Arial" w:eastAsia="Arial" w:hAnsi="Arial"/>
          <w:sz w:val="16"/>
          <w:szCs w:val="16"/>
          <w:color w:val="auto"/>
        </w:rPr>
      </w:pPr>
    </w:p>
    <w:p>
      <w:pPr>
        <w:ind w:left="460" w:right="80" w:firstLine="4"/>
        <w:spacing w:after="0" w:line="261" w:lineRule="auto"/>
        <w:tabs>
          <w:tab w:leader="none" w:pos="7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at no time shall there be Term Loans hereunder (including Extended Term Loans and any original Term Loans) which have more than five different maturity dates;</w:t>
      </w:r>
    </w:p>
    <w:p>
      <w:pPr>
        <w:spacing w:after="0" w:line="75" w:lineRule="exact"/>
        <w:rPr>
          <w:rFonts w:ascii="Arial" w:cs="Arial" w:eastAsia="Arial" w:hAnsi="Arial"/>
          <w:sz w:val="18"/>
          <w:szCs w:val="18"/>
          <w:color w:val="auto"/>
        </w:rPr>
      </w:pPr>
    </w:p>
    <w:p>
      <w:pPr>
        <w:ind w:left="1220" w:hanging="317"/>
        <w:spacing w:after="0"/>
        <w:tabs>
          <w:tab w:leader="none" w:pos="12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 documentation in respect of such Term Loan Extension shall be consistent with the foregoing;</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20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Borrower may amend, revoke or replace a Term Loan Extension Offer at any time prior to the date on which Lenders under the tranche of Term Loans are requested to respond to the offer; and</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applicable Minimum Extension Condition shall be satisfied unless waived by the Borrower. For the avoidance of doubt, no Term Lender shall be obligated to accept any Term Loan Extension Offer.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Extension of the Revolving Facility</w:t>
      </w:r>
      <w:r>
        <w:rPr>
          <w:rFonts w:ascii="Arial" w:cs="Arial" w:eastAsia="Arial" w:hAnsi="Arial"/>
          <w:sz w:val="17"/>
          <w:szCs w:val="17"/>
          <w:color w:val="auto"/>
        </w:rPr>
        <w:t>. Notwithstanding anything to the contrary in this Agreement, pursuant to one or more offers (each,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Revolver Extension Offer</w:t>
      </w:r>
      <w:r>
        <w:rPr>
          <w:rFonts w:ascii="Arial" w:cs="Arial" w:eastAsia="Arial" w:hAnsi="Arial"/>
          <w:sz w:val="16"/>
          <w:szCs w:val="16"/>
          <w:color w:val="auto"/>
        </w:rPr>
        <w:t>”) made from time to time by the Borrower to all Revolving Lenders holding Revolving Commitments with a like maturity date,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pro rata basis (based on the aggregate Revolving Commitments with a like maturity date) and on the same terms to each such Revolving Lender,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Borrower is hereby permitted to consummate from time to time transactions with individual Revolving Lenders that accept the terms contained in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Revolver Extension Offers to extend the maturity date of all or a portion of each such Revolving Lender’s Revolving Commitments and otherwise modify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such Revolving Commitments pursuant to the terms of the relevant Revolver Extension Offer (including, without limitation, by the changing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rate or fees payable in respect of such Revolving Commitments (and related outstandings)) (each, a “</w:t>
      </w:r>
      <w:r>
        <w:rPr>
          <w:rFonts w:ascii="Arial" w:cs="Arial" w:eastAsia="Arial" w:hAnsi="Arial"/>
          <w:sz w:val="17"/>
          <w:szCs w:val="17"/>
          <w:i w:val="1"/>
          <w:iCs w:val="1"/>
          <w:color w:val="auto"/>
        </w:rPr>
        <w:t>Revolver Extension</w:t>
      </w:r>
      <w:r>
        <w:rPr>
          <w:rFonts w:ascii="Arial" w:cs="Arial" w:eastAsia="Arial" w:hAnsi="Arial"/>
          <w:sz w:val="17"/>
          <w:szCs w:val="17"/>
          <w:color w:val="auto"/>
        </w:rPr>
        <w:t>,” and each group of Revolving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Commitments, as so extended, as well as the original Revolving Commitments not so extended, being a “</w:t>
      </w:r>
      <w:r>
        <w:rPr>
          <w:rFonts w:ascii="Arial" w:cs="Arial" w:eastAsia="Arial" w:hAnsi="Arial"/>
          <w:sz w:val="18"/>
          <w:szCs w:val="18"/>
          <w:i w:val="1"/>
          <w:iCs w:val="1"/>
          <w:color w:val="auto"/>
        </w:rPr>
        <w:t>tranche of Revolving Loans</w:t>
      </w:r>
      <w:r>
        <w:rPr>
          <w:rFonts w:ascii="Arial" w:cs="Arial" w:eastAsia="Arial" w:hAnsi="Arial"/>
          <w:sz w:val="18"/>
          <w:szCs w:val="18"/>
          <w:color w:val="auto"/>
        </w:rPr>
        <w:t>,”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182" w:name="page183"/>
    <w:bookmarkEnd w:id="18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subject to the last sentence of the definition of “Class,” Extended Revolving Commitments shall constitute a separate tranche of Revolving Commitments from the tranche of Revolving Commitments from which they were converted), so long as the following terms are satisfied:</w:t>
      </w:r>
    </w:p>
    <w:p>
      <w:pPr>
        <w:spacing w:after="0" w:line="62" w:lineRule="exact"/>
        <w:rPr>
          <w:sz w:val="20"/>
          <w:szCs w:val="20"/>
          <w:color w:val="auto"/>
        </w:rPr>
      </w:pPr>
    </w:p>
    <w:p>
      <w:pPr>
        <w:ind w:left="460" w:right="160" w:firstLine="443"/>
        <w:spacing w:after="0" w:line="308" w:lineRule="auto"/>
        <w:tabs>
          <w:tab w:leader="none" w:pos="1113" w:val="left"/>
        </w:tabs>
        <w:numPr>
          <w:ilvl w:val="1"/>
          <w:numId w:val="171"/>
        </w:numPr>
        <w:rPr>
          <w:rFonts w:ascii="Arial" w:cs="Arial" w:eastAsia="Arial" w:hAnsi="Arial"/>
          <w:sz w:val="17"/>
          <w:szCs w:val="17"/>
          <w:color w:val="auto"/>
        </w:rPr>
      </w:pPr>
      <w:r>
        <w:rPr>
          <w:rFonts w:ascii="Arial" w:cs="Arial" w:eastAsia="Arial" w:hAnsi="Arial"/>
          <w:sz w:val="17"/>
          <w:szCs w:val="17"/>
          <w:color w:val="auto"/>
        </w:rPr>
        <w:t>No Event of Default pursuant to Section 7.01(b), (e)(B), (f) or (g) shall have occurred and be continuing at the time the offering document in respect of a Revolver Extension Offer is delivered to the applicable Revolving Lenders (the “</w:t>
      </w:r>
      <w:r>
        <w:rPr>
          <w:rFonts w:ascii="Arial" w:cs="Arial" w:eastAsia="Arial" w:hAnsi="Arial"/>
          <w:sz w:val="17"/>
          <w:szCs w:val="17"/>
          <w:i w:val="1"/>
          <w:iCs w:val="1"/>
          <w:color w:val="auto"/>
        </w:rPr>
        <w:t>Revolver Extension Offer Date</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60" w:right="40" w:firstLine="443"/>
        <w:spacing w:after="0" w:line="284" w:lineRule="auto"/>
        <w:tabs>
          <w:tab w:leader="none" w:pos="1163"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except as to interest rates, fees and final maturity (which shall be set forth in the relevant Revolver Extension Offer), the Revolving Commitment of any Revolving Lender that agrees to a Revolver Extension with respect to such Revolving Commitment extended pursuant to an Extension Amendment (an “</w:t>
      </w:r>
      <w:r>
        <w:rPr>
          <w:rFonts w:ascii="Arial" w:cs="Arial" w:eastAsia="Arial" w:hAnsi="Arial"/>
          <w:sz w:val="16"/>
          <w:szCs w:val="16"/>
          <w:i w:val="1"/>
          <w:iCs w:val="1"/>
          <w:color w:val="auto"/>
        </w:rPr>
        <w:t>Extended Revolving Commitment</w:t>
      </w:r>
      <w:r>
        <w:rPr>
          <w:rFonts w:ascii="Arial" w:cs="Arial" w:eastAsia="Arial" w:hAnsi="Arial"/>
          <w:sz w:val="16"/>
          <w:szCs w:val="16"/>
          <w:color w:val="auto"/>
        </w:rPr>
        <w:t xml:space="preserve">”), and the related outstandings, shall be a Revolving Commitment (or related outstandings, as the case may be) with the same terms as the original Class of Revolving Commitments being extended (and related outstandings);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the borrowing and repayment (except for (A) payments of interest and fees at different rates on Extended Revolving Commitments (and related outstandings), (B) repayments required upon the maturity date of the non-extending Revolving Commitments and (C) repayment made in connection with a permanent repayment and termination of commitments) of Revolving Loans with respect to Extended Revolving Commitments after the applicable Revolver Extension Offer Date shall be made on a pro rata basis with all other Revolving Commitments (it being understood that</w:t>
      </w:r>
    </w:p>
    <w:p>
      <w:pPr>
        <w:spacing w:after="0" w:line="1" w:lineRule="exact"/>
        <w:rPr>
          <w:rFonts w:ascii="Arial" w:cs="Arial" w:eastAsia="Arial" w:hAnsi="Arial"/>
          <w:sz w:val="16"/>
          <w:szCs w:val="16"/>
          <w:color w:val="auto"/>
        </w:rPr>
      </w:pPr>
    </w:p>
    <w:p>
      <w:pPr>
        <w:ind w:left="700" w:hanging="236"/>
        <w:spacing w:after="0"/>
        <w:tabs>
          <w:tab w:leader="none" w:pos="7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prepayments of Revolving Loans other than in connection with a termination of commitments shall not be required to be on a pro rata basis and</w:t>
      </w:r>
    </w:p>
    <w:p>
      <w:pPr>
        <w:spacing w:after="0" w:line="32" w:lineRule="exact"/>
        <w:rPr>
          <w:rFonts w:ascii="Arial" w:cs="Arial" w:eastAsia="Arial" w:hAnsi="Arial"/>
          <w:sz w:val="16"/>
          <w:szCs w:val="16"/>
          <w:color w:val="auto"/>
        </w:rPr>
      </w:pPr>
    </w:p>
    <w:p>
      <w:pPr>
        <w:ind w:left="460" w:right="80" w:firstLine="4"/>
        <w:spacing w:after="0" w:line="270" w:lineRule="auto"/>
        <w:tabs>
          <w:tab w:leader="none" w:pos="71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Borrower shall be permitted to permanently repay and terminate commitments of any such tranche of Revolving Loans on a better than pro rata basis as compared to any other tranche of Revolving Loans with a later maturity date than such tranche of Revolving Loans), (2) assignments and participations of Extended Revolving Commitments and extended Revolving Loans shall be governed by the same assignment and participation provisions applicable to Revolving Commitments and Revolving Loans or, at the Borrower’s discretion, governed by more restrictive assignment and participation provisions and (3) at no time shall there be Revolving Commitments hereunder (including Extended Revolving Commitments and any original Revolving Commitments) which have more than five different maturity dates;</w:t>
      </w:r>
    </w:p>
    <w:p>
      <w:pPr>
        <w:spacing w:after="0" w:line="70" w:lineRule="exact"/>
        <w:rPr>
          <w:rFonts w:ascii="Arial" w:cs="Arial" w:eastAsia="Arial" w:hAnsi="Arial"/>
          <w:sz w:val="17"/>
          <w:szCs w:val="17"/>
          <w:color w:val="auto"/>
        </w:rPr>
      </w:pPr>
    </w:p>
    <w:p>
      <w:pPr>
        <w:ind w:left="460" w:right="160" w:firstLine="443"/>
        <w:spacing w:after="0" w:line="257" w:lineRule="auto"/>
        <w:tabs>
          <w:tab w:leader="none" w:pos="121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if the aggregate principal amount of Revolving Commitments in respect of which Revolving Lenders shall have accepted the relevant Revolver Extension Offer shall exceed the maximum aggregate principal amount of Revolving Commitments, as the case may be, offered to be extended by the Borrower pursuant to such Revolver Extension Offer, then the Revolving Loans of such Revolving Lenders shall be extended ratably up to such maximum amount based on the respective principal amounts (but not to exceed actual holdings of record) with respect to which such Revolving Lenders have accepted such Revolver Extension Offer;</w:t>
      </w:r>
    </w:p>
    <w:p>
      <w:pPr>
        <w:spacing w:after="0" w:line="80" w:lineRule="exact"/>
        <w:rPr>
          <w:rFonts w:ascii="Arial" w:cs="Arial" w:eastAsia="Arial" w:hAnsi="Arial"/>
          <w:sz w:val="18"/>
          <w:szCs w:val="18"/>
          <w:color w:val="auto"/>
        </w:rPr>
      </w:pPr>
    </w:p>
    <w:p>
      <w:pPr>
        <w:ind w:left="460" w:right="580" w:firstLine="443"/>
        <w:spacing w:after="0" w:line="277" w:lineRule="auto"/>
        <w:tabs>
          <w:tab w:leader="none" w:pos="120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if the aggregate principal amount of Revolving Commitments in respect of which Revolving Lenders shall have accepted the relevant Revolver Extension Offer shall be less than the maximum aggregate principal amount of Revolving Commitments,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4" w:right="259" w:bottom="1440" w:gutter="0" w:footer="0" w:header="0"/>
        </w:sectPr>
      </w:pPr>
    </w:p>
    <w:bookmarkStart w:id="183" w:name="page184"/>
    <w:bookmarkEnd w:id="183"/>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the case may be, offered to be extended by the Borrower pursuant to such Revolver Extension Offer, then the Borrower may require each Revolving Lender that does not accept such Revolver Extension Offer to assign pursuant to Section 10.02 its pro rata share (or any portion thereof) of the outstanding Revolving Commitments, Revolving Loans and/or participations in Letters of Credit (as applicable) offered to be extended pursuant to such Revolver Extension Offer to one or more assignees which have agreed to such assignment and to extend the applicable Revolving Facility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each Revolving Lender that does not respond affirmatively by the deadline set forth in the Revolver Extension Offer shall be deemed not to have accepted such Revolver Extension Offer, (2) each assigning Revolving Lender shall have received payment of an amount equal to the outstanding principal of its Revolving Loans and unreimbursed funded participations in LC Disbursements, accrued interest thereon, accrued fees and all other amounts payable to it hereunder, from the assignee (to the extent of such outstanding principal and accrued interest and fees or portion thereof that has been assigned pursuant to this Section 2.28(b)(iv), if applicable) or the Borrower (in the case of all other amounts), (3) the processing and recordation fee specified in Section 10.02(b)(ii)(D) shall be paid by the Borrower or such assignee and (4) the assigning Revolving Lender shall continue to be entitled to the rights under Section 10.04 for any period prior to the effectiveness of such assignment;</w:t>
      </w:r>
    </w:p>
    <w:p>
      <w:pPr>
        <w:spacing w:after="0" w:line="65" w:lineRule="exact"/>
        <w:rPr>
          <w:sz w:val="20"/>
          <w:szCs w:val="20"/>
          <w:color w:val="auto"/>
        </w:rPr>
      </w:pPr>
    </w:p>
    <w:p>
      <w:pPr>
        <w:ind w:left="460" w:right="60" w:firstLine="443"/>
        <w:spacing w:after="0" w:line="277" w:lineRule="auto"/>
        <w:tabs>
          <w:tab w:leader="none" w:pos="115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documentation in respect of such Revolver Extension shall be consistent with the foregoing unless otherwise agreed by the Administrative Agent and the Borrower;</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20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Borrower may amend, revoke or replace a Revolver Extension Offer at any time prior to the date on which Lenders under the tranche of Revolving Loans are requested to respond to the offer; and</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25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applicable Minimum Extension Condition shall be satisfied unless waived by the Borrower. For the avoidance of doubt, no Revolving Lender shall be obligated to accept any Revolver Extension Offer.</w:t>
      </w:r>
    </w:p>
    <w:p>
      <w:pPr>
        <w:spacing w:after="0" w:line="170" w:lineRule="exact"/>
        <w:rPr>
          <w:rFonts w:ascii="Arial" w:cs="Arial" w:eastAsia="Arial" w:hAnsi="Arial"/>
          <w:sz w:val="18"/>
          <w:szCs w:val="18"/>
          <w:color w:val="auto"/>
        </w:rPr>
      </w:pPr>
    </w:p>
    <w:p>
      <w:pPr>
        <w:ind w:right="60" w:firstLine="921"/>
        <w:spacing w:after="0" w:line="271" w:lineRule="auto"/>
        <w:tabs>
          <w:tab w:leader="none" w:pos="1157" w:val="left"/>
        </w:tabs>
        <w:numPr>
          <w:ilvl w:val="1"/>
          <w:numId w:val="173"/>
        </w:numPr>
        <w:rPr>
          <w:rFonts w:ascii="Arial" w:cs="Arial" w:eastAsia="Arial" w:hAnsi="Arial"/>
          <w:sz w:val="17"/>
          <w:szCs w:val="17"/>
          <w:color w:val="auto"/>
        </w:rPr>
      </w:pPr>
      <w:r>
        <w:rPr>
          <w:rFonts w:ascii="Arial" w:cs="Arial" w:eastAsia="Arial" w:hAnsi="Arial"/>
          <w:sz w:val="17"/>
          <w:szCs w:val="17"/>
          <w:i w:val="1"/>
          <w:iCs w:val="1"/>
          <w:color w:val="auto"/>
        </w:rPr>
        <w:t>Minimum Extension Condition</w:t>
      </w:r>
      <w:r>
        <w:rPr>
          <w:rFonts w:ascii="Arial" w:cs="Arial" w:eastAsia="Arial" w:hAnsi="Arial"/>
          <w:sz w:val="17"/>
          <w:szCs w:val="17"/>
          <w:color w:val="auto"/>
        </w:rPr>
        <w:t>. With respect to all Extensions consummated by the Borrower pursuant to this Section 2.28, (i) such</w:t>
      </w:r>
      <w:r>
        <w:rPr>
          <w:rFonts w:ascii="Arial" w:cs="Arial" w:eastAsia="Arial" w:hAnsi="Arial"/>
          <w:sz w:val="17"/>
          <w:szCs w:val="17"/>
          <w:i w:val="1"/>
          <w:iCs w:val="1"/>
          <w:color w:val="auto"/>
        </w:rPr>
        <w:t xml:space="preserve"> </w:t>
      </w:r>
      <w:r>
        <w:rPr>
          <w:rFonts w:ascii="Arial" w:cs="Arial" w:eastAsia="Arial" w:hAnsi="Arial"/>
          <w:sz w:val="17"/>
          <w:szCs w:val="17"/>
          <w:color w:val="auto"/>
        </w:rPr>
        <w:t>Extensions shall not constitute mandatory or voluntary payments or prepayments for purposes of Section 2.12 or Section 2.13 and (ii) each Extension Offer shall specify the minimum amount of Term Loans or Revolving Commitments (if any), as the case may be, to be tendered, which shall be a minimum amount approved by the Administrative Agent (a “</w:t>
      </w:r>
      <w:r>
        <w:rPr>
          <w:rFonts w:ascii="Arial" w:cs="Arial" w:eastAsia="Arial" w:hAnsi="Arial"/>
          <w:sz w:val="17"/>
          <w:szCs w:val="17"/>
          <w:i w:val="1"/>
          <w:iCs w:val="1"/>
          <w:color w:val="auto"/>
        </w:rPr>
        <w:t>Minimum Extension Condition</w:t>
      </w:r>
      <w:r>
        <w:rPr>
          <w:rFonts w:ascii="Arial" w:cs="Arial" w:eastAsia="Arial" w:hAnsi="Arial"/>
          <w:sz w:val="17"/>
          <w:szCs w:val="17"/>
          <w:color w:val="auto"/>
        </w:rPr>
        <w:t>”). The Administrative Agent and the Lenders hereby consent to the transactions contemplated by this Section 2.28 (including, for the avoidance of doubt, payment of any interest, fees or premium in respect of any Extended Term Loans or Extended Revolving Commitments on such terms as may be set forth in the relevant Extension Offer) and hereby waive the requirements of any provision of this Agreement (including, without limitation, Sections 2.11, 2.12, 2.17 and 8.08) or any other Loan Document that may otherwise prohibit any such Extension or any other transaction contemplated by this Section 2.28.</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184" w:name="page185"/>
    <w:bookmarkEnd w:id="184"/>
    <w:p>
      <w:pPr>
        <w:ind w:left="-20" w:firstLine="921"/>
        <w:spacing w:after="0" w:line="284" w:lineRule="auto"/>
        <w:tabs>
          <w:tab w:leader="none" w:pos="1148"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Extension Amendment</w:t>
      </w:r>
      <w:r>
        <w:rPr>
          <w:rFonts w:ascii="Arial" w:cs="Arial" w:eastAsia="Arial" w:hAnsi="Arial"/>
          <w:sz w:val="16"/>
          <w:szCs w:val="16"/>
          <w:color w:val="auto"/>
        </w:rPr>
        <w:t>. The consent of the Administrative Agent shall be required to effectuate any Extension, such consent not to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unreasonably withheld. No consent of any Lender shall be required to effectuate any Extension, other than (A) in the case of a Revolver Extension, (i) the consent of each Lender agreeing to such Extension with respect to all or any portion of its Revolving Commitments (or, in the case of an Extension pursuant to clause (iv) of Section 2.28(b), the consent of the assignee agreeing to the assignment of one or more Revolving Commitments, Revolving Loans and/or participations in Letters of Credit) and (ii) the consent of each Issuing Lender, which consent shall not be unreasonably withheld or delayed and (B) in the case of a Term Loan Extension, the consent of each Lender agreeing to such Extension with respect to all or any portion of its Term Loans, as applicable. All Extended Term Loans and Extended Revolving Commitments and all obligations in respect thereof shall be Obligations under this Agreement and the other Loan Documents that are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all other applicable Obligations under this Agreement and the other Loan Documents. Notwithstanding anything else to the contrary set forth in this Agreement or the other Loan Documents, the Lenders hereby irrevocably authorize each Agent to enter into amendments to this Agreement and the other Loan Documents (each, an “</w:t>
      </w:r>
      <w:r>
        <w:rPr>
          <w:rFonts w:ascii="Arial" w:cs="Arial" w:eastAsia="Arial" w:hAnsi="Arial"/>
          <w:sz w:val="16"/>
          <w:szCs w:val="16"/>
          <w:i w:val="1"/>
          <w:iCs w:val="1"/>
          <w:color w:val="auto"/>
        </w:rPr>
        <w:t>Extension Amendment</w:t>
      </w:r>
      <w:r>
        <w:rPr>
          <w:rFonts w:ascii="Arial" w:cs="Arial" w:eastAsia="Arial" w:hAnsi="Arial"/>
          <w:sz w:val="16"/>
          <w:szCs w:val="16"/>
          <w:color w:val="auto"/>
        </w:rPr>
        <w:t xml:space="preserve">”) with the Borrower as may be necessary in order to establish new tranches or sub-tranches or Classes in respect of Term Loans or Revolving Commitments so extended and such technical amendments as may be necessary or appropriate in the reasonable opinion of the Administrative Agent and the Borrower in connection with the establishment of such new tranches or sub-tranches or Classes, in each case on terms consistent with this Section 2.28. In addition, if so provided in such Extension Amendment relating to a Revolver Extension and with the consent of the Issuing Lenders, participations in Letters of Credit expiring on or after the Revolving Facility Maturity Date with respect to Revolving Commitments not so extended shall be re-allocated from Revolving Lenders holding Revolving Commitments to Revolving Lenders holding Extended Revolving Commitments in accordance with the terms of such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without limitation, the commission applicable thereto) shall be adjusted accordingly;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the Borrower shall have the right (without limitation of its rights pursuant to Section 2.28(b)(iv) above) to (i) replace any non-extending Lender with respect to all or a portion of its Loans or Commitments, as applicable, in connection with either a Revolver Extension or a Term Loan Extension by having such Loans or Revolving Commitments (or any portion thereof) assigned, in accordance with Sections 2.28(b)(iv) and Section 10.02, at par, to one or more other Eligible Assignees or (ii) terminate all or a portion of the Commitments of, and repay the Obligations owing to any such non-extending Lender.</w:t>
      </w:r>
    </w:p>
    <w:p>
      <w:pPr>
        <w:spacing w:after="0" w:line="178" w:lineRule="exact"/>
        <w:rPr>
          <w:rFonts w:ascii="Arial" w:cs="Arial" w:eastAsia="Arial" w:hAnsi="Arial"/>
          <w:sz w:val="16"/>
          <w:szCs w:val="16"/>
          <w:color w:val="auto"/>
        </w:rPr>
      </w:pPr>
    </w:p>
    <w:p>
      <w:pPr>
        <w:ind w:left="-20" w:firstLine="921"/>
        <w:spacing w:after="0" w:line="302" w:lineRule="auto"/>
        <w:tabs>
          <w:tab w:leader="none" w:pos="113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2.28.</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60" w:top="274" w:right="25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To induce the Lenders and any Issuing Lender to make Extensions of Credit requested by the Borrower to be made on the Closing Date and on each Borrowing Date (if any) thereafter, each of the Borrower and the Guarantors jointly and severally represents and warrants, on the Closing Date and other than with respect to Sections 3.05(b), 3.06, 3.09(a) and 3.19 on each Borrowing Date (if any) thereafter, as follows:</w:t>
      </w:r>
    </w:p>
    <w:p>
      <w:pPr>
        <w:spacing w:after="0" w:line="166"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 The Borrower and each Guarantor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to effect the Transactions, to own or lease and operate its properties and to conduct its business as now or currently proposed to be conducted.</w:t>
      </w:r>
    </w:p>
    <w:p>
      <w:pPr>
        <w:spacing w:after="0" w:line="188"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Air Carrier Status</w:t>
      </w:r>
      <w:r>
        <w:rPr>
          <w:rFonts w:ascii="Arial" w:cs="Arial" w:eastAsia="Arial" w:hAnsi="Arial"/>
          <w:sz w:val="18"/>
          <w:szCs w:val="18"/>
          <w:color w:val="auto"/>
        </w:rPr>
        <w:t>. As of the date hereof, the Borrower is an “air carrier” within the meaning of Section 40102 of Title 49 and holds a certificate under Section 41102 of Title 49. The Borrower holds an air carrier operating certificate issued pursuant to Chapter 447 of Title 49. The Borrower is a “citizen of the United States” as defined in Section 40102(a)(15) of Title 49 and as that statutory provision has been interpreted by the DOT pursuant to its policies (a “</w:t>
      </w:r>
      <w:r>
        <w:rPr>
          <w:rFonts w:ascii="Arial" w:cs="Arial" w:eastAsia="Arial" w:hAnsi="Arial"/>
          <w:sz w:val="18"/>
          <w:szCs w:val="18"/>
          <w:i w:val="1"/>
          <w:iCs w:val="1"/>
          <w:color w:val="auto"/>
        </w:rPr>
        <w:t>United States Citizen</w:t>
      </w:r>
      <w:r>
        <w:rPr>
          <w:rFonts w:ascii="Arial" w:cs="Arial" w:eastAsia="Arial" w:hAnsi="Arial"/>
          <w:sz w:val="18"/>
          <w:szCs w:val="18"/>
          <w:color w:val="auto"/>
        </w:rPr>
        <w:t>”). The Borrower possesses all necessary certificates, franchises, licenses, permits, rights, designations, authorizations, exemptions, concessions, frequencies and consents of any Governmental Authority which relate to the operation of any Scheduled Services and the conduct of its business and operations as currently conducted, except where failure to so possess would not, individually or in the aggregate, have a Material Adverse Effect.</w:t>
      </w:r>
    </w:p>
    <w:p>
      <w:pPr>
        <w:spacing w:after="0" w:line="18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Due Execution</w:t>
      </w:r>
      <w:r>
        <w:rPr>
          <w:rFonts w:ascii="Arial" w:cs="Arial" w:eastAsia="Arial" w:hAnsi="Arial"/>
          <w:sz w:val="17"/>
          <w:szCs w:val="17"/>
          <w:color w:val="auto"/>
        </w:rPr>
        <w:t>. Except (other than with respect to clause (a)(i) below) for any Transfer Restriction, the execution, delivery and performance by each of the Borrower and the Guarantors of each of the Loan Documents to which it is a party (a) are within the respective corporate or limited liability company powers of each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any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274" w:right="279" w:bottom="1440" w:gutter="0" w:footer="0" w:header="0"/>
        </w:sectPr>
      </w:pPr>
    </w:p>
    <w:bookmarkStart w:id="186" w:name="page187"/>
    <w:bookmarkEnd w:id="186"/>
    <w:p>
      <w:pPr>
        <w:jc w:val="both"/>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of the Borrower or the other Grantors other than the Liens granted pursuant to this Agreement or the other Loan Documents and (b) do 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(iii) approvals, consents and exemptions that have been obtained on or prior to the Closing Date and remain in full force and effect,</w:t>
      </w:r>
    </w:p>
    <w:p>
      <w:pPr>
        <w:spacing w:after="0" w:line="2" w:lineRule="exact"/>
        <w:rPr>
          <w:sz w:val="20"/>
          <w:szCs w:val="20"/>
          <w:color w:val="auto"/>
        </w:rPr>
      </w:pPr>
    </w:p>
    <w:p>
      <w:pPr>
        <w:ind w:left="320" w:hanging="312"/>
        <w:spacing w:after="0"/>
        <w:tabs>
          <w:tab w:leader="none" w:pos="3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consents, approvals and exemptions that the failure to obtain in the aggregate would not be reasonably expected to result in a Material Adverse Effect and</w:t>
      </w:r>
    </w:p>
    <w:p>
      <w:pPr>
        <w:spacing w:after="0" w:line="32" w:lineRule="exact"/>
        <w:rPr>
          <w:rFonts w:ascii="Arial" w:cs="Arial" w:eastAsia="Arial" w:hAnsi="Arial"/>
          <w:sz w:val="16"/>
          <w:szCs w:val="16"/>
          <w:color w:val="auto"/>
        </w:rPr>
      </w:pPr>
    </w:p>
    <w:p>
      <w:pPr>
        <w:jc w:val="both"/>
        <w:ind w:right="120" w:firstLine="8"/>
        <w:spacing w:after="0" w:line="292" w:lineRule="auto"/>
        <w:tabs>
          <w:tab w:leader="none" w:pos="25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routine reporting obligations. Each Loan Document to which the Borrower or any Guarantor is a party has been duly executed and delivered by each of the Borrower and the Guarantors party thereto. Each of this Agreement and the other Loan Documents to which the Borrower or any of the Guarantors is a party,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Statements Made</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91" w:lineRule="auto"/>
        <w:tabs>
          <w:tab w:leader="none" w:pos="115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w:t>
      </w: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10-K for 2015 of Parent filed with the SEC and all Quarterly Reports on Form 10-Q or Current Reports on Form 8-K that have been filed after December 31, 2015, by Parent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projections, estimates or other forward-looking information the Borrower and the Guarantors represent only that such information was prepared in good faith based upon assumptions believed to be reasonable at the time that such forward-looking information was prepared.</w:t>
      </w:r>
    </w:p>
    <w:p>
      <w:pPr>
        <w:spacing w:after="0" w:line="162" w:lineRule="exact"/>
        <w:rPr>
          <w:rFonts w:ascii="Arial" w:cs="Arial" w:eastAsia="Arial" w:hAnsi="Arial"/>
          <w:sz w:val="16"/>
          <w:szCs w:val="16"/>
          <w:color w:val="auto"/>
        </w:rPr>
      </w:pPr>
    </w:p>
    <w:p>
      <w:pPr>
        <w:ind w:right="140" w:firstLine="921"/>
        <w:spacing w:after="0" w:line="257" w:lineRule="auto"/>
        <w:tabs>
          <w:tab w:leader="none" w:pos="116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Annual Report on Form 10-K of Parent most recently filed with the SEC, and each Quarterly Report on Form 10-Q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Financial Statements; Material Adverse Change</w:t>
      </w:r>
      <w:r>
        <w:rPr>
          <w:rFonts w:ascii="Arial" w:cs="Arial" w:eastAsia="Arial" w:hAnsi="Arial"/>
          <w:sz w:val="18"/>
          <w:szCs w:val="18"/>
          <w:color w:val="auto"/>
        </w:rPr>
        <w:t>.</w:t>
      </w:r>
    </w:p>
    <w:p>
      <w:pPr>
        <w:spacing w:after="0" w:line="225" w:lineRule="exact"/>
        <w:rPr>
          <w:sz w:val="20"/>
          <w:szCs w:val="20"/>
          <w:color w:val="auto"/>
        </w:rPr>
      </w:pPr>
    </w:p>
    <w:p>
      <w:pPr>
        <w:ind w:right="440" w:firstLine="921"/>
        <w:spacing w:after="0" w:line="308" w:lineRule="auto"/>
        <w:tabs>
          <w:tab w:leader="none" w:pos="115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 The audited consolidated financial statements of Parent and its Subsidiaries for the fiscal year ended December 31, 2015, included in Parent’s Annual Report on Form 10-K for 2015 filed with the SEC, as amended and (ii) the unaudited consolidated financial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4" w:right="259" w:bottom="1440" w:gutter="0" w:footer="0" w:header="0"/>
        </w:sectPr>
      </w:pPr>
    </w:p>
    <w:bookmarkStart w:id="187" w:name="page188"/>
    <w:bookmarkEnd w:id="187"/>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of Parent and its Subsidiaries for the fiscal quarter ending March 31, 2016, each present fairly, in all material respects, in accordance with GAAP, the financial condition, results of operations and cash flows of Parent and its Subsidiaries on a consolidated basis as of such date and for such period (except that any unaudited consolidated financial statements are subject to normal year-end audit adjustments and the absence of footnotes).</w:t>
      </w:r>
    </w:p>
    <w:p>
      <w:pPr>
        <w:spacing w:after="0" w:line="166" w:lineRule="exact"/>
        <w:rPr>
          <w:sz w:val="20"/>
          <w:szCs w:val="20"/>
          <w:color w:val="auto"/>
        </w:rPr>
      </w:pPr>
    </w:p>
    <w:p>
      <w:pPr>
        <w:ind w:right="120" w:firstLine="921"/>
        <w:spacing w:after="0" w:line="277" w:lineRule="auto"/>
        <w:tabs>
          <w:tab w:leader="none" w:pos="11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Except as disclosed in Parent’s Annual Report on Form 10-K for 2015 or any subsequent report filed by Parent on Form 10-Q or Form 8-K with the SEC, since December 31, 2015, there has been no Material Adverse Change.</w:t>
      </w:r>
    </w:p>
    <w:p>
      <w:pPr>
        <w:spacing w:after="0" w:line="170"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 As of the Closing Date, other than as set forth on Schedule 3.06, (a) each of the Persons listed on Schedule 3.06 is a wholly-owned, direct or indirect Subsidiary of Parent and (b) Parent owns no other Subsidiaries (other than Immaterial Subsidiaries), whether directly or indirectly.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Liens</w:t>
      </w:r>
      <w:r>
        <w:rPr>
          <w:rFonts w:ascii="Arial" w:cs="Arial" w:eastAsia="Arial" w:hAnsi="Arial"/>
          <w:sz w:val="18"/>
          <w:szCs w:val="18"/>
          <w:color w:val="auto"/>
        </w:rPr>
        <w:t>. There are no Liens of any nature whatsoever on any Collateral, except for Permitted Liens.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Loans, and the Letters of Credit, shall be used for general corporate purposes.</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Litigation and Compliance with Laws</w:t>
      </w:r>
      <w:r>
        <w:rPr>
          <w:rFonts w:ascii="Arial" w:cs="Arial" w:eastAsia="Arial" w:hAnsi="Arial"/>
          <w:sz w:val="18"/>
          <w:szCs w:val="18"/>
          <w:color w:val="auto"/>
        </w:rPr>
        <w:t>.</w:t>
      </w:r>
    </w:p>
    <w:p>
      <w:pPr>
        <w:spacing w:after="0" w:line="225" w:lineRule="exact"/>
        <w:rPr>
          <w:sz w:val="20"/>
          <w:szCs w:val="20"/>
          <w:color w:val="auto"/>
        </w:rPr>
      </w:pPr>
    </w:p>
    <w:p>
      <w:pPr>
        <w:ind w:right="120" w:firstLine="921"/>
        <w:spacing w:after="0" w:line="255" w:lineRule="auto"/>
        <w:tabs>
          <w:tab w:leader="none" w:pos="115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Except as disclosed in Parent’s Annual Report on Form 10-K for 2015 or any subsequent report filed by Parent on Form 10-Q or Form 8-K with the SEC since December 31, 2015,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w:t>
      </w:r>
    </w:p>
    <w:p>
      <w:pPr>
        <w:spacing w:after="0" w:line="193" w:lineRule="exact"/>
        <w:rPr>
          <w:rFonts w:ascii="Arial" w:cs="Arial" w:eastAsia="Arial" w:hAnsi="Arial"/>
          <w:sz w:val="18"/>
          <w:szCs w:val="18"/>
          <w:color w:val="auto"/>
        </w:rPr>
      </w:pPr>
    </w:p>
    <w:p>
      <w:pPr>
        <w:ind w:right="20" w:firstLine="921"/>
        <w:spacing w:after="0" w:line="286" w:lineRule="auto"/>
        <w:tabs>
          <w:tab w:leader="none" w:pos="116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w:t>
      </w:r>
    </w:p>
    <w:p>
      <w:pPr>
        <w:spacing w:after="0" w:line="16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Slots</w:t>
      </w:r>
      <w:r>
        <w:rPr>
          <w:rFonts w:ascii="Arial" w:cs="Arial" w:eastAsia="Arial" w:hAnsi="Arial"/>
          <w:sz w:val="18"/>
          <w:szCs w:val="18"/>
          <w:color w:val="auto"/>
        </w:rPr>
        <w:t>. Each applicable Grantor holds its respective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 to the extent such Governmental Authority or Foreign Aviation Authority would not have such right in the absence of such violation.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274" w:right="339" w:bottom="1440" w:gutter="0" w:footer="0" w:header="0"/>
        </w:sectPr>
      </w:pPr>
    </w:p>
    <w:bookmarkStart w:id="188" w:name="page189"/>
    <w:bookmarkEnd w:id="188"/>
    <w:p>
      <w:pPr>
        <w:ind w:right="2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3.11. </w:t>
      </w:r>
      <w:r>
        <w:rPr>
          <w:rFonts w:ascii="Arial" w:cs="Arial" w:eastAsia="Arial" w:hAnsi="Arial"/>
          <w:sz w:val="18"/>
          <w:szCs w:val="18"/>
          <w:u w:val="single" w:color="auto"/>
          <w:color w:val="auto"/>
        </w:rPr>
        <w:t>Routes</w:t>
      </w:r>
      <w:r>
        <w:rPr>
          <w:rFonts w:ascii="Arial" w:cs="Arial" w:eastAsia="Arial" w:hAnsi="Arial"/>
          <w:sz w:val="18"/>
          <w:szCs w:val="18"/>
          <w:color w:val="auto"/>
        </w:rPr>
        <w:t>. With respect to any Pledged Route Authorities relating to any Scheduled Services, each applicable Grantor holds the requisite authority to operate over such Grantor’s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9" w:lineRule="auto"/>
        <w:tabs>
          <w:tab w:leader="none" w:pos="115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Neither the Borrower nor any Guarantor is engaged, principally or as one of its important activities, in the business of purchasing or carrying margin stock (within the meaning of Regulation U issued by the Board, “</w:t>
      </w:r>
      <w:r>
        <w:rPr>
          <w:rFonts w:ascii="Arial" w:cs="Arial" w:eastAsia="Arial" w:hAnsi="Arial"/>
          <w:sz w:val="18"/>
          <w:szCs w:val="18"/>
          <w:i w:val="1"/>
          <w:iCs w:val="1"/>
          <w:color w:val="auto"/>
        </w:rPr>
        <w:t>Margin Stock</w:t>
      </w:r>
      <w:r>
        <w:rPr>
          <w:rFonts w:ascii="Arial" w:cs="Arial" w:eastAsia="Arial" w:hAnsi="Arial"/>
          <w:sz w:val="18"/>
          <w:szCs w:val="18"/>
          <w:color w:val="auto"/>
        </w:rPr>
        <w:t>”), or extending credit for the purpose of purchasing or carrying Margin Stock, and no proceeds of any Loans will be used to purchase or carry any Margin Stock or to extend credit to others for the purpose of purchasing or carrying any Margin Stock in violation of Regulation U.</w:t>
      </w:r>
    </w:p>
    <w:p>
      <w:pPr>
        <w:spacing w:after="0" w:line="186" w:lineRule="exact"/>
        <w:rPr>
          <w:rFonts w:ascii="Arial" w:cs="Arial" w:eastAsia="Arial" w:hAnsi="Arial"/>
          <w:sz w:val="18"/>
          <w:szCs w:val="18"/>
          <w:color w:val="auto"/>
        </w:rPr>
      </w:pPr>
    </w:p>
    <w:p>
      <w:pPr>
        <w:ind w:right="660" w:firstLine="921"/>
        <w:spacing w:after="0" w:line="277" w:lineRule="auto"/>
        <w:tabs>
          <w:tab w:leader="none" w:pos="116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Neither the Borrower nor any Guarantor is, or after the making of the Loans will be, or is required to be, registered as an “investment company” under the Investment Company Act of 1940, as amended.</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Holding of Collateral</w:t>
      </w:r>
      <w:r>
        <w:rPr>
          <w:rFonts w:ascii="Arial" w:cs="Arial" w:eastAsia="Arial" w:hAnsi="Arial"/>
          <w:sz w:val="18"/>
          <w:szCs w:val="18"/>
          <w:color w:val="auto"/>
        </w:rPr>
        <w:t>. Each applicable Grantor is, and as to Collateral acquired by it from time to time after the date hereof each Grantor will be, the holder of all such Collateral free from any Lien except for (1) the Lien and security interest created by the Collateral Documents and (2) Permitted Liens.</w:t>
      </w:r>
    </w:p>
    <w:p>
      <w:pPr>
        <w:spacing w:after="0" w:line="18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Perfected Security Interests</w:t>
      </w:r>
      <w:r>
        <w:rPr>
          <w:rFonts w:ascii="Arial" w:cs="Arial" w:eastAsia="Arial" w:hAnsi="Arial"/>
          <w:sz w:val="16"/>
          <w:szCs w:val="16"/>
          <w:color w:val="auto"/>
        </w:rPr>
        <w:t>. All UCC filings necessary or reasonably requested by the Collateral Agent to create, preserve, protect and perfect the security interests granted by the Borrower or any Guarantor, as applicable, to the Collateral Agent for the benefit of the Secured Parties in respect of the Collateral (other than the Account Collateral) under the Spare Parts Security Agreement have been accomplished by the Borrower or the relevant Grantor to the extent that such security interests can be perfected by filings under the UCC and all actions necessary to obtain control of the Account Collateral as provided in Sections 9-104 and 9-106 of the UCC have been taken by such Grantor to the extent that such security interests can be perfected on or before the date of execution and delivery of the Account Control Agreement. The Spare Parts Security Agreement has been filed with the FAA in accordance with the Federal Aviation Act and the regulations promulgated thereunder and the Collateral Agent’s security interest in the Pledged Spare Parts has been perfected to the extent required by the Spare Parts Security Agreement and to the extent such a security interest may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89" w:name="page190"/>
    <w:bookmarkEnd w:id="189"/>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perfected under the Federal Aviation Act and the regulations promulgated thereunder. Subject to any Intercreditor Agreement and any Other Intercreditor Agreement, the security interests granted to the Collateral Agent for the benefit of the Secured Parties pursuant to the Spare Parts Security Agreement in and to the Collateral described therein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the Federal Aviation Act and the regulations promulgated thereunder and the Collateral Agent is entitled with respect to such perfected security interest to all the rights, priorities and benefits afforded by the UCC to perfected security interests.</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Payment of Taxes</w:t>
      </w:r>
      <w:r>
        <w:rPr>
          <w:rFonts w:ascii="Arial" w:cs="Arial" w:eastAsia="Arial" w:hAnsi="Arial"/>
          <w:sz w:val="18"/>
          <w:szCs w:val="18"/>
          <w:color w:val="auto"/>
        </w:rPr>
        <w:t>. Each of Parent and its Restricted Subsidiaries has timely filed or caused to be filed all Tax returns and reports required to have been filed by it through the date hereof, except for such exceptions as would not individually or collectively have a Material Adverse Effect, and has paid or caused to be paid when due all Taxes required to have been paid by it, except such as are being contested in good faith by appropriate proceedings or as would not individually or collectively have a Material Adverse Effect.</w:t>
      </w:r>
    </w:p>
    <w:p>
      <w:pPr>
        <w:spacing w:after="0" w:line="187"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No Unlawful Payments.</w:t>
      </w:r>
      <w:r>
        <w:rPr>
          <w:rFonts w:ascii="Arial" w:cs="Arial" w:eastAsia="Arial" w:hAnsi="Arial"/>
          <w:sz w:val="16"/>
          <w:szCs w:val="16"/>
          <w:color w:val="auto"/>
        </w:rPr>
        <w:t xml:space="preserve"> Neither of the Borrower, any Guarantor nor any of their respective subsidiaries nor, to the knowledge of the Borrower or any Guarantor, any director, officer, agent, employee or other person associated with or acting on behalf of the Borrower, any Guarantor or any of their respective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Borrower and each Guarantor has implemented compliance programs for purposes of (a) informing the appropriate officers and employees of the Borrower, such Guarantor and their respective subsidiaries of the Borrower’s and such Guarantor’s policies to ensure compliance with the laws described under (1) through</w:t>
      </w:r>
    </w:p>
    <w:p>
      <w:pPr>
        <w:spacing w:after="0" w:line="1" w:lineRule="exact"/>
        <w:rPr>
          <w:sz w:val="20"/>
          <w:szCs w:val="20"/>
          <w:color w:val="auto"/>
        </w:rPr>
      </w:pPr>
    </w:p>
    <w:p>
      <w:pPr>
        <w:ind w:right="200" w:firstLine="8"/>
        <w:spacing w:after="0" w:line="273" w:lineRule="auto"/>
        <w:tabs>
          <w:tab w:leader="none" w:pos="25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above, and (b) requiring such officers and employees to report to the Borrower and such Guarantor any knowledge they may have of violations of the Borrower’s and such Guarantor’s policies referred to above. The Borrower and each Guarantor will not directly or indirectly use the proceeds of the Loans and Letter of Credit issuances hereunder, or lend, contribute or otherwise make available such proceeds to any of its subsidiaries or joint venture partners or any other person or entity, for any purpose in breach of any laws described in clause (1) – (4) above.</w:t>
      </w:r>
    </w:p>
    <w:p>
      <w:pPr>
        <w:spacing w:after="0" w:line="17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Neither of the Borrower, any Guarantor, nor any of their respective subsidiaries nor, to the knowledge of the Borrower and any Guarantor, any director, officer, agent, employee or other person acting on behalf of the Borrower, any Guarantor or any of their respective subsidiaries is currently the subject of any U.S. sanctions administered by the U.S. federal government (including the Office of Foreign Assets Control of the U.S. Treasury Department (“</w:t>
      </w:r>
      <w:r>
        <w:rPr>
          <w:rFonts w:ascii="Arial" w:cs="Arial" w:eastAsia="Arial" w:hAnsi="Arial"/>
          <w:sz w:val="18"/>
          <w:szCs w:val="18"/>
          <w:i w:val="1"/>
          <w:iCs w:val="1"/>
          <w:color w:val="auto"/>
        </w:rPr>
        <w:t>OFAC</w:t>
      </w:r>
      <w:r>
        <w:rPr>
          <w:rFonts w:ascii="Arial" w:cs="Arial" w:eastAsia="Arial" w:hAnsi="Arial"/>
          <w:sz w:val="18"/>
          <w:szCs w:val="18"/>
          <w:color w:val="auto"/>
        </w:rPr>
        <w:t>”)); and the Borrower and each Guarantor will not directly or indirectly use the proceeds of the Loans and Letter of Credit issuances hereunder,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4" w:right="239" w:bottom="1440" w:gutter="0" w:footer="0" w:header="0"/>
        </w:sectPr>
      </w:pPr>
    </w:p>
    <w:bookmarkStart w:id="190" w:name="page191"/>
    <w:bookmarkEnd w:id="190"/>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 contribute or otherwise make available such proceeds to any of its subsidiaries or joint venture partners or any other person or entity, for the purpose of financing the activities of any person currently the subject of any U.S. sanctions administered by the U.S. federal government (including OFAC).</w:t>
      </w:r>
    </w:p>
    <w:p>
      <w:pPr>
        <w:spacing w:after="0" w:line="12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Compliance with Anti-Money Laundering Laws.</w:t>
      </w:r>
      <w:r>
        <w:rPr>
          <w:rFonts w:ascii="Arial" w:cs="Arial" w:eastAsia="Arial" w:hAnsi="Arial"/>
          <w:sz w:val="16"/>
          <w:szCs w:val="16"/>
          <w:color w:val="auto"/>
        </w:rPr>
        <w:t xml:space="preserve"> The operations of the Borrower, any Guarantor and their respective subsidiaries are and have been conducted at all times in material compliance with all applicable financial recordkeeping and reporting requirements, including those of the Bank Secrecy Act, as amended by the Patriot Act, and the applicable anti-money laundering statutes of jurisdictions where the Borrower, any Guarantor and their respective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i w:val="1"/>
          <w:i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Borrower, any Guarantor or any of their respective subsidiaries with respect to the Anti-Money Laundering Laws is pending or, to the best knowledge of the Borrower and any Guarantor, threatened.</w:t>
      </w:r>
    </w:p>
    <w:p>
      <w:pPr>
        <w:spacing w:after="0" w:line="16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Solvency</w:t>
      </w:r>
      <w:r>
        <w:rPr>
          <w:rFonts w:ascii="Arial" w:cs="Arial" w:eastAsia="Arial" w:hAnsi="Arial"/>
          <w:sz w:val="18"/>
          <w:szCs w:val="18"/>
          <w:color w:val="auto"/>
        </w:rPr>
        <w:t>. As of the Closing Date, after giving effect to the Loans made on such date and the payment of all costs and expenses in connection therewith, the Borrower and the Guarantors, taken as a whole, are Solvent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None of Parent, the Borrower or any other Loan Party is an EEA Financial Institution.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OF LENDING</w:t>
      </w:r>
    </w:p>
    <w:p>
      <w:pPr>
        <w:spacing w:after="0" w:line="225" w:lineRule="exact"/>
        <w:rPr>
          <w:sz w:val="20"/>
          <w:szCs w:val="20"/>
          <w:color w:val="auto"/>
        </w:rPr>
      </w:pPr>
    </w:p>
    <w:p>
      <w:pPr>
        <w:ind w:right="700" w:firstLine="913"/>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Conditions Precedent to Closing</w:t>
      </w:r>
      <w:r>
        <w:rPr>
          <w:rFonts w:ascii="Arial" w:cs="Arial" w:eastAsia="Arial" w:hAnsi="Arial"/>
          <w:sz w:val="17"/>
          <w:szCs w:val="17"/>
          <w:color w:val="auto"/>
        </w:rPr>
        <w:t>. This Agreement shall become effective on the date on which the following conditions precedent shall have been satisfied (or waived by the Lenders in accordance with Section 10.08 and by the Administrative Agent):</w:t>
      </w:r>
    </w:p>
    <w:p>
      <w:pPr>
        <w:spacing w:after="0" w:line="147" w:lineRule="exact"/>
        <w:rPr>
          <w:sz w:val="20"/>
          <w:szCs w:val="20"/>
          <w:color w:val="auto"/>
        </w:rPr>
      </w:pPr>
    </w:p>
    <w:p>
      <w:pPr>
        <w:ind w:right="220" w:firstLine="921"/>
        <w:spacing w:after="0" w:line="277" w:lineRule="auto"/>
        <w:tabs>
          <w:tab w:leader="none" w:pos="1157" w:val="left"/>
        </w:tabs>
        <w:numPr>
          <w:ilvl w:val="1"/>
          <w:numId w:val="182"/>
        </w:numPr>
        <w:rPr>
          <w:rFonts w:ascii="Arial" w:cs="Arial" w:eastAsia="Arial" w:hAnsi="Arial"/>
          <w:sz w:val="18"/>
          <w:szCs w:val="18"/>
          <w:color w:val="auto"/>
        </w:rPr>
      </w:pPr>
      <w:r>
        <w:rPr>
          <w:rFonts w:ascii="Arial" w:cs="Arial" w:eastAsia="Arial" w:hAnsi="Arial"/>
          <w:sz w:val="18"/>
          <w:szCs w:val="18"/>
          <w:i w:val="1"/>
          <w:iCs w:val="1"/>
          <w:color w:val="auto"/>
        </w:rPr>
        <w:t>Supporting Documents</w:t>
      </w:r>
      <w:r>
        <w:rPr>
          <w:rFonts w:ascii="Arial" w:cs="Arial" w:eastAsia="Arial" w:hAnsi="Arial"/>
          <w:sz w:val="18"/>
          <w:szCs w:val="18"/>
          <w:color w:val="auto"/>
        </w:rPr>
        <w:t>. The Administrative Agent shall have received with respect to each of the Borrower and the Guarantors in form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substance reasonably satisfactory to the Administrative Agent:</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1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certificate of the Secretary of State of the state of such entity’s incorporation or formation, dated as of a recent date, as to the good standing of that entity (to the extent available in the applicable jurisdiction);</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6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(or similar officer), of such entity dated the Closing Date and certifying (A) that attached thereto is a true and complete copy of the certificate of incorporation or formation and the by-laws or limited liability company or other operating agreement (as the case may be) of that entity as in effect on the date of such certification, (B) that attached thereto is a true and complete copy of resolutions adopted by the Board of Directors, board of managers or members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4" w:right="239" w:bottom="1440" w:gutter="0" w:footer="0" w:header="0"/>
        </w:sectPr>
      </w:pPr>
    </w:p>
    <w:bookmarkStart w:id="191" w:name="page192"/>
    <w:bookmarkEnd w:id="191"/>
    <w:p>
      <w:pPr>
        <w:ind w:left="440"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entity authorizing the Borrowings and Letter of Credit issuances hereunder, the execution, delivery and performance in accordance with their respective terms of this Agreement, the other Loan Documents and any other documents required or contemplated hereunder or thereunder, and the granting of the security interest in the Letter of Credit Account and other Liens contemplated hereby or the other Loan Documents (in each case to the extent applicable to such entity), (C) 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Responsible Officer of that entity executing this Agreement and the Loan Documents or any other document delivered by it in connection herewith or therewith (such certificate to contain a certification by another Responsible Officer of that entity as to the incumbency and signature of the Responsible Officer signing the certificate referred to in this clause (ii)); and</w:t>
      </w:r>
    </w:p>
    <w:p>
      <w:pPr>
        <w:spacing w:after="0" w:line="71" w:lineRule="exact"/>
        <w:rPr>
          <w:sz w:val="20"/>
          <w:szCs w:val="20"/>
          <w:color w:val="auto"/>
        </w:rPr>
      </w:pPr>
    </w:p>
    <w:p>
      <w:pPr>
        <w:ind w:left="440" w:firstLine="443"/>
        <w:spacing w:after="0" w:line="272" w:lineRule="auto"/>
        <w:tabs>
          <w:tab w:leader="none" w:pos="119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 Officer’s Certificate certifying (A) as to the truth in all material respects of the representations and warranties set forth in Sections 3.01 through 3.15 hereunder and in the other Loan Documents and made by it as though made on the Closing Date, except to the extent that any such representation or warranty relates to a specified date, in which case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the Closing Date Transactions) and (B) as to the absence of any event occurring and continuing, or resulting from the Closing Date Transactions, that constitutes a Default or an Event of Default.</w:t>
      </w:r>
    </w:p>
    <w:p>
      <w:pPr>
        <w:spacing w:after="0" w:line="178" w:lineRule="exact"/>
        <w:rPr>
          <w:sz w:val="20"/>
          <w:szCs w:val="20"/>
          <w:color w:val="auto"/>
        </w:rPr>
      </w:pPr>
    </w:p>
    <w:p>
      <w:pPr>
        <w:ind w:left="1160" w:hanging="259"/>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Credit Agreement</w:t>
      </w:r>
      <w:r>
        <w:rPr>
          <w:rFonts w:ascii="Arial" w:cs="Arial" w:eastAsia="Arial" w:hAnsi="Arial"/>
          <w:sz w:val="18"/>
          <w:szCs w:val="18"/>
          <w:color w:val="auto"/>
        </w:rPr>
        <w:t>. Each party hereto shall have duly executed and delivered to the Administrative Agent this Agreement.</w:t>
      </w:r>
    </w:p>
    <w:p>
      <w:pPr>
        <w:spacing w:after="0" w:line="225" w:lineRule="exact"/>
        <w:rPr>
          <w:rFonts w:ascii="Arial" w:cs="Arial" w:eastAsia="Arial" w:hAnsi="Arial"/>
          <w:sz w:val="18"/>
          <w:szCs w:val="18"/>
          <w:color w:val="auto"/>
        </w:rPr>
      </w:pPr>
    </w:p>
    <w:p>
      <w:pPr>
        <w:ind w:left="-20" w:firstLine="921"/>
        <w:spacing w:after="0" w:line="257" w:lineRule="auto"/>
        <w:tabs>
          <w:tab w:leader="none" w:pos="1137"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Loan Documents</w:t>
      </w:r>
      <w:r>
        <w:rPr>
          <w:rFonts w:ascii="Arial" w:cs="Arial" w:eastAsia="Arial" w:hAnsi="Arial"/>
          <w:sz w:val="18"/>
          <w:szCs w:val="18"/>
          <w:color w:val="auto"/>
        </w:rPr>
        <w:t>. The Borrower shall have duly executed and delivered to the Administrative Agent the Spare Parts Security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dated the Closing Date in substantially the form of Exhibit A, the other Collateral Documents and the other Loan Documents, together with all UCC financing statements in form and substance reasonably acceptable to the Collateral Agent, as may be required to grant, continue and maintain an enforceable security interest in the applicable Collateral (subject to the terms hereof and of the other Loan Documents) in accordance with the UCC as enacted in all relevant jurisdictions.</w:t>
      </w:r>
    </w:p>
    <w:p>
      <w:pPr>
        <w:spacing w:after="0" w:line="188" w:lineRule="exact"/>
        <w:rPr>
          <w:rFonts w:ascii="Arial" w:cs="Arial" w:eastAsia="Arial" w:hAnsi="Arial"/>
          <w:sz w:val="18"/>
          <w:szCs w:val="18"/>
          <w:color w:val="auto"/>
        </w:rPr>
      </w:pPr>
    </w:p>
    <w:p>
      <w:pPr>
        <w:ind w:left="-20" w:right="40" w:firstLine="921"/>
        <w:spacing w:after="0" w:line="259" w:lineRule="auto"/>
        <w:tabs>
          <w:tab w:leader="none" w:pos="1148"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Initial Appraisal</w:t>
      </w:r>
      <w:r>
        <w:rPr>
          <w:rFonts w:ascii="Arial" w:cs="Arial" w:eastAsia="Arial" w:hAnsi="Arial"/>
          <w:sz w:val="18"/>
          <w:szCs w:val="18"/>
          <w:color w:val="auto"/>
        </w:rPr>
        <w:t>. The Administrative Agent shall have received (x) the Initial Appraisal in form reasonably satisfactory to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(y) an Officer’s Certificate from a Responsible Officer of the Borrower demonstrating that, using the Appraised Value listed in the Initial Appraisal, on the Closing Date and after giving effect to the Extensions of Credit to be made on such date, the Collateral Coverage Ratio shall be no less than 1.6 to 1.0.</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60" w:top="274" w:right="259" w:bottom="1440" w:gutter="0" w:footer="0" w:header="0"/>
        </w:sectPr>
      </w:pPr>
    </w:p>
    <w:bookmarkStart w:id="192" w:name="page193"/>
    <w:bookmarkEnd w:id="192"/>
    <w:p>
      <w:pPr>
        <w:ind w:left="1160" w:hanging="239"/>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Opinions of Counsel</w:t>
      </w:r>
      <w:r>
        <w:rPr>
          <w:rFonts w:ascii="Arial" w:cs="Arial" w:eastAsia="Arial" w:hAnsi="Arial"/>
          <w:sz w:val="18"/>
          <w:szCs w:val="18"/>
          <w:color w:val="auto"/>
        </w:rPr>
        <w:t>. The Administrative Agent and the Lenders shall have received:</w:t>
      </w:r>
    </w:p>
    <w:p>
      <w:pPr>
        <w:spacing w:after="0" w:line="117" w:lineRule="exact"/>
        <w:rPr>
          <w:rFonts w:ascii="Arial" w:cs="Arial" w:eastAsia="Arial" w:hAnsi="Arial"/>
          <w:sz w:val="18"/>
          <w:szCs w:val="18"/>
          <w:color w:val="auto"/>
        </w:rPr>
      </w:pPr>
    </w:p>
    <w:p>
      <w:pPr>
        <w:ind w:left="920" w:right="60" w:firstLine="421"/>
        <w:spacing w:after="0" w:line="277" w:lineRule="auto"/>
        <w:tabs>
          <w:tab w:leader="none" w:pos="155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customary written opinion of Latham &amp; Watkins LLP, special counsel for Parent, the Borrower and each other Guarantor addressed to the Administrative Agent, the Revolving Lenders and the Class B Term Loan Lenders, and dated the Closing Date.</w:t>
      </w:r>
    </w:p>
    <w:p>
      <w:pPr>
        <w:spacing w:after="0" w:line="62" w:lineRule="exact"/>
        <w:rPr>
          <w:rFonts w:ascii="Arial" w:cs="Arial" w:eastAsia="Arial" w:hAnsi="Arial"/>
          <w:sz w:val="18"/>
          <w:szCs w:val="18"/>
          <w:color w:val="auto"/>
        </w:rPr>
      </w:pPr>
    </w:p>
    <w:p>
      <w:pPr>
        <w:ind w:left="920" w:right="120" w:firstLine="421"/>
        <w:spacing w:after="0" w:line="286" w:lineRule="auto"/>
        <w:tabs>
          <w:tab w:leader="none" w:pos="1605" w:val="left"/>
        </w:tabs>
        <w:numPr>
          <w:ilvl w:val="1"/>
          <w:numId w:val="186"/>
        </w:numPr>
        <w:rPr>
          <w:rFonts w:ascii="Arial" w:cs="Arial" w:eastAsia="Arial" w:hAnsi="Arial"/>
          <w:sz w:val="17"/>
          <w:szCs w:val="17"/>
          <w:color w:val="auto"/>
        </w:rPr>
      </w:pPr>
      <w:r>
        <w:rPr>
          <w:rFonts w:ascii="Arial" w:cs="Arial" w:eastAsia="Arial" w:hAnsi="Arial"/>
          <w:sz w:val="17"/>
          <w:szCs w:val="17"/>
          <w:color w:val="auto"/>
        </w:rPr>
        <w:t>a customary form of opinion of Daugherty, Fowler, Peregrine, Haught &amp; Jenson P.C., FAA counsel to the Borrower and each other Guarantor, relating to Spare Parts and addressed to the Administrative Agent, the Revolving Lenders and the Class B Term Loan Lenders (to be executed and delivered promptly after the filing and recordation of the Spare Parts Security Agreement).</w:t>
      </w:r>
    </w:p>
    <w:p>
      <w:pPr>
        <w:spacing w:after="0" w:line="165" w:lineRule="exact"/>
        <w:rPr>
          <w:rFonts w:ascii="Arial" w:cs="Arial" w:eastAsia="Arial" w:hAnsi="Arial"/>
          <w:sz w:val="17"/>
          <w:szCs w:val="17"/>
          <w:color w:val="auto"/>
        </w:rPr>
      </w:pPr>
    </w:p>
    <w:p>
      <w:pPr>
        <w:jc w:val="both"/>
        <w:ind w:firstLine="921"/>
        <w:spacing w:after="0" w:line="259" w:lineRule="auto"/>
        <w:tabs>
          <w:tab w:leader="none" w:pos="1138"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Payment of Fees and Expenses</w:t>
      </w:r>
      <w:r>
        <w:rPr>
          <w:rFonts w:ascii="Arial" w:cs="Arial" w:eastAsia="Arial" w:hAnsi="Arial"/>
          <w:sz w:val="18"/>
          <w:szCs w:val="18"/>
          <w:color w:val="auto"/>
        </w:rPr>
        <w:t>. The Borrower shall have paid to the Administrative Agent, the Joint Lead Arrangers and Bookrunners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the then-unpaid balance of all accrued and unpaid Fees due, owing and payable under and pursuant to this Agreement, as referred to in Section 2.19, and all reasonable and documented out-of-pocket expenses of the Administrative Agent (including reasonable fees of counsel) for which invoices have been presented at least three (3) Business Days prior to the Closing Date.</w:t>
      </w:r>
    </w:p>
    <w:p>
      <w:pPr>
        <w:spacing w:after="0" w:line="186" w:lineRule="exact"/>
        <w:rPr>
          <w:rFonts w:ascii="Arial" w:cs="Arial" w:eastAsia="Arial" w:hAnsi="Arial"/>
          <w:sz w:val="18"/>
          <w:szCs w:val="18"/>
          <w:color w:val="auto"/>
        </w:rPr>
      </w:pPr>
    </w:p>
    <w:p>
      <w:pPr>
        <w:jc w:val="both"/>
        <w:ind w:right="20" w:firstLine="921"/>
        <w:spacing w:after="0" w:line="264" w:lineRule="auto"/>
        <w:tabs>
          <w:tab w:leader="none" w:pos="1168"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Lien Searches</w:t>
      </w:r>
      <w:r>
        <w:rPr>
          <w:rFonts w:ascii="Arial" w:cs="Arial" w:eastAsia="Arial" w:hAnsi="Arial"/>
          <w:sz w:val="18"/>
          <w:szCs w:val="18"/>
          <w:color w:val="auto"/>
        </w:rPr>
        <w:t>. The Administrative Agent shall have received UCC searches reasonably acceptable to the Administrative Agent conducted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jurisdiction in which the Borrower is incorporated, reflecting the absence of Liens and encumbrances on the assets of the Borrower constituting Collateral on the Closing Date, other than Permitted Liens.</w:t>
      </w:r>
    </w:p>
    <w:p>
      <w:pPr>
        <w:spacing w:after="0" w:line="181" w:lineRule="exact"/>
        <w:rPr>
          <w:rFonts w:ascii="Arial" w:cs="Arial" w:eastAsia="Arial" w:hAnsi="Arial"/>
          <w:sz w:val="18"/>
          <w:szCs w:val="18"/>
          <w:color w:val="auto"/>
        </w:rPr>
      </w:pPr>
    </w:p>
    <w:p>
      <w:pPr>
        <w:ind w:right="60" w:firstLine="921"/>
        <w:spacing w:after="0" w:line="308" w:lineRule="auto"/>
        <w:tabs>
          <w:tab w:leader="none" w:pos="1168"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Consents</w:t>
      </w:r>
      <w:r>
        <w:rPr>
          <w:rFonts w:ascii="Arial" w:cs="Arial" w:eastAsia="Arial" w:hAnsi="Arial"/>
          <w:sz w:val="17"/>
          <w:szCs w:val="17"/>
          <w:color w:val="auto"/>
        </w:rPr>
        <w:t>. All material governmental and third-party consents and approvals necessary in connection with the financing contemplated hereby</w:t>
      </w:r>
      <w:r>
        <w:rPr>
          <w:rFonts w:ascii="Arial" w:cs="Arial" w:eastAsia="Arial" w:hAnsi="Arial"/>
          <w:sz w:val="17"/>
          <w:szCs w:val="17"/>
          <w:i w:val="1"/>
          <w:iCs w:val="1"/>
          <w:color w:val="auto"/>
        </w:rPr>
        <w:t xml:space="preserve"> </w:t>
      </w:r>
      <w:r>
        <w:rPr>
          <w:rFonts w:ascii="Arial" w:cs="Arial" w:eastAsia="Arial" w:hAnsi="Arial"/>
          <w:sz w:val="17"/>
          <w:szCs w:val="17"/>
          <w:color w:val="auto"/>
        </w:rPr>
        <w:t>shall have been obtained, in form and substance reasonably satisfactory to the Administrative Agent, and be in full force and effect.</w:t>
      </w:r>
    </w:p>
    <w:p>
      <w:pPr>
        <w:spacing w:after="0" w:line="146" w:lineRule="exact"/>
        <w:rPr>
          <w:rFonts w:ascii="Arial" w:cs="Arial" w:eastAsia="Arial" w:hAnsi="Arial"/>
          <w:sz w:val="17"/>
          <w:szCs w:val="17"/>
          <w:color w:val="auto"/>
        </w:rPr>
      </w:pPr>
    </w:p>
    <w:p>
      <w:pPr>
        <w:ind w:right="140" w:firstLine="921"/>
        <w:spacing w:after="0" w:line="291" w:lineRule="auto"/>
        <w:tabs>
          <w:tab w:leader="none" w:pos="1128"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All representations and warranties of the Borrower and the Guarantors contained in this Agreement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Loan Documents executed and delivered on the Closing Date other than Section 3.19 shall be true and correct in all material respects on and as of the Closing Date, before and after giving effect to the Closing Date Transactions, as though made on and as of such date (except to the extent any such representation or warranty by its terms is made as of a different specified date, in which case as of such specified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the Closing Date Transactions.</w:t>
      </w:r>
    </w:p>
    <w:p>
      <w:pPr>
        <w:spacing w:after="0" w:line="167" w:lineRule="exact"/>
        <w:rPr>
          <w:rFonts w:ascii="Arial" w:cs="Arial" w:eastAsia="Arial" w:hAnsi="Arial"/>
          <w:sz w:val="16"/>
          <w:szCs w:val="16"/>
          <w:color w:val="auto"/>
        </w:rPr>
      </w:pPr>
    </w:p>
    <w:p>
      <w:pPr>
        <w:ind w:left="1140" w:hanging="219"/>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No Event of Default; No Material Adverse Change</w:t>
      </w:r>
      <w:r>
        <w:rPr>
          <w:rFonts w:ascii="Arial" w:cs="Arial" w:eastAsia="Arial" w:hAnsi="Arial"/>
          <w:sz w:val="18"/>
          <w:szCs w:val="18"/>
          <w:color w:val="auto"/>
        </w:rPr>
        <w:t>. No Default or Event of Default shall have occurred and be continuing. Since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there shall not have occurred a Material Adverse Change.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274" w:right="279" w:bottom="1440" w:gutter="0" w:footer="0" w:header="0"/>
        </w:sectPr>
      </w:pPr>
    </w:p>
    <w:bookmarkStart w:id="193" w:name="page194"/>
    <w:bookmarkEnd w:id="193"/>
    <w:p>
      <w:pPr>
        <w:ind w:right="20" w:firstLine="921"/>
        <w:spacing w:after="0" w:line="264" w:lineRule="auto"/>
        <w:tabs>
          <w:tab w:leader="none" w:pos="1168"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Patriot Act</w:t>
      </w:r>
      <w:r>
        <w:rPr>
          <w:rFonts w:ascii="Arial" w:cs="Arial" w:eastAsia="Arial" w:hAnsi="Arial"/>
          <w:sz w:val="18"/>
          <w:szCs w:val="18"/>
          <w:color w:val="auto"/>
        </w:rPr>
        <w:t>. The Lenders shall have received at least ten (10) days prior to the Closing Date all documentation and other information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by bank regulatory authorities under applicable “know-your-customer” and anti-money laundering rules and regulations, including the Patriot Act, that such Lenders shall have requested from the Borrower or Guarantor prior to such date.</w:t>
      </w:r>
    </w:p>
    <w:p>
      <w:pPr>
        <w:spacing w:after="0" w:line="181" w:lineRule="exact"/>
        <w:rPr>
          <w:rFonts w:ascii="Arial" w:cs="Arial" w:eastAsia="Arial" w:hAnsi="Arial"/>
          <w:sz w:val="18"/>
          <w:szCs w:val="18"/>
          <w:color w:val="auto"/>
        </w:rPr>
      </w:pPr>
    </w:p>
    <w:p>
      <w:pPr>
        <w:ind w:right="140" w:firstLine="921"/>
        <w:spacing w:after="0" w:line="277" w:lineRule="auto"/>
        <w:tabs>
          <w:tab w:leader="none" w:pos="1128"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Financial Deliverables</w:t>
      </w:r>
      <w:r>
        <w:rPr>
          <w:rFonts w:ascii="Arial" w:cs="Arial" w:eastAsia="Arial" w:hAnsi="Arial"/>
          <w:sz w:val="18"/>
          <w:szCs w:val="18"/>
          <w:color w:val="auto"/>
        </w:rPr>
        <w:t>. The Administrative Agent shall have received the most recent financial statements required to be delivered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Sections 5.01(a) and (b) and reports of the Borrower and Parent, which have been filed with the SEC.</w:t>
      </w:r>
    </w:p>
    <w:p>
      <w:pPr>
        <w:spacing w:after="0" w:line="170" w:lineRule="exact"/>
        <w:rPr>
          <w:rFonts w:ascii="Arial" w:cs="Arial" w:eastAsia="Arial" w:hAnsi="Arial"/>
          <w:sz w:val="18"/>
          <w:szCs w:val="18"/>
          <w:color w:val="auto"/>
        </w:rPr>
      </w:pPr>
    </w:p>
    <w:p>
      <w:pPr>
        <w:ind w:firstLine="921"/>
        <w:spacing w:after="0" w:line="297" w:lineRule="auto"/>
        <w:tabs>
          <w:tab w:leader="none" w:pos="1218" w:val="left"/>
        </w:tabs>
        <w:numPr>
          <w:ilvl w:val="0"/>
          <w:numId w:val="187"/>
        </w:numPr>
        <w:rPr>
          <w:rFonts w:ascii="Arial" w:cs="Arial" w:eastAsia="Arial" w:hAnsi="Arial"/>
          <w:sz w:val="16"/>
          <w:szCs w:val="16"/>
          <w:color w:val="auto"/>
        </w:rPr>
      </w:pPr>
      <w:r>
        <w:rPr>
          <w:rFonts w:ascii="Arial" w:cs="Arial" w:eastAsia="Arial" w:hAnsi="Arial"/>
          <w:sz w:val="16"/>
          <w:szCs w:val="16"/>
          <w:i w:val="1"/>
          <w:iCs w:val="1"/>
          <w:color w:val="auto"/>
        </w:rPr>
        <w:t>Perfected Liens</w:t>
      </w:r>
      <w:r>
        <w:rPr>
          <w:rFonts w:ascii="Arial" w:cs="Arial" w:eastAsia="Arial" w:hAnsi="Arial"/>
          <w:sz w:val="16"/>
          <w:szCs w:val="16"/>
          <w:color w:val="auto"/>
        </w:rPr>
        <w:t>. The Collateral Agent, for the benefit of the Secured Parties, shall have obtained a valid and perfected first priority lien on</w:t>
      </w:r>
      <w:r>
        <w:rPr>
          <w:rFonts w:ascii="Arial" w:cs="Arial" w:eastAsia="Arial" w:hAnsi="Arial"/>
          <w:sz w:val="16"/>
          <w:szCs w:val="16"/>
          <w:i w:val="1"/>
          <w:iCs w:val="1"/>
          <w:color w:val="auto"/>
        </w:rPr>
        <w:t xml:space="preserve"> </w:t>
      </w:r>
      <w:r>
        <w:rPr>
          <w:rFonts w:ascii="Arial" w:cs="Arial" w:eastAsia="Arial" w:hAnsi="Arial"/>
          <w:sz w:val="16"/>
          <w:szCs w:val="16"/>
          <w:color w:val="auto"/>
        </w:rPr>
        <w:t>and security interest in the Collateral to the extent such security interests can be perfected under the UCC, the Federal Aviation Act and the rules promulgated thereunder, and all UCC financing statements to be filed in the Borrower’s jurisdiction of organization in connection with the perfection of such security interests shall have been executed and delivered or made, or shall be delivered or made substantially concurrently with the initial funding and the Spare Parts Security Agreement shall have been filed for recordation with the FAA or such filing shall be made substantially concurrently with the initial funding.</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execution by each Lender of this Agreement shall be deemed to be confirmation by such Lender that any condition relating to such Lender’s satisfaction or reasonable satisfaction with any documentation set forth in this Section 4.01 has been satisfied as to such Lender.</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Conditions Precedent to Each Loan and Each Letter of Credit</w:t>
      </w:r>
      <w:r>
        <w:rPr>
          <w:rFonts w:ascii="Arial" w:cs="Arial" w:eastAsia="Arial" w:hAnsi="Arial"/>
          <w:sz w:val="18"/>
          <w:szCs w:val="18"/>
          <w:color w:val="auto"/>
        </w:rPr>
        <w:t>. The obligation of the Lenders to make each Loan and of the Issuing Lenders to issue each Letter of Credit, including the initial Loans and the initial Letters of Credit, is subject to the satisfaction (or waiver in accordance with Section 10.08) of the following conditions precedent (</w:t>
      </w:r>
      <w:r>
        <w:rPr>
          <w:rFonts w:ascii="Arial" w:cs="Arial" w:eastAsia="Arial" w:hAnsi="Arial"/>
          <w:sz w:val="18"/>
          <w:szCs w:val="18"/>
          <w:u w:val="single" w:color="auto"/>
          <w:color w:val="auto"/>
        </w:rPr>
        <w:t>provided</w:t>
      </w:r>
      <w:r>
        <w:rPr>
          <w:rFonts w:ascii="Arial" w:cs="Arial" w:eastAsia="Arial" w:hAnsi="Arial"/>
          <w:sz w:val="18"/>
          <w:szCs w:val="18"/>
          <w:color w:val="auto"/>
        </w:rPr>
        <w:t>, that any condition precedent to drawing of a Revolving Loan may be waived only by the Required Revolving Lenders):</w:t>
      </w:r>
    </w:p>
    <w:p>
      <w:pPr>
        <w:spacing w:after="0" w:line="79" w:lineRule="exact"/>
        <w:rPr>
          <w:sz w:val="20"/>
          <w:szCs w:val="20"/>
          <w:color w:val="auto"/>
        </w:rPr>
      </w:pPr>
    </w:p>
    <w:p>
      <w:pPr>
        <w:ind w:left="460" w:right="140" w:firstLine="443"/>
        <w:spacing w:after="0" w:line="277" w:lineRule="auto"/>
        <w:tabs>
          <w:tab w:leader="none" w:pos="1143"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The Administrative Agent shall have received a Loan Request pursuant to Section 2.03 with respect to such borrowing or a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Request for issuance of such Letter of Credit pursuant to Section 2.02, as the case may be.</w:t>
      </w:r>
    </w:p>
    <w:p>
      <w:pPr>
        <w:spacing w:after="0" w:line="62" w:lineRule="exact"/>
        <w:rPr>
          <w:rFonts w:ascii="Arial" w:cs="Arial" w:eastAsia="Arial" w:hAnsi="Arial"/>
          <w:sz w:val="18"/>
          <w:szCs w:val="18"/>
          <w:color w:val="auto"/>
        </w:rPr>
      </w:pPr>
    </w:p>
    <w:p>
      <w:pPr>
        <w:ind w:left="460" w:firstLine="443"/>
        <w:spacing w:after="0" w:line="291" w:lineRule="auto"/>
        <w:tabs>
          <w:tab w:leader="none" w:pos="1153"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All representations and warranties contained in this Agreement and the other Loan Documents (other than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case of each Borrowing Date after the Closing Date, the representations and warranties set forth in Sections 3.05(b), 3.06, 3.09(a) and 3.19) shall be true and correct in all material respects on and as of the date of such Loan or the issuance of such Letter of Credit hereunder (both before and after giving effect thereto and, in the case of each Loan, the application of proceeds therefrom) with the same effect as if made on and as of such date except to the extent such representations and warranties expressly relate to an earlier date and in such case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274" w:right="279" w:bottom="1440" w:gutter="0" w:footer="0" w:header="0"/>
        </w:sectPr>
      </w:pPr>
    </w:p>
    <w:bookmarkStart w:id="194" w:name="page195"/>
    <w:bookmarkEnd w:id="194"/>
    <w:p>
      <w:pPr>
        <w:ind w:left="46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qualified by materiality) shall be true and correct in all respects, as though made on and as of the applicable date, before and after giving effect to such Loan or the issuance of such Letter of Credit hereunder.</w:t>
      </w:r>
    </w:p>
    <w:p>
      <w:pPr>
        <w:spacing w:after="0" w:line="62" w:lineRule="exact"/>
        <w:rPr>
          <w:sz w:val="20"/>
          <w:szCs w:val="20"/>
          <w:color w:val="auto"/>
        </w:rPr>
      </w:pPr>
    </w:p>
    <w:p>
      <w:pPr>
        <w:ind w:left="460" w:firstLine="443"/>
        <w:spacing w:after="0" w:line="259" w:lineRule="auto"/>
        <w:tabs>
          <w:tab w:leader="none" w:pos="1143"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On the date of such Loan or the issuance of such Letter of Credit hereunder, no (i) Event of Default or (ii) Default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7.01(b), (e), (f) or (g) shall have occurred and be continuing nor shall any such Default or Event of Default, as the case may be, occur by reason of the making of the requested Borrowing or the issuance of the requested Letter of Credit and, in the case of each Loan, the application of proceeds thereof.</w:t>
      </w:r>
    </w:p>
    <w:p>
      <w:pPr>
        <w:spacing w:after="0" w:line="78" w:lineRule="exact"/>
        <w:rPr>
          <w:rFonts w:ascii="Arial" w:cs="Arial" w:eastAsia="Arial" w:hAnsi="Arial"/>
          <w:sz w:val="18"/>
          <w:szCs w:val="18"/>
          <w:color w:val="auto"/>
        </w:rPr>
      </w:pPr>
    </w:p>
    <w:p>
      <w:pPr>
        <w:ind w:left="460" w:right="280" w:firstLine="443"/>
        <w:spacing w:after="0" w:line="264" w:lineRule="auto"/>
        <w:tabs>
          <w:tab w:leader="none" w:pos="1153"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Collateral Coverage Ratio</w:t>
      </w:r>
      <w:r>
        <w:rPr>
          <w:rFonts w:ascii="Arial" w:cs="Arial" w:eastAsia="Arial" w:hAnsi="Arial"/>
          <w:sz w:val="18"/>
          <w:szCs w:val="18"/>
          <w:color w:val="auto"/>
        </w:rPr>
        <w:t>. On the date of such Loan or the issuance of such Letter of Credit hereunder (and after giving pro forma effect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the Collateral Coverage Ratio shall not be less than 1.6 to 1.0 as evidenced by the delivery of a Collateral Coverage Ratio Certificate to the Administrative Agent demonstrating such compliance.</w:t>
      </w:r>
    </w:p>
    <w:p>
      <w:pPr>
        <w:spacing w:after="0" w:line="73"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No Going Concern Qualification</w:t>
      </w:r>
      <w:r>
        <w:rPr>
          <w:rFonts w:ascii="Arial" w:cs="Arial" w:eastAsia="Arial" w:hAnsi="Arial"/>
          <w:sz w:val="18"/>
          <w:szCs w:val="18"/>
          <w:color w:val="auto"/>
        </w:rPr>
        <w:t>. On the date of such Loan or the issuance of such Letter of Credit hereunder, the opinion of the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w:t>
      </w:r>
    </w:p>
    <w:p>
      <w:pPr>
        <w:spacing w:after="0" w:line="18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acceptance by the Borrower of each Extension of Credit hereunder shall be deemed to be a representation and warranty by the Borrower that the conditions specified in this Section 4.02 have been satisfied at that time.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Reports, etc</w:t>
      </w:r>
      <w:r>
        <w:rPr>
          <w:rFonts w:ascii="Arial" w:cs="Arial" w:eastAsia="Arial" w:hAnsi="Arial"/>
          <w:sz w:val="18"/>
          <w:szCs w:val="18"/>
          <w:color w:val="auto"/>
        </w:rPr>
        <w:t>. The Borrower shall deliver to the Administrative Agent on behalf of the Lenders:</w:t>
      </w:r>
    </w:p>
    <w:p>
      <w:pPr>
        <w:spacing w:after="0" w:line="117" w:lineRule="exact"/>
        <w:rPr>
          <w:sz w:val="20"/>
          <w:szCs w:val="20"/>
          <w:color w:val="auto"/>
        </w:rPr>
      </w:pPr>
    </w:p>
    <w:p>
      <w:pPr>
        <w:ind w:left="460" w:right="140" w:firstLine="443"/>
        <w:spacing w:after="0" w:line="277" w:lineRule="auto"/>
        <w:tabs>
          <w:tab w:leader="none" w:pos="114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within ninety (90) days after the end of each fiscal year, Parent’s consolidated balance sheet and related statement of income and cash flows, showing the financial condition of Parent and its Subsidiaries on a consolidated basis as of the close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74" w:right="259" w:bottom="1440" w:gutter="0" w:footer="0" w:header="0"/>
        </w:sectPr>
      </w:pPr>
    </w:p>
    <w:bookmarkStart w:id="195" w:name="page196"/>
    <w:bookmarkEnd w:id="19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fiscal year and the results of their respective operations 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delivery requirement shall be satisfied if Parent shall have filed with the SEC its Annual Report on Form 10-K for such fiscal year, which is available to the public via EDGAR or any similar successor system;</w:t>
      </w:r>
    </w:p>
    <w:p>
      <w:pPr>
        <w:spacing w:after="0" w:line="85" w:lineRule="exact"/>
        <w:rPr>
          <w:sz w:val="20"/>
          <w:szCs w:val="20"/>
          <w:color w:val="auto"/>
        </w:rPr>
      </w:pPr>
    </w:p>
    <w:p>
      <w:pPr>
        <w:ind w:right="80" w:firstLine="443"/>
        <w:spacing w:after="0" w:line="272" w:lineRule="auto"/>
        <w:tabs>
          <w:tab w:leader="none" w:pos="69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delivery requirement shall be satisfied if Parent shall have filed with the SEC its Quarterly Report on Form 10-Q for such fiscal quarter, which is available to the public via EDGAR or any similar successor system;</w:t>
      </w:r>
    </w:p>
    <w:p>
      <w:pPr>
        <w:spacing w:after="0" w:line="69" w:lineRule="exact"/>
        <w:rPr>
          <w:rFonts w:ascii="Arial" w:cs="Arial" w:eastAsia="Arial" w:hAnsi="Arial"/>
          <w:sz w:val="17"/>
          <w:szCs w:val="17"/>
          <w:color w:val="auto"/>
        </w:rPr>
      </w:pPr>
    </w:p>
    <w:p>
      <w:pPr>
        <w:ind w:right="60" w:firstLine="443"/>
        <w:spacing w:after="0" w:line="312" w:lineRule="auto"/>
        <w:tabs>
          <w:tab w:leader="none" w:pos="68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within the time period under Section 5.01(a), a certificate of a Responsible Officer of the Borrower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w:t>
      </w:r>
    </w:p>
    <w:p>
      <w:pPr>
        <w:spacing w:after="0" w:line="38" w:lineRule="exact"/>
        <w:rPr>
          <w:rFonts w:ascii="Arial" w:cs="Arial" w:eastAsia="Arial" w:hAnsi="Arial"/>
          <w:sz w:val="16"/>
          <w:szCs w:val="16"/>
          <w:color w:val="auto"/>
        </w:rPr>
      </w:pPr>
    </w:p>
    <w:p>
      <w:pPr>
        <w:ind w:right="440" w:firstLine="443"/>
        <w:spacing w:after="0" w:line="277" w:lineRule="auto"/>
        <w:tabs>
          <w:tab w:leader="none" w:pos="69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within the time period under (a) and (b) of this Section 5.01, an Officer’s Certificate demonstrating in reasonable detail compliance with Section 6.08 as of the end of the preceding fiscal quarter;</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promptly after the occurrence thereof, written notice of the termination of a Plan of the Borrower or an ERISA Affiliate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4042 of ERISA, to the extent such termination would constitute an Event of Default under Section 7.01(j);</w:t>
      </w:r>
    </w:p>
    <w:p>
      <w:pPr>
        <w:spacing w:after="0" w:line="103" w:lineRule="exact"/>
        <w:rPr>
          <w:sz w:val="20"/>
          <w:szCs w:val="20"/>
          <w:color w:val="auto"/>
        </w:rPr>
      </w:pPr>
    </w:p>
    <w:p>
      <w:pPr>
        <w:ind w:left="660" w:hanging="217"/>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Collateral Coverage Ratio Certificate, as and when required under Section 6.09(a);</w:t>
      </w:r>
    </w:p>
    <w:p>
      <w:pPr>
        <w:spacing w:after="0" w:line="117" w:lineRule="exact"/>
        <w:rPr>
          <w:rFonts w:ascii="Arial" w:cs="Arial" w:eastAsia="Arial" w:hAnsi="Arial"/>
          <w:sz w:val="18"/>
          <w:szCs w:val="18"/>
          <w:color w:val="auto"/>
        </w:rPr>
      </w:pPr>
    </w:p>
    <w:p>
      <w:pPr>
        <w:ind w:right="240" w:firstLine="443"/>
        <w:spacing w:after="0" w:line="264" w:lineRule="auto"/>
        <w:tabs>
          <w:tab w:leader="none" w:pos="69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so long as any Commitment, Loan or Letter of Credit is outstanding, promptly after the Chief Financial Officer or the Treasurer of Parent becoming aware of the occurrence of a Default or an Event of Default that is continuing, an Officer’s Certificate specifying such Default or Event of Default and what action Parent and its Subsidiaries are taking or propose to take with respect thereto;</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40"/>
          </w:cols>
          <w:pgMar w:left="700" w:top="274" w:right="259" w:bottom="1440" w:gutter="0" w:footer="0" w:header="0"/>
        </w:sectPr>
      </w:pPr>
    </w:p>
    <w:bookmarkStart w:id="196" w:name="page197"/>
    <w:bookmarkEnd w:id="196"/>
    <w:p>
      <w:pPr>
        <w:ind w:left="460" w:right="200" w:firstLine="443"/>
        <w:spacing w:after="0" w:line="302" w:lineRule="auto"/>
        <w:tabs>
          <w:tab w:leader="none" w:pos="1153" w:val="left"/>
        </w:tabs>
        <w:numPr>
          <w:ilvl w:val="0"/>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a Responsible Officer of Parent or the Borrower obtains knowledge thereof, written notice of the filing or commencement of any action, suit or proceeding by or before any arbitrator or Governmental Authority against or affecting Parent or any Subsidiary that would reasonably be expected to result in a Material Adverse Effect under clause (a) (with respect to any such action, suit or proceeding that is described by the Company or the Parent in a current report on Form 8-k filed with the SEC), (b) or (c) of the definition thereof;</w:t>
      </w:r>
    </w:p>
    <w:p>
      <w:pPr>
        <w:spacing w:after="0" w:line="46" w:lineRule="exact"/>
        <w:rPr>
          <w:rFonts w:ascii="Arial" w:cs="Arial" w:eastAsia="Arial" w:hAnsi="Arial"/>
          <w:sz w:val="16"/>
          <w:szCs w:val="16"/>
          <w:color w:val="auto"/>
        </w:rPr>
      </w:pPr>
    </w:p>
    <w:p>
      <w:pPr>
        <w:ind w:left="1120" w:hanging="217"/>
        <w:spacing w:after="0"/>
        <w:tabs>
          <w:tab w:leader="none" w:pos="11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Collateral Coverage Ratio Certificate as and when required under Section 6.04(ii)(D); and</w:t>
      </w:r>
    </w:p>
    <w:p>
      <w:pPr>
        <w:spacing w:after="0" w:line="117" w:lineRule="exact"/>
        <w:rPr>
          <w:rFonts w:ascii="Arial" w:cs="Arial" w:eastAsia="Arial" w:hAnsi="Arial"/>
          <w:sz w:val="18"/>
          <w:szCs w:val="18"/>
          <w:color w:val="auto"/>
        </w:rPr>
      </w:pPr>
    </w:p>
    <w:p>
      <w:pPr>
        <w:ind w:left="460" w:right="100" w:firstLine="443"/>
        <w:spacing w:after="0" w:line="264" w:lineRule="auto"/>
        <w:tabs>
          <w:tab w:leader="none" w:pos="111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reasonably promptly following a request, all documentation and information reasonably requested by the Administrative Agent on behalf of a Lender, Agent or Issuing Lender solely to the extent such Lender, Agent or Issuing Lender is required to obtain such information pursuant to “know your customer” and similar laws and regulations.</w:t>
      </w:r>
    </w:p>
    <w:p>
      <w:pPr>
        <w:spacing w:after="0" w:line="18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Any certificate to be delivered under this Section 5.01 may, at the Borrower’s option, be combined with any other certificate to be delivered under this Section 5.01 within the same time period.</w:t>
      </w:r>
    </w:p>
    <w:p>
      <w:pPr>
        <w:spacing w:after="0" w:line="17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Subject to the next succeeding sentence, information delivered pursuant to this Section 5.01 to the Administrative Agent may be made available by the Administrative Agent to the Lenders by posting such information on the SyndTrak website on the Internet at http://www.syndtrak.com. Information required to be delivered pursuant to this Section 5.01 by the Borrower (and solely in the case of Section 5.01(a) or (b) above to the extent not made available on EDGAR) shall be delivered pursuant to Section 10.01 or as set forth in the following sentence.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w:t>
      </w:r>
    </w:p>
    <w:p>
      <w:pPr>
        <w:spacing w:after="0" w:line="197"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Any notice or other communication delivered pursuant to this Section 5.01, or otherwise pursuant to this Agreement, shall be deemed to contain material non-public information unless (i) expressly marked by the Borrower or a Guarantor as “PUBLIC,” (ii) such notice or communication consists of copies of the Borrower’s public filings with the SEC or (iii) such notice or communication has been posted on the Borrower’s general commercial website on the Internet, as such website may be specified by the Borrower to the Administrative Agent from time to time.</w:t>
      </w:r>
    </w:p>
    <w:p>
      <w:pPr>
        <w:spacing w:after="0" w:line="171"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Taxes</w:t>
      </w:r>
      <w:r>
        <w:rPr>
          <w:rFonts w:ascii="Arial" w:cs="Arial" w:eastAsia="Arial" w:hAnsi="Arial"/>
          <w:sz w:val="17"/>
          <w:szCs w:val="17"/>
          <w:color w:val="auto"/>
        </w:rPr>
        <w:t>. Parent shall pay, and shall cause each of its Subsidiaries to pay, all material taxes, assessments and governmental levies imposed or assessed on any of them or any of their assets before the same shall become more than 90 days delinquent,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4" w:right="239" w:bottom="1440" w:gutter="0" w:footer="0" w:header="0"/>
        </w:sectPr>
      </w:pPr>
    </w:p>
    <w:bookmarkStart w:id="197" w:name="page198"/>
    <w:bookmarkEnd w:id="197"/>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taxes, assessments and levies (i) being contested in good faith by appropriate proceedings or (ii) the failure to effect such payment of which are not reasonably be expected to have, individually or collectively, a Material Adverse Effect on Parent.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Corporate Existence</w:t>
      </w:r>
      <w:r>
        <w:rPr>
          <w:rFonts w:ascii="Arial" w:cs="Arial" w:eastAsia="Arial" w:hAnsi="Arial"/>
          <w:sz w:val="16"/>
          <w:szCs w:val="16"/>
          <w:color w:val="auto"/>
        </w:rPr>
        <w:t>. Parent shall do or cause to be done all things reasonably necessary to preserve and keep in full force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103" w:lineRule="exact"/>
        <w:rPr>
          <w:sz w:val="20"/>
          <w:szCs w:val="20"/>
          <w:color w:val="auto"/>
        </w:rPr>
      </w:pPr>
    </w:p>
    <w:p>
      <w:pPr>
        <w:ind w:left="460" w:right="680" w:firstLine="443"/>
        <w:spacing w:after="0" w:line="342" w:lineRule="auto"/>
        <w:tabs>
          <w:tab w:leader="none" w:pos="1153"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its corporate existence, and the corporate, partnership or other existence of each of its Restricted Subsidiaries, in accordance with the respective organizational documents (as the same may be amended from time to time) of Parent or any such Restricted Subsidiary; and</w:t>
      </w:r>
    </w:p>
    <w:p>
      <w:pPr>
        <w:spacing w:after="0" w:line="15" w:lineRule="exact"/>
        <w:rPr>
          <w:rFonts w:ascii="Arial" w:cs="Arial" w:eastAsia="Arial" w:hAnsi="Arial"/>
          <w:sz w:val="16"/>
          <w:szCs w:val="16"/>
          <w:color w:val="auto"/>
        </w:rPr>
      </w:pPr>
    </w:p>
    <w:p>
      <w:pPr>
        <w:ind w:left="460" w:right="100" w:firstLine="443"/>
        <w:spacing w:after="0" w:line="257" w:lineRule="auto"/>
        <w:tabs>
          <w:tab w:leader="none" w:pos="115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rights (charter and statutory) and material franchises of Parent and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Parent shall not be required to preserve any such right or franchise, or the corporate, partnership or other existence of it or any of its Restricted Subsidiaries, if a Responsible Officer of the Borrower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this Section 5.03 shall not prohibit any actions permitted by Section 6.10 or described in Section 6.10(b).</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Except for laws, rules, regulations and orders applicable to Route Authorities, Slots and Foreign Gate Leaseholds (it being understood that Section 5.09 applies, to the extent set forth therein, to laws, rules, regulations and orders applicable to Route Authorities, Slots and Foreign Gate Leaseholds),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Designation of Restricted and Unrestricted Subsidiaries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5" w:lineRule="auto"/>
        <w:tabs>
          <w:tab w:leader="none" w:pos="115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w:t>
      </w:r>
    </w:p>
    <w:p>
      <w:pPr>
        <w:spacing w:after="0" w:line="193"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Parent may at any time designate any Unrestricted Subsidiary to be a Restricted Subsidiary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will be permitted only if no Default or Event of Default would be in existence following such designation.</w:t>
      </w:r>
    </w:p>
    <w:p>
      <w:pPr>
        <w:spacing w:after="0" w:line="170" w:lineRule="exact"/>
        <w:rPr>
          <w:rFonts w:ascii="Arial" w:cs="Arial" w:eastAsia="Arial" w:hAnsi="Arial"/>
          <w:sz w:val="18"/>
          <w:szCs w:val="18"/>
          <w:color w:val="auto"/>
        </w:rPr>
      </w:pPr>
    </w:p>
    <w:p>
      <w:pPr>
        <w:ind w:right="140" w:firstLine="921"/>
        <w:spacing w:after="0" w:line="264" w:lineRule="auto"/>
        <w:tabs>
          <w:tab w:leader="none" w:pos="115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connection with the designation of an Unrestricted Subsidiary as provided in Section 5.05(a), (x) such designated Unrestricted Subsidiary shall be released from its Guarantee of the Obligations and (y) any Liens on such designated Unrestricted Subsidiary and any of the Collateral of such designated Unrestricted Subsidiary shall be released.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74" w:right="259" w:bottom="1440" w:gutter="0" w:footer="0" w:header="0"/>
        </w:sectPr>
      </w:pPr>
    </w:p>
    <w:bookmarkStart w:id="198" w:name="page199"/>
    <w:bookmarkEnd w:id="19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5.06. </w:t>
      </w:r>
      <w:r>
        <w:rPr>
          <w:rFonts w:ascii="Arial" w:cs="Arial" w:eastAsia="Arial" w:hAnsi="Arial"/>
          <w:sz w:val="18"/>
          <w:szCs w:val="18"/>
          <w:u w:val="single" w:color="auto"/>
          <w:color w:val="auto"/>
        </w:rPr>
        <w:t>Delivery of Appraisals</w:t>
      </w:r>
      <w:r>
        <w:rPr>
          <w:rFonts w:ascii="Arial" w:cs="Arial" w:eastAsia="Arial" w:hAnsi="Arial"/>
          <w:sz w:val="18"/>
          <w:szCs w:val="18"/>
          <w:color w:val="auto"/>
        </w:rPr>
        <w:t>.</w:t>
      </w:r>
    </w:p>
    <w:p>
      <w:pPr>
        <w:spacing w:after="0" w:line="117" w:lineRule="exact"/>
        <w:rPr>
          <w:sz w:val="20"/>
          <w:szCs w:val="20"/>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single time during each calendar year, commencing in 2017;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within the 45-day period following a request by the Administrative Agent if an Event of Default has occurred and is continuing,</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Borrower will deliver to the Administrative Agent one Appraisal establishing the Appraised Value of the Collateral (other than any cash or Cash Equivalents in the Collateral).</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For the avoidance of doubt, the Appraised Value of any Qualified Replacement Assets or Additional Collateral (other than any cash or Cash Equivalents) pledged by the Borrower or another Grantor that has not previously been included in an Appraisal shall be deemed to be zero until an Appraisal of such Qualified Replacement Assets or Additional Collateral has been delivered to the Administrative Agent.</w:t>
      </w:r>
    </w:p>
    <w:p>
      <w:pPr>
        <w:spacing w:after="0" w:line="181"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Subject to the next succeeding sentence, the Borrower shall deliver the Appraisals described above to the Administrative Agent and the Administrative Agent shall make such Appraisals available to the Lenders by posting such information on the confidential, non-public portion of the SyndTrak website on the Internet at http://www.syndtrak.com. Information required to be delivered pursuant to this Section 5.06 by the Borrower shall be delivered pursuant to Section 10.01 and shall be deemed to contain material non-public information.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Regulatory Matters; Utilization; Reporting</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Borrower will:</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maintain at all times its status as an “air carrier” within the meaning of Section 40102(a)(2) of Title 49 and hold or co-hold a certificate under Section 41102(a)(1) of Title 49;</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maintain at all times its status at the FAA as an “air carrier” and hold or co-hold an air carrier operating certificate under Section 44705 of Title 49 and operations specifications issued by the FAA pursuant to Parts 119 and 121 of Title 14;</w:t>
      </w:r>
    </w:p>
    <w:p>
      <w:pPr>
        <w:spacing w:after="0" w:line="62"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possess and maintain all certificates, exemptions, licenses, permits, designations, authorizations, frequencies and consents required by the FAA, the DOT or any applicable Foreign Aviation Authority or Airport Authority or any other Governmental Authority that are material to the operation of the Pledged Route Authorities and Pledged Slots operated by it, and to the conduct of its business and operations as currently conducted, in each case, to the extent necessary for the Borrower’s operation of any related Scheduled Services, except to the extent that any failure to possess or maintain would not reasonably be expected to result in a Material Adverse Effect;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199" w:name="page200"/>
    <w:bookmarkEnd w:id="199"/>
    <w:p>
      <w:pPr>
        <w:ind w:left="460" w:right="20" w:firstLine="443"/>
        <w:spacing w:after="0" w:line="342" w:lineRule="auto"/>
        <w:tabs>
          <w:tab w:leader="none" w:pos="1153"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 Pledged Foreign Gate Leaseholds sufficient to ensure its ability to operate any related Scheduled Services and to preserve its right in and to its Pledged Slots, except to the extent that any failure to maintain would not reasonably be expected to result in a Material Adverse Effect;</w:t>
      </w:r>
    </w:p>
    <w:p>
      <w:pPr>
        <w:spacing w:after="0" w:line="15" w:lineRule="exact"/>
        <w:rPr>
          <w:rFonts w:ascii="Arial" w:cs="Arial" w:eastAsia="Arial" w:hAnsi="Arial"/>
          <w:sz w:val="16"/>
          <w:szCs w:val="16"/>
          <w:color w:val="auto"/>
        </w:rPr>
      </w:pPr>
    </w:p>
    <w:p>
      <w:pPr>
        <w:ind w:left="460" w:firstLine="443"/>
        <w:spacing w:after="0" w:line="286" w:lineRule="auto"/>
        <w:tabs>
          <w:tab w:leader="none" w:pos="115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 except to the extent that any failure to utilize would not reasonably be expected to result in a Material Adverse Effect;</w:t>
      </w:r>
    </w:p>
    <w:p>
      <w:pPr>
        <w:spacing w:after="0" w:line="57" w:lineRule="exact"/>
        <w:rPr>
          <w:rFonts w:ascii="Arial" w:cs="Arial" w:eastAsia="Arial" w:hAnsi="Arial"/>
          <w:sz w:val="17"/>
          <w:szCs w:val="17"/>
          <w:color w:val="auto"/>
        </w:rPr>
      </w:pPr>
    </w:p>
    <w:p>
      <w:pPr>
        <w:jc w:val="both"/>
        <w:ind w:left="460" w:right="640" w:firstLine="443"/>
        <w:spacing w:after="0" w:line="264" w:lineRule="auto"/>
        <w:tabs>
          <w:tab w:leader="none" w:pos="115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cause to be done all things reasonably necessary to preserve and keep in full force and effect its rights in and to use its Pledged Slots, including, without limitation, satisfying any applicable Use or Lose Rule, except to the extent that any failure to do so would not reasonably be expected to result in a Material Adverse Effect;</w:t>
      </w:r>
    </w:p>
    <w:p>
      <w:pPr>
        <w:spacing w:after="0" w:line="73" w:lineRule="exact"/>
        <w:rPr>
          <w:rFonts w:ascii="Arial" w:cs="Arial" w:eastAsia="Arial" w:hAnsi="Arial"/>
          <w:sz w:val="18"/>
          <w:szCs w:val="18"/>
          <w:color w:val="auto"/>
        </w:rPr>
      </w:pPr>
    </w:p>
    <w:p>
      <w:pPr>
        <w:ind w:left="460" w:right="200" w:firstLine="443"/>
        <w:spacing w:after="0" w:line="312" w:lineRule="auto"/>
        <w:tabs>
          <w:tab w:leader="none" w:pos="115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utilize its Pledged Route Authorities in a manner consistent with Title 49, applicable foreign law, the applicable rules and regulations of the FAA, the DOT and any applicable Foreign Aviation Authorities, and any applicable treaty in order to preserve its rights to operate any related Scheduled Services, except to the extent that any failure to utilize would not reasonably be expected to result in a Material Adverse Effect; and</w:t>
      </w:r>
    </w:p>
    <w:p>
      <w:pPr>
        <w:spacing w:after="0" w:line="38" w:lineRule="exact"/>
        <w:rPr>
          <w:rFonts w:ascii="Arial" w:cs="Arial" w:eastAsia="Arial" w:hAnsi="Arial"/>
          <w:sz w:val="16"/>
          <w:szCs w:val="16"/>
          <w:color w:val="auto"/>
        </w:rPr>
      </w:pPr>
    </w:p>
    <w:p>
      <w:pPr>
        <w:ind w:left="460" w:right="120" w:firstLine="443"/>
        <w:spacing w:after="0" w:line="308" w:lineRule="auto"/>
        <w:tabs>
          <w:tab w:leader="none" w:pos="115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cause to be done all things reasonably necessary to preserve and keep in full force and effect its authority to operate any Scheduled Services, except to the extent that any failure to do so would not reasonably be expected to result in a Material Adverse Effect.</w:t>
      </w:r>
    </w:p>
    <w:p>
      <w:pPr>
        <w:spacing w:after="0" w:line="146" w:lineRule="exact"/>
        <w:rPr>
          <w:rFonts w:ascii="Arial" w:cs="Arial" w:eastAsia="Arial" w:hAnsi="Arial"/>
          <w:sz w:val="17"/>
          <w:szCs w:val="17"/>
          <w:color w:val="auto"/>
        </w:rPr>
      </w:pPr>
    </w:p>
    <w:p>
      <w:pPr>
        <w:ind w:right="140" w:firstLine="921"/>
        <w:spacing w:after="0" w:line="291" w:lineRule="auto"/>
        <w:tabs>
          <w:tab w:leader="none" w:pos="1168" w:val="left"/>
        </w:tabs>
        <w:numPr>
          <w:ilvl w:val="1"/>
          <w:numId w:val="199"/>
        </w:numPr>
        <w:rPr>
          <w:rFonts w:ascii="Arial" w:cs="Arial" w:eastAsia="Arial" w:hAnsi="Arial"/>
          <w:sz w:val="16"/>
          <w:szCs w:val="16"/>
          <w:color w:val="auto"/>
        </w:rPr>
      </w:pPr>
      <w:r>
        <w:rPr>
          <w:rFonts w:ascii="Arial" w:cs="Arial" w:eastAsia="Arial" w:hAnsi="Arial"/>
          <w:sz w:val="16"/>
          <w:szCs w:val="16"/>
          <w:color w:val="auto"/>
        </w:rPr>
        <w:t>Without in any way limiting Section 5.07(a), the Borrower will promptly take all such steps as may be necessary to obtain renewal of its Pledged Route Authorities from the DOT and any applicable Foreign Aviation Authorities, in each case to the extent necessary to operate any related Scheduled Services, within a reasonable time prior to the expiration of such authority (as prescribed by law or regulation, if any), and promptly notify the Administrative Agent if it has been informed that such authority will not be renewed, except to the extent that any failure to take such steps would not reasonably be expected to result in a Material Adverse Effect. The Borrower will pay any applicable filing fees and other expenses related to the submission of applications, renewal requests, and other filings as may be reasonably necessary to maintain or obtain its rights in its Pledged Route Authorities and have access to its Pledged Foreign Gate Leaseholds in each case to the extent necessary to operate any related Scheduled Services.</w:t>
      </w:r>
    </w:p>
    <w:p>
      <w:pPr>
        <w:spacing w:after="0" w:line="167"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Notwithstanding any provision of this Section 5.07 or anything else in this Agreement or any other Loan Document to the contrary, (x) for the avoidance of doubt, any Disposition of Collateral permitted by Section 6.04 shall be permitted by the provisions described above, and nothing herein shall prohibit the Borrower or any Grantor from reducing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274" w:right="259" w:bottom="1440" w:gutter="0" w:footer="0" w:header="0"/>
        </w:sectPr>
      </w:pPr>
    </w:p>
    <w:bookmarkStart w:id="200" w:name="page201"/>
    <w:bookmarkEnd w:id="20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frequency of flight operations over any Scheduled Service or suspending or cancelling any Scheduled Service, (y) nothing shall restrict or prohibit or require the Borrower or any other Grantor to contest any 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Borrower or any of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other Slot received by the Borrower or any of its Affiliates in connection with any such retiming or other adjustment of the time or time period for landing or takeoff with respect to any Pledged Slot shall not constitute consideration and (z) neither the Borrower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Route Authorities, Slots, Gate Leaseholds or Foreign Gate Leaseholds to air carriers generally (and not solely to the Borrower or solely to any other applicable Grantor), including any such legislation, regulation, policy or action relating to the applicability of Foreign Slots or FAA Slots to flight operations at any airport.</w:t>
      </w:r>
    </w:p>
    <w:p>
      <w:pPr>
        <w:spacing w:after="0" w:line="18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Maintenance of Ratings</w:t>
      </w:r>
      <w:r>
        <w:rPr>
          <w:rFonts w:ascii="Arial" w:cs="Arial" w:eastAsia="Arial" w:hAnsi="Arial"/>
          <w:sz w:val="18"/>
          <w:szCs w:val="18"/>
          <w:color w:val="auto"/>
        </w:rPr>
        <w:t>. The Borrower will use commercially reasonable efforts to maintain a rating of the Facilities by each of S&amp;P and Moody’s after such ratings are obtained (but not to obtain or maintain a specific rating).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Additional Guarantors; Additional Collateral</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93" w:lineRule="auto"/>
        <w:tabs>
          <w:tab w:leader="none" w:pos="115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become a party to the Guaranty by executing an Instrument of Assumption and Joinder substantially in the form attached hereto as Exhibit C; </w:t>
      </w:r>
      <w:r>
        <w:rPr>
          <w:rFonts w:ascii="Arial" w:cs="Arial" w:eastAsia="Arial" w:hAnsi="Arial"/>
          <w:sz w:val="16"/>
          <w:szCs w:val="16"/>
          <w:u w:val="single" w:color="auto"/>
          <w:color w:val="auto"/>
        </w:rPr>
        <w:t>provided</w:t>
      </w:r>
      <w:r>
        <w:rPr>
          <w:rFonts w:ascii="Arial" w:cs="Arial" w:eastAsia="Arial" w:hAnsi="Arial"/>
          <w:sz w:val="16"/>
          <w:szCs w:val="16"/>
          <w:color w:val="auto"/>
        </w:rPr>
        <w:t>, that any Domestic Subsidiary that constitutes an Immaterial Subsidiary, a Receivables Subsidiary or an Excluded Subsidiary need not become a Guarantor unless and until 30 Business Days after such time as it ceases to be (and is no longer any of) an Immaterial Subsidiary, a Receivables Subsidiary or an Excluded Subsidiary or such time as it guarantees, or pledges any property or assets to secure, any other Obligations.</w:t>
      </w:r>
    </w:p>
    <w:p>
      <w:pPr>
        <w:spacing w:after="0" w:line="164" w:lineRule="exact"/>
        <w:rPr>
          <w:rFonts w:ascii="Arial" w:cs="Arial" w:eastAsia="Arial" w:hAnsi="Arial"/>
          <w:sz w:val="16"/>
          <w:szCs w:val="16"/>
          <w:color w:val="auto"/>
        </w:rPr>
      </w:pPr>
    </w:p>
    <w:p>
      <w:pPr>
        <w:ind w:right="140" w:firstLine="921"/>
        <w:spacing w:after="0" w:line="273" w:lineRule="auto"/>
        <w:tabs>
          <w:tab w:leader="none" w:pos="116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Obligations hereunder, then Parent will promptly cause such Domestic Subsidiary to become a party to the Guaranty by executing an Instrument of Assumption and Joinder substantially in the form attached hereto as Exhibit C within 30 Business Days after such time as it ceases to be (and is no longer any of ) an Immaterial Subsidiary, a Receivables Subsidiary or an Excluded Subsidiary or such time as it guarantees, or pledges any property or assets to secure, any other Obligations.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201" w:name="page202"/>
    <w:bookmarkEnd w:id="201"/>
    <w:p>
      <w:pPr>
        <w:ind w:left="-20" w:right="100" w:firstLine="921"/>
        <w:spacing w:after="0" w:line="277" w:lineRule="auto"/>
        <w:tabs>
          <w:tab w:leader="none" w:pos="1138"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provisions in Section 5.09(a) and 5.09(b), no Regional Airline shall be required to become a Guarantor hereunder at any time, provided however that a Regional Airline may become a Guarantor at the sole discretion of the Borrower.</w:t>
      </w:r>
    </w:p>
    <w:p>
      <w:pPr>
        <w:spacing w:after="0" w:line="170" w:lineRule="exact"/>
        <w:rPr>
          <w:rFonts w:ascii="Arial" w:cs="Arial" w:eastAsia="Arial" w:hAnsi="Arial"/>
          <w:sz w:val="18"/>
          <w:szCs w:val="18"/>
          <w:color w:val="auto"/>
        </w:rPr>
      </w:pPr>
    </w:p>
    <w:p>
      <w:pPr>
        <w:ind w:left="-20" w:right="420" w:firstLine="921"/>
        <w:spacing w:after="0" w:line="277" w:lineRule="auto"/>
        <w:tabs>
          <w:tab w:leader="none" w:pos="11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 any time, with prior written notice to the Administrative Agent and the Collateral Agent, the Borrower may, and may cause any other Guarantor to, at its sole discretion, pledge additional assets as Additional Collateral.</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Access to Books and Records</w:t>
      </w:r>
      <w:r>
        <w:rPr>
          <w:rFonts w:ascii="Arial" w:cs="Arial" w:eastAsia="Arial" w:hAnsi="Arial"/>
          <w:sz w:val="18"/>
          <w:szCs w:val="18"/>
          <w:color w:val="auto"/>
        </w:rPr>
        <w:t>.</w:t>
      </w:r>
    </w:p>
    <w:p>
      <w:pPr>
        <w:spacing w:after="0" w:line="225" w:lineRule="exact"/>
        <w:rPr>
          <w:sz w:val="20"/>
          <w:szCs w:val="20"/>
          <w:color w:val="auto"/>
        </w:rPr>
      </w:pPr>
    </w:p>
    <w:p>
      <w:pPr>
        <w:ind w:left="-20" w:right="40" w:firstLine="921"/>
        <w:spacing w:after="0" w:line="264" w:lineRule="auto"/>
        <w:tabs>
          <w:tab w:leader="none" w:pos="113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w:t>
      </w:r>
    </w:p>
    <w:p>
      <w:pPr>
        <w:spacing w:after="0" w:line="181" w:lineRule="exact"/>
        <w:rPr>
          <w:rFonts w:ascii="Arial" w:cs="Arial" w:eastAsia="Arial" w:hAnsi="Arial"/>
          <w:sz w:val="18"/>
          <w:szCs w:val="18"/>
          <w:color w:val="auto"/>
        </w:rPr>
      </w:pPr>
    </w:p>
    <w:p>
      <w:pPr>
        <w:ind w:left="-20" w:firstLine="921"/>
        <w:spacing w:after="0" w:line="285" w:lineRule="auto"/>
        <w:tabs>
          <w:tab w:leader="none" w:pos="114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Guarantors, to visit and inspect the properties of each of the Borrower and the Guarantors, to examine its books and records, and to discuss its affairs, finances and condition with its officers and independent accountants, all at such reasonable times during normal business hours and as often as reasonably requested (it being understood that a representative of the Borrower will be present);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Event of Default has occurred and is continuing, the Borrower and the Guarantors shall be responsible for the reasonable costs and expenses of any visits of the Administrative Agent and the Lenders, acting together (but not separately);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with respect to Collateral and matters relating thereto, the rights of Administrative Agent and the Lenders under this Section 5.10 shall be limited to the following: upon the request of the Administrative Agent, the applicable Grantor will permit the Administrative Agent or any of its agents or representatives, at reasonable times and intervals upon reasonable prior notice, to visit during normal business hours its offices and sites and inspect any documents relating to (i) the existence of such Collateral, (ii) with respect to Collateral other than Pledged Route Authorities, Pledged Slots and Pledged Foreign Gate Leaseholds, the condition of such Collateral, and (iii) the validity, perfection and priority of the Liens on such Collateral, and to discuss such matters with its officers, except to the extent the disclosure of any such document or any such discussion shall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60" w:top="274" w:right="239" w:bottom="1440" w:gutter="0" w:footer="0" w:header="0"/>
        </w:sectPr>
      </w:pPr>
    </w:p>
    <w:bookmarkStart w:id="202" w:name="page203"/>
    <w:bookmarkEnd w:id="202"/>
    <w:p>
      <w:pPr>
        <w:ind w:left="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25" w:lineRule="exact"/>
        <w:rPr>
          <w:sz w:val="20"/>
          <w:szCs w:val="20"/>
          <w:color w:val="auto"/>
        </w:rPr>
      </w:pPr>
    </w:p>
    <w:p>
      <w:pPr>
        <w:ind w:left="-100" w:right="100" w:firstLine="921"/>
        <w:spacing w:after="0" w:line="297" w:lineRule="auto"/>
        <w:tabs>
          <w:tab w:leader="none" w:pos="105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With respect to Pledged Spare Parts located at Spare Parts Locations, the Spare Parts Security Agreement will provide that the Borrower or the applicable Grantor shall take, or cause to be taken, upon the reasonable request of the Collateral Agent, such actions with respect to the due and timely recording, filing, re-recording and refiling of such Spare Parts Security Agreement and any financing statements and any continuation statements or other instruments as are necessary to maintain, so long as such Spare Parts Security Agreement is in effect, the perfection of the security interests created by such Spare Parts Security Agreement in such Pledged Spare Parts located at such Spare Parts Locations, subject to Permitted Liens;</w:t>
      </w:r>
    </w:p>
    <w:p>
      <w:pPr>
        <w:spacing w:after="0" w:line="158" w:lineRule="exact"/>
        <w:rPr>
          <w:rFonts w:ascii="Arial" w:cs="Arial" w:eastAsia="Arial" w:hAnsi="Arial"/>
          <w:sz w:val="16"/>
          <w:szCs w:val="16"/>
          <w:color w:val="auto"/>
        </w:rPr>
      </w:pPr>
    </w:p>
    <w:p>
      <w:pPr>
        <w:ind w:left="-100" w:firstLine="921"/>
        <w:spacing w:after="0" w:line="255" w:lineRule="auto"/>
        <w:tabs>
          <w:tab w:leader="none" w:pos="10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With respect to Collateral constituting aircraft or spare engines, the Aircraft Security Agreement will provide that the Borrower or the applicable Grantor shall take, or cause to be taken, upon the reasonable request of the Collateral Agent, such actions with respect to the due and timely recording, filing, re-recording and refiling of such Aircraft Security Agreement and any financing statements and any continuation statements or other instruments as are necessary to maintain, so long as such Aircraft Security Agreement, as applicable, is in effect, the perfection of the security interests created by such Aircraft Security Agreement, as applicable, in such aircraft or spare engines, subject in each case, to Permitted Liens, or at the reasonable request of the trustee appointed pursuant to Section 8.01(d) will furnish such trustee with such instruments, in execution form, and such other information, as may be required to enable such trustee to take such action;</w:t>
      </w:r>
    </w:p>
    <w:p>
      <w:pPr>
        <w:spacing w:after="0" w:line="189" w:lineRule="exact"/>
        <w:rPr>
          <w:rFonts w:ascii="Arial" w:cs="Arial" w:eastAsia="Arial" w:hAnsi="Arial"/>
          <w:sz w:val="18"/>
          <w:szCs w:val="18"/>
          <w:color w:val="auto"/>
        </w:rPr>
      </w:pPr>
    </w:p>
    <w:p>
      <w:pPr>
        <w:ind w:left="-100" w:firstLine="921"/>
        <w:spacing w:after="0" w:line="271" w:lineRule="auto"/>
        <w:tabs>
          <w:tab w:leader="none" w:pos="105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With respect to Pledged Route Authorities, Pledged Slots, Pledged Foreign Gate Leaseholds, and any Additional Route Authorities or Gate Leaseholds otherwise constituting Collateral, upon the reasonable request of the Collateral Agent, the Borrower or the applicable Grantor shall take, or cause to be taken, such actions with respect to the due and timely recording, filing, re-recording and refiling of any financing statements and any continuation statements under the UCC as are necessary to maintain, so long as such SGR Security Agreement or other applicable Collateral Document is in effect, the perfection of the security interests created by such SGR Security Agreement or such Collateral Document, as applicable, in such Pledged Route Authorities, Pledged Slots, Pledged Foreign Gate Leaseholds and any Additional Route Authorities or Gate Leaseholds otherwise constituting Collateral, subject, in each case, to Permitted Liens, or at the reasonable request of the Collateral Agent will furnish the Collateral Agent, together with such financing statements and continuation statements, as may be required to enable the Collateral Agent to take such action;</w:t>
      </w:r>
    </w:p>
    <w:p>
      <w:pPr>
        <w:spacing w:after="0" w:line="178" w:lineRule="exact"/>
        <w:rPr>
          <w:rFonts w:ascii="Arial" w:cs="Arial" w:eastAsia="Arial" w:hAnsi="Arial"/>
          <w:sz w:val="17"/>
          <w:szCs w:val="17"/>
          <w:color w:val="auto"/>
        </w:rPr>
      </w:pPr>
    </w:p>
    <w:p>
      <w:pPr>
        <w:ind w:left="-100" w:right="120" w:firstLine="921"/>
        <w:spacing w:after="0" w:line="293" w:lineRule="auto"/>
        <w:tabs>
          <w:tab w:leader="none" w:pos="106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With respect to Collateral constituting Real Property Assets, each of the applicable Collateral Documents relating to such Collateral will provide that the Borrower or the applicable Grantor shall provide, or cause to be provided to the Collateral Agent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 issuing title insurance to the Administrative Agent for such title insurer to deliver endorsements to such title insurance as reasonably requested by the Administrative Agent), environmental assessments, flood certifications and flood insurance (if applicable) and reports and evidence regarding recording and payment of fees, insurance premium and taxes) that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40" w:top="274" w:right="339" w:bottom="1440" w:gutter="0" w:footer="0" w:header="0"/>
        </w:sectPr>
      </w:pPr>
    </w:p>
    <w:bookmarkStart w:id="203" w:name="page204"/>
    <w:bookmarkEnd w:id="20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may reasonably request, to create, register, perfect, maintain, evidence the existence, substance, form or validity of or enforce a valid lien on such parcel of or leasehold interest in real property subject only to Permitted Liens;</w:t>
      </w:r>
    </w:p>
    <w:p>
      <w:pPr>
        <w:spacing w:after="0" w:line="170" w:lineRule="exact"/>
        <w:rPr>
          <w:sz w:val="20"/>
          <w:szCs w:val="20"/>
          <w:color w:val="auto"/>
        </w:rPr>
      </w:pPr>
    </w:p>
    <w:p>
      <w:pPr>
        <w:ind w:right="140" w:firstLine="921"/>
        <w:spacing w:after="0" w:line="293" w:lineRule="auto"/>
        <w:tabs>
          <w:tab w:leader="none" w:pos="115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With respect to Collateral other than Pledged Route Authorities, Pledged Slots, Pledged Foreign Gate Leaseholds, Additional Route Authorities, Gate Leaseholds, Spare Parts, aircraft or spare engines, each of the applicable Collateral Documents relating to such Collateral will provide that the Borrower or the applicable Grantor shall take, or cause to be taken, upon the reasonable request of the Collateral Agent, such commercially reasonable actions as are necessary to maintain, so long as such Collateral Document is in effect, the perfection of the security interests created by such Collateral Document in such Collateral, subject, in each case, to Permitted Liens, or at the reasonable request of the Collateral Agent, will furnish the Collateral Agent with such instruments, in execution form, and such other information, as may be required to enable the Collateral Agent to take such action.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AND FINANCIAL COVENANTS</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Restricted Payments</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Parent will not, and will not permit any of its Restricted Subsidiaries to, directly or indirectly:</w:t>
      </w:r>
    </w:p>
    <w:p>
      <w:pPr>
        <w:spacing w:after="0" w:line="117" w:lineRule="exact"/>
        <w:rPr>
          <w:rFonts w:ascii="Arial" w:cs="Arial" w:eastAsia="Arial" w:hAnsi="Arial"/>
          <w:sz w:val="18"/>
          <w:szCs w:val="18"/>
          <w:color w:val="auto"/>
        </w:rPr>
      </w:pPr>
    </w:p>
    <w:p>
      <w:pPr>
        <w:ind w:left="460" w:right="260" w:firstLine="443"/>
        <w:spacing w:after="0" w:line="288" w:lineRule="auto"/>
        <w:tabs>
          <w:tab w:leader="none" w:pos="1113" w:val="left"/>
        </w:tabs>
        <w:numPr>
          <w:ilvl w:val="1"/>
          <w:numId w:val="206"/>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w:t>
      </w:r>
    </w:p>
    <w:p>
      <w:pPr>
        <w:ind w:left="460" w:right="40" w:firstLine="4"/>
        <w:spacing w:after="0" w:line="261" w:lineRule="auto"/>
        <w:tabs>
          <w:tab w:leader="none" w:pos="75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dividends, distributions or payments payable in Qualifying Equity Interests or in the case of preferred stock of Parent, an increase in the liquidation value thereof and (B) dividends, distributions or payments payable to Parent or a Restricted Subsidiary of Parent);</w:t>
      </w:r>
    </w:p>
    <w:p>
      <w:pPr>
        <w:spacing w:after="0" w:line="75" w:lineRule="exact"/>
        <w:rPr>
          <w:rFonts w:ascii="Arial" w:cs="Arial" w:eastAsia="Arial" w:hAnsi="Arial"/>
          <w:sz w:val="18"/>
          <w:szCs w:val="18"/>
          <w:color w:val="auto"/>
        </w:rPr>
      </w:pPr>
    </w:p>
    <w:p>
      <w:pPr>
        <w:ind w:left="1160" w:hanging="257"/>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Parent;</w:t>
      </w:r>
    </w:p>
    <w:p>
      <w:pPr>
        <w:spacing w:after="0" w:line="117" w:lineRule="exact"/>
        <w:rPr>
          <w:rFonts w:ascii="Arial" w:cs="Arial" w:eastAsia="Arial" w:hAnsi="Arial"/>
          <w:sz w:val="18"/>
          <w:szCs w:val="18"/>
          <w:color w:val="auto"/>
        </w:rPr>
      </w:pPr>
    </w:p>
    <w:p>
      <w:pPr>
        <w:ind w:left="460" w:right="220" w:firstLine="443"/>
        <w:spacing w:after="0" w:line="277" w:lineRule="auto"/>
        <w:tabs>
          <w:tab w:leader="none" w:pos="121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make any payment on or with respect to, or purchase, redeem, defease or otherwise acquire or retire for value (collectively for purposes of this clause (iii), a “</w:t>
      </w:r>
      <w:r>
        <w:rPr>
          <w:rFonts w:ascii="Arial" w:cs="Arial" w:eastAsia="Arial" w:hAnsi="Arial"/>
          <w:sz w:val="18"/>
          <w:szCs w:val="18"/>
          <w:i w:val="1"/>
          <w:iCs w:val="1"/>
          <w:color w:val="auto"/>
        </w:rPr>
        <w:t>purchase</w:t>
      </w:r>
      <w:r>
        <w:rPr>
          <w:rFonts w:ascii="Arial" w:cs="Arial" w:eastAsia="Arial" w:hAnsi="Arial"/>
          <w:sz w:val="18"/>
          <w:szCs w:val="18"/>
          <w:color w:val="auto"/>
        </w:rPr>
        <w:t>”) any Indebtedness of the Borrower or any Guarantor that is contractually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274" w:right="259" w:bottom="1440" w:gutter="0" w:footer="0" w:header="0"/>
        </w:sectPr>
      </w:pPr>
    </w:p>
    <w:bookmarkStart w:id="204" w:name="page205"/>
    <w:bookmarkEnd w:id="204"/>
    <w:p>
      <w:pPr>
        <w:ind w:left="460" w:right="8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subordinated in right of payment to the Loans (excluding any intercompany Indebtedness between or among Parent and any of its Restricted Subsidiaries), except any scheduled payment of interest and any purchase within two years of the Stated Maturity thereof; or</w:t>
      </w:r>
    </w:p>
    <w:p>
      <w:pPr>
        <w:spacing w:after="0" w:line="16" w:lineRule="exact"/>
        <w:rPr>
          <w:sz w:val="20"/>
          <w:szCs w:val="20"/>
          <w:color w:val="auto"/>
        </w:rPr>
      </w:pPr>
    </w:p>
    <w:p>
      <w:pPr>
        <w:ind w:left="460" w:right="480" w:firstLine="443"/>
        <w:spacing w:after="0" w:line="277" w:lineRule="auto"/>
        <w:tabs>
          <w:tab w:leader="none" w:pos="120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these clauses (i) through (iv)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225" w:lineRule="exact"/>
        <w:rPr>
          <w:sz w:val="20"/>
          <w:szCs w:val="20"/>
          <w:color w:val="auto"/>
        </w:rPr>
      </w:pPr>
    </w:p>
    <w:p>
      <w:pPr>
        <w:jc w:val="both"/>
        <w:ind w:right="20" w:firstLine="8"/>
        <w:spacing w:after="0" w:line="259" w:lineRule="auto"/>
        <w:tabs>
          <w:tab w:leader="none" w:pos="25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forma effect to any Restricted Payment to be made on such date) is at least equal to $4,000,000,000, or</w:t>
      </w:r>
    </w:p>
    <w:p>
      <w:pPr>
        <w:spacing w:after="0" w:line="186" w:lineRule="exact"/>
        <w:rPr>
          <w:rFonts w:ascii="Arial" w:cs="Arial" w:eastAsia="Arial" w:hAnsi="Arial"/>
          <w:sz w:val="18"/>
          <w:szCs w:val="18"/>
          <w:color w:val="auto"/>
        </w:rPr>
      </w:pPr>
    </w:p>
    <w:p>
      <w:pPr>
        <w:ind w:right="140" w:firstLine="8"/>
        <w:spacing w:after="0" w:line="264" w:lineRule="auto"/>
        <w:tabs>
          <w:tab w:leader="none" w:pos="25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aggregate amount of all Restricted Payments made by Parent and its Restricted Subsidiaries since the Closing Date and together with such Restricted Investments outstanding at the time of giving effect to such Restricted Payment (excluding, in each case, Restricted Payments permitted by clauses (2) through (22) of Section 6.01(b)), is less than the greater of (i) $0 and (ii) the sum, without duplication, of:</w:t>
      </w:r>
    </w:p>
    <w:p>
      <w:pPr>
        <w:spacing w:after="0" w:line="73" w:lineRule="exact"/>
        <w:rPr>
          <w:rFonts w:ascii="Arial" w:cs="Arial" w:eastAsia="Arial" w:hAnsi="Arial"/>
          <w:sz w:val="18"/>
          <w:szCs w:val="18"/>
          <w:color w:val="auto"/>
        </w:rPr>
      </w:pPr>
    </w:p>
    <w:p>
      <w:pPr>
        <w:ind w:left="460" w:firstLine="443"/>
        <w:spacing w:after="0" w:line="297" w:lineRule="auto"/>
        <w:tabs>
          <w:tab w:leader="none" w:pos="1193" w:val="left"/>
        </w:tabs>
        <w:numPr>
          <w:ilvl w:val="1"/>
          <w:numId w:val="209"/>
        </w:numPr>
        <w:rPr>
          <w:rFonts w:ascii="Arial" w:cs="Arial" w:eastAsia="Arial" w:hAnsi="Arial"/>
          <w:sz w:val="16"/>
          <w:szCs w:val="16"/>
          <w:color w:val="auto"/>
        </w:rPr>
      </w:pPr>
      <w:r>
        <w:rPr>
          <w:rFonts w:ascii="Arial" w:cs="Arial" w:eastAsia="Arial" w:hAnsi="Arial"/>
          <w:sz w:val="16"/>
          <w:szCs w:val="16"/>
          <w:color w:val="auto"/>
        </w:rPr>
        <w:t>50% of the Consolidated Net Income of Parent for the period (taken as one accounting period) from June 30,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w:t>
      </w:r>
    </w:p>
    <w:p>
      <w:pPr>
        <w:spacing w:after="0" w:line="50" w:lineRule="exact"/>
        <w:rPr>
          <w:rFonts w:ascii="Arial" w:cs="Arial" w:eastAsia="Arial" w:hAnsi="Arial"/>
          <w:sz w:val="16"/>
          <w:szCs w:val="16"/>
          <w:color w:val="auto"/>
        </w:rPr>
      </w:pPr>
    </w:p>
    <w:p>
      <w:pPr>
        <w:ind w:left="460" w:right="80" w:firstLine="443"/>
        <w:spacing w:after="0" w:line="286" w:lineRule="auto"/>
        <w:tabs>
          <w:tab w:leader="none" w:pos="1183" w:val="left"/>
        </w:tabs>
        <w:numPr>
          <w:ilvl w:val="1"/>
          <w:numId w:val="209"/>
        </w:numPr>
        <w:rPr>
          <w:rFonts w:ascii="Arial" w:cs="Arial" w:eastAsia="Arial" w:hAnsi="Arial"/>
          <w:sz w:val="17"/>
          <w:szCs w:val="17"/>
          <w:color w:val="auto"/>
        </w:rPr>
      </w:pPr>
      <w:r>
        <w:rPr>
          <w:rFonts w:ascii="Arial" w:cs="Arial" w:eastAsia="Arial" w:hAnsi="Arial"/>
          <w:sz w:val="17"/>
          <w:szCs w:val="17"/>
          <w:color w:val="auto"/>
        </w:rPr>
        <w:t>100% of the aggregate net cash proceeds and the Fair Market Value of non-cash consideration received by Parent since the Closing Date as a contribution to its common equity capital or from the issue or sale of Qualifying Equity Interests (other than Qualifying Equity Interests sold to a Subsidiary of Parent and excluding Excluded Contributions and other than proceeds from any Permitted Warrant Transaction); plus</w:t>
      </w:r>
    </w:p>
    <w:p>
      <w:pPr>
        <w:spacing w:after="0" w:line="57" w:lineRule="exact"/>
        <w:rPr>
          <w:rFonts w:ascii="Arial" w:cs="Arial" w:eastAsia="Arial" w:hAnsi="Arial"/>
          <w:sz w:val="17"/>
          <w:szCs w:val="17"/>
          <w:color w:val="auto"/>
        </w:rPr>
      </w:pPr>
    </w:p>
    <w:p>
      <w:pPr>
        <w:jc w:val="both"/>
        <w:ind w:left="460" w:right="120" w:firstLine="443"/>
        <w:spacing w:after="0" w:line="255" w:lineRule="auto"/>
        <w:tabs>
          <w:tab w:leader="none" w:pos="118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(x) 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the Closing Date for Qualifying Equity Interests (other than Qualifying Equity Interests and convertible or exchangeable Disqualified Stock or debt securities sold to a Subsidiary of Parent)); plus (y) 100% of the aggregate net cash proceeds and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274" w:right="259" w:bottom="1440" w:gutter="0" w:footer="0" w:header="0"/>
        </w:sectPr>
      </w:pPr>
    </w:p>
    <w:bookmarkStart w:id="205" w:name="page206"/>
    <w:bookmarkEnd w:id="20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 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w:t>
      </w:r>
    </w:p>
    <w:p>
      <w:pPr>
        <w:spacing w:after="0" w:line="58" w:lineRule="exact"/>
        <w:rPr>
          <w:sz w:val="20"/>
          <w:szCs w:val="20"/>
          <w:color w:val="auto"/>
        </w:rPr>
      </w:pPr>
    </w:p>
    <w:p>
      <w:pPr>
        <w:ind w:right="200" w:firstLine="443"/>
        <w:spacing w:after="0" w:line="264" w:lineRule="auto"/>
        <w:tabs>
          <w:tab w:leader="none" w:pos="73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to the extent that any Restricted Investment that was made after the Closing Date is (i) sold for cash or otherwise cancelled, liquidated or repaid for cash or (ii) made in an entity that subsequently becomes a Restricted Subsidiary of Parent, the initial amount of such Restricted Investment (or, if less, the amount of cash received upon repayment or sale); plus</w:t>
      </w:r>
    </w:p>
    <w:p>
      <w:pPr>
        <w:spacing w:after="0" w:line="73" w:lineRule="exact"/>
        <w:rPr>
          <w:rFonts w:ascii="Arial" w:cs="Arial" w:eastAsia="Arial" w:hAnsi="Arial"/>
          <w:sz w:val="18"/>
          <w:szCs w:val="18"/>
          <w:color w:val="auto"/>
        </w:rPr>
      </w:pPr>
    </w:p>
    <w:p>
      <w:pPr>
        <w:ind w:right="200" w:firstLine="443"/>
        <w:spacing w:after="0" w:line="288" w:lineRule="auto"/>
        <w:tabs>
          <w:tab w:leader="none" w:pos="713"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to the extent that any Unrestricted Subsidiary (other than any Unrestricted Subsidiary to the extent the Investment in such Unrestricted Subsidiary constituted a Permitted Investment) of Parent designated as such after the Closing Date is redesignated as a Restricted Subsidiary after the Closing Date, the greater of (i) the Fair Market Value of Parent’s Restricted Investment in such Subsidiary as of the date of such redesignation and</w:t>
      </w:r>
    </w:p>
    <w:p>
      <w:pPr>
        <w:ind w:left="260" w:hanging="256"/>
        <w:spacing w:after="0"/>
        <w:tabs>
          <w:tab w:leader="none" w:pos="2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such Fair Market Value as of the date on which such Subsidiary was originally designated as an Unrestricted Subsidiary after the Closing Date; plus</w:t>
      </w:r>
    </w:p>
    <w:p>
      <w:pPr>
        <w:spacing w:after="0" w:line="125" w:lineRule="exact"/>
        <w:rPr>
          <w:rFonts w:ascii="Arial" w:cs="Arial" w:eastAsia="Arial" w:hAnsi="Arial"/>
          <w:sz w:val="16"/>
          <w:szCs w:val="16"/>
          <w:color w:val="auto"/>
        </w:rPr>
      </w:pPr>
    </w:p>
    <w:p>
      <w:pPr>
        <w:ind w:right="60" w:firstLine="443"/>
        <w:spacing w:after="0" w:line="286" w:lineRule="auto"/>
        <w:tabs>
          <w:tab w:leader="none" w:pos="703" w:val="left"/>
        </w:tabs>
        <w:numPr>
          <w:ilvl w:val="1"/>
          <w:numId w:val="211"/>
        </w:numPr>
        <w:rPr>
          <w:rFonts w:ascii="Arial" w:cs="Arial" w:eastAsia="Arial" w:hAnsi="Arial"/>
          <w:sz w:val="17"/>
          <w:szCs w:val="17"/>
          <w:color w:val="auto"/>
        </w:rPr>
      </w:pPr>
      <w:r>
        <w:rPr>
          <w:rFonts w:ascii="Arial" w:cs="Arial" w:eastAsia="Arial" w:hAnsi="Arial"/>
          <w:sz w:val="17"/>
          <w:szCs w:val="17"/>
          <w:color w:val="auto"/>
        </w:rPr>
        <w:t>100% of any dividends received in cash by Parent or a Restricted Subsidiary of Parent after the Closing Date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w:t>
      </w:r>
    </w:p>
    <w:p>
      <w:pPr>
        <w:spacing w:after="0" w:line="166" w:lineRule="exact"/>
        <w:rPr>
          <w:sz w:val="20"/>
          <w:szCs w:val="20"/>
          <w:color w:val="auto"/>
        </w:rPr>
      </w:pPr>
    </w:p>
    <w:p>
      <w:pPr>
        <w:ind w:left="720" w:hanging="259"/>
        <w:spacing w:after="0"/>
        <w:tabs>
          <w:tab w:leader="none" w:pos="7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provisions of Section 6.01(a) will not prohibit:</w:t>
      </w:r>
    </w:p>
    <w:p>
      <w:pPr>
        <w:spacing w:after="0" w:line="117" w:lineRule="exact"/>
        <w:rPr>
          <w:rFonts w:ascii="Arial" w:cs="Arial" w:eastAsia="Arial" w:hAnsi="Arial"/>
          <w:sz w:val="18"/>
          <w:szCs w:val="18"/>
          <w:color w:val="auto"/>
        </w:rPr>
      </w:pPr>
    </w:p>
    <w:p>
      <w:pPr>
        <w:ind w:right="20" w:firstLine="443"/>
        <w:spacing w:after="0" w:line="264" w:lineRule="auto"/>
        <w:tabs>
          <w:tab w:leader="none" w:pos="69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w:t>
      </w:r>
    </w:p>
    <w:p>
      <w:pPr>
        <w:spacing w:after="0" w:line="73" w:lineRule="exact"/>
        <w:rPr>
          <w:rFonts w:ascii="Arial" w:cs="Arial" w:eastAsia="Arial" w:hAnsi="Arial"/>
          <w:sz w:val="18"/>
          <w:szCs w:val="18"/>
          <w:color w:val="auto"/>
        </w:rPr>
      </w:pPr>
    </w:p>
    <w:p>
      <w:pPr>
        <w:ind w:firstLine="443"/>
        <w:spacing w:after="0" w:line="264" w:lineRule="auto"/>
        <w:tabs>
          <w:tab w:leader="none" w:pos="69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such net cash</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60"/>
          </w:cols>
          <w:pgMar w:left="700" w:top="274" w:right="239" w:bottom="1440" w:gutter="0" w:footer="0" w:header="0"/>
        </w:sectPr>
      </w:pPr>
    </w:p>
    <w:bookmarkStart w:id="206" w:name="page207"/>
    <w:bookmarkEnd w:id="206"/>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proceeds that are utilized for any such Restricted Payment will not be considered to be net proceeds of Qualifying Equity Interests for purposes of clause (a)(y)(ii)(B) of Section 6.01 and will not be considered to be Excluded Contributions;</w:t>
      </w:r>
    </w:p>
    <w:p>
      <w:pPr>
        <w:spacing w:after="0" w:line="62" w:lineRule="exact"/>
        <w:rPr>
          <w:sz w:val="20"/>
          <w:szCs w:val="20"/>
          <w:color w:val="auto"/>
        </w:rPr>
      </w:pPr>
    </w:p>
    <w:p>
      <w:pPr>
        <w:ind w:right="80" w:firstLine="443"/>
        <w:spacing w:after="0" w:line="277" w:lineRule="auto"/>
        <w:tabs>
          <w:tab w:leader="none" w:pos="69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payment of any dividend (or, in the case of any partnership or limited liability company, any similar distribution), distribution or payment by a Restricted Subsidiary of Parent to the holders of its Equity Interests on a pro rata basis;</w:t>
      </w:r>
    </w:p>
    <w:p>
      <w:pPr>
        <w:spacing w:after="0" w:line="62" w:lineRule="exact"/>
        <w:rPr>
          <w:rFonts w:ascii="Arial" w:cs="Arial" w:eastAsia="Arial" w:hAnsi="Arial"/>
          <w:sz w:val="18"/>
          <w:szCs w:val="18"/>
          <w:color w:val="auto"/>
        </w:rPr>
      </w:pPr>
    </w:p>
    <w:p>
      <w:pPr>
        <w:ind w:right="160" w:firstLine="443"/>
        <w:spacing w:after="0" w:line="342" w:lineRule="auto"/>
        <w:tabs>
          <w:tab w:leader="none" w:pos="693"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repurchase, redemption, defeasance or other acquisition or retirement for value of Indebtedness of the Borrower or any Guarantor that is contractually subordinated in right of payment to the Loans with the net cash proceeds from an incurrence of Permitted Refinancing Indebtedness;</w:t>
      </w:r>
    </w:p>
    <w:p>
      <w:pPr>
        <w:spacing w:after="0" w:line="15" w:lineRule="exact"/>
        <w:rPr>
          <w:rFonts w:ascii="Arial" w:cs="Arial" w:eastAsia="Arial" w:hAnsi="Arial"/>
          <w:sz w:val="16"/>
          <w:szCs w:val="16"/>
          <w:color w:val="auto"/>
        </w:rPr>
      </w:pPr>
    </w:p>
    <w:p>
      <w:pPr>
        <w:ind w:firstLine="443"/>
        <w:spacing w:after="0" w:line="270" w:lineRule="auto"/>
        <w:tabs>
          <w:tab w:leader="none" w:pos="69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price paid for all such repurchased, redeemed, acquired or retired Equity Interests may not exceed $60,000,000 in any 12-month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w:t>
      </w:r>
    </w:p>
    <w:p>
      <w:pPr>
        <w:spacing w:after="0" w:line="69" w:lineRule="exact"/>
        <w:rPr>
          <w:rFonts w:ascii="Arial" w:cs="Arial" w:eastAsia="Arial" w:hAnsi="Arial"/>
          <w:sz w:val="17"/>
          <w:szCs w:val="17"/>
          <w:color w:val="auto"/>
        </w:rPr>
      </w:pPr>
    </w:p>
    <w:p>
      <w:pPr>
        <w:ind w:right="40" w:firstLine="443"/>
        <w:spacing w:after="0" w:line="276" w:lineRule="auto"/>
        <w:tabs>
          <w:tab w:leader="none" w:pos="69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w:t>
      </w:r>
    </w:p>
    <w:p>
      <w:pPr>
        <w:spacing w:after="0" w:line="64" w:lineRule="exact"/>
        <w:rPr>
          <w:rFonts w:ascii="Arial" w:cs="Arial" w:eastAsia="Arial" w:hAnsi="Arial"/>
          <w:sz w:val="17"/>
          <w:szCs w:val="17"/>
          <w:color w:val="auto"/>
        </w:rPr>
      </w:pPr>
    </w:p>
    <w:p>
      <w:pPr>
        <w:ind w:right="80" w:firstLine="443"/>
        <w:spacing w:after="0" w:line="264" w:lineRule="auto"/>
        <w:tabs>
          <w:tab w:leader="none" w:pos="69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40"/>
          </w:cols>
          <w:pgMar w:left="700" w:top="274" w:right="259" w:bottom="1440" w:gutter="0" w:footer="0" w:header="0"/>
        </w:sectPr>
      </w:pPr>
    </w:p>
    <w:bookmarkStart w:id="207" w:name="page208"/>
    <w:bookmarkEnd w:id="207"/>
    <w:p>
      <w:pPr>
        <w:ind w:right="800" w:firstLine="443"/>
        <w:spacing w:after="0" w:line="277" w:lineRule="auto"/>
        <w:tabs>
          <w:tab w:leader="none" w:pos="693"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of cash, dividends, distributions, advances, common stock or other Restricted Payments by Parent or any of its Restricted Subsidiaries to allow the payment of cash in lieu of the issuance of fractional shares;</w:t>
      </w:r>
    </w:p>
    <w:p>
      <w:pPr>
        <w:spacing w:after="0" w:line="62" w:lineRule="exact"/>
        <w:rPr>
          <w:rFonts w:ascii="Arial" w:cs="Arial" w:eastAsia="Arial" w:hAnsi="Arial"/>
          <w:sz w:val="18"/>
          <w:szCs w:val="18"/>
          <w:color w:val="auto"/>
        </w:rPr>
      </w:pPr>
    </w:p>
    <w:p>
      <w:pPr>
        <w:ind w:right="240" w:firstLine="443"/>
        <w:spacing w:after="0" w:line="342" w:lineRule="auto"/>
        <w:tabs>
          <w:tab w:leader="none" w:pos="69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w:t>
      </w:r>
    </w:p>
    <w:p>
      <w:pPr>
        <w:spacing w:after="0" w:line="15" w:lineRule="exact"/>
        <w:rPr>
          <w:rFonts w:ascii="Arial" w:cs="Arial" w:eastAsia="Arial" w:hAnsi="Arial"/>
          <w:sz w:val="16"/>
          <w:szCs w:val="16"/>
          <w:color w:val="auto"/>
        </w:rPr>
      </w:pPr>
    </w:p>
    <w:p>
      <w:pPr>
        <w:ind w:left="780" w:hanging="337"/>
        <w:spacing w:after="0"/>
        <w:tabs>
          <w:tab w:leader="none" w:pos="7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Restricted Payments made with Excluded Contributions;</w:t>
      </w:r>
    </w:p>
    <w:p>
      <w:pPr>
        <w:spacing w:after="0" w:line="117" w:lineRule="exact"/>
        <w:rPr>
          <w:rFonts w:ascii="Arial" w:cs="Arial" w:eastAsia="Arial" w:hAnsi="Arial"/>
          <w:sz w:val="18"/>
          <w:szCs w:val="18"/>
          <w:color w:val="auto"/>
        </w:rPr>
      </w:pPr>
    </w:p>
    <w:p>
      <w:pPr>
        <w:ind w:firstLine="443"/>
        <w:spacing w:after="0" w:line="277" w:lineRule="auto"/>
        <w:tabs>
          <w:tab w:leader="none" w:pos="77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distribution, as a dividend or otherwise, of shares of Capital Stock of, or Indebtedness owed to Parent or any of its Restricted Subsidiaries by, any Unrestricted Subsidiary;</w:t>
      </w:r>
    </w:p>
    <w:p>
      <w:pPr>
        <w:spacing w:after="0" w:line="62" w:lineRule="exact"/>
        <w:rPr>
          <w:rFonts w:ascii="Arial" w:cs="Arial" w:eastAsia="Arial" w:hAnsi="Arial"/>
          <w:sz w:val="18"/>
          <w:szCs w:val="18"/>
          <w:color w:val="auto"/>
        </w:rPr>
      </w:pPr>
    </w:p>
    <w:p>
      <w:pPr>
        <w:ind w:right="180" w:firstLine="443"/>
        <w:spacing w:after="0" w:line="264" w:lineRule="auto"/>
        <w:tabs>
          <w:tab w:leader="none" w:pos="78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any Restricted Payment in connection with any full or partial “spin-off” of a Subsidiary or similar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Default or Event of Default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assets distributed or dividended do not include, directly or indirectly, any property or asset that constitutes Collateral;</w:t>
      </w:r>
    </w:p>
    <w:p>
      <w:pPr>
        <w:spacing w:after="0" w:line="73" w:lineRule="exact"/>
        <w:rPr>
          <w:rFonts w:ascii="Arial" w:cs="Arial" w:eastAsia="Arial" w:hAnsi="Arial"/>
          <w:sz w:val="18"/>
          <w:szCs w:val="18"/>
          <w:color w:val="auto"/>
        </w:rPr>
      </w:pPr>
    </w:p>
    <w:p>
      <w:pPr>
        <w:ind w:right="200" w:firstLine="443"/>
        <w:spacing w:after="0" w:line="264" w:lineRule="auto"/>
        <w:tabs>
          <w:tab w:leader="none" w:pos="78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the distribution or dividend of assets or Capital Stock of any Person in connection with any full or partial “spin-off” of a Subsidiary or similar transactions having an aggregate Fair Market Value not to exceed $600,000,000 since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assets distributed or dividended do not include, directly or indirectly, any property or asset that constitutes Collateral;</w:t>
      </w:r>
    </w:p>
    <w:p>
      <w:pPr>
        <w:spacing w:after="0" w:line="73" w:lineRule="exact"/>
        <w:rPr>
          <w:rFonts w:ascii="Arial" w:cs="Arial" w:eastAsia="Arial" w:hAnsi="Arial"/>
          <w:sz w:val="18"/>
          <w:szCs w:val="18"/>
          <w:color w:val="auto"/>
        </w:rPr>
      </w:pPr>
    </w:p>
    <w:p>
      <w:pPr>
        <w:jc w:val="both"/>
        <w:ind w:right="280" w:firstLine="443"/>
        <w:spacing w:after="0" w:line="264" w:lineRule="auto"/>
        <w:tabs>
          <w:tab w:leader="none" w:pos="78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any (x) Restricted Payment (other than a Restricted Investment) made on or after the Closing Date and (y) Restricted Investments outstanding at any such time, in an aggregate amount not to exceed $900,000,000, such aggregate amount to be calculated from the Closing Date;</w:t>
      </w:r>
    </w:p>
    <w:p>
      <w:pPr>
        <w:spacing w:after="0" w:line="73" w:lineRule="exact"/>
        <w:rPr>
          <w:rFonts w:ascii="Arial" w:cs="Arial" w:eastAsia="Arial" w:hAnsi="Arial"/>
          <w:sz w:val="18"/>
          <w:szCs w:val="18"/>
          <w:color w:val="auto"/>
        </w:rPr>
      </w:pPr>
    </w:p>
    <w:p>
      <w:pPr>
        <w:ind w:right="60" w:firstLine="443"/>
        <w:spacing w:after="0" w:line="308" w:lineRule="auto"/>
        <w:tabs>
          <w:tab w:leader="none" w:pos="78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payment of any amounts in respect of any restricted stock units or other instruments or rights whose value is based in whole or in part on the value of any Equity Interests issued to any directors, officers or employees of Parent or any Restricted Subsidiary of Parent;</w:t>
      </w:r>
    </w:p>
    <w:p>
      <w:pPr>
        <w:spacing w:after="0" w:line="38" w:lineRule="exact"/>
        <w:rPr>
          <w:rFonts w:ascii="Arial" w:cs="Arial" w:eastAsia="Arial" w:hAnsi="Arial"/>
          <w:sz w:val="17"/>
          <w:szCs w:val="17"/>
          <w:color w:val="auto"/>
        </w:rPr>
      </w:pPr>
    </w:p>
    <w:p>
      <w:pPr>
        <w:ind w:right="80" w:firstLine="443"/>
        <w:spacing w:after="0" w:line="286" w:lineRule="auto"/>
        <w:tabs>
          <w:tab w:leader="none" w:pos="78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making of cash payments in connection with any conversion of Convertible Indebtedness in an aggregate amount since the Closing Date not to exceed the sum of (a) the principal amount of such Convertible Indebtedness plus (b) any payments received by Parent or any of its Restricted Subsidiaries pursuant to the exercise, settlement or termination of any related Permitted Bond Hedge Transaction;</w:t>
      </w:r>
    </w:p>
    <w:p>
      <w:pPr>
        <w:spacing w:after="0" w:line="57" w:lineRule="exact"/>
        <w:rPr>
          <w:rFonts w:ascii="Arial" w:cs="Arial" w:eastAsia="Arial" w:hAnsi="Arial"/>
          <w:sz w:val="17"/>
          <w:szCs w:val="17"/>
          <w:color w:val="auto"/>
        </w:rPr>
      </w:pPr>
    </w:p>
    <w:p>
      <w:pPr>
        <w:ind w:right="140" w:firstLine="443"/>
        <w:spacing w:after="0" w:line="312" w:lineRule="auto"/>
        <w:tabs>
          <w:tab w:leader="none" w:pos="78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 any payments in connection with a Permitted Bond Hedge Transaction and (b) the settlement of any related Permitted Warrant Transaction (i) by delivery of shares of Parent’s common stock upon settlement thereof or (ii) by (A) set-off against the related Permitted Bond Hedge Transaction or (B) payment of an early termination amount thereof upon any early termination thereof in common stock or, in the case of a</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0"/>
          </w:cols>
          <w:pgMar w:left="700" w:top="274" w:right="239" w:bottom="1440" w:gutter="0" w:footer="0" w:header="0"/>
        </w:sectPr>
      </w:pPr>
    </w:p>
    <w:bookmarkStart w:id="208" w:name="page209"/>
    <w:bookmarkEnd w:id="208"/>
    <w:p>
      <w:pPr>
        <w:ind w:left="460"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nationalization, insolvency, merger event (as a result of which holders of such common stock are entitled to receive cash or other consideration for their shares of such common stock) or similar transaction with respect to Parent or such common stock, cash and/or other property;</w:t>
      </w:r>
    </w:p>
    <w:p>
      <w:pPr>
        <w:spacing w:after="0" w:line="38" w:lineRule="exact"/>
        <w:rPr>
          <w:sz w:val="20"/>
          <w:szCs w:val="20"/>
          <w:color w:val="auto"/>
        </w:rPr>
      </w:pPr>
    </w:p>
    <w:p>
      <w:pPr>
        <w:ind w:left="1240" w:hanging="337"/>
        <w:spacing w:after="0"/>
        <w:tabs>
          <w:tab w:leader="none" w:pos="12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60" w:right="580" w:firstLine="443"/>
        <w:spacing w:after="0" w:line="342" w:lineRule="auto"/>
        <w:tabs>
          <w:tab w:leader="none" w:pos="1243" w:val="left"/>
        </w:tabs>
        <w:numPr>
          <w:ilvl w:val="0"/>
          <w:numId w:val="216"/>
        </w:numPr>
        <w:rPr>
          <w:rFonts w:ascii="Arial" w:cs="Arial" w:eastAsia="Arial" w:hAnsi="Arial"/>
          <w:sz w:val="16"/>
          <w:szCs w:val="16"/>
          <w:color w:val="auto"/>
        </w:rPr>
      </w:pPr>
      <w:r>
        <w:rPr>
          <w:rFonts w:ascii="Arial" w:cs="Arial" w:eastAsia="Arial" w:hAnsi="Arial"/>
          <w:sz w:val="16"/>
          <w:szCs w:val="16"/>
          <w:color w:val="auto"/>
        </w:rPr>
        <w:t>so long as no Default or Event of Default has occurred and is continuing, Restricted Payments (i) made to purchase or redeem Equity Interests of Parent or (ii) consisting of payments in respect of any Indebtedness (whether for purchase or prepayment thereof or otherwise);</w:t>
      </w:r>
    </w:p>
    <w:p>
      <w:pPr>
        <w:spacing w:after="0" w:line="15" w:lineRule="exact"/>
        <w:rPr>
          <w:rFonts w:ascii="Arial" w:cs="Arial" w:eastAsia="Arial" w:hAnsi="Arial"/>
          <w:sz w:val="16"/>
          <w:szCs w:val="16"/>
          <w:color w:val="auto"/>
        </w:rPr>
      </w:pPr>
    </w:p>
    <w:p>
      <w:pPr>
        <w:ind w:left="460" w:right="120" w:firstLine="443"/>
        <w:spacing w:after="0" w:line="259" w:lineRule="auto"/>
        <w:tabs>
          <w:tab w:leader="none" w:pos="124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payment of dividends in respect of Parent’s Capital Stock in each fiscal year in an amount up to 50% of Excess Cash Flow for the immediately preceding fiscal year, so long as, both immediately before and after giving effect to such payment, (A) no Default or Event of Default has occurred and is continuing at the time of and immediately after giving effect to the payment of such dividends, and (B) the Borrower is in pro forma compliance with the financial covenants in Section 6.09 at such times;</w:t>
      </w:r>
    </w:p>
    <w:p>
      <w:pPr>
        <w:spacing w:after="0" w:line="78" w:lineRule="exact"/>
        <w:rPr>
          <w:rFonts w:ascii="Arial" w:cs="Arial" w:eastAsia="Arial" w:hAnsi="Arial"/>
          <w:sz w:val="18"/>
          <w:szCs w:val="18"/>
          <w:color w:val="auto"/>
        </w:rPr>
      </w:pPr>
    </w:p>
    <w:p>
      <w:pPr>
        <w:ind w:left="460" w:right="360" w:firstLine="443"/>
        <w:spacing w:after="0" w:line="257" w:lineRule="auto"/>
        <w:tabs>
          <w:tab w:leader="none" w:pos="124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w:t>
      </w:r>
    </w:p>
    <w:p>
      <w:pPr>
        <w:spacing w:after="0" w:line="80" w:lineRule="exact"/>
        <w:rPr>
          <w:rFonts w:ascii="Arial" w:cs="Arial" w:eastAsia="Arial" w:hAnsi="Arial"/>
          <w:sz w:val="18"/>
          <w:szCs w:val="18"/>
          <w:color w:val="auto"/>
        </w:rPr>
      </w:pPr>
    </w:p>
    <w:p>
      <w:pPr>
        <w:ind w:left="1240" w:hanging="337"/>
        <w:spacing w:after="0"/>
        <w:tabs>
          <w:tab w:leader="none" w:pos="12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repurchase of Accounts and/or related assets pursuant to a Receivables Repurchase Obligation.</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the Borrower and, if greater than $10,000,000, set forth in an Officer’s Certificate delivered to the Administrative Agent.</w:t>
      </w:r>
    </w:p>
    <w:p>
      <w:pPr>
        <w:spacing w:after="0" w:line="154"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For purposes of determining compliance with this Section 6.01, if a proposed Restricted Payment (or portion thereof) meets the criteria of more than one of the categories of Restricted Payments described in clauses (1) through (22) of subparagraph (b) of this Section 6.01, or is entitled to be made pursuant to subparagraph (a) of this Section 6.01, Parent will be entitled to classify on the date of its payment or later reclassify such Restricted Payment (or portion thereof) in any manner that complies with this Section 6.01.</w:t>
      </w:r>
    </w:p>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For the avoidance of doubt, the payment on or with respect to, or purchase, redemption, defeasance or other acquisition or retirement for value of any Indebtedness (including any Convertible Indebtedness) of Parent or any Restricted Subsidiary of Parent that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74" w:right="239" w:bottom="1440" w:gutter="0" w:footer="0" w:header="0"/>
        </w:sectPr>
      </w:pPr>
    </w:p>
    <w:bookmarkStart w:id="209" w:name="page210"/>
    <w:bookmarkEnd w:id="209"/>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contractually subordinated in right of payment to the Obligations shall not constitute Restricted Payment and therefore will not be subject to any of the restrictions described in this Section 6.01.</w:t>
      </w:r>
    </w:p>
    <w:p>
      <w:pPr>
        <w:spacing w:after="0" w:line="170"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Restrictions on Ability of Restricted Subsidiaries to Pay Dividends and Make Certain Other Payments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7" w:lineRule="auto"/>
        <w:tabs>
          <w:tab w:leader="none" w:pos="115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Parent will not, and will not permit any of its Restricted Subsidiaries other than the Borrower to, directly or indirectly, create or permit to exist or become effective any consensual encumbrance or restriction on the ability of any such Restricted Subsidiary to:</w:t>
      </w:r>
    </w:p>
    <w:p>
      <w:pPr>
        <w:spacing w:after="0" w:line="62" w:lineRule="exact"/>
        <w:rPr>
          <w:rFonts w:ascii="Arial" w:cs="Arial" w:eastAsia="Arial" w:hAnsi="Arial"/>
          <w:sz w:val="18"/>
          <w:szCs w:val="18"/>
          <w:color w:val="auto"/>
        </w:rPr>
      </w:pPr>
    </w:p>
    <w:p>
      <w:pPr>
        <w:ind w:left="460" w:right="180" w:firstLine="443"/>
        <w:spacing w:after="0" w:line="308" w:lineRule="auto"/>
        <w:tabs>
          <w:tab w:leader="none" w:pos="115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pay dividends or make any other distributions on its Capital Stock to Parent or any of its Restricted Subsidiaries or with respect to any other interest or participation in the profits of such Restricted Subsidiary, or measured by the profits of such Restricted Subsidiary;</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pay any Indebtedness owed to Parent or any of its Restricted Subsidiaries;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make loans or advances to Parent or any of its Restricted Subsidiaries;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Parent or any of its Restricted Subsidiaries.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restrictions in Section 6.02(a) will not apply to encumbrances or restrictions existing under or by reason of:</w:t>
      </w:r>
    </w:p>
    <w:p>
      <w:pPr>
        <w:spacing w:after="0" w:line="117" w:lineRule="exact"/>
        <w:rPr>
          <w:sz w:val="20"/>
          <w:szCs w:val="20"/>
          <w:color w:val="auto"/>
        </w:rPr>
      </w:pPr>
    </w:p>
    <w:p>
      <w:pPr>
        <w:ind w:left="460" w:right="480" w:firstLine="443"/>
        <w:spacing w:after="0" w:line="277" w:lineRule="auto"/>
        <w:tabs>
          <w:tab w:leader="none" w:pos="115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agreements (A) governing Existing Indebtedness, Credit Facilities and any other obligations, in each case as in effect on (or required by agreements in effect on) the Closing Date or (B) in effect on the Closing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this Agreement and the Collateral Documents, including any Intercreditor Agreement and any Other Intercreditor Agreement;</w:t>
      </w:r>
    </w:p>
    <w:p>
      <w:pPr>
        <w:spacing w:after="0" w:line="117" w:lineRule="exact"/>
        <w:rPr>
          <w:rFonts w:ascii="Arial" w:cs="Arial" w:eastAsia="Arial" w:hAnsi="Arial"/>
          <w:sz w:val="18"/>
          <w:szCs w:val="18"/>
          <w:color w:val="auto"/>
        </w:rPr>
      </w:pPr>
    </w:p>
    <w:p>
      <w:pPr>
        <w:ind w:left="460" w:right="220" w:firstLine="443"/>
        <w:spacing w:after="0" w:line="288" w:lineRule="auto"/>
        <w:tabs>
          <w:tab w:leader="none" w:pos="1153" w:val="left"/>
        </w:tabs>
        <w:numPr>
          <w:ilvl w:val="1"/>
          <w:numId w:val="219"/>
        </w:numPr>
        <w:rPr>
          <w:rFonts w:ascii="Arial" w:cs="Arial" w:eastAsia="Arial" w:hAnsi="Arial"/>
          <w:sz w:val="16"/>
          <w:szCs w:val="16"/>
          <w:color w:val="auto"/>
        </w:rPr>
      </w:pPr>
      <w:r>
        <w:rPr>
          <w:rFonts w:ascii="Arial" w:cs="Arial" w:eastAsia="Arial" w:hAnsi="Arial"/>
          <w:sz w:val="16"/>
          <w:szCs w:val="16"/>
          <w:color w:val="auto"/>
        </w:rPr>
        <w:t xml:space="preserve">agreements governing other Indebtedness or shares of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Restricted Subsidiary incurring or issuing such Indebtedness or shares of preferred stock is not a Guarantor, the restrictions therein are either (in each case, as determined in good faith by a senior financial officer of Parent or the Borrower) (A) not materially more restrictive, taken as a whole, than those contained in this Agreement or (B)</w:t>
      </w:r>
    </w:p>
    <w:p>
      <w:pPr>
        <w:ind w:left="460" w:right="500" w:firstLine="4"/>
        <w:spacing w:after="0" w:line="261" w:lineRule="auto"/>
        <w:tabs>
          <w:tab w:leader="none" w:pos="67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customary for instruments of such type and (ii) will not materially adversely impact the ability of the Borrower to make required principal and interest payments on the Loans or any reimbursement obligation with respect to LC Disbursements;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4" w:right="239" w:bottom="1440" w:gutter="0" w:footer="0" w:header="0"/>
        </w:sectPr>
      </w:pPr>
    </w:p>
    <w:bookmarkStart w:id="210" w:name="page211"/>
    <w:bookmarkEnd w:id="210"/>
    <w:p>
      <w:pPr>
        <w:ind w:left="696" w:hanging="257"/>
        <w:spacing w:after="0"/>
        <w:tabs>
          <w:tab w:leader="none" w:pos="696" w:val="left"/>
        </w:tabs>
        <w:numPr>
          <w:ilvl w:val="1"/>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 rule, regulation or order;</w:t>
      </w:r>
    </w:p>
    <w:p>
      <w:pPr>
        <w:spacing w:after="0" w:line="117" w:lineRule="exact"/>
        <w:rPr>
          <w:rFonts w:ascii="Arial" w:cs="Arial" w:eastAsia="Arial" w:hAnsi="Arial"/>
          <w:sz w:val="18"/>
          <w:szCs w:val="18"/>
          <w:color w:val="auto"/>
        </w:rPr>
      </w:pPr>
    </w:p>
    <w:p>
      <w:pPr>
        <w:jc w:val="both"/>
        <w:ind w:left="-4" w:firstLine="443"/>
        <w:spacing w:after="0" w:line="302" w:lineRule="auto"/>
        <w:tabs>
          <w:tab w:leader="none" w:pos="68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any instrument governing Indebtedness or Capital Stock of a Person acquired by Parent or any of its Restricted Subsidiaries (including by way of merger, consolidation or amalgamation of Parent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w:t>
      </w:r>
    </w:p>
    <w:p>
      <w:pPr>
        <w:spacing w:after="0" w:line="46" w:lineRule="exact"/>
        <w:rPr>
          <w:rFonts w:ascii="Arial" w:cs="Arial" w:eastAsia="Arial" w:hAnsi="Arial"/>
          <w:sz w:val="16"/>
          <w:szCs w:val="16"/>
          <w:color w:val="auto"/>
        </w:rPr>
      </w:pPr>
    </w:p>
    <w:p>
      <w:pPr>
        <w:ind w:left="696" w:hanging="257"/>
        <w:spacing w:after="0"/>
        <w:tabs>
          <w:tab w:leader="none" w:pos="69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customary provisions in contracts, licenses, leases and asset sale agreements entered into in the Ordinary Course of Business;</w:t>
      </w:r>
    </w:p>
    <w:p>
      <w:pPr>
        <w:spacing w:after="0" w:line="117" w:lineRule="exact"/>
        <w:rPr>
          <w:rFonts w:ascii="Arial" w:cs="Arial" w:eastAsia="Arial" w:hAnsi="Arial"/>
          <w:sz w:val="18"/>
          <w:szCs w:val="18"/>
          <w:color w:val="auto"/>
        </w:rPr>
      </w:pPr>
    </w:p>
    <w:p>
      <w:pPr>
        <w:ind w:left="-4" w:right="140" w:firstLine="443"/>
        <w:spacing w:after="0" w:line="277" w:lineRule="auto"/>
        <w:tabs>
          <w:tab w:leader="none" w:pos="68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(or proceeds thereof) purchased or leased of the nature described in clause (4) of Section 6.02(a);</w:t>
      </w:r>
    </w:p>
    <w:p>
      <w:pPr>
        <w:spacing w:after="0" w:line="62" w:lineRule="exact"/>
        <w:rPr>
          <w:rFonts w:ascii="Arial" w:cs="Arial" w:eastAsia="Arial" w:hAnsi="Arial"/>
          <w:sz w:val="18"/>
          <w:szCs w:val="18"/>
          <w:color w:val="auto"/>
        </w:rPr>
      </w:pPr>
    </w:p>
    <w:p>
      <w:pPr>
        <w:ind w:left="-4" w:right="320" w:firstLine="443"/>
        <w:spacing w:after="0" w:line="277" w:lineRule="auto"/>
        <w:tabs>
          <w:tab w:leader="none" w:pos="68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contract or agreement for the sale or other disposition of a Restricted Subsidiary that restricts distributions, asset sales or loans by that Restricted Subsidiary pending its sale or other disposition;</w:t>
      </w:r>
    </w:p>
    <w:p>
      <w:pPr>
        <w:spacing w:after="0" w:line="62" w:lineRule="exact"/>
        <w:rPr>
          <w:rFonts w:ascii="Arial" w:cs="Arial" w:eastAsia="Arial" w:hAnsi="Arial"/>
          <w:sz w:val="18"/>
          <w:szCs w:val="18"/>
          <w:color w:val="auto"/>
        </w:rPr>
      </w:pPr>
    </w:p>
    <w:p>
      <w:pPr>
        <w:ind w:left="-4" w:right="340" w:firstLine="443"/>
        <w:spacing w:after="0" w:line="286" w:lineRule="auto"/>
        <w:tabs>
          <w:tab w:leader="none" w:pos="68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 xml:space="preserve">Permitted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w:t>
      </w:r>
    </w:p>
    <w:p>
      <w:pPr>
        <w:spacing w:after="0" w:line="1" w:lineRule="exact"/>
        <w:rPr>
          <w:rFonts w:ascii="Arial" w:cs="Arial" w:eastAsia="Arial" w:hAnsi="Arial"/>
          <w:sz w:val="16"/>
          <w:szCs w:val="16"/>
          <w:color w:val="auto"/>
        </w:rPr>
      </w:pPr>
    </w:p>
    <w:p>
      <w:pPr>
        <w:ind w:left="276" w:hanging="276"/>
        <w:spacing w:after="0"/>
        <w:tabs>
          <w:tab w:leader="none" w:pos="27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02" w:lineRule="exact"/>
        <w:rPr>
          <w:rFonts w:ascii="Arial" w:cs="Arial" w:eastAsia="Arial" w:hAnsi="Arial"/>
          <w:sz w:val="18"/>
          <w:szCs w:val="18"/>
          <w:color w:val="auto"/>
        </w:rPr>
      </w:pPr>
    </w:p>
    <w:p>
      <w:pPr>
        <w:ind w:left="776" w:hanging="337"/>
        <w:spacing w:after="0"/>
        <w:tabs>
          <w:tab w:leader="none" w:pos="77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Permitted Liens and Liens that limit the right of the debtor to dispose of the assets subject to such Liens;</w:t>
      </w:r>
    </w:p>
    <w:p>
      <w:pPr>
        <w:spacing w:after="0" w:line="117" w:lineRule="exact"/>
        <w:rPr>
          <w:rFonts w:ascii="Arial" w:cs="Arial" w:eastAsia="Arial" w:hAnsi="Arial"/>
          <w:sz w:val="18"/>
          <w:szCs w:val="18"/>
          <w:color w:val="auto"/>
        </w:rPr>
      </w:pPr>
    </w:p>
    <w:p>
      <w:pPr>
        <w:ind w:left="-4" w:right="180" w:firstLine="443"/>
        <w:spacing w:after="0" w:line="259" w:lineRule="auto"/>
        <w:tabs>
          <w:tab w:leader="none" w:pos="77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provisions limiting the disposition or distribution of assets or property or loans or advances in joint venture agreements, asset sale agreements, sale-leaseback and other lease agreements, stock sale agreements and other similar agreements (including agreements entered into in connection with any Investment), which limitation is applicable only to the assets or the joint venture entity, as applicable, that are the subject of such agreements or otherwise in the Ordinary Course of Business;</w:t>
      </w:r>
    </w:p>
    <w:p>
      <w:pPr>
        <w:spacing w:after="0" w:line="78" w:lineRule="exact"/>
        <w:rPr>
          <w:rFonts w:ascii="Arial" w:cs="Arial" w:eastAsia="Arial" w:hAnsi="Arial"/>
          <w:sz w:val="18"/>
          <w:szCs w:val="18"/>
          <w:color w:val="auto"/>
        </w:rPr>
      </w:pPr>
    </w:p>
    <w:p>
      <w:pPr>
        <w:ind w:left="5116" w:right="280" w:hanging="4677"/>
        <w:spacing w:after="0" w:line="449" w:lineRule="auto"/>
        <w:tabs>
          <w:tab w:leader="none" w:pos="78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under contracts entered into in the Ordinary Course of Business; 126</w:t>
      </w:r>
    </w:p>
    <w:p>
      <w:pPr>
        <w:sectPr>
          <w:pgSz w:w="11900" w:h="16838" w:orient="portrait"/>
          <w:cols w:equalWidth="0" w:num="1">
            <w:col w:w="10956"/>
          </w:cols>
          <w:pgMar w:left="704" w:top="274" w:right="239" w:bottom="1440" w:gutter="0" w:footer="0" w:header="0"/>
        </w:sectPr>
      </w:pPr>
    </w:p>
    <w:bookmarkStart w:id="211" w:name="page212"/>
    <w:bookmarkEnd w:id="211"/>
    <w:p>
      <w:pPr>
        <w:ind w:left="1240" w:hanging="337"/>
        <w:spacing w:after="0"/>
        <w:tabs>
          <w:tab w:leader="none" w:pos="12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instrument or agreement entered into in connection with (or in anticipation of) any full or partial “spin-off” or similar transactions;</w:t>
      </w:r>
    </w:p>
    <w:p>
      <w:pPr>
        <w:spacing w:after="0" w:line="128" w:lineRule="exact"/>
        <w:rPr>
          <w:rFonts w:ascii="Arial" w:cs="Arial" w:eastAsia="Arial" w:hAnsi="Arial"/>
          <w:sz w:val="17"/>
          <w:szCs w:val="17"/>
          <w:color w:val="auto"/>
        </w:rPr>
      </w:pPr>
    </w:p>
    <w:p>
      <w:pPr>
        <w:ind w:left="460" w:firstLine="443"/>
        <w:spacing w:after="0" w:line="255" w:lineRule="auto"/>
        <w:tabs>
          <w:tab w:leader="none" w:pos="124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any encumbrance or restriction of the type referred to in clauses (1), (2), (3) and (4) of Section 6.02(a) imposed by any amendments, modifications, restatements, renewals, extensions, increases, supplements, refundings, replacements or refinancings of the contracts, instruments or obligations referred to in clauses (1) through (13) of this Section 6.02(b);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and</w:t>
      </w:r>
    </w:p>
    <w:p>
      <w:pPr>
        <w:spacing w:after="0" w:line="81" w:lineRule="exact"/>
        <w:rPr>
          <w:rFonts w:ascii="Arial" w:cs="Arial" w:eastAsia="Arial" w:hAnsi="Arial"/>
          <w:sz w:val="18"/>
          <w:szCs w:val="18"/>
          <w:color w:val="auto"/>
        </w:rPr>
      </w:pPr>
    </w:p>
    <w:p>
      <w:pPr>
        <w:ind w:left="460" w:right="60" w:firstLine="443"/>
        <w:spacing w:after="0" w:line="264" w:lineRule="auto"/>
        <w:tabs>
          <w:tab w:leader="none" w:pos="124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any encumbrance or restriction existing under or by reason of Indebtedness or other contractual requirements of a Receivables Subsidiary or any Standard Securitization Undertaking, in each case, in connection with a Qualified Receivables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apply only to such Receivables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w:t>
      </w:r>
      <w:r>
        <w:rPr>
          <w:rFonts w:ascii="Arial" w:cs="Arial" w:eastAsia="Arial" w:hAnsi="Arial"/>
          <w:sz w:val="18"/>
          <w:szCs w:val="18"/>
          <w:color w:val="auto"/>
        </w:rPr>
        <w:t>Reserved</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Disposition of Collateral</w:t>
      </w:r>
      <w:r>
        <w:rPr>
          <w:rFonts w:ascii="Arial" w:cs="Arial" w:eastAsia="Arial" w:hAnsi="Arial"/>
          <w:sz w:val="16"/>
          <w:szCs w:val="16"/>
          <w:color w:val="auto"/>
        </w:rPr>
        <w:t xml:space="preserve">. Neither the Borrower nor any Grantor shall Dispose of any Collateral (including, without limitation, by way of any Sale of a Grantor) except that any Disposition shall be permitted (i) in the case of a Permitted Disposition or (ii) in the case of any Disposition of Collateral that is not a Permitted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Disposition of Collateral that is not a Permitted Disposition (A) upon consummation of any such Disposition, no Event of Default shall have occurred and be continuing, (B) either (I) there is no Collateral Coverage Ratio Failure after giving effect to such Disposition (including any deposit of any Net Proceeds received upon consummation thereof in the Collateral Proceeds Account subject to an Account Control Agreement) and there is no Core Collateral Failure after giving effect to such Disposition; (II)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(x) the Collateral Coverage Ratio, recalculated by adding the Appraised Value of any such Additional Collateral and any such Net Proceeds in clause (i) of the definition of Collateral Coverage Ratio and subtracting any such prepaid Loans and prepaid Pari Passu Senior Secured Debt from clause (ii) of the definition of Collateral Coverage Ratio, shall be no less than 1.6 to 1.0 and (y) the Collateral shall include at least one category of Core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Disposition that is not a voluntary Disposition of Collateral by the Borrower or such Grantor, the Borrower shall have up to 45 days after such Disposition to accomplish the actions contemplated by this clause (II); or (III) the Borrower shall comply with its obligations set forth in Section 2.12(a), (C) [Reserved] and</w:t>
      </w:r>
    </w:p>
    <w:p>
      <w:pPr>
        <w:spacing w:after="0" w:line="3" w:lineRule="exact"/>
        <w:rPr>
          <w:sz w:val="20"/>
          <w:szCs w:val="20"/>
          <w:color w:val="auto"/>
        </w:rPr>
      </w:pPr>
    </w:p>
    <w:p>
      <w:pPr>
        <w:ind w:right="140" w:firstLine="8"/>
        <w:spacing w:after="0" w:line="255" w:lineRule="auto"/>
        <w:tabs>
          <w:tab w:leader="none" w:pos="29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Borrower shall promptly provide to the Administrative Agent a Collateral Coverage Ratio Certificate calculating the Collateral Coverage Ratio and certifying that the Collateral includes at least one category of Core Collateral after giving effect to such Disposition and any actions taken pursuant to clause (B)(II) above.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274" w:right="259" w:bottom="1440" w:gutter="0" w:footer="0" w:header="0"/>
        </w:sectPr>
      </w:pPr>
    </w:p>
    <w:bookmarkStart w:id="212" w:name="page213"/>
    <w:bookmarkEnd w:id="212"/>
    <w:p>
      <w:pPr>
        <w:ind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avoidance of doubt, (1) none of (v) the reduction of the frequency of flight operations over any Scheduled Service, (w) the suspension or cancellation of any Scheduled Service, (x) the expiration, termination or suspension of any Pledged Route Authority, Pledged Slot, Pledged Foreign Gate Leasehold or Additional Route Authority or Gate Leasehold otherwise constituting Collateral in accordance with the terms under which the applicable Grantor was granted such Pledged Route Authority, Pledged Slot, Pledged Foreign Gate Leasehold or Additional Route Authority or Gate Leasehold constituting Collateral, as applicable, (y) the release of any Pledged Slot or Pledged Foreign Gate Leasehold from the Collateral pursuant to Section 16(c) of any SGR Security Agreement or an equivalent provision with a different section reference or the equivalent provision of any other Collateral Document relating to such Pledged Slot or Pledged Foreign Gate Leasehold or Gate Leasehold otherwise constituting Collateral, as applicable, shall constitute a Disposition and (2) with respect to any Spare Parts, none of (x) the transfer of possession thereof to the manufacturer thereof or any service provider for testing, overhaul, repairs, maintenance, servicing alterations or modification purposes or to any other Person for transport to the manufacturer thereof or any such servicer provider and any such purpose or for transfer from one location owned or used by the Borrower (or of any other Grantor under a Collateral Document granting a security interest the in the applicable Spare Parts) to another such location, (y) the subjecting of any such Spare Part to an interchange or pooling, exchange, borrowing, maintenance or servicing arrangement or (z) the sale, transfer or exchange between or among the Borrower and its Affiliates to the extent such Persons are Grantors under Collateral Documents granting a security interest in the applicable Spare Parts, shall in any such case, constitute a Disposition.</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59" w:lineRule="auto"/>
        <w:tabs>
          <w:tab w:leader="none" w:pos="115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payments or consideration in excess of $60,000,000, unless:</w:t>
      </w:r>
    </w:p>
    <w:p>
      <w:pPr>
        <w:spacing w:after="0" w:line="78" w:lineRule="exact"/>
        <w:rPr>
          <w:rFonts w:ascii="Arial" w:cs="Arial" w:eastAsia="Arial" w:hAnsi="Arial"/>
          <w:sz w:val="18"/>
          <w:szCs w:val="18"/>
          <w:color w:val="auto"/>
        </w:rPr>
      </w:pPr>
    </w:p>
    <w:p>
      <w:pPr>
        <w:jc w:val="both"/>
        <w:ind w:left="460" w:right="120" w:firstLine="443"/>
        <w:spacing w:after="0" w:line="286" w:lineRule="auto"/>
        <w:tabs>
          <w:tab w:leader="none" w:pos="1153"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w:t>
      </w:r>
    </w:p>
    <w:p>
      <w:pPr>
        <w:spacing w:after="0" w:line="57" w:lineRule="exact"/>
        <w:rPr>
          <w:rFonts w:ascii="Arial" w:cs="Arial" w:eastAsia="Arial" w:hAnsi="Arial"/>
          <w:sz w:val="17"/>
          <w:szCs w:val="17"/>
          <w:color w:val="auto"/>
        </w:rPr>
      </w:pPr>
    </w:p>
    <w:p>
      <w:pPr>
        <w:ind w:left="1160" w:hanging="257"/>
        <w:spacing w:after="0"/>
        <w:tabs>
          <w:tab w:leader="none" w:pos="11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Borrower delivers to the Administrative Agent:</w:t>
      </w:r>
    </w:p>
    <w:p>
      <w:pPr>
        <w:spacing w:after="0" w:line="117" w:lineRule="exact"/>
        <w:rPr>
          <w:sz w:val="20"/>
          <w:szCs w:val="20"/>
          <w:color w:val="auto"/>
        </w:rPr>
      </w:pPr>
    </w:p>
    <w:p>
      <w:pPr>
        <w:ind w:left="920" w:right="480" w:firstLine="421"/>
        <w:spacing w:after="0" w:line="342" w:lineRule="auto"/>
        <w:tabs>
          <w:tab w:leader="none" w:pos="163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$150,000,000, an Officer’s Certificate certifying that such Affiliate Transaction complies with clause (1) of this Section 6.05(a); and</w:t>
      </w:r>
    </w:p>
    <w:p>
      <w:pPr>
        <w:spacing w:after="0" w:line="15" w:lineRule="exact"/>
        <w:rPr>
          <w:rFonts w:ascii="Arial" w:cs="Arial" w:eastAsia="Arial" w:hAnsi="Arial"/>
          <w:sz w:val="16"/>
          <w:szCs w:val="16"/>
          <w:color w:val="auto"/>
        </w:rPr>
      </w:pPr>
    </w:p>
    <w:p>
      <w:pPr>
        <w:ind w:left="1620" w:hanging="279"/>
        <w:spacing w:after="0"/>
        <w:tabs>
          <w:tab w:leader="none" w:pos="162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with respect to any Affiliate Transaction or series of related Affiliate Transactions involving aggregate consideration in excess of</w:t>
      </w:r>
    </w:p>
    <w:p>
      <w:pPr>
        <w:spacing w:after="0" w:line="35" w:lineRule="exact"/>
        <w:rPr>
          <w:sz w:val="20"/>
          <w:szCs w:val="20"/>
          <w:color w:val="auto"/>
        </w:rPr>
      </w:pPr>
    </w:p>
    <w:p>
      <w:pPr>
        <w:ind w:left="920" w:right="220"/>
        <w:spacing w:after="0" w:line="261" w:lineRule="auto"/>
        <w:rPr>
          <w:sz w:val="20"/>
          <w:szCs w:val="20"/>
          <w:color w:val="auto"/>
        </w:rPr>
      </w:pPr>
      <w:r>
        <w:rPr>
          <w:rFonts w:ascii="Arial" w:cs="Arial" w:eastAsia="Arial" w:hAnsi="Arial"/>
          <w:sz w:val="18"/>
          <w:szCs w:val="18"/>
          <w:color w:val="auto"/>
        </w:rPr>
        <w:t>$300,000,000, an opinion as to the fairness to Parent or such Restricted Subsidiary of such Affiliate Transaction from a financial point of view issued by an accounting, appraisal or investment banking firm of national standing.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274" w:right="259" w:bottom="1440" w:gutter="0" w:footer="0" w:header="0"/>
        </w:sectPr>
      </w:pPr>
    </w:p>
    <w:bookmarkStart w:id="213" w:name="page214"/>
    <w:bookmarkEnd w:id="213"/>
    <w:p>
      <w:pPr>
        <w:ind w:left="720" w:hanging="259"/>
        <w:spacing w:after="0"/>
        <w:tabs>
          <w:tab w:leader="none" w:pos="720" w:val="left"/>
        </w:tabs>
        <w:numPr>
          <w:ilvl w:val="1"/>
          <w:numId w:val="2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items will not be deemed to be Affiliate Transactions and, therefore, will not be subject to the provisions of Section 6.05(a):</w:t>
      </w:r>
    </w:p>
    <w:p>
      <w:pPr>
        <w:spacing w:after="0" w:line="140" w:lineRule="exact"/>
        <w:rPr>
          <w:rFonts w:ascii="Arial" w:cs="Arial" w:eastAsia="Arial" w:hAnsi="Arial"/>
          <w:sz w:val="16"/>
          <w:szCs w:val="16"/>
          <w:color w:val="auto"/>
        </w:rPr>
      </w:pPr>
    </w:p>
    <w:p>
      <w:pPr>
        <w:ind w:left="700" w:hanging="257"/>
        <w:spacing w:after="0"/>
        <w:tabs>
          <w:tab w:leader="none" w:pos="7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any employment agreement, confidentiality agreement, non-competition agreement, incentive plan, employee stock option agreement,</w:t>
      </w:r>
    </w:p>
    <w:p>
      <w:pPr>
        <w:spacing w:after="0" w:line="35"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long-term incentive plan, profit sharing plan, employee benefit plan, officer or director indemnification agreement or any similar arrangement entered into by Parent or any of its Restricted Subsidiaries in the Ordinary Course of Business and payments pursuant thereto;</w:t>
      </w:r>
    </w:p>
    <w:p>
      <w:pPr>
        <w:spacing w:after="0" w:line="53" w:lineRule="exact"/>
        <w:rPr>
          <w:sz w:val="20"/>
          <w:szCs w:val="20"/>
          <w:color w:val="auto"/>
        </w:rPr>
      </w:pPr>
    </w:p>
    <w:p>
      <w:pPr>
        <w:ind w:right="580" w:firstLine="443"/>
        <w:spacing w:after="0" w:line="277" w:lineRule="auto"/>
        <w:tabs>
          <w:tab w:leader="none" w:pos="69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transactions between or among any of Parent and/or its Restricted Subsidiaries (including without limitation in connection with (or in anticipation of) any full or partial “spin-off” or similar transactions);</w:t>
      </w:r>
    </w:p>
    <w:p>
      <w:pPr>
        <w:spacing w:after="0" w:line="62" w:lineRule="exact"/>
        <w:rPr>
          <w:rFonts w:ascii="Arial" w:cs="Arial" w:eastAsia="Arial" w:hAnsi="Arial"/>
          <w:sz w:val="18"/>
          <w:szCs w:val="18"/>
          <w:color w:val="auto"/>
        </w:rPr>
      </w:pPr>
    </w:p>
    <w:p>
      <w:pPr>
        <w:ind w:right="40" w:firstLine="443"/>
        <w:spacing w:after="0" w:line="277" w:lineRule="auto"/>
        <w:tabs>
          <w:tab w:leader="none" w:pos="69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Parent) that is an Affiliate of Parent solely because Parent owns, directly or through a Restricted Subsidiary, an Equity Interest in, or controls, such Person;</w:t>
      </w:r>
    </w:p>
    <w:p>
      <w:pPr>
        <w:spacing w:after="0" w:line="62" w:lineRule="exact"/>
        <w:rPr>
          <w:rFonts w:ascii="Arial" w:cs="Arial" w:eastAsia="Arial" w:hAnsi="Arial"/>
          <w:sz w:val="18"/>
          <w:szCs w:val="18"/>
          <w:color w:val="auto"/>
        </w:rPr>
      </w:pPr>
    </w:p>
    <w:p>
      <w:pPr>
        <w:jc w:val="both"/>
        <w:ind w:right="680" w:firstLine="443"/>
        <w:spacing w:after="0" w:line="342" w:lineRule="auto"/>
        <w:tabs>
          <w:tab w:leader="none" w:pos="693" w:val="left"/>
        </w:tabs>
        <w:numPr>
          <w:ilvl w:val="0"/>
          <w:numId w:val="230"/>
        </w:numPr>
        <w:rPr>
          <w:rFonts w:ascii="Arial" w:cs="Arial" w:eastAsia="Arial" w:hAnsi="Arial"/>
          <w:sz w:val="16"/>
          <w:szCs w:val="16"/>
          <w:color w:val="auto"/>
        </w:rPr>
      </w:pPr>
      <w:r>
        <w:rPr>
          <w:rFonts w:ascii="Arial" w:cs="Arial" w:eastAsia="Arial" w:hAnsi="Arial"/>
          <w:sz w:val="16"/>
          <w:szCs w:val="16"/>
          <w:color w:val="auto"/>
        </w:rPr>
        <w:t>payment of fees, compensation, reimbursements of expenses (pursuant to indemnity arrangements or otherwise) and reasonable and customary indemnities provided to or on behalf of officers, directors, employees or consultants of Parent or any of its Restricted Subsidiaries;</w:t>
      </w:r>
    </w:p>
    <w:p>
      <w:pPr>
        <w:spacing w:after="0" w:line="15" w:lineRule="exact"/>
        <w:rPr>
          <w:rFonts w:ascii="Arial" w:cs="Arial" w:eastAsia="Arial" w:hAnsi="Arial"/>
          <w:sz w:val="16"/>
          <w:szCs w:val="16"/>
          <w:color w:val="auto"/>
        </w:rPr>
      </w:pPr>
    </w:p>
    <w:p>
      <w:pPr>
        <w:ind w:left="700" w:hanging="257"/>
        <w:spacing w:after="0"/>
        <w:tabs>
          <w:tab w:leader="none" w:pos="7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issuance of Qualifying Equity Interests or any increase in the liquidation preference of preferred stock of Parent;</w:t>
      </w:r>
    </w:p>
    <w:p>
      <w:pPr>
        <w:spacing w:after="0" w:line="117" w:lineRule="exact"/>
        <w:rPr>
          <w:rFonts w:ascii="Arial" w:cs="Arial" w:eastAsia="Arial" w:hAnsi="Arial"/>
          <w:sz w:val="18"/>
          <w:szCs w:val="18"/>
          <w:color w:val="auto"/>
        </w:rPr>
      </w:pPr>
    </w:p>
    <w:p>
      <w:pPr>
        <w:ind w:firstLine="443"/>
        <w:spacing w:after="0" w:line="308" w:lineRule="auto"/>
        <w:tabs>
          <w:tab w:leader="none" w:pos="693"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transactions with customers, clients, suppliers or purchasers or sellers of goods or services in the Ordinary Course of Business or transactions with joint ventures, alliances, alliance members or Unrestricted Subsidiaries entered into in the Ordinary Course of Business;</w:t>
      </w:r>
    </w:p>
    <w:p>
      <w:pPr>
        <w:spacing w:after="0" w:line="38" w:lineRule="exact"/>
        <w:rPr>
          <w:rFonts w:ascii="Arial" w:cs="Arial" w:eastAsia="Arial" w:hAnsi="Arial"/>
          <w:sz w:val="17"/>
          <w:szCs w:val="17"/>
          <w:color w:val="auto"/>
        </w:rPr>
      </w:pPr>
    </w:p>
    <w:p>
      <w:pPr>
        <w:ind w:left="700" w:hanging="257"/>
        <w:spacing w:after="0"/>
        <w:tabs>
          <w:tab w:leader="none" w:pos="7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Permitted Investments and Restricted Payments that do not violate Section 6.01;</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loans or advances to employees in the Ordinary Course of Business not to exceed $30,000,000 in the aggregate at any one time outstanding;</w:t>
      </w:r>
    </w:p>
    <w:p>
      <w:pPr>
        <w:spacing w:after="0" w:line="140" w:lineRule="exact"/>
        <w:rPr>
          <w:rFonts w:ascii="Arial" w:cs="Arial" w:eastAsia="Arial" w:hAnsi="Arial"/>
          <w:sz w:val="16"/>
          <w:szCs w:val="16"/>
          <w:color w:val="auto"/>
        </w:rPr>
      </w:pPr>
    </w:p>
    <w:p>
      <w:pPr>
        <w:ind w:right="80" w:firstLine="443"/>
        <w:spacing w:after="0" w:line="279" w:lineRule="auto"/>
        <w:tabs>
          <w:tab w:leader="none" w:pos="693"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880"/>
          </w:cols>
          <w:pgMar w:left="700" w:top="274" w:right="319" w:bottom="1440" w:gutter="0" w:footer="0" w:header="0"/>
        </w:sectPr>
      </w:pPr>
    </w:p>
    <w:bookmarkStart w:id="214" w:name="page215"/>
    <w:bookmarkEnd w:id="214"/>
    <w:p>
      <w:pPr>
        <w:ind w:left="460" w:right="320" w:firstLine="443"/>
        <w:spacing w:after="0" w:line="277" w:lineRule="auto"/>
        <w:tabs>
          <w:tab w:leader="none" w:pos="1243"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between or among any of Parent and/or its Subsidiaries or transactions between a Receivables Subsidiary and any Person in which the Receivables Subsidiary has an Investment;</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transaction effected as part of a Qualified Receivables Transaction;</w:t>
      </w:r>
    </w:p>
    <w:p>
      <w:pPr>
        <w:spacing w:after="0" w:line="117" w:lineRule="exact"/>
        <w:rPr>
          <w:rFonts w:ascii="Arial" w:cs="Arial" w:eastAsia="Arial" w:hAnsi="Arial"/>
          <w:sz w:val="18"/>
          <w:szCs w:val="18"/>
          <w:color w:val="auto"/>
        </w:rPr>
      </w:pPr>
    </w:p>
    <w:p>
      <w:pPr>
        <w:ind w:left="460" w:right="340" w:firstLine="443"/>
        <w:spacing w:after="0" w:line="277" w:lineRule="auto"/>
        <w:tabs>
          <w:tab w:leader="none" w:pos="124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purchase by Parent’s Affiliates of Indebtedness of Parent or any of its Restricted Subsidiaries, the majority of which Indebtedness is offered to Persons who are not Affiliates of Parent;</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transactions contemplated by the Marketing and Service Agreements;</w:t>
      </w:r>
    </w:p>
    <w:p>
      <w:pPr>
        <w:spacing w:after="0" w:line="117" w:lineRule="exact"/>
        <w:rPr>
          <w:rFonts w:ascii="Arial" w:cs="Arial" w:eastAsia="Arial" w:hAnsi="Arial"/>
          <w:sz w:val="18"/>
          <w:szCs w:val="18"/>
          <w:color w:val="auto"/>
        </w:rPr>
      </w:pPr>
    </w:p>
    <w:p>
      <w:pPr>
        <w:ind w:left="460" w:firstLine="443"/>
        <w:spacing w:after="0" w:line="277" w:lineRule="auto"/>
        <w:tabs>
          <w:tab w:leader="none" w:pos="124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transactions between Parent or any of its Restricted Subsidiaries with any employee labor unions or other employee groups of Parent or such Restricted Subsidiary provided such transactions are not otherwise prohibited by this Agreement;</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transactions with captive insurance companies of Parent or any of its Restricted Subsidiaries; and</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24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transactions between or among any of Parent and/or its Subsidiaries or transactions between a Non-Recourse Financing Subsidiary and any Person in which the Non-Recourse Financing Subsidiary has an Investment.</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Liens</w:t>
      </w:r>
      <w:r>
        <w:rPr>
          <w:rFonts w:ascii="Arial" w:cs="Arial" w:eastAsia="Arial" w:hAnsi="Arial"/>
          <w:sz w:val="18"/>
          <w:szCs w:val="18"/>
          <w:color w:val="auto"/>
        </w:rPr>
        <w:t>. Parent will not, and will not permit any of its Restricted Subsidiaries to, directly or indirectly, create, incur, assume or suffer to exist any Lien of any kind on any property or asset that constitutes Collateral, except Permitted Liens.</w:t>
      </w:r>
    </w:p>
    <w:p>
      <w:pPr>
        <w:spacing w:after="0" w:line="170"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Business Activities</w:t>
      </w:r>
      <w:r>
        <w:rPr>
          <w:rFonts w:ascii="Arial" w:cs="Arial" w:eastAsia="Arial" w:hAnsi="Arial"/>
          <w:sz w:val="17"/>
          <w:szCs w:val="17"/>
          <w:color w:val="auto"/>
        </w:rPr>
        <w:t>. Parent will not, and will not permit any of its Restricted Subsidiaries to, engage in any business other than Permitted Businesses, except to such extent as would not be material to Parent and its Restricted Subsidiaries taken as a whole.</w:t>
      </w:r>
    </w:p>
    <w:p>
      <w:pPr>
        <w:spacing w:after="0" w:line="147" w:lineRule="exact"/>
        <w:rPr>
          <w:sz w:val="20"/>
          <w:szCs w:val="20"/>
          <w:color w:val="auto"/>
        </w:rPr>
      </w:pPr>
    </w:p>
    <w:p>
      <w:pPr>
        <w:ind w:right="960" w:firstLine="913"/>
        <w:spacing w:after="0" w:line="27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Liquidity</w:t>
      </w:r>
      <w:r>
        <w:rPr>
          <w:rFonts w:ascii="Arial" w:cs="Arial" w:eastAsia="Arial" w:hAnsi="Arial"/>
          <w:sz w:val="18"/>
          <w:szCs w:val="18"/>
          <w:color w:val="auto"/>
        </w:rPr>
        <w:t>. Parent will not permit the aggregate amount of Liquidity at the close of any Business Day to be less than $2,000,000,000.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Collateral Coverage Ratio</w:t>
      </w:r>
      <w:r>
        <w:rPr>
          <w:rFonts w:ascii="Arial" w:cs="Arial" w:eastAsia="Arial" w:hAnsi="Arial"/>
          <w:sz w:val="18"/>
          <w:szCs w:val="18"/>
          <w:color w:val="auto"/>
        </w:rPr>
        <w:t>.</w:t>
      </w:r>
    </w:p>
    <w:p>
      <w:pPr>
        <w:spacing w:after="0" w:line="225" w:lineRule="exact"/>
        <w:rPr>
          <w:sz w:val="20"/>
          <w:szCs w:val="20"/>
          <w:color w:val="auto"/>
        </w:rPr>
      </w:pPr>
    </w:p>
    <w:p>
      <w:pPr>
        <w:ind w:right="180" w:firstLine="921"/>
        <w:spacing w:after="0" w:line="302" w:lineRule="auto"/>
        <w:tabs>
          <w:tab w:leader="none" w:pos="115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Within ten (10) Business Days after delivery of the Appraisal under Section 5.06 of this Agreement (such day, a “</w:t>
      </w:r>
      <w:r>
        <w:rPr>
          <w:rFonts w:ascii="Arial" w:cs="Arial" w:eastAsia="Arial" w:hAnsi="Arial"/>
          <w:sz w:val="16"/>
          <w:szCs w:val="16"/>
          <w:i w:val="1"/>
          <w:iCs w:val="1"/>
          <w:color w:val="auto"/>
        </w:rPr>
        <w:t>Reference Date</w:t>
      </w:r>
      <w:r>
        <w:rPr>
          <w:rFonts w:ascii="Arial" w:cs="Arial" w:eastAsia="Arial" w:hAnsi="Arial"/>
          <w:sz w:val="16"/>
          <w:szCs w:val="16"/>
          <w:color w:val="auto"/>
        </w:rPr>
        <w:t>,” and the tenth Business Day after a Reference Date, the “</w:t>
      </w:r>
      <w:r>
        <w:rPr>
          <w:rFonts w:ascii="Arial" w:cs="Arial" w:eastAsia="Arial" w:hAnsi="Arial"/>
          <w:sz w:val="16"/>
          <w:szCs w:val="16"/>
          <w:i w:val="1"/>
          <w:iCs w:val="1"/>
          <w:color w:val="auto"/>
        </w:rPr>
        <w:t>Certificate Delivery Date</w:t>
      </w:r>
      <w:r>
        <w:rPr>
          <w:rFonts w:ascii="Arial" w:cs="Arial" w:eastAsia="Arial" w:hAnsi="Arial"/>
          <w:sz w:val="16"/>
          <w:szCs w:val="16"/>
          <w:color w:val="auto"/>
        </w:rPr>
        <w:t>”), the Borrower will deliver to the Administrative Agent a Collateral Coverage Ratio Certificate (i) calculating the Collateral Coverage Ratio with respect to such Reference Date and (ii) for each Certificate Delivery Date in respect of a Reference Date that occurs on or after the Initial Collateral Release Date, certifying that the Collateral includes at least one category of Core Collateral.</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274" w:right="279" w:bottom="1440" w:gutter="0" w:footer="0" w:header="0"/>
        </w:sectPr>
      </w:pPr>
    </w:p>
    <w:bookmarkStart w:id="215" w:name="page216"/>
    <w:bookmarkEnd w:id="215"/>
    <w:p>
      <w:pPr>
        <w:ind w:left="-20" w:right="60" w:firstLine="921"/>
        <w:spacing w:after="0" w:line="289" w:lineRule="auto"/>
        <w:tabs>
          <w:tab w:leader="none" w:pos="1148" w:val="left"/>
        </w:tabs>
        <w:numPr>
          <w:ilvl w:val="0"/>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If the Collateral Coverage Ratio with respect to any Reference Date is less than 1.6 to 1.0, the Borrower shall, no later than forty-five (45) days after the Certificate Delivery Date, (A) grant (or cause another Grantor to grant) a security interest in Additional Collateral and/or (B) prepay or cause to be prepaid the Loans and (if required by its terms) any Pari Passu Senior Secured Debt (on a ratable basis with the Loans)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or (y) if at any time, on and after the Initial Collateral Release Date, it is determined that a Core Collateral Failure has occurred, the Borrower shall, no later than forty-five (45) days after the date of such determination, either (A) grant (or cause another Grantor to grant) a security interest in Additional Collateral such that following such grant the Collateral shall include at least one category of Core Collateral or (B) prepay the Loans in full in accordance with Section 2.12(h).</w:t>
      </w:r>
    </w:p>
    <w:p>
      <w:pPr>
        <w:spacing w:after="0" w:line="166" w:lineRule="exact"/>
        <w:rPr>
          <w:rFonts w:ascii="Arial" w:cs="Arial" w:eastAsia="Arial" w:hAnsi="Arial"/>
          <w:sz w:val="16"/>
          <w:szCs w:val="16"/>
          <w:color w:val="auto"/>
        </w:rPr>
      </w:pPr>
    </w:p>
    <w:p>
      <w:pPr>
        <w:ind w:left="-20" w:firstLine="921"/>
        <w:spacing w:after="0" w:line="286" w:lineRule="auto"/>
        <w:tabs>
          <w:tab w:leader="none" w:pos="113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In addition to the release of any Lien otherwise contemplated by any other provision of any Loan Document, at the Borrower’s request, the Lien of the applicable Collateral Documents on any asset or type or category of asset (including after-acquired assets of that type or category) included in the Collateral will be promptly released;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following conditions are satisfied or waived: (A) no Event of Default shall have occurred and be continuing, (B) either (x) after giving effect to such release, the Collateral Coverage Ratio is not less than 1.6 to 1.0 or (y)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(C) either (x) no Core Collateral Failure shall have occurred as a result of such Borrower Release or (y) the Borrower shall grant (or cause another Grantor to grant) a security interest in additional assets pledged as Additional Collateral such that the Collateral would include at least one category of Core Collateral and (D) the Borrower shall deliver an Officer’s Certificate and a Collateral Coverage Ratio Certificate (which may be delivered in a combined certificate) demonstrating compliance with this Section 6.09(c) following such release. In connection herewith, the Collateral Agent agrees to promptly provide any documents or releases reasonably requested by the Borrower to evidence such release.</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Merger, Consolidation, or Sale of Assets</w:t>
      </w:r>
      <w:r>
        <w:rPr>
          <w:rFonts w:ascii="Arial" w:cs="Arial" w:eastAsia="Arial" w:hAnsi="Arial"/>
          <w:sz w:val="18"/>
          <w:szCs w:val="18"/>
          <w:color w:val="auto"/>
        </w:rPr>
        <w:t>.</w:t>
      </w:r>
    </w:p>
    <w:p>
      <w:pPr>
        <w:spacing w:after="0" w:line="225" w:lineRule="exact"/>
        <w:rPr>
          <w:sz w:val="20"/>
          <w:szCs w:val="20"/>
          <w:color w:val="auto"/>
        </w:rPr>
      </w:pPr>
    </w:p>
    <w:p>
      <w:pPr>
        <w:ind w:left="-20" w:right="200" w:firstLine="921"/>
        <w:spacing w:after="0" w:line="286" w:lineRule="auto"/>
        <w:tabs>
          <w:tab w:leader="none" w:pos="1138" w:val="left"/>
        </w:tabs>
        <w:numPr>
          <w:ilvl w:val="1"/>
          <w:numId w:val="234"/>
        </w:numPr>
        <w:rPr>
          <w:rFonts w:ascii="Arial" w:cs="Arial" w:eastAsia="Arial" w:hAnsi="Arial"/>
          <w:sz w:val="17"/>
          <w:szCs w:val="17"/>
          <w:color w:val="auto"/>
        </w:rPr>
      </w:pPr>
      <w:r>
        <w:rPr>
          <w:rFonts w:ascii="Arial" w:cs="Arial" w:eastAsia="Arial" w:hAnsi="Arial"/>
          <w:sz w:val="17"/>
          <w:szCs w:val="17"/>
          <w:color w:val="auto"/>
        </w:rPr>
        <w:t>Neither Parent nor the Borrower (whichever is applicable, the “</w:t>
      </w:r>
      <w:r>
        <w:rPr>
          <w:rFonts w:ascii="Arial" w:cs="Arial" w:eastAsia="Arial" w:hAnsi="Arial"/>
          <w:sz w:val="17"/>
          <w:szCs w:val="17"/>
          <w:i w:val="1"/>
          <w:iCs w:val="1"/>
          <w:color w:val="auto"/>
        </w:rPr>
        <w:t>Subject Company</w:t>
      </w:r>
      <w:r>
        <w:rPr>
          <w:rFonts w:ascii="Arial" w:cs="Arial" w:eastAsia="Arial" w:hAnsi="Arial"/>
          <w:sz w:val="17"/>
          <w:szCs w:val="17"/>
          <w:color w:val="auto"/>
        </w:rPr>
        <w:t>”) shall directly or indirectly: (i) 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w:t>
      </w:r>
    </w:p>
    <w:p>
      <w:pPr>
        <w:spacing w:after="0" w:line="57" w:lineRule="exact"/>
        <w:rPr>
          <w:rFonts w:ascii="Arial" w:cs="Arial" w:eastAsia="Arial" w:hAnsi="Arial"/>
          <w:sz w:val="17"/>
          <w:szCs w:val="17"/>
          <w:color w:val="auto"/>
        </w:rPr>
      </w:pPr>
    </w:p>
    <w:p>
      <w:pPr>
        <w:ind w:left="1140" w:hanging="257"/>
        <w:spacing w:after="0"/>
        <w:tabs>
          <w:tab w:leader="none" w:pos="11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620" w:hanging="299"/>
        <w:spacing w:after="0"/>
        <w:tabs>
          <w:tab w:leader="none" w:pos="1620" w:val="left"/>
        </w:tabs>
        <w:numPr>
          <w:ilvl w:val="2"/>
          <w:numId w:val="235"/>
        </w:numPr>
        <w:rPr>
          <w:rFonts w:ascii="Arial" w:cs="Arial" w:eastAsia="Arial" w:hAnsi="Arial"/>
          <w:sz w:val="18"/>
          <w:szCs w:val="18"/>
          <w:color w:val="auto"/>
        </w:rPr>
      </w:pPr>
      <w:r>
        <w:rPr>
          <w:rFonts w:ascii="Arial" w:cs="Arial" w:eastAsia="Arial" w:hAnsi="Arial"/>
          <w:sz w:val="18"/>
          <w:szCs w:val="18"/>
          <w:color w:val="auto"/>
        </w:rPr>
        <w:t>the Subject Company is the surviving corporation; or</w:t>
      </w:r>
    </w:p>
    <w:p>
      <w:pPr>
        <w:spacing w:after="0" w:line="117" w:lineRule="exact"/>
        <w:rPr>
          <w:rFonts w:ascii="Arial" w:cs="Arial" w:eastAsia="Arial" w:hAnsi="Arial"/>
          <w:sz w:val="18"/>
          <w:szCs w:val="18"/>
          <w:color w:val="auto"/>
        </w:rPr>
      </w:pPr>
    </w:p>
    <w:p>
      <w:pPr>
        <w:ind w:left="900" w:right="260" w:firstLine="421"/>
        <w:spacing w:after="0" w:line="264" w:lineRule="auto"/>
        <w:tabs>
          <w:tab w:leader="none" w:pos="1605" w:val="left"/>
        </w:tabs>
        <w:numPr>
          <w:ilvl w:val="2"/>
          <w:numId w:val="235"/>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60" w:top="274" w:right="239" w:bottom="1440" w:gutter="0" w:footer="0" w:header="0"/>
        </w:sectPr>
      </w:pPr>
    </w:p>
    <w:bookmarkStart w:id="216" w:name="page217"/>
    <w:bookmarkEnd w:id="216"/>
    <w:p>
      <w:pPr>
        <w:ind w:left="460" w:firstLine="443"/>
        <w:spacing w:after="0" w:line="312" w:lineRule="auto"/>
        <w:tabs>
          <w:tab w:leader="none" w:pos="1153" w:val="left"/>
        </w:tabs>
        <w:numPr>
          <w:ilvl w:val="0"/>
          <w:numId w:val="2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immediately after such transaction, no Event of Default exists; and</w:t>
      </w:r>
    </w:p>
    <w:p>
      <w:pPr>
        <w:spacing w:after="0" w:line="117" w:lineRule="exact"/>
        <w:rPr>
          <w:rFonts w:ascii="Arial" w:cs="Arial" w:eastAsia="Arial" w:hAnsi="Arial"/>
          <w:sz w:val="18"/>
          <w:szCs w:val="18"/>
          <w:color w:val="auto"/>
        </w:rPr>
      </w:pPr>
    </w:p>
    <w:p>
      <w:pPr>
        <w:ind w:left="460" w:right="400" w:firstLine="443"/>
        <w:spacing w:after="0" w:line="277" w:lineRule="auto"/>
        <w:tabs>
          <w:tab w:leader="none" w:pos="115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Subject Company shall have delivered to the Administrative Agent an Officer’s Certificate stating that such consolidation, merger or transfer complies with this Agreement.</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In addition, a Subject Company will not, directly or indirectly, lease all or substantially all of the properties and assets of such Subject Company and its Restricted Subsidiaries taken as a whole, in one or more related transactions, to any other Person.</w:t>
      </w:r>
    </w:p>
    <w:p>
      <w:pPr>
        <w:spacing w:after="0" w:line="170" w:lineRule="exact"/>
        <w:rPr>
          <w:sz w:val="20"/>
          <w:szCs w:val="20"/>
          <w:color w:val="auto"/>
        </w:rPr>
      </w:pPr>
    </w:p>
    <w:p>
      <w:pPr>
        <w:ind w:right="340" w:firstLine="921"/>
        <w:spacing w:after="0" w:line="277" w:lineRule="auto"/>
        <w:tabs>
          <w:tab w:leader="none" w:pos="116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Section 6.10(a) will not apply to any sale, assignment, transfer, conveyance, lease or other disposition of assets between or among Parent and/or its Restricted Subsidiaries.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Clauses (3) and (4) of Section 6.10(a) will not apply to any merger, consolidation or transfer of assets:</w:t>
      </w:r>
    </w:p>
    <w:p>
      <w:pPr>
        <w:spacing w:after="0" w:line="117" w:lineRule="exact"/>
        <w:rPr>
          <w:sz w:val="20"/>
          <w:szCs w:val="20"/>
          <w:color w:val="auto"/>
        </w:rPr>
      </w:pPr>
    </w:p>
    <w:p>
      <w:pPr>
        <w:ind w:left="1160" w:hanging="257"/>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between or among Parent and any of Parent’s Restricted Subsidiaries;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between or among any of Parent’s Restricted Subsidiaries or by a Restricted Subsidiary that is not a Guarantor;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with or into an Affiliate solely for the purpose of reincorporating a Subject Company in another jurisdiction.</w:t>
      </w:r>
    </w:p>
    <w:p>
      <w:pPr>
        <w:spacing w:after="0" w:line="225" w:lineRule="exact"/>
        <w:rPr>
          <w:rFonts w:ascii="Arial" w:cs="Arial" w:eastAsia="Arial" w:hAnsi="Arial"/>
          <w:sz w:val="18"/>
          <w:szCs w:val="18"/>
          <w:color w:val="auto"/>
        </w:rPr>
      </w:pPr>
    </w:p>
    <w:p>
      <w:pPr>
        <w:ind w:right="40" w:firstLine="921"/>
        <w:spacing w:after="0" w:line="257" w:lineRule="auto"/>
        <w:tabs>
          <w:tab w:leader="none" w:pos="115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274" w:right="279" w:bottom="1440" w:gutter="0" w:footer="0" w:header="0"/>
        </w:sectPr>
      </w:pPr>
    </w:p>
    <w:bookmarkStart w:id="217" w:name="page218"/>
    <w:bookmarkEnd w:id="217"/>
    <w:p>
      <w:pPr>
        <w:ind w:right="2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predecessor Subject Company, if applicable, shall not be relieved from the obligation to pay the principal of, and interest, if any, on the Loan except in the case of a sale of all or substantially all of such Subject Company’s assets in a transaction that is subject to, and that complies with the provisions of, Section 6.10(a).</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In the case of the happening of any of the following events and the continuance thereof beyond the applicable grace period if any (each,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62" w:lineRule="exact"/>
        <w:rPr>
          <w:sz w:val="20"/>
          <w:szCs w:val="20"/>
          <w:color w:val="auto"/>
        </w:rPr>
      </w:pPr>
    </w:p>
    <w:p>
      <w:pPr>
        <w:ind w:left="460" w:right="80" w:firstLine="443"/>
        <w:spacing w:after="0" w:line="291" w:lineRule="auto"/>
        <w:tabs>
          <w:tab w:leader="none" w:pos="1143"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any representation or warranty made by the Borrower or any Guarantor in this Agreement or in any other Loan Document shall prove to have been false or incorrect in any material respect when made and such representation, to the extent capable of being corrected, is not corrected within ten</w:t>
      </w:r>
    </w:p>
    <w:p>
      <w:pPr>
        <w:ind w:left="460" w:firstLine="4"/>
        <w:spacing w:after="0" w:line="261" w:lineRule="auto"/>
        <w:tabs>
          <w:tab w:leader="none" w:pos="80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Business Days after the earlier of (A) a Responsible Officer of the Borrower obtaining knowledge of such default or (B) receipt by the Borrower of notice from the Administrative Agent of such default; or</w:t>
      </w:r>
    </w:p>
    <w:p>
      <w:pPr>
        <w:spacing w:after="0" w:line="75" w:lineRule="exact"/>
        <w:rPr>
          <w:rFonts w:ascii="Arial" w:cs="Arial" w:eastAsia="Arial" w:hAnsi="Arial"/>
          <w:sz w:val="18"/>
          <w:szCs w:val="18"/>
          <w:color w:val="auto"/>
        </w:rPr>
      </w:pPr>
    </w:p>
    <w:p>
      <w:pPr>
        <w:jc w:val="both"/>
        <w:ind w:left="460" w:right="160" w:firstLine="443"/>
        <w:spacing w:after="0" w:line="288" w:lineRule="auto"/>
        <w:tabs>
          <w:tab w:leader="none" w:pos="1153" w:val="left"/>
        </w:tabs>
        <w:numPr>
          <w:ilvl w:val="1"/>
          <w:numId w:val="240"/>
        </w:numPr>
        <w:rPr>
          <w:rFonts w:ascii="Arial" w:cs="Arial" w:eastAsia="Arial" w:hAnsi="Arial"/>
          <w:sz w:val="16"/>
          <w:szCs w:val="16"/>
          <w:color w:val="auto"/>
        </w:rPr>
      </w:pPr>
      <w:r>
        <w:rPr>
          <w:rFonts w:ascii="Arial" w:cs="Arial" w:eastAsia="Arial" w:hAnsi="Arial"/>
          <w:sz w:val="16"/>
          <w:szCs w:val="16"/>
          <w:color w:val="auto"/>
        </w:rPr>
        <w:t>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w:t>
      </w:r>
    </w:p>
    <w:p>
      <w:pPr>
        <w:ind w:left="800" w:hanging="336"/>
        <w:spacing w:after="0"/>
        <w:tabs>
          <w:tab w:leader="none" w:pos="80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Business Days after receipt of written notice by the Borrower from the Administrative Agent of the default in making such payment when due; or</w:t>
      </w:r>
    </w:p>
    <w:p>
      <w:pPr>
        <w:spacing w:after="0" w:line="125" w:lineRule="exact"/>
        <w:rPr>
          <w:rFonts w:ascii="Arial" w:cs="Arial" w:eastAsia="Arial" w:hAnsi="Arial"/>
          <w:sz w:val="16"/>
          <w:szCs w:val="16"/>
          <w:color w:val="auto"/>
        </w:rPr>
      </w:pPr>
    </w:p>
    <w:p>
      <w:pPr>
        <w:jc w:val="both"/>
        <w:ind w:left="460" w:right="400" w:firstLine="443"/>
        <w:spacing w:after="0" w:line="264" w:lineRule="auto"/>
        <w:tabs>
          <w:tab w:leader="none" w:pos="1143"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 default shall be made by Parent in the due observance of the covenant contained in Section 5.03(1) or 6.09(b), or (B) default shall be made by Parent in the due observance of the covenant contained in Section 6.08 and such default shall continue unremedied for more than ten (10) Business Days; or</w:t>
      </w:r>
    </w:p>
    <w:p>
      <w:pPr>
        <w:spacing w:after="0" w:line="73" w:lineRule="exact"/>
        <w:rPr>
          <w:rFonts w:ascii="Arial" w:cs="Arial" w:eastAsia="Arial" w:hAnsi="Arial"/>
          <w:sz w:val="18"/>
          <w:szCs w:val="18"/>
          <w:color w:val="auto"/>
        </w:rPr>
      </w:pPr>
    </w:p>
    <w:p>
      <w:pPr>
        <w:ind w:left="460" w:right="160" w:firstLine="443"/>
        <w:spacing w:after="0" w:line="259" w:lineRule="auto"/>
        <w:tabs>
          <w:tab w:leader="none" w:pos="1153" w:val="left"/>
        </w:tabs>
        <w:numPr>
          <w:ilvl w:val="1"/>
          <w:numId w:val="241"/>
        </w:numPr>
        <w:rPr>
          <w:rFonts w:ascii="Arial" w:cs="Arial" w:eastAsia="Arial" w:hAnsi="Arial"/>
          <w:sz w:val="18"/>
          <w:szCs w:val="18"/>
          <w:color w:val="auto"/>
        </w:rPr>
      </w:pPr>
      <w:r>
        <w:rPr>
          <w:rFonts w:ascii="Arial" w:cs="Arial" w:eastAsia="Arial" w:hAnsi="Arial"/>
          <w:sz w:val="18"/>
          <w:szCs w:val="18"/>
          <w:color w:val="auto"/>
        </w:rPr>
        <w:t>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w:t>
      </w:r>
    </w:p>
    <w:p>
      <w:pPr>
        <w:spacing w:after="0" w:line="78" w:lineRule="exact"/>
        <w:rPr>
          <w:rFonts w:ascii="Arial" w:cs="Arial" w:eastAsia="Arial" w:hAnsi="Arial"/>
          <w:sz w:val="18"/>
          <w:szCs w:val="18"/>
          <w:color w:val="auto"/>
        </w:rPr>
      </w:pPr>
    </w:p>
    <w:p>
      <w:pPr>
        <w:ind w:left="460" w:right="240" w:firstLine="443"/>
        <w:spacing w:after="0" w:line="277" w:lineRule="auto"/>
        <w:tabs>
          <w:tab w:leader="none" w:pos="1143"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 any Loan Document ceases to be in full force and effect (except as permitted by the terms of this Agreement or the Loan Documents or other than as a result of the action or inaction of any Agent) for a period of 60 consecutive days after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74" w:right="239" w:bottom="1440" w:gutter="0" w:footer="0" w:header="0"/>
        </w:sectPr>
      </w:pPr>
    </w:p>
    <w:bookmarkStart w:id="218" w:name="page219"/>
    <w:bookmarkEnd w:id="21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receives notice thereof or (B) any of the Collateral Documents ceases to give the Collateral Agent or trustee (as applicable) a valid, perfected (subject to any Permitted Liens) security interest (other than (w) any release or termination of the security interest with respect to any Collateral permitted by the terms of this Agreement or any Collateral Document, (x) as a result of any action by any Agent, (y) as a result of the failure of any Agent to take any action within its control or (z) as a result of any delay by any Agent in taking any action within its control) for a period of 60 consecutive days after the Borrower receives notice thereof, in each case with respect to Qualifying Collateral having an Appraised Value in excess of $100,000,000 in the aggregate at any time with respect to clauses (A) and (B) above (as determined in good faith by a responsible financial or accounting officer of the Borrower); or</w:t>
      </w:r>
    </w:p>
    <w:p>
      <w:pPr>
        <w:spacing w:after="0" w:line="81" w:lineRule="exact"/>
        <w:rPr>
          <w:sz w:val="20"/>
          <w:szCs w:val="20"/>
          <w:color w:val="auto"/>
        </w:rPr>
      </w:pPr>
    </w:p>
    <w:p>
      <w:pPr>
        <w:ind w:right="60" w:firstLine="443"/>
        <w:spacing w:after="0" w:line="277" w:lineRule="auto"/>
        <w:tabs>
          <w:tab w:leader="none" w:pos="66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Borrower, any Significant Subsidiary or any group of Restricted Subsidiaries of Parent that, taken together, would constitute a Significant Subsidiary pursuant to or within the meaning of Bankruptcy Law:</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commences a voluntary case, or</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admits in writing its inability generally to pay its debts; or</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460" w:right="520" w:firstLine="421"/>
        <w:spacing w:after="0" w:line="277" w:lineRule="auto"/>
        <w:tabs>
          <w:tab w:leader="none" w:pos="113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is for relief against Parent, the Borrower, any Significant Subsidiary or any group of Restricted Subsidiaries of Parent that, taken together, would constitute a Significant Subsidiary in an involuntary case;</w:t>
      </w:r>
    </w:p>
    <w:p>
      <w:pPr>
        <w:spacing w:after="0" w:line="62" w:lineRule="exact"/>
        <w:rPr>
          <w:rFonts w:ascii="Arial" w:cs="Arial" w:eastAsia="Arial" w:hAnsi="Arial"/>
          <w:sz w:val="18"/>
          <w:szCs w:val="18"/>
          <w:color w:val="auto"/>
        </w:rPr>
      </w:pPr>
    </w:p>
    <w:p>
      <w:pPr>
        <w:ind w:left="460" w:right="200" w:firstLine="421"/>
        <w:spacing w:after="0" w:line="286" w:lineRule="auto"/>
        <w:tabs>
          <w:tab w:leader="none" w:pos="1135" w:val="left"/>
        </w:tabs>
        <w:numPr>
          <w:ilvl w:val="1"/>
          <w:numId w:val="242"/>
        </w:numPr>
        <w:rPr>
          <w:rFonts w:ascii="Arial" w:cs="Arial" w:eastAsia="Arial" w:hAnsi="Arial"/>
          <w:sz w:val="17"/>
          <w:szCs w:val="17"/>
          <w:color w:val="auto"/>
        </w:rPr>
      </w:pPr>
      <w:r>
        <w:rPr>
          <w:rFonts w:ascii="Arial" w:cs="Arial" w:eastAsia="Arial" w:hAnsi="Arial"/>
          <w:sz w:val="17"/>
          <w:szCs w:val="17"/>
          <w:color w:val="auto"/>
        </w:rPr>
        <w:t>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Restricted Subsidiaries of Parent that, taken together, would constitute a Significant Subsidiary; or</w:t>
      </w:r>
    </w:p>
    <w:p>
      <w:pPr>
        <w:spacing w:after="0" w:line="57" w:lineRule="exact"/>
        <w:rPr>
          <w:rFonts w:ascii="Arial" w:cs="Arial" w:eastAsia="Arial" w:hAnsi="Arial"/>
          <w:sz w:val="17"/>
          <w:szCs w:val="17"/>
          <w:color w:val="auto"/>
        </w:rPr>
      </w:pPr>
    </w:p>
    <w:p>
      <w:pPr>
        <w:ind w:left="460" w:right="140" w:firstLine="421"/>
        <w:spacing w:after="0" w:line="277" w:lineRule="auto"/>
        <w:tabs>
          <w:tab w:leader="none" w:pos="113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orders the liquidation of Parent, the Borrower, any Significant Subsidiary or any group of Restricted Subsidiaries of Parent that, taken together, would constitute a Significant Subsidiary;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in each case the order or decree remains unstayed and in effect for sixty (60) consecutive days; or</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00"/>
          </w:cols>
          <w:pgMar w:left="700" w:top="274" w:right="299" w:bottom="1440" w:gutter="0" w:footer="0" w:header="0"/>
        </w:sectPr>
      </w:pPr>
    </w:p>
    <w:bookmarkStart w:id="219" w:name="page220"/>
    <w:bookmarkEnd w:id="219"/>
    <w:p>
      <w:pPr>
        <w:ind w:left="460" w:firstLine="443"/>
        <w:spacing w:after="0" w:line="259" w:lineRule="auto"/>
        <w:tabs>
          <w:tab w:leader="none" w:pos="1153"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entered by a court or courts of competent jurisdiction against Parent, the Borrower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 (60) consecutive days; or</w:t>
      </w:r>
    </w:p>
    <w:p>
      <w:pPr>
        <w:spacing w:after="0" w:line="78" w:lineRule="exact"/>
        <w:rPr>
          <w:rFonts w:ascii="Arial" w:cs="Arial" w:eastAsia="Arial" w:hAnsi="Arial"/>
          <w:sz w:val="18"/>
          <w:szCs w:val="18"/>
          <w:color w:val="auto"/>
        </w:rPr>
      </w:pPr>
    </w:p>
    <w:p>
      <w:pPr>
        <w:ind w:left="460" w:right="100" w:firstLine="443"/>
        <w:spacing w:after="0" w:line="290" w:lineRule="auto"/>
        <w:tabs>
          <w:tab w:leader="none" w:pos="111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in an aggregate principal amount at any single time unpaid exceeding $150,000,000; or</w:t>
      </w:r>
    </w:p>
    <w:p>
      <w:pPr>
        <w:spacing w:after="0" w:line="58" w:lineRule="exact"/>
        <w:rPr>
          <w:rFonts w:ascii="Arial" w:cs="Arial" w:eastAsia="Arial" w:hAnsi="Arial"/>
          <w:sz w:val="16"/>
          <w:szCs w:val="16"/>
          <w:color w:val="auto"/>
        </w:rPr>
      </w:pPr>
    </w:p>
    <w:p>
      <w:pPr>
        <w:ind w:left="460" w:right="120" w:firstLine="443"/>
        <w:spacing w:after="0" w:line="277" w:lineRule="auto"/>
        <w:tabs>
          <w:tab w:leader="none" w:pos="111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termination of a Plan of the Borrower or an ERISA Affiliate pursuant to Section 4042 of ERISA and such termination would reasonably be expected to result in a Material Adverse Effect;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then, and in every such event and at any time thereafter during the continuance of such event, the Administrative Agent may, and at the request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Required Lenders, the Administrative Agent shall, by written notice to the Borrower, take one or more of the following actions, at the same or different times:</w:t>
      </w:r>
    </w:p>
    <w:p>
      <w:pPr>
        <w:spacing w:after="0" w:line="126" w:lineRule="exact"/>
        <w:rPr>
          <w:sz w:val="20"/>
          <w:szCs w:val="20"/>
          <w:color w:val="auto"/>
        </w:rPr>
      </w:pPr>
    </w:p>
    <w:p>
      <w:pPr>
        <w:ind w:left="1120" w:hanging="217"/>
        <w:spacing w:after="0"/>
        <w:tabs>
          <w:tab w:leader="none" w:pos="11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terminate forthwith the Commitments;</w:t>
      </w:r>
    </w:p>
    <w:p>
      <w:pPr>
        <w:spacing w:after="0" w:line="117" w:lineRule="exact"/>
        <w:rPr>
          <w:rFonts w:ascii="Arial" w:cs="Arial" w:eastAsia="Arial" w:hAnsi="Arial"/>
          <w:sz w:val="18"/>
          <w:szCs w:val="18"/>
          <w:color w:val="auto"/>
        </w:rPr>
      </w:pPr>
    </w:p>
    <w:p>
      <w:pPr>
        <w:ind w:left="460" w:right="40" w:firstLine="443"/>
        <w:spacing w:after="0" w:line="257" w:lineRule="auto"/>
        <w:tabs>
          <w:tab w:leader="none" w:pos="116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declare the Loans or any portion thereof then outstanding to be forthwith due and payable, whereupon the principal of the Loans and other Obligations (other than Designated 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w:t>
      </w:r>
    </w:p>
    <w:p>
      <w:pPr>
        <w:spacing w:after="0" w:line="80" w:lineRule="exact"/>
        <w:rPr>
          <w:rFonts w:ascii="Arial" w:cs="Arial" w:eastAsia="Arial" w:hAnsi="Arial"/>
          <w:sz w:val="18"/>
          <w:szCs w:val="18"/>
          <w:color w:val="auto"/>
        </w:rPr>
      </w:pPr>
    </w:p>
    <w:p>
      <w:pPr>
        <w:ind w:left="460" w:right="40" w:firstLine="443"/>
        <w:spacing w:after="0" w:line="264" w:lineRule="auto"/>
        <w:tabs>
          <w:tab w:leader="none" w:pos="121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require the Borrower and the Guarantors promptly upon written demand to deposit in the Letter of Credit Account Cash Collateralization for the LC Exposure (and to the extent the Borrower and the Guarantors shall fail to furnish such funds as demanded by the Administrative Agent, the Administrative Agent shall be authorized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274" w:right="279" w:bottom="1440" w:gutter="0" w:footer="0" w:header="0"/>
        </w:sectPr>
      </w:pPr>
    </w:p>
    <w:bookmarkStart w:id="220" w:name="page221"/>
    <w:bookmarkEnd w:id="220"/>
    <w:p>
      <w:pPr>
        <w:ind w:left="46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debit the accounts of the Borrower and the Guarantors (other than Escrow Accounts, Payroll Accounts or other accounts held in trust for an identified beneficiary) maintained with the Administrative Agent in such amounts);</w:t>
      </w:r>
    </w:p>
    <w:p>
      <w:pPr>
        <w:spacing w:after="0" w:line="62" w:lineRule="exact"/>
        <w:rPr>
          <w:sz w:val="20"/>
          <w:szCs w:val="20"/>
          <w:color w:val="auto"/>
        </w:rPr>
      </w:pPr>
    </w:p>
    <w:p>
      <w:pPr>
        <w:ind w:left="460" w:firstLine="443"/>
        <w:spacing w:after="0" w:line="264" w:lineRule="auto"/>
        <w:tabs>
          <w:tab w:leader="none" w:pos="120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set-off amounts in the Letter of Credit Account or any other accounts (other than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exercise any and all remedies under the Loan Documents and under applicable law available to the Administrative Agent and the Lenders.</w:t>
      </w:r>
    </w:p>
    <w:p>
      <w:pPr>
        <w:spacing w:after="0" w:line="2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case of any event with respect to Parent, the Borrower, any Significant Subsidiary or any group of Restricted Subsidiaries that, taken together, would constitute a Significant Subsidiary described in clause (f) 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Administration by Agents</w:t>
      </w:r>
      <w:r>
        <w:rPr>
          <w:rFonts w:ascii="Arial" w:cs="Arial" w:eastAsia="Arial" w:hAnsi="Arial"/>
          <w:sz w:val="18"/>
          <w:szCs w:val="18"/>
          <w:color w:val="auto"/>
        </w:rPr>
        <w:t>.</w:t>
      </w:r>
    </w:p>
    <w:p>
      <w:pPr>
        <w:spacing w:after="0" w:line="225" w:lineRule="exact"/>
        <w:rPr>
          <w:sz w:val="20"/>
          <w:szCs w:val="20"/>
          <w:color w:val="auto"/>
        </w:rPr>
      </w:pPr>
    </w:p>
    <w:p>
      <w:pPr>
        <w:ind w:right="180" w:firstLine="921"/>
        <w:spacing w:after="0" w:line="302" w:lineRule="auto"/>
        <w:tabs>
          <w:tab w:leader="none" w:pos="1158"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Each of the Lenders and each Issuing Lender hereby irrevocably appoints each Agent as its agent and irrevocably authorizes such Agent, in such capacity, to take such actions on its behalf under the provisions of this Agreement and the other Loan Documents and to exercise such powers and perform such duties as are delegated to each Agent by the terms hereof, together with such actions and powers as are reasonably incidental thereto. The Administrative Agent may perform any of its respective duties hereunder by or through its officers, directors, employees or affiliates.</w:t>
      </w:r>
    </w:p>
    <w:p>
      <w:pPr>
        <w:spacing w:after="0" w:line="154" w:lineRule="exact"/>
        <w:rPr>
          <w:rFonts w:ascii="Arial" w:cs="Arial" w:eastAsia="Arial" w:hAnsi="Arial"/>
          <w:sz w:val="16"/>
          <w:szCs w:val="16"/>
          <w:color w:val="auto"/>
        </w:rPr>
      </w:pPr>
    </w:p>
    <w:p>
      <w:pPr>
        <w:ind w:right="620" w:firstLine="921"/>
        <w:spacing w:after="0" w:line="277" w:lineRule="auto"/>
        <w:tabs>
          <w:tab w:leader="none" w:pos="116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Each of the Lenders and each Issuing Lender hereby authorizes each of the Administrative Agent and the Collateral Agent, in its sole discretion, where applicable:</w:t>
      </w:r>
    </w:p>
    <w:p>
      <w:pPr>
        <w:spacing w:after="0" w:line="62" w:lineRule="exact"/>
        <w:rPr>
          <w:rFonts w:ascii="Arial" w:cs="Arial" w:eastAsia="Arial" w:hAnsi="Arial"/>
          <w:sz w:val="18"/>
          <w:szCs w:val="18"/>
          <w:color w:val="auto"/>
        </w:rPr>
      </w:pPr>
    </w:p>
    <w:p>
      <w:pPr>
        <w:ind w:left="460" w:firstLine="443"/>
        <w:spacing w:after="0" w:line="273" w:lineRule="auto"/>
        <w:tabs>
          <w:tab w:leader="none" w:pos="1113"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 in connection with the sale or other disposition or request for release in compliance with Section 6.09(c) of any asset that is part of the Collateral of the Borrower or any other Grantor, as the case may be, to the extent permitted by the terms of this Agreement, to release a Lien granted to the Collateral Agent, for the benefit of the Secured Parties, on such asset and (B) (x) upon termination of the Commitments and payment and satisfaction of all of the Obligations (other than inchoate indemnification obligations) at any time arising under or in respect of this Agreement or the Loan Documents or the transactions contemplated hereby or thereby, (y) if approved, authorized or ratified in writing by the Required Lenders (or all of the Lenders hereunder, to the extent required by this Agreement) or (z) as otherwise may be expressly provided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274" w:right="259" w:bottom="1440" w:gutter="0" w:footer="0" w:header="0"/>
        </w:sectPr>
      </w:pPr>
    </w:p>
    <w:bookmarkStart w:id="221" w:name="page222"/>
    <w:bookmarkEnd w:id="221"/>
    <w:p>
      <w:pPr>
        <w:ind w:left="46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relevant Collateral Documents, to release a Lien granted to the Collateral Agent, for the benefit of the Secured Parties, on any asset that is part of the Collateral of the Borrower or any other Grantor, as the case may be;</w:t>
      </w:r>
    </w:p>
    <w:p>
      <w:pPr>
        <w:spacing w:after="0" w:line="62" w:lineRule="exact"/>
        <w:rPr>
          <w:sz w:val="20"/>
          <w:szCs w:val="20"/>
          <w:color w:val="auto"/>
        </w:rPr>
      </w:pPr>
    </w:p>
    <w:p>
      <w:pPr>
        <w:ind w:left="460" w:right="260" w:firstLine="443"/>
        <w:spacing w:after="0" w:line="312" w:lineRule="auto"/>
        <w:tabs>
          <w:tab w:leader="none" w:pos="116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Agent, for the benefit of the Secured Parties;</w:t>
      </w:r>
    </w:p>
    <w:p>
      <w:pPr>
        <w:spacing w:after="0" w:line="38" w:lineRule="exact"/>
        <w:rPr>
          <w:rFonts w:ascii="Arial" w:cs="Arial" w:eastAsia="Arial" w:hAnsi="Arial"/>
          <w:sz w:val="16"/>
          <w:szCs w:val="16"/>
          <w:color w:val="auto"/>
        </w:rPr>
      </w:pPr>
    </w:p>
    <w:p>
      <w:pPr>
        <w:ind w:left="460" w:right="540" w:firstLine="443"/>
        <w:spacing w:after="0" w:line="277" w:lineRule="auto"/>
        <w:tabs>
          <w:tab w:leader="none" w:pos="121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to enter into the other Loan Documents on terms acceptable to the Administrative Agent or the Collateral Agent, as applicable, and to perform its respective obligations thereunder;</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to execute any documents or instruments necessary to release any Guarantor from the guarantees provided herein pursuant to Section 9.05;</w:t>
      </w:r>
    </w:p>
    <w:p>
      <w:pPr>
        <w:spacing w:after="0" w:line="140" w:lineRule="exact"/>
        <w:rPr>
          <w:rFonts w:ascii="Arial" w:cs="Arial" w:eastAsia="Arial" w:hAnsi="Arial"/>
          <w:sz w:val="16"/>
          <w:szCs w:val="16"/>
          <w:color w:val="auto"/>
        </w:rPr>
      </w:pPr>
    </w:p>
    <w:p>
      <w:pPr>
        <w:ind w:left="460" w:firstLine="443"/>
        <w:spacing w:after="0" w:line="286" w:lineRule="auto"/>
        <w:tabs>
          <w:tab w:leader="none" w:pos="1153"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to enter into the Collateral Documents, any Intercreditor Agreement or any Other Intercreditor Agreement (and/or subordination agreements on terms reasonably acceptable to the Collateral Agent and the Administrative Agent) and in each case to perform its obligations thereunder and to take such action and to exercise the powers, rights and remedies granted to it thereunder and with respect thereto; and</w:t>
      </w:r>
    </w:p>
    <w:p>
      <w:pPr>
        <w:spacing w:after="0" w:line="57" w:lineRule="exact"/>
        <w:rPr>
          <w:rFonts w:ascii="Arial" w:cs="Arial" w:eastAsia="Arial" w:hAnsi="Arial"/>
          <w:sz w:val="17"/>
          <w:szCs w:val="17"/>
          <w:color w:val="auto"/>
        </w:rPr>
      </w:pPr>
    </w:p>
    <w:p>
      <w:pPr>
        <w:ind w:left="460" w:right="560" w:firstLine="443"/>
        <w:spacing w:after="0" w:line="264" w:lineRule="auto"/>
        <w:tabs>
          <w:tab w:leader="none" w:pos="120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to enter into any other agreements in the forms contemplated hereby or otherwise reasonably satisfactory to the Administrative Agent granting Liens to the Collateral Agent, for the benefit of the Secured Parties, on any assets of the Borrower or any other Grantor to secure the Obligations.</w:t>
      </w:r>
    </w:p>
    <w:p>
      <w:pPr>
        <w:spacing w:after="0" w:line="181" w:lineRule="exact"/>
        <w:rPr>
          <w:rFonts w:ascii="Arial" w:cs="Arial" w:eastAsia="Arial" w:hAnsi="Arial"/>
          <w:sz w:val="18"/>
          <w:szCs w:val="18"/>
          <w:color w:val="auto"/>
        </w:rPr>
      </w:pPr>
    </w:p>
    <w:p>
      <w:pPr>
        <w:ind w:firstLine="921"/>
        <w:spacing w:after="0" w:line="264" w:lineRule="auto"/>
        <w:tabs>
          <w:tab w:leader="none" w:pos="1158"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Collateral Agent may appoint the Administrative Agent as its agent for the purposes of holding any Collateral and/or perfecting the Collateral Agent’s security interest therein and for the purpose of taking such other action with respect to the Collateral as such Agents may from time to time agree.</w:t>
      </w:r>
    </w:p>
    <w:p>
      <w:pPr>
        <w:spacing w:after="0" w:line="181" w:lineRule="exact"/>
        <w:rPr>
          <w:rFonts w:ascii="Arial" w:cs="Arial" w:eastAsia="Arial" w:hAnsi="Arial"/>
          <w:sz w:val="18"/>
          <w:szCs w:val="18"/>
          <w:color w:val="auto"/>
        </w:rPr>
      </w:pPr>
    </w:p>
    <w:p>
      <w:pPr>
        <w:ind w:right="20" w:firstLine="921"/>
        <w:spacing w:after="0" w:line="255" w:lineRule="auto"/>
        <w:tabs>
          <w:tab w:leader="none" w:pos="1168"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In the event any property described in clause (d) of the definition of “Additional Collateral” is to be pledged by the Borrower or any other Grantor as Additional Collateral, the Collateral Agent will appoint Wilmington Trust Company or another trustee designated by the Borrower and reasonably acceptable to the Collateral Agent to serve as the security trustee under the applicable Aircraft Security Agreement with respect to such Additional Collateral, and in such event, references herein to the “Collateral Agent” with respect to such Additional Collateral and such Aircraft Security Agreement, as the context requires, shall be deemed to refer to such security trustee. The Collateral Agent will cause such trustee to join any Intercreditor Agreements and/or any Other Intercreditor Agreements.</w:t>
      </w:r>
    </w:p>
    <w:p>
      <w:pPr>
        <w:spacing w:after="0" w:line="193"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Rights of Agents</w:t>
      </w:r>
      <w:r>
        <w:rPr>
          <w:rFonts w:ascii="Arial" w:cs="Arial" w:eastAsia="Arial" w:hAnsi="Arial"/>
          <w:sz w:val="17"/>
          <w:szCs w:val="17"/>
          <w:color w:val="auto"/>
        </w:rPr>
        <w:t>. Each institution serving as an Agent hereunder shall have the same rights and powers in its capacity as a Lender as any other Lender and may exercise the same as though it were not an Agent, and such bank and its respective Affiliates may accept deposits from, lend money to, act in any advisor capacity, and generally engage in any kind of business with the Borrower, Parent or any Subsidiary or other Affiliate of Parent as if it were not an Agent hereunder and without any duty to account therefor to the Lenders.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274" w:right="279" w:bottom="1440" w:gutter="0" w:footer="0" w:header="0"/>
        </w:sectPr>
      </w:pPr>
    </w:p>
    <w:bookmarkStart w:id="222" w:name="page223"/>
    <w:bookmarkEnd w:id="222"/>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8.03. </w:t>
      </w:r>
      <w:r>
        <w:rPr>
          <w:rFonts w:ascii="Arial" w:cs="Arial" w:eastAsia="Arial" w:hAnsi="Arial"/>
          <w:sz w:val="18"/>
          <w:szCs w:val="18"/>
          <w:u w:val="single" w:color="auto"/>
          <w:color w:val="auto"/>
        </w:rPr>
        <w:t>Liability of Agents</w:t>
      </w:r>
      <w:r>
        <w:rPr>
          <w:rFonts w:ascii="Arial" w:cs="Arial" w:eastAsia="Arial" w:hAnsi="Arial"/>
          <w:sz w:val="18"/>
          <w:szCs w:val="18"/>
          <w:color w:val="auto"/>
        </w:rPr>
        <w:t>.</w:t>
      </w:r>
    </w:p>
    <w:p>
      <w:pPr>
        <w:spacing w:after="0" w:line="225" w:lineRule="exact"/>
        <w:rPr>
          <w:sz w:val="20"/>
          <w:szCs w:val="20"/>
          <w:color w:val="auto"/>
        </w:rPr>
      </w:pPr>
    </w:p>
    <w:p>
      <w:pPr>
        <w:ind w:left="-8" w:right="60" w:firstLine="921"/>
        <w:spacing w:after="0" w:line="285" w:lineRule="auto"/>
        <w:tabs>
          <w:tab w:leader="none" w:pos="115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No Agent shall have any duties or obligations except those expressly set forth herein and in the other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Section 10.08 or in the other Loan Documents),</w:t>
      </w:r>
    </w:p>
    <w:p>
      <w:pPr>
        <w:spacing w:after="0" w:line="2" w:lineRule="exact"/>
        <w:rPr>
          <w:rFonts w:ascii="Arial" w:cs="Arial" w:eastAsia="Arial" w:hAnsi="Arial"/>
          <w:sz w:val="16"/>
          <w:szCs w:val="16"/>
          <w:color w:val="auto"/>
        </w:rPr>
      </w:pPr>
    </w:p>
    <w:p>
      <w:pPr>
        <w:ind w:left="-8" w:firstLine="8"/>
        <w:spacing w:after="0" w:line="284" w:lineRule="auto"/>
        <w:tabs>
          <w:tab w:leader="none" w:pos="30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except as expressly set forth herein, no Agent shall have any duty to disclose, and shall not be liable for the failure to disclose, any information relating to the Borrower, Parent or any of Parent’s Subsidiaries that is communicated to or obtained by the institution serving as an Agent or any of its respective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in the other Loan Documents) or in the absence of its own gross negligence, bad faith or willful misconduct, as determined in a final non-appealable judgment by a court of competent jurisdiction. No Agent shall be deemed to have knowledge of any Event of Default unless and until written notice thereof is given to such Agent by the Borrower, Parent or a Lender, and no Agent shall be responsible for, or have any 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each Agent.</w:t>
      </w:r>
    </w:p>
    <w:p>
      <w:pPr>
        <w:spacing w:after="0" w:line="177" w:lineRule="exact"/>
        <w:rPr>
          <w:rFonts w:ascii="Arial" w:cs="Arial" w:eastAsia="Arial" w:hAnsi="Arial"/>
          <w:sz w:val="16"/>
          <w:szCs w:val="16"/>
          <w:color w:val="auto"/>
        </w:rPr>
      </w:pPr>
    </w:p>
    <w:p>
      <w:pPr>
        <w:ind w:left="-8" w:firstLine="921"/>
        <w:spacing w:after="0" w:line="297" w:lineRule="auto"/>
        <w:tabs>
          <w:tab w:leader="none" w:pos="116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or Parent), independent accountants and other experts selected by it, and shall not be liable for any action taken or not taken by it in accordance with the advice of any such counsel, accountants or experts.</w:t>
      </w:r>
    </w:p>
    <w:p>
      <w:pPr>
        <w:spacing w:after="0" w:line="9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72"/>
          </w:cols>
          <w:pgMar w:left="248" w:top="274" w:right="279" w:bottom="1440" w:gutter="0" w:footer="0" w:header="0"/>
        </w:sectPr>
      </w:pPr>
    </w:p>
    <w:bookmarkStart w:id="223" w:name="page224"/>
    <w:bookmarkEnd w:id="223"/>
    <w:p>
      <w:pPr>
        <w:ind w:firstLine="921"/>
        <w:spacing w:after="0" w:line="276" w:lineRule="auto"/>
        <w:tabs>
          <w:tab w:leader="none" w:pos="1158" w:val="left"/>
        </w:tabs>
        <w:numPr>
          <w:ilvl w:val="0"/>
          <w:numId w:val="2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Agent may perform any and all of its duties and exercise its rights and powers by or through any one or more sub-agents appointed by it (including the Collateral Agent, in the case of the Administrative Agent). Each Agent and any such sub-agent may perform any and all of its duties and exercise its rights and powers through its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Administrative Agent or Collateral Agent.</w:t>
      </w:r>
    </w:p>
    <w:p>
      <w:pPr>
        <w:spacing w:after="0" w:line="172" w:lineRule="exact"/>
        <w:rPr>
          <w:rFonts w:ascii="Arial" w:cs="Arial" w:eastAsia="Arial" w:hAnsi="Arial"/>
          <w:sz w:val="17"/>
          <w:szCs w:val="17"/>
          <w:color w:val="auto"/>
        </w:rPr>
      </w:pPr>
    </w:p>
    <w:p>
      <w:pPr>
        <w:ind w:right="380" w:firstLine="921"/>
        <w:spacing w:after="0" w:line="286" w:lineRule="auto"/>
        <w:tabs>
          <w:tab w:leader="none" w:pos="116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Anything herein to the contrary notwithstanding, none of the Syndication Agent, Documentation Agents or Joint Lead Arrangers and Bookrunners listed on the cover page hereof shall have any powers, duties or responsibilities under this Agreement or any of the other Loan Documents, except in its capacity, as applicable, as the Administrative Agent, Collateral Agent, a Lender or the Issuing Lender.</w:t>
      </w:r>
    </w:p>
    <w:p>
      <w:pPr>
        <w:spacing w:after="0" w:line="165" w:lineRule="exact"/>
        <w:rPr>
          <w:rFonts w:ascii="Arial" w:cs="Arial" w:eastAsia="Arial" w:hAnsi="Arial"/>
          <w:sz w:val="17"/>
          <w:szCs w:val="17"/>
          <w:color w:val="auto"/>
        </w:rPr>
      </w:pPr>
    </w:p>
    <w:p>
      <w:pPr>
        <w:ind w:right="20" w:firstLine="921"/>
        <w:spacing w:after="0" w:line="290" w:lineRule="auto"/>
        <w:tabs>
          <w:tab w:leader="none" w:pos="115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No Agent shall have any obligation whatsoever to the Lenders or to any other Person to assure that the Collateral exists or is owned by the applicable Grantor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Agents in this Article VIII or in any of the Collateral Documents, it being understood and agreed that (as between the Collateral Agent and the Lenders)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its gross negligence or willful misconduct, as determined in a final non-appealable judgment by a court of competent jurisdiction.</w:t>
      </w:r>
    </w:p>
    <w:p>
      <w:pPr>
        <w:spacing w:after="0" w:line="166" w:lineRule="exact"/>
        <w:rPr>
          <w:rFonts w:ascii="Arial" w:cs="Arial" w:eastAsia="Arial" w:hAnsi="Arial"/>
          <w:sz w:val="16"/>
          <w:szCs w:val="16"/>
          <w:color w:val="auto"/>
        </w:rPr>
      </w:pPr>
    </w:p>
    <w:p>
      <w:pPr>
        <w:ind w:right="140" w:firstLine="921"/>
        <w:spacing w:after="0" w:line="259" w:lineRule="auto"/>
        <w:tabs>
          <w:tab w:leader="none" w:pos="113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assignor of a Loan or seller of a participation hereunder shall be entitled to rely conclusively on a representation of the assignee Lender or Participant in the relevant Assignment and Acceptance or participation agreement, as applicable, that such assignee Lender or Participant is not a Disqualified Institution. No Agent shall have any responsibility or liability for monitoring the list or identities of, or enforcing provisions relating to, Disqualified Institutions.</w:t>
      </w:r>
    </w:p>
    <w:p>
      <w:pPr>
        <w:spacing w:after="0" w:line="18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Reimbursement and Indemnification</w:t>
      </w:r>
      <w:r>
        <w:rPr>
          <w:rFonts w:ascii="Arial" w:cs="Arial" w:eastAsia="Arial" w:hAnsi="Arial"/>
          <w:sz w:val="16"/>
          <w:szCs w:val="16"/>
          <w:color w:val="auto"/>
        </w:rPr>
        <w:t>.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each Agent and any of its Related Parties, on demand, in the amount equal to such Lender’s Aggregate Exposure Percentage, from and against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274" w:right="279" w:bottom="1440" w:gutter="0" w:footer="0" w:header="0"/>
        </w:sectPr>
      </w:pPr>
    </w:p>
    <w:bookmarkStart w:id="224" w:name="page225"/>
    <w:bookmarkEnd w:id="224"/>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Guarantors (except such as shall result from its gross negligence or willful misconduct, as determined in a final non-appealable judgment by a court of competent jurisdiction). Notwithstanding the foregoing, so long as no Event of Default shall have occurred and be continuing, the Borrower shall not be responsible for the fees and expenses of more than one primary counsel for the Administrative Agent, the Collateral Agent or the Joint Lead Arrangers and Bookrunners and, only with respect to fees and expenses incurred in connection with the enforcement of the Loan Documents, one local counsel for each relevant jurisdiction, and, in each case, if necessary in the case of an actual conflict of interest, an additional counsel in each such applicable jurisdiction.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Successor Agents</w:t>
      </w:r>
      <w:r>
        <w:rPr>
          <w:rFonts w:ascii="Arial" w:cs="Arial" w:eastAsia="Arial" w:hAnsi="Arial"/>
          <w:sz w:val="16"/>
          <w:szCs w:val="16"/>
          <w:color w:val="auto"/>
        </w:rPr>
        <w:t>. Subject to the appointment and acceptance of a successor agent to the extent provided in this paragraph,</w:t>
      </w:r>
    </w:p>
    <w:p>
      <w:pPr>
        <w:spacing w:after="0" w:line="46" w:lineRule="exact"/>
        <w:rPr>
          <w:sz w:val="20"/>
          <w:szCs w:val="20"/>
          <w:color w:val="auto"/>
        </w:rPr>
      </w:pPr>
    </w:p>
    <w:p>
      <w:pPr>
        <w:ind w:left="220" w:hanging="212"/>
        <w:spacing w:after="0"/>
        <w:tabs>
          <w:tab w:leader="none" w:pos="2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each Agent may be removed by the Borrower or the Required Lenders if such Agent or a controlling affiliate of such Agent is a Defaulting Lender and</w:t>
      </w:r>
    </w:p>
    <w:p>
      <w:pPr>
        <w:spacing w:after="0" w:line="32" w:lineRule="exact"/>
        <w:rPr>
          <w:rFonts w:ascii="Arial" w:cs="Arial" w:eastAsia="Arial" w:hAnsi="Arial"/>
          <w:sz w:val="16"/>
          <w:szCs w:val="16"/>
          <w:color w:val="auto"/>
        </w:rPr>
      </w:pPr>
    </w:p>
    <w:p>
      <w:pPr>
        <w:ind w:firstLine="8"/>
        <w:spacing w:after="0" w:line="267" w:lineRule="auto"/>
        <w:tabs>
          <w:tab w:leader="none" w:pos="26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any Agent may resign upon ten (10) days’ notice to the Lenders, the Issuing Lenders and the Borrower. Upon any such removal or resignation by any Agent, the Required Lenders shall appoint, with the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Event of Default or Default has occurred and is continuing) of the Borrower (such consent not to be unreasonably withheld or delayed if such successor is a commercial bank with consolidated combined capital and surplus of at least $5,000,000,000), to appoint a successor. If no successor shall have been so appointed by the Required Lenders and shall have accepted such appointment within thirty (30) days after the retiring Agent gives notice of its resignation, then the retiring Agent may, with the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Event of Default or Default has occurred or is continuing) of the Borrower (such consent not to be unreasonably withheld or delayed), appoint a successor Agent which shall be a bank institution with an office in New York, New York, or an Affiliate of any such bank, in each case, with consolidated combined capital and surplus of at least $5,000,000,000).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sub-agents and their respective Related Parties in respect of any actions taken or omitted to be taken by any of them while it was acting as an Agent.</w:t>
      </w:r>
    </w:p>
    <w:p>
      <w:pPr>
        <w:spacing w:after="0" w:line="184" w:lineRule="exact"/>
        <w:rPr>
          <w:sz w:val="20"/>
          <w:szCs w:val="20"/>
          <w:color w:val="auto"/>
        </w:rPr>
      </w:pPr>
    </w:p>
    <w:p>
      <w:pPr>
        <w:ind w:right="220" w:firstLine="913"/>
        <w:spacing w:after="0" w:line="276"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Independent Lenders</w:t>
      </w:r>
      <w:r>
        <w:rPr>
          <w:rFonts w:ascii="Arial" w:cs="Arial" w:eastAsia="Arial" w:hAnsi="Arial"/>
          <w:sz w:val="17"/>
          <w:szCs w:val="17"/>
          <w:color w:val="auto"/>
        </w:rPr>
        <w:t>. 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274" w:right="259" w:bottom="1440" w:gutter="0" w:footer="0" w:header="0"/>
        </w:sectPr>
      </w:pPr>
    </w:p>
    <w:bookmarkStart w:id="225" w:name="page226"/>
    <w:bookmarkEnd w:id="22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8.07. </w:t>
      </w:r>
      <w:r>
        <w:rPr>
          <w:rFonts w:ascii="Arial" w:cs="Arial" w:eastAsia="Arial" w:hAnsi="Arial"/>
          <w:sz w:val="18"/>
          <w:szCs w:val="18"/>
          <w:u w:val="single" w:color="auto"/>
          <w:color w:val="auto"/>
        </w:rPr>
        <w:t>Advances and Payments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57" w:lineRule="auto"/>
        <w:tabs>
          <w:tab w:leader="none" w:pos="115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On the date of each Loan, the Administrative Agent shall be authorized (but not obligated) to advance, for the account of each of the Lenders, the amount of the Loan to be made by it in accordance with its Term Loan Commitment or Revolving Commitment, as applicable,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w:t>
      </w:r>
    </w:p>
    <w:p>
      <w:pPr>
        <w:spacing w:after="0" w:line="188" w:lineRule="exact"/>
        <w:rPr>
          <w:rFonts w:ascii="Arial" w:cs="Arial" w:eastAsia="Arial" w:hAnsi="Arial"/>
          <w:sz w:val="18"/>
          <w:szCs w:val="18"/>
          <w:color w:val="auto"/>
        </w:rPr>
      </w:pPr>
    </w:p>
    <w:p>
      <w:pPr>
        <w:ind w:right="20" w:firstLine="921"/>
        <w:spacing w:after="0" w:line="257" w:lineRule="auto"/>
        <w:tabs>
          <w:tab w:leader="none" w:pos="1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amounts received by the Administrative Agent in connection with this Agreement (other than amounts to which the Administrative Agent is entitled pursuant to Sections 2.19, 2.20(a),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w:t>
      </w:r>
    </w:p>
    <w:p>
      <w:pPr>
        <w:spacing w:after="0" w:line="18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Sharing of Setoffs</w:t>
      </w:r>
      <w:r>
        <w:rPr>
          <w:rFonts w:ascii="Arial" w:cs="Arial" w:eastAsia="Arial" w:hAnsi="Arial"/>
          <w:sz w:val="16"/>
          <w:szCs w:val="16"/>
          <w:color w:val="auto"/>
        </w:rPr>
        <w:t xml:space="preserve">.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or LC Exposure as a result of which the unpaid portion of its Loans or LC Exposure is proportionately less than the unpaid portion of the Loans or LC Exposure of any other Lender (a) it shall promptly purchase at par (and shall be deemed to have thereupon purchased) from such other Lender a participation in the Loans or LC Exposure of such other Lender, so that the aggregate unpaid principal amount of each Lender’s Loans and LC Exposure and its participation in Loans and LC Exposure of the other Lenders shall be in the same proportion to the aggregate unpaid principal amount of all Loans then outstanding and LC Exposure as the principal amount of its Loans and LC Exposure prior to the obtaining of such payment was to the principal amount of all Loans outstanding and LC Exposure prior to the obtaining of such payment and (b) such other adjustments shall be made from time to time as shall be equitable to ensure that the Lenders share such payment pro rata;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non-pro-rata payment is thereafter recovered or otherwise set aside, such purchase of participations shall be rescinded (without interest).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274" w:right="239" w:bottom="1440" w:gutter="0" w:footer="0" w:header="0"/>
        </w:sectPr>
      </w:pPr>
    </w:p>
    <w:bookmarkStart w:id="226" w:name="page227"/>
    <w:bookmarkEnd w:id="226"/>
    <w:p>
      <w:pPr>
        <w:ind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8.09. </w:t>
      </w:r>
      <w:r>
        <w:rPr>
          <w:rFonts w:ascii="Arial" w:cs="Arial" w:eastAsia="Arial" w:hAnsi="Arial"/>
          <w:sz w:val="17"/>
          <w:szCs w:val="17"/>
          <w:u w:val="single" w:color="auto"/>
          <w:color w:val="auto"/>
        </w:rPr>
        <w:t>Withholding Taxes</w:t>
      </w:r>
      <w:r>
        <w:rPr>
          <w:rFonts w:ascii="Arial" w:cs="Arial" w:eastAsia="Arial" w:hAnsi="Arial"/>
          <w:sz w:val="17"/>
          <w:szCs w:val="17"/>
          <w:color w:val="auto"/>
        </w:rPr>
        <w:t>. To the extent required by any applicable law, each Agent may withhold from any payment to any Lender an amount equivalent to any withholding tax applicable to such payment. If the Internal Revenue Service or any other Governmental Authority asserts a claim that any Agent did not properly withhold tax from amounts paid to or for the account of any Lender for any reason, or any Agent has paid over to the Internal Revenue Service applicable withholding tax relating to a payment to a Lender but no deduction has been made from such payment, without duplication of any indemnification obligations set forth in Section 8.04, such Lender shall indemnify such Agent fully for all amounts paid, directly or indirectly, by such Agent as tax or otherwise, including any penalties or interest and together with any expenses incurred.</w:t>
      </w:r>
    </w:p>
    <w:p>
      <w:pPr>
        <w:spacing w:after="0" w:line="178"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Appointment by Secured Parties</w:t>
      </w:r>
      <w:r>
        <w:rPr>
          <w:rFonts w:ascii="Arial" w:cs="Arial" w:eastAsia="Arial" w:hAnsi="Arial"/>
          <w:sz w:val="16"/>
          <w:szCs w:val="16"/>
          <w:color w:val="auto"/>
        </w:rPr>
        <w:t xml:space="preserve">. Each Secured Party that is not a party to this Agreement shall be deemed to have appointed each of the Administrative Agent and the Collateral Agent as its agent under the Loan Documents in accordance with the terms of this Article VIII and to have acknowledged that the provisions of this Article VIII apply to such Secured Party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as though it were a party hereto (and any acceptance by such Secured Party of the benefits of this Agreement or any other Loan Document shall be deemed an acknowledgment of the foregoing).</w:t>
      </w:r>
    </w:p>
    <w:p>
      <w:pPr>
        <w:spacing w:after="0" w:line="154"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Delivery of Information</w:t>
      </w:r>
      <w:r>
        <w:rPr>
          <w:rFonts w:ascii="Arial" w:cs="Arial" w:eastAsia="Arial" w:hAnsi="Arial"/>
          <w:sz w:val="18"/>
          <w:szCs w:val="18"/>
          <w:color w:val="auto"/>
        </w:rPr>
        <w:t>.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 (i) as specifically provided in this Agreement or any other Loan Document and (ii) subject to all confidentiality provisions and other obligations of the Lenders under the Loan Documents,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Guaranty</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76" w:lineRule="auto"/>
        <w:tabs>
          <w:tab w:leader="none" w:pos="115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Arial" w:cs="Arial" w:eastAsia="Arial" w:hAnsi="Arial"/>
          <w:sz w:val="17"/>
          <w:szCs w:val="17"/>
          <w:i w:val="1"/>
          <w:iCs w:val="1"/>
          <w:color w:val="auto"/>
        </w:rPr>
        <w:t>Guaranteed Obligations</w:t>
      </w:r>
      <w:r>
        <w:rPr>
          <w:rFonts w:ascii="Arial" w:cs="Arial" w:eastAsia="Arial" w:hAnsi="Arial"/>
          <w:sz w:val="17"/>
          <w:szCs w:val="17"/>
          <w:color w:val="auto"/>
        </w:rPr>
        <w:t>” and the obligations of each Guarantor in respect thereof, its “</w:t>
      </w:r>
      <w:r>
        <w:rPr>
          <w:rFonts w:ascii="Arial" w:cs="Arial" w:eastAsia="Arial" w:hAnsi="Arial"/>
          <w:sz w:val="17"/>
          <w:szCs w:val="17"/>
          <w:i w:val="1"/>
          <w:iCs w:val="1"/>
          <w:color w:val="auto"/>
        </w:rPr>
        <w:t>Guaranty</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w:t>
      </w:r>
      <w:r>
        <w:rPr>
          <w:rFonts w:ascii="Arial" w:cs="Arial" w:eastAsia="Arial" w:hAnsi="Arial"/>
          <w:sz w:val="17"/>
          <w:szCs w:val="17"/>
          <w:color w:val="auto"/>
        </w:rPr>
        <w:t>”). Each of the Guarantors further agrees that, to the extent permitted by applicable law, the Obligations may be extended or renewed, in whole or</w:t>
      </w:r>
      <w:r>
        <w:rPr>
          <w:rFonts w:ascii="Arial" w:cs="Arial" w:eastAsia="Arial" w:hAnsi="Arial"/>
          <w:sz w:val="17"/>
          <w:szCs w:val="17"/>
          <w:i w:val="1"/>
          <w:iCs w:val="1"/>
          <w:color w:val="auto"/>
        </w:rPr>
        <w:t xml:space="preserve"> </w:t>
      </w:r>
      <w:r>
        <w:rPr>
          <w:rFonts w:ascii="Arial" w:cs="Arial" w:eastAsia="Arial" w:hAnsi="Arial"/>
          <w:sz w:val="17"/>
          <w:szCs w:val="17"/>
          <w:color w:val="auto"/>
        </w:rPr>
        <w:t>in part, without notice to or further assent from such Guarantor, and it will remain bound upon this Guaranty notwithstanding any extension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274" w:right="259" w:bottom="1440" w:gutter="0" w:footer="0" w:header="0"/>
        </w:sectPr>
      </w:pPr>
    </w:p>
    <w:bookmarkStart w:id="227" w:name="page228"/>
    <w:bookmarkEnd w:id="227"/>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renewal of any of the Obligations. The Obligations of the Guarantors shall be joint and several. Each of the Guarantors further agrees that its guaranty hereunder is a primary obligation of such Guarantor and not merely a contract of surety.</w:t>
      </w:r>
    </w:p>
    <w:p>
      <w:pPr>
        <w:spacing w:after="0" w:line="170" w:lineRule="exact"/>
        <w:rPr>
          <w:sz w:val="20"/>
          <w:szCs w:val="20"/>
          <w:color w:val="auto"/>
        </w:rPr>
      </w:pPr>
    </w:p>
    <w:p>
      <w:pPr>
        <w:ind w:right="80" w:firstLine="921"/>
        <w:spacing w:after="0" w:line="257" w:lineRule="auto"/>
        <w:tabs>
          <w:tab w:leader="none" w:pos="116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to the contrary notwithstanding, the maximum liability of each Guarantor hereunder and under the other Loan Documents shall in no event exceed the amount that can be guaranteed by such Guarantor under applicable law, including applicable federal and state laws relating to the insolvency of debtors;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maximum extent permitted under applicable law, it is the intent of the parties hereto that the rights of contribution of each Guarantor provided in Section 9.02 be included as an asset of the respective Guarantor in determining the maximum liability of such Guarantor hereunder.</w:t>
      </w:r>
    </w:p>
    <w:p>
      <w:pPr>
        <w:spacing w:after="0" w:line="188" w:lineRule="exact"/>
        <w:rPr>
          <w:rFonts w:ascii="Arial" w:cs="Arial" w:eastAsia="Arial" w:hAnsi="Arial"/>
          <w:sz w:val="18"/>
          <w:szCs w:val="18"/>
          <w:color w:val="auto"/>
        </w:rPr>
      </w:pPr>
    </w:p>
    <w:p>
      <w:pPr>
        <w:ind w:firstLine="921"/>
        <w:spacing w:after="0" w:line="269" w:lineRule="auto"/>
        <w:tabs>
          <w:tab w:leader="none" w:pos="1158"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any Agent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other than pursuant to a written agreement in compliance with Section 10.08; (iv) the release, exchange, waiver or foreclosure of any security held by the Collateral Agent for the Obligations or any of them; (v)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 or (vi) the release or substitution of any Collateral or any other Guarantor. To the extent permitted by applicable law, each of the Guarantors further agrees that this Guaranty constitutes a guaranty of payment when due and not just of collection.</w:t>
      </w:r>
    </w:p>
    <w:p>
      <w:pPr>
        <w:spacing w:after="0" w:line="182" w:lineRule="exact"/>
        <w:rPr>
          <w:rFonts w:ascii="Arial" w:cs="Arial" w:eastAsia="Arial" w:hAnsi="Arial"/>
          <w:sz w:val="17"/>
          <w:szCs w:val="17"/>
          <w:color w:val="auto"/>
        </w:rPr>
      </w:pPr>
    </w:p>
    <w:p>
      <w:pPr>
        <w:ind w:right="100" w:firstLine="921"/>
        <w:spacing w:after="0" w:line="302" w:lineRule="auto"/>
        <w:tabs>
          <w:tab w:leader="none" w:pos="116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 and waives any right to require that any resort be had by any Agent or a Lender to any security held for payment of the Obligations or to any balance of any deposit, account or credit on the books of any Agent or a Lender in favor of the Borrower or any other Guarantor, or to any other Person.</w:t>
      </w:r>
    </w:p>
    <w:p>
      <w:pPr>
        <w:spacing w:after="0" w:line="154" w:lineRule="exact"/>
        <w:rPr>
          <w:rFonts w:ascii="Arial" w:cs="Arial" w:eastAsia="Arial" w:hAnsi="Arial"/>
          <w:sz w:val="16"/>
          <w:szCs w:val="16"/>
          <w:color w:val="auto"/>
        </w:rPr>
      </w:pPr>
    </w:p>
    <w:p>
      <w:pPr>
        <w:ind w:right="20" w:firstLine="921"/>
        <w:spacing w:after="0" w:line="293" w:lineRule="auto"/>
        <w:tabs>
          <w:tab w:leader="none" w:pos="115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the extent permitted by applicable law, each Guarantor’s guaranty shall not be affected by the genuineness, validity, legality,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w:t>
      </w:r>
    </w:p>
    <w:p>
      <w:pPr>
        <w:spacing w:after="0" w:line="164" w:lineRule="exact"/>
        <w:rPr>
          <w:rFonts w:ascii="Arial" w:cs="Arial" w:eastAsia="Arial" w:hAnsi="Arial"/>
          <w:sz w:val="16"/>
          <w:szCs w:val="16"/>
          <w:color w:val="auto"/>
        </w:rPr>
      </w:pPr>
    </w:p>
    <w:p>
      <w:pPr>
        <w:ind w:right="80" w:firstLine="921"/>
        <w:spacing w:after="0" w:line="277" w:lineRule="auto"/>
        <w:tabs>
          <w:tab w:leader="none" w:pos="113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Upon the occurrence of the Obligations becoming due and payable (by acceleration or otherwise), the Lenders shall be entitled to prompt and complete payment of such Obligations by the Guarantors upon written demand by the Administrative Agent.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274" w:right="239" w:bottom="1440" w:gutter="0" w:footer="0" w:header="0"/>
        </w:sectPr>
      </w:pPr>
    </w:p>
    <w:bookmarkStart w:id="228" w:name="page229"/>
    <w:bookmarkEnd w:id="228"/>
    <w:p>
      <w:pPr>
        <w:ind w:right="2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t>
      </w:r>
      <w:r>
        <w:rPr>
          <w:rFonts w:ascii="Arial" w:cs="Arial" w:eastAsia="Arial" w:hAnsi="Arial"/>
          <w:sz w:val="16"/>
          <w:szCs w:val="16"/>
          <w:u w:val="single" w:color="auto"/>
          <w:color w:val="auto"/>
        </w:rPr>
        <w:t>Right of Contribution</w:t>
      </w:r>
      <w:r>
        <w:rPr>
          <w:rFonts w:ascii="Arial" w:cs="Arial" w:eastAsia="Arial" w:hAnsi="Arial"/>
          <w:sz w:val="16"/>
          <w:szCs w:val="16"/>
          <w:color w:val="auto"/>
        </w:rPr>
        <w:t>. Each Guarantor hereby agrees amongst themselves only that to the extent that a Guarantor shall have paid more than its proportionate share (based, to the maximum extent permitted by law, on the respective Adjusted Net Worths (as defined below) of the Guarantors on the date the respective payment is made)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9.04. The provisions of this Section 9.02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w:t>
      </w:r>
      <w:r>
        <w:rPr>
          <w:rFonts w:ascii="Arial" w:cs="Arial" w:eastAsia="Arial" w:hAnsi="Arial"/>
          <w:sz w:val="16"/>
          <w:szCs w:val="16"/>
          <w:i w:val="1"/>
          <w:iCs w:val="1"/>
          <w:color w:val="auto"/>
        </w:rPr>
        <w:t>Adjusted Net Worth</w:t>
      </w:r>
      <w:r>
        <w:rPr>
          <w:rFonts w:ascii="Arial" w:cs="Arial" w:eastAsia="Arial" w:hAnsi="Arial"/>
          <w:sz w:val="16"/>
          <w:szCs w:val="16"/>
          <w:color w:val="auto"/>
        </w:rPr>
        <w:t>” of any Guarantor shall mean at any time, the greater of (x) $0 and (y) the amount by which the fair saleable value of such Guarantor’s assets on the date of the respective payment hereunder exceeds its debts and other liabilities (including contingent liabilities, but without giving effect to any of its obligations under this Agreement or any other Loan Documents) on such date.</w:t>
      </w:r>
    </w:p>
    <w:p>
      <w:pPr>
        <w:spacing w:after="0" w:line="16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Continuation and Reinstatement, etc</w:t>
      </w:r>
      <w:r>
        <w:rPr>
          <w:rFonts w:ascii="Arial" w:cs="Arial" w:eastAsia="Arial" w:hAnsi="Arial"/>
          <w:sz w:val="18"/>
          <w:szCs w:val="18"/>
          <w:color w:val="auto"/>
        </w:rPr>
        <w:t>. Each Guarantor further agrees that its guaranty hereunder shall continue to be effective or be reinstated, as the case may be, if at any time payment, or any part thereof, of any Obligation is rescinded or must otherwise be restored by the Administrative Agent, the Issuing Lenders, any Lender or any other Secured Party upon the bankruptcy or reorganization of the Borrower or a Guarantor, or otherwise.</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Subrogation</w:t>
      </w:r>
      <w:r>
        <w:rPr>
          <w:rFonts w:ascii="Arial" w:cs="Arial" w:eastAsia="Arial" w:hAnsi="Arial"/>
          <w:sz w:val="18"/>
          <w:szCs w:val="18"/>
          <w:color w:val="auto"/>
        </w:rPr>
        <w:t>.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Discharge of Guaranty</w:t>
      </w:r>
      <w:r>
        <w:rPr>
          <w:rFonts w:ascii="Arial" w:cs="Arial" w:eastAsia="Arial" w:hAnsi="Arial"/>
          <w:sz w:val="18"/>
          <w:szCs w:val="18"/>
          <w:color w:val="auto"/>
        </w:rPr>
        <w:t>.</w:t>
      </w:r>
    </w:p>
    <w:p>
      <w:pPr>
        <w:spacing w:after="0" w:line="225" w:lineRule="exact"/>
        <w:rPr>
          <w:sz w:val="20"/>
          <w:szCs w:val="20"/>
          <w:color w:val="auto"/>
        </w:rPr>
      </w:pPr>
    </w:p>
    <w:p>
      <w:pPr>
        <w:ind w:right="180" w:firstLine="921"/>
        <w:spacing w:after="0" w:line="264" w:lineRule="auto"/>
        <w:tabs>
          <w:tab w:leader="none" w:pos="115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274" w:right="239" w:bottom="1440" w:gutter="0" w:footer="0" w:header="0"/>
        </w:sectPr>
      </w:pPr>
    </w:p>
    <w:bookmarkStart w:id="229" w:name="page230"/>
    <w:bookmarkEnd w:id="229"/>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w:t>
      </w:r>
    </w:p>
    <w:p>
      <w:pPr>
        <w:spacing w:after="0" w:line="154" w:lineRule="exact"/>
        <w:rPr>
          <w:sz w:val="20"/>
          <w:szCs w:val="20"/>
          <w:color w:val="auto"/>
        </w:rPr>
      </w:pPr>
    </w:p>
    <w:p>
      <w:pPr>
        <w:ind w:right="160" w:firstLine="921"/>
        <w:spacing w:after="0" w:line="290" w:lineRule="auto"/>
        <w:tabs>
          <w:tab w:leader="none" w:pos="116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Upon designation of any Guarantor as an Unrestricted Subsidiary in accordance with the terms of this Agreement, such Guarantor will be automatically released and relieved of any obligations under its Guarantee of the Guaranteed Obligations. In addition, upon the request of the Borrower, the guarantee of any Guarantor that is or becomes an Immaterial Subsidiary, a Receivables Subsidiary or an Excluded Subsidiary shall be promptly released;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Event of Default shall have occurred and be continuing or shall result therefrom and (ii) the Borrower shall have delivered an Officer’s Certificate certifying that such Subsidiary is an Immaterial Subsidiary, a Receivables Subsidiary or an Excluded Subsidiary,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 of such Subsidiary with respect to any Junior Secured Debt shall be irrevocably released and discharged substantially simultaneously with the release of such guarantee hereunder.</w:t>
      </w:r>
    </w:p>
    <w:p>
      <w:pPr>
        <w:spacing w:after="0" w:line="166" w:lineRule="exact"/>
        <w:rPr>
          <w:rFonts w:ascii="Arial" w:cs="Arial" w:eastAsia="Arial" w:hAnsi="Arial"/>
          <w:sz w:val="16"/>
          <w:szCs w:val="16"/>
          <w:color w:val="auto"/>
        </w:rPr>
      </w:pPr>
    </w:p>
    <w:p>
      <w:pPr>
        <w:ind w:firstLine="921"/>
        <w:spacing w:after="0" w:line="308" w:lineRule="auto"/>
        <w:tabs>
          <w:tab w:leader="none" w:pos="115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Administrative Agent shall use commercially reasonable efforts to execute and deliver, at the Borrower’s expense, such documents as the Borrower or any such Guarantor may reasonably request to evidence the release of the guaranty of such Guarantor provided herein.</w:t>
      </w:r>
    </w:p>
    <w:p>
      <w:pPr>
        <w:spacing w:after="0" w:line="146" w:lineRule="exact"/>
        <w:rPr>
          <w:rFonts w:ascii="Arial" w:cs="Arial" w:eastAsia="Arial" w:hAnsi="Arial"/>
          <w:sz w:val="17"/>
          <w:szCs w:val="17"/>
          <w:color w:val="auto"/>
        </w:rPr>
      </w:pPr>
    </w:p>
    <w:p>
      <w:pPr>
        <w:jc w:val="both"/>
        <w:ind w:right="200" w:firstLine="921"/>
        <w:spacing w:after="0" w:line="279" w:lineRule="auto"/>
        <w:tabs>
          <w:tab w:leader="none" w:pos="116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Each Guarantor will be automatically released and relieved of any obligations under its Guarantee of the Guaranteed Obligations upon the first date on which all of the Loans and Obligations (other than any Obligations owing to a Non-Lender Secured Party) then due and owing shall have been satisfied by payment in full in cash, no Letter of Credit shall be outstanding (except for Letters of Credit that have been Cash Collateralized or otherwise provided for in a manner reasonably satisfactory to the Administrative Agent) and the Commitments shall be terminated.</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120" w:firstLine="921"/>
        <w:spacing w:after="0" w:line="342" w:lineRule="auto"/>
        <w:tabs>
          <w:tab w:leader="none" w:pos="1158" w:val="left"/>
        </w:tabs>
        <w:numPr>
          <w:ilvl w:val="1"/>
          <w:numId w:val="258"/>
        </w:numPr>
        <w:rPr>
          <w:rFonts w:ascii="Arial" w:cs="Arial" w:eastAsia="Arial" w:hAnsi="Arial"/>
          <w:sz w:val="16"/>
          <w:szCs w:val="16"/>
          <w:color w:val="auto"/>
        </w:rPr>
      </w:pPr>
      <w:r>
        <w:rPr>
          <w:rFonts w:ascii="Arial" w:cs="Arial" w:eastAsia="Arial" w:hAnsi="Arial"/>
          <w:sz w:val="16"/>
          <w:szCs w:val="16"/>
          <w:color w:val="auto"/>
        </w:rPr>
        <w:t>Subject to paragraph (b) below, all notices and other communications provided for herein or under any other Loan Document shall be in writing, and shall be delivered by hand or overnight courier service, mailed by certified or registered mail or sent by facsimile or electronic mail, as follows:</w:t>
      </w:r>
    </w:p>
    <w:p>
      <w:pPr>
        <w:spacing w:after="0" w:line="15" w:lineRule="exact"/>
        <w:rPr>
          <w:rFonts w:ascii="Arial" w:cs="Arial" w:eastAsia="Arial" w:hAnsi="Arial"/>
          <w:sz w:val="16"/>
          <w:szCs w:val="16"/>
          <w:color w:val="auto"/>
        </w:rPr>
      </w:pPr>
    </w:p>
    <w:p>
      <w:pPr>
        <w:ind w:left="460" w:right="20" w:firstLine="443"/>
        <w:spacing w:after="0" w:line="259" w:lineRule="auto"/>
        <w:tabs>
          <w:tab w:leader="none" w:pos="111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to the Borrower or any Guarantor, to it at American Airlines, Inc., 4333 Amon Carter Boulevard, Mail Drop 5662, Fort Worth, TX 76155, facsimile: (817) 967-4318; Attention: Treasurer and, in respect of notices of proposed assignments of Loans or Commitments to the Borrower by email at Debt.Notifications@aa.com (which shall not constitute notice); with copies to: Latham &amp; Watkins LLP, 885 Third Avenue, New York, NY 10022, facsimile: (212) 751-4864; Attention: ###;</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274" w:right="279" w:bottom="1440" w:gutter="0" w:footer="0" w:header="0"/>
        </w:sectPr>
      </w:pPr>
    </w:p>
    <w:bookmarkStart w:id="230" w:name="page231"/>
    <w:bookmarkEnd w:id="230"/>
    <w:p>
      <w:pPr>
        <w:ind w:left="1120" w:hanging="257"/>
        <w:spacing w:after="0"/>
        <w:tabs>
          <w:tab w:leader="none" w:pos="1120" w:val="left"/>
        </w:tabs>
        <w:numPr>
          <w:ilvl w:val="0"/>
          <w:numId w:val="2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Administrative Agent, to it at Barclays Bank PLC, 700 Prides Crossing, Newark, Delaware 19713, facsimile: 214-545-5230; email:</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 Attention: ###;</w:t>
      </w:r>
    </w:p>
    <w:p>
      <w:pPr>
        <w:spacing w:after="0" w:line="102" w:lineRule="exact"/>
        <w:rPr>
          <w:rFonts w:ascii="Arial" w:cs="Arial" w:eastAsia="Arial" w:hAnsi="Arial"/>
          <w:sz w:val="16"/>
          <w:szCs w:val="16"/>
          <w:color w:val="auto"/>
        </w:rPr>
      </w:pPr>
    </w:p>
    <w:p>
      <w:pPr>
        <w:ind w:left="1180" w:hanging="317"/>
        <w:spacing w:after="0"/>
        <w:tabs>
          <w:tab w:leader="none" w:pos="11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if to the Collateral Agent, to it at Barclays Bank PLC, 700 Prides Crossing, Newark, Delaware 19713, facsimile: 214-545-5230; email: ###;</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Attention: ###;</w:t>
      </w:r>
    </w:p>
    <w:p>
      <w:pPr>
        <w:spacing w:after="0" w:line="102" w:lineRule="exact"/>
        <w:rPr>
          <w:rFonts w:ascii="Arial" w:cs="Arial" w:eastAsia="Arial" w:hAnsi="Arial"/>
          <w:sz w:val="16"/>
          <w:szCs w:val="16"/>
          <w:color w:val="auto"/>
        </w:rPr>
      </w:pPr>
    </w:p>
    <w:p>
      <w:pPr>
        <w:ind w:left="420" w:right="200" w:firstLine="443"/>
        <w:spacing w:after="0" w:line="286" w:lineRule="auto"/>
        <w:tabs>
          <w:tab w:leader="none" w:pos="1163"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if to an Issuing Lender that is a Lender, to it at its address determined pursuant to clause (v) below or, if to an Issuing Lender that is not a Lender, to it at the address most recently specified by it in notice delivered by it to the Administrative Agent and the Borrower, unless no such notice has been received, in which case to it in care of its Affiliate that is a Lender at its address determined pursuant to clause (v); and</w:t>
      </w:r>
    </w:p>
    <w:p>
      <w:pPr>
        <w:spacing w:after="0" w:line="57" w:lineRule="exact"/>
        <w:rPr>
          <w:rFonts w:ascii="Arial" w:cs="Arial" w:eastAsia="Arial" w:hAnsi="Arial"/>
          <w:sz w:val="17"/>
          <w:szCs w:val="17"/>
          <w:color w:val="auto"/>
        </w:rPr>
      </w:pPr>
    </w:p>
    <w:p>
      <w:pPr>
        <w:ind w:left="420" w:right="180" w:firstLine="443"/>
        <w:spacing w:after="0" w:line="277" w:lineRule="auto"/>
        <w:tabs>
          <w:tab w:leader="none" w:pos="111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Annex A hereto or, if subsequently delivered, an Assignment and Acceptance.</w:t>
      </w:r>
    </w:p>
    <w:p>
      <w:pPr>
        <w:spacing w:after="0" w:line="170" w:lineRule="exact"/>
        <w:rPr>
          <w:rFonts w:ascii="Arial" w:cs="Arial" w:eastAsia="Arial" w:hAnsi="Arial"/>
          <w:sz w:val="18"/>
          <w:szCs w:val="18"/>
          <w:color w:val="auto"/>
        </w:rPr>
      </w:pPr>
    </w:p>
    <w:p>
      <w:pPr>
        <w:ind w:left="-40" w:firstLine="921"/>
        <w:spacing w:after="0" w:line="255" w:lineRule="auto"/>
        <w:tabs>
          <w:tab w:leader="none" w:pos="112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Article II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approval shall be required for any notice delivered to the Administrative Agent by electronic mail pursuant to Section 2.05(b) or Section 2.13(a).</w:t>
      </w:r>
    </w:p>
    <w:p>
      <w:pPr>
        <w:spacing w:after="0" w:line="193" w:lineRule="exact"/>
        <w:rPr>
          <w:rFonts w:ascii="Arial" w:cs="Arial" w:eastAsia="Arial" w:hAnsi="Arial"/>
          <w:sz w:val="18"/>
          <w:szCs w:val="18"/>
          <w:color w:val="auto"/>
        </w:rPr>
      </w:pPr>
    </w:p>
    <w:p>
      <w:pPr>
        <w:ind w:left="-40" w:right="160" w:firstLine="921"/>
        <w:spacing w:after="0" w:line="264" w:lineRule="auto"/>
        <w:tabs>
          <w:tab w:leader="none" w:pos="111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left="-40" w:right="220" w:firstLine="921"/>
        <w:spacing w:after="0" w:line="259" w:lineRule="auto"/>
        <w:tabs>
          <w:tab w:leader="none" w:pos="111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(including any Affiliate of an Issuing Lender that issues any Letter of Credit), except that (i) neither Parent nor the Borrower may assign or otherwise transfer any of its rights or obligations hereunder without the prior written consent of each Lender (and any attempted assignment or transfer by Parent or the Borrower without such consent shall be null and void);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40"/>
          </w:cols>
          <w:pgMar w:left="280" w:top="274" w:right="279" w:bottom="1440" w:gutter="0" w:footer="0" w:header="0"/>
        </w:sectPr>
      </w:pPr>
    </w:p>
    <w:bookmarkStart w:id="231" w:name="page232"/>
    <w:bookmarkEnd w:id="231"/>
    <w:p>
      <w:pPr>
        <w:ind w:right="40"/>
        <w:spacing w:after="0" w:line="29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6"/>
          <w:szCs w:val="16"/>
          <w:color w:val="auto"/>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paragraph (d) of this Section 10.02) and, to the extent expressly contemplated hereby, the Related Parties of the Administrative Agent, the Issuing Lenders and the Lenders) any legal or equitable right, remedy or claim under or by reason of this Agreement.</w:t>
      </w:r>
    </w:p>
    <w:p>
      <w:pPr>
        <w:spacing w:after="0" w:line="158" w:lineRule="exact"/>
        <w:rPr>
          <w:sz w:val="20"/>
          <w:szCs w:val="20"/>
          <w:color w:val="auto"/>
        </w:rPr>
      </w:pPr>
    </w:p>
    <w:p>
      <w:pPr>
        <w:ind w:right="260" w:firstLine="921"/>
        <w:spacing w:after="0" w:line="279" w:lineRule="auto"/>
        <w:tabs>
          <w:tab w:leader="none" w:pos="1168"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 Subject to the conditions set forth in paragraph (b)(ii) below, any Lender, in the ordinary course of business and in accordance with applicable law, may assign (other than to any Defaulting Lender, Disqualified Institution or natural person) to one or more assignees all or a portion of its rights and obligations under this Agreement (including all or a portion of its Revolving Commitment and the Loans at the time owing to it), pursuant to an Assignment and Acceptance with the prior written consent (such consent not to be unreasonably withheld or delayed) of:</w:t>
      </w:r>
    </w:p>
    <w:p>
      <w:pPr>
        <w:spacing w:after="0" w:line="63" w:lineRule="exact"/>
        <w:rPr>
          <w:sz w:val="20"/>
          <w:szCs w:val="20"/>
          <w:color w:val="auto"/>
        </w:rPr>
      </w:pPr>
    </w:p>
    <w:p>
      <w:pPr>
        <w:ind w:left="460" w:right="100" w:firstLine="443"/>
        <w:spacing w:after="0" w:line="286" w:lineRule="auto"/>
        <w:tabs>
          <w:tab w:leader="none" w:pos="1193"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(I) if the assignee is a Lender, an Affiliate of a Lender or an Approved Fund of a Lender, in each case so long as such assignee is an Eligible Assignee, (II) of Term Loans to the Borrower pursuant to Section 10.02(g) and (III) of Loans made pursuant to Section 2.18(b) or 2.26(a);</w:t>
      </w:r>
    </w:p>
    <w:p>
      <w:pPr>
        <w:spacing w:after="0" w:line="57" w:lineRule="exact"/>
        <w:rPr>
          <w:rFonts w:ascii="Arial" w:cs="Arial" w:eastAsia="Arial" w:hAnsi="Arial"/>
          <w:sz w:val="17"/>
          <w:szCs w:val="17"/>
          <w:color w:val="auto"/>
        </w:rPr>
      </w:pPr>
    </w:p>
    <w:p>
      <w:pPr>
        <w:ind w:left="460" w:right="40" w:firstLine="443"/>
        <w:spacing w:after="0" w:line="297" w:lineRule="auto"/>
        <w:tabs>
          <w:tab w:leader="none" w:pos="1183"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for an assignment (I) other than with respect to an assignment to any Defaulting Lender, Disqualified Institution or natural person, if an Event of Default under Section 7.01(b), (f) or (g) has occurred and is continuing or (II) if the assignee is a Lender, an Affiliate of a Lender or an Approved Fund of a Lender, in each case so long as such assignee is an Eligible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Borrower’s consent will be deemed given with respect to a proposed assignment if no response is received within ten (10) Business Days after having received a written request from such Lender pursuant to this Section 10.02(b)(i)(B); and</w:t>
      </w:r>
    </w:p>
    <w:p>
      <w:pPr>
        <w:spacing w:after="0" w:line="50" w:lineRule="exact"/>
        <w:rPr>
          <w:rFonts w:ascii="Arial" w:cs="Arial" w:eastAsia="Arial" w:hAnsi="Arial"/>
          <w:sz w:val="16"/>
          <w:szCs w:val="16"/>
          <w:color w:val="auto"/>
        </w:rPr>
      </w:pPr>
    </w:p>
    <w:p>
      <w:pPr>
        <w:ind w:left="1180" w:hanging="277"/>
        <w:spacing w:after="0"/>
        <w:tabs>
          <w:tab w:leader="none" w:pos="11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each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any Issuing Lender shall be required for an assignment of all or any portion of a Term Loan.</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117" w:lineRule="exact"/>
        <w:rPr>
          <w:sz w:val="20"/>
          <w:szCs w:val="20"/>
          <w:color w:val="auto"/>
        </w:rPr>
      </w:pPr>
    </w:p>
    <w:p>
      <w:pPr>
        <w:ind w:left="460" w:right="320" w:firstLine="443"/>
        <w:spacing w:after="0" w:line="277" w:lineRule="auto"/>
        <w:tabs>
          <w:tab w:leader="none" w:pos="119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assignment of any portion of the Total Revolving Commitment, Revolving Loans, LC Exposure and Term Loans shall be made to an Eligible Assignee;</w:t>
      </w:r>
    </w:p>
    <w:p>
      <w:pPr>
        <w:spacing w:after="0" w:line="62" w:lineRule="exact"/>
        <w:rPr>
          <w:rFonts w:ascii="Arial" w:cs="Arial" w:eastAsia="Arial" w:hAnsi="Arial"/>
          <w:sz w:val="18"/>
          <w:szCs w:val="18"/>
          <w:color w:val="auto"/>
        </w:rPr>
      </w:pPr>
    </w:p>
    <w:p>
      <w:pPr>
        <w:jc w:val="both"/>
        <w:ind w:left="460" w:right="360" w:firstLine="443"/>
        <w:spacing w:after="0" w:line="312" w:lineRule="auto"/>
        <w:tabs>
          <w:tab w:leader="none" w:pos="1183" w:val="left"/>
        </w:tabs>
        <w:numPr>
          <w:ilvl w:val="0"/>
          <w:numId w:val="264"/>
        </w:numPr>
        <w:rPr>
          <w:rFonts w:ascii="Arial" w:cs="Arial" w:eastAsia="Arial" w:hAnsi="Arial"/>
          <w:sz w:val="16"/>
          <w:szCs w:val="16"/>
          <w:color w:val="auto"/>
        </w:rPr>
      </w:pPr>
      <w:r>
        <w:rPr>
          <w:rFonts w:ascii="Arial" w:cs="Arial" w:eastAsia="Arial" w:hAnsi="Arial"/>
          <w:sz w:val="16"/>
          <w:szCs w:val="16"/>
          <w:color w:val="auto"/>
        </w:rPr>
        <w:t>except in the case of an assignment to a Lender, an Affiliate of a Lender or an Approved Fund of a Lender or an assignment of the entire remaining amount of the assigning Lender’s Revolving Commitment or Loans, the amount of such Commitment or Loans of the assigning Lender subject to each such assignment (determined as of the date the Assignment and Acceptance with respect to such assignment is delivered to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274" w:right="279" w:bottom="1440" w:gutter="0" w:footer="0" w:header="0"/>
        </w:sectPr>
      </w:pPr>
    </w:p>
    <w:bookmarkStart w:id="232" w:name="page233"/>
    <w:bookmarkEnd w:id="232"/>
    <w:p>
      <w:pPr>
        <w:ind w:left="460"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Administrative Agent) shall not be less than $5,000,000, and after giving effect to such assignment, the portion of the Loan or Commitment held by the assigning Lender of the same tranche as the assigned portion of the Loan or Commitment shall not be less than $5,000,000, in each case unless the 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with respect to such assignment if an Event of Default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assignment shall be in increments of $500,000 in excess of the minimum amount described above;</w:t>
      </w:r>
    </w:p>
    <w:p>
      <w:pPr>
        <w:spacing w:after="0" w:line="80" w:lineRule="exact"/>
        <w:rPr>
          <w:sz w:val="20"/>
          <w:szCs w:val="20"/>
          <w:color w:val="auto"/>
        </w:rPr>
      </w:pPr>
    </w:p>
    <w:p>
      <w:pPr>
        <w:ind w:left="460" w:right="80" w:firstLine="443"/>
        <w:spacing w:after="0" w:line="277" w:lineRule="auto"/>
        <w:tabs>
          <w:tab w:leader="none" w:pos="118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62" w:lineRule="exact"/>
        <w:rPr>
          <w:rFonts w:ascii="Arial" w:cs="Arial" w:eastAsia="Arial" w:hAnsi="Arial"/>
          <w:sz w:val="18"/>
          <w:szCs w:val="18"/>
          <w:color w:val="auto"/>
        </w:rPr>
      </w:pPr>
    </w:p>
    <w:p>
      <w:pPr>
        <w:ind w:left="460" w:right="120" w:firstLine="443"/>
        <w:spacing w:after="0" w:line="259" w:lineRule="auto"/>
        <w:tabs>
          <w:tab w:leader="none" w:pos="119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Acceptance, together with a processing and recordation fee of $3,500 (unless waived by the Administrative Agent in any given case) for the account of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concurrent assignments to two or more Approved Funds such assignment fee shall be required to be paid only once in respect of and at the time of such assignment;</w:t>
      </w:r>
    </w:p>
    <w:p>
      <w:pPr>
        <w:spacing w:after="0" w:line="78" w:lineRule="exact"/>
        <w:rPr>
          <w:rFonts w:ascii="Arial" w:cs="Arial" w:eastAsia="Arial" w:hAnsi="Arial"/>
          <w:sz w:val="18"/>
          <w:szCs w:val="18"/>
          <w:color w:val="auto"/>
        </w:rPr>
      </w:pPr>
    </w:p>
    <w:p>
      <w:pPr>
        <w:ind w:left="460" w:right="620" w:firstLine="443"/>
        <w:spacing w:after="0" w:line="277" w:lineRule="auto"/>
        <w:tabs>
          <w:tab w:leader="none" w:pos="117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assignee, if it was not a Lender immediately prior to such assignment, shall deliver to the Administrative Agent an administrative questionnaire in a form as the Administrative Agent may require; and</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6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notwithstanding anything to the contrary herein, any assignment of any Term Loans to the Borrower shall be subject to the requirements of Section 10.02(g).</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For the purposes of this Section 10.02(b), the term “</w:t>
      </w:r>
      <w:r>
        <w:rPr>
          <w:rFonts w:ascii="Arial" w:cs="Arial" w:eastAsia="Arial" w:hAnsi="Arial"/>
          <w:sz w:val="18"/>
          <w:szCs w:val="18"/>
          <w:i w:val="1"/>
          <w:iCs w:val="1"/>
          <w:color w:val="auto"/>
        </w:rPr>
        <w:t>Approved Fund</w:t>
      </w:r>
      <w:r>
        <w:rPr>
          <w:rFonts w:ascii="Arial" w:cs="Arial" w:eastAsia="Arial" w:hAnsi="Arial"/>
          <w:sz w:val="18"/>
          <w:szCs w:val="18"/>
          <w:color w:val="auto"/>
        </w:rPr>
        <w:t xml:space="preserve">”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 Agreement to any Defaulting Lender, Disqualified Institution or natural person and any such assignment shall be void </w:t>
      </w:r>
      <w:r>
        <w:rPr>
          <w:rFonts w:ascii="Arial" w:cs="Arial" w:eastAsia="Arial" w:hAnsi="Arial"/>
          <w:sz w:val="18"/>
          <w:szCs w:val="18"/>
          <w:i w:val="1"/>
          <w:iCs w:val="1"/>
          <w:color w:val="auto"/>
        </w:rPr>
        <w:t>ab initio</w:t>
      </w:r>
      <w:r>
        <w:rPr>
          <w:rFonts w:ascii="Arial" w:cs="Arial" w:eastAsia="Arial" w:hAnsi="Arial"/>
          <w:sz w:val="18"/>
          <w:szCs w:val="18"/>
          <w:color w:val="auto"/>
        </w:rPr>
        <w:t>, except to the extent the Borrower, the Administrative Agent and each Issuing Lender have consented to such assignment in writing (in which case such Lender will not be considered a Defaulting Lender, Disqualified Institution or natural person solely for that particular assignment).</w:t>
      </w:r>
    </w:p>
    <w:p>
      <w:pPr>
        <w:spacing w:after="0" w:line="189" w:lineRule="exact"/>
        <w:rPr>
          <w:sz w:val="20"/>
          <w:szCs w:val="20"/>
          <w:color w:val="auto"/>
        </w:rPr>
      </w:pPr>
    </w:p>
    <w:p>
      <w:pPr>
        <w:ind w:firstLine="921"/>
        <w:spacing w:after="0" w:line="255" w:lineRule="auto"/>
        <w:tabs>
          <w:tab w:leader="none" w:pos="122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Revolving Lender and/or a Term Lender, as the case may be,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80"/>
          </w:cols>
          <w:pgMar w:left="240" w:top="274" w:right="279" w:bottom="1440" w:gutter="0" w:footer="0" w:header="0"/>
        </w:sectPr>
      </w:pPr>
    </w:p>
    <w:bookmarkStart w:id="233" w:name="page234"/>
    <w:bookmarkEnd w:id="233"/>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benefits of Sections 2.14, 2.16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w:t>
      </w:r>
    </w:p>
    <w:p>
      <w:pPr>
        <w:spacing w:after="0" w:line="181" w:lineRule="exact"/>
        <w:rPr>
          <w:sz w:val="20"/>
          <w:szCs w:val="20"/>
          <w:color w:val="auto"/>
        </w:rPr>
      </w:pPr>
    </w:p>
    <w:p>
      <w:pPr>
        <w:ind w:right="40" w:firstLine="921"/>
        <w:spacing w:after="0" w:line="255" w:lineRule="auto"/>
        <w:tabs>
          <w:tab w:leader="none" w:pos="121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Administrative Agent shall maintain at its offices a copy of each Assignment and Acceptance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8"/>
          <w:szCs w:val="18"/>
          <w:i w:val="1"/>
          <w:iCs w:val="1"/>
          <w:color w:val="auto"/>
        </w:rPr>
        <w:t>Register</w:t>
      </w:r>
      <w:r>
        <w:rPr>
          <w:rFonts w:ascii="Arial" w:cs="Arial" w:eastAsia="Arial" w:hAnsi="Arial"/>
          <w:sz w:val="18"/>
          <w:szCs w:val="18"/>
          <w:color w:val="auto"/>
        </w:rPr>
        <w:t>”). The entries in the Register shall be conclusive absent manifest error, and the Borrower, the Guarantors,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w:t>
      </w:r>
    </w:p>
    <w:p>
      <w:pPr>
        <w:spacing w:after="0" w:line="189" w:lineRule="exact"/>
        <w:rPr>
          <w:rFonts w:ascii="Arial" w:cs="Arial" w:eastAsia="Arial" w:hAnsi="Arial"/>
          <w:sz w:val="18"/>
          <w:szCs w:val="18"/>
          <w:color w:val="auto"/>
        </w:rPr>
      </w:pPr>
    </w:p>
    <w:p>
      <w:pPr>
        <w:ind w:right="140" w:firstLine="921"/>
        <w:spacing w:after="0" w:line="297" w:lineRule="auto"/>
        <w:tabs>
          <w:tab w:leader="none" w:pos="116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clause (v). Any assignment by a Lender to any of the foregoing Persons described in this clause (v) shall be deemed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the Register shall be modified to reflect a reversal of such assignment, and the Borrower shall be entitled to pursue any remedy available to it (whether at law or in equity, including specific performance to unwind such assignment) against the Lender and such Person.</w:t>
      </w:r>
    </w:p>
    <w:p>
      <w:pPr>
        <w:spacing w:after="0" w:line="158" w:lineRule="exact"/>
        <w:rPr>
          <w:rFonts w:ascii="Arial" w:cs="Arial" w:eastAsia="Arial" w:hAnsi="Arial"/>
          <w:sz w:val="16"/>
          <w:szCs w:val="16"/>
          <w:color w:val="auto"/>
        </w:rPr>
      </w:pPr>
    </w:p>
    <w:p>
      <w:pPr>
        <w:ind w:firstLine="921"/>
        <w:spacing w:after="0" w:line="288" w:lineRule="auto"/>
        <w:tabs>
          <w:tab w:leader="none" w:pos="121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Borrower, the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69" w:lineRule="exact"/>
        <w:rPr>
          <w:sz w:val="20"/>
          <w:szCs w:val="20"/>
          <w:color w:val="auto"/>
        </w:rPr>
      </w:pPr>
    </w:p>
    <w:p>
      <w:pPr>
        <w:jc w:val="both"/>
        <w:ind w:right="60" w:firstLine="921"/>
        <w:spacing w:after="0" w:line="264" w:lineRule="auto"/>
        <w:tabs>
          <w:tab w:leader="none" w:pos="115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274" w:right="259" w:bottom="1440" w:gutter="0" w:footer="0" w:header="0"/>
        </w:sectPr>
      </w:pPr>
    </w:p>
    <w:bookmarkStart w:id="234" w:name="page235"/>
    <w:bookmarkEnd w:id="23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Section 10.02 and any written consent to such assignment required by paragraph (b) of this Section 10.02, the Administrative Agent shall accept such Assignment and Acceptance and record the information contained therein in the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the assigning Lender or the assignee shall have failed to make any payment required to be made by it pursuant to Section 2.02(d) or (e), 2.04(a) or (b), 8.04 or 10.04(d),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3" w:lineRule="exact"/>
        <w:rPr>
          <w:sz w:val="20"/>
          <w:szCs w:val="20"/>
          <w:color w:val="auto"/>
        </w:rPr>
      </w:pPr>
    </w:p>
    <w:p>
      <w:pPr>
        <w:ind w:firstLine="921"/>
        <w:spacing w:after="0" w:line="284" w:lineRule="auto"/>
        <w:tabs>
          <w:tab w:leader="none" w:pos="116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 Any Lender may, without the consent of the Borrower, the Administrative Agent or any Issuing Lender, sell participations (other than to any Defaulting Lender, Disqualified Institution or natural person) to one or more banks or other entities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such Lender shall remain the holder of any such Loan for all purposes under this Agreement and the other Loan Documents and (D)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10.02(d)(ii), the Borrower agrees that each Participant shall be entitled to the benefits of (and shall have the related obligations under) Sections 2.14 and 2.16 to the same extent as if it were a Lender and had acquired its interest by assignment pursuant to Section 10.02(b). To the extent permitted by law, each Participant also shall be entitled to the benefits of Section 8.08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the requirements of Section 8.08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60"/>
          </w:cols>
          <w:pgMar w:left="240" w:top="274" w:right="299" w:bottom="1440" w:gutter="0" w:footer="0" w:header="0"/>
        </w:sectPr>
      </w:pPr>
    </w:p>
    <w:bookmarkStart w:id="235" w:name="page236"/>
    <w:bookmarkEnd w:id="235"/>
    <w:p>
      <w:pPr>
        <w:jc w:val="both"/>
        <w:ind w:right="5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Disqualified Institution or natural person and any such participation shall be void </w:t>
      </w:r>
      <w:r>
        <w:rPr>
          <w:rFonts w:ascii="Arial" w:cs="Arial" w:eastAsia="Arial" w:hAnsi="Arial"/>
          <w:sz w:val="17"/>
          <w:szCs w:val="17"/>
          <w:i w:val="1"/>
          <w:iCs w:val="1"/>
          <w:color w:val="auto"/>
        </w:rPr>
        <w:t>ab initio</w:t>
      </w:r>
      <w:r>
        <w:rPr>
          <w:rFonts w:ascii="Arial" w:cs="Arial" w:eastAsia="Arial" w:hAnsi="Arial"/>
          <w:sz w:val="17"/>
          <w:szCs w:val="17"/>
          <w:color w:val="auto"/>
        </w:rPr>
        <w:t>,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Section 10.02 shall be null and void.</w:t>
      </w:r>
    </w:p>
    <w:p>
      <w:pPr>
        <w:spacing w:after="0" w:line="166" w:lineRule="exact"/>
        <w:rPr>
          <w:sz w:val="20"/>
          <w:szCs w:val="20"/>
          <w:color w:val="auto"/>
        </w:rPr>
      </w:pPr>
    </w:p>
    <w:p>
      <w:pPr>
        <w:ind w:right="220" w:firstLine="921"/>
        <w:spacing w:after="0" w:line="276" w:lineRule="auto"/>
        <w:tabs>
          <w:tab w:leader="none" w:pos="117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Section 2.18(b) if such Participant requests compensation or additional amounts pursuant to Section 2.14 or 2.16. A Participant shall not be entitled to the benefits of Section 2.16 unless such Participant agrees, for the benefit of the Borrower, to comply with Sections 2.16(f), 2.16(g) and 2.16(h) as though it were a Lender.</w:t>
      </w:r>
    </w:p>
    <w:p>
      <w:pPr>
        <w:spacing w:after="0" w:line="173" w:lineRule="exact"/>
        <w:rPr>
          <w:sz w:val="20"/>
          <w:szCs w:val="20"/>
          <w:color w:val="auto"/>
        </w:rPr>
      </w:pPr>
    </w:p>
    <w:p>
      <w:pPr>
        <w:ind w:firstLine="921"/>
        <w:spacing w:after="0" w:line="302" w:lineRule="auto"/>
        <w:tabs>
          <w:tab w:leader="none" w:pos="1158" w:val="left"/>
        </w:tabs>
        <w:numPr>
          <w:ilvl w:val="1"/>
          <w:numId w:val="271"/>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154" w:lineRule="exact"/>
        <w:rPr>
          <w:rFonts w:ascii="Arial" w:cs="Arial" w:eastAsia="Arial" w:hAnsi="Arial"/>
          <w:sz w:val="16"/>
          <w:szCs w:val="16"/>
          <w:color w:val="auto"/>
        </w:rPr>
      </w:pPr>
    </w:p>
    <w:p>
      <w:pPr>
        <w:ind w:right="40" w:firstLine="921"/>
        <w:spacing w:after="0" w:line="257" w:lineRule="auto"/>
        <w:tabs>
          <w:tab w:leader="none" w:pos="113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 xml:space="preserve">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w:t>
      </w:r>
    </w:p>
    <w:p>
      <w:pPr>
        <w:spacing w:after="0" w:line="188" w:lineRule="exact"/>
        <w:rPr>
          <w:rFonts w:ascii="Arial" w:cs="Arial" w:eastAsia="Arial" w:hAnsi="Arial"/>
          <w:sz w:val="18"/>
          <w:szCs w:val="18"/>
          <w:color w:val="auto"/>
        </w:rPr>
      </w:pPr>
    </w:p>
    <w:p>
      <w:pPr>
        <w:ind w:right="180" w:firstLine="921"/>
        <w:spacing w:after="0" w:line="342" w:lineRule="auto"/>
        <w:tabs>
          <w:tab w:leader="none" w:pos="1168" w:val="left"/>
        </w:tabs>
        <w:numPr>
          <w:ilvl w:val="1"/>
          <w:numId w:val="271"/>
        </w:numPr>
        <w:rPr>
          <w:rFonts w:ascii="Arial" w:cs="Arial" w:eastAsia="Arial" w:hAnsi="Arial"/>
          <w:sz w:val="16"/>
          <w:szCs w:val="16"/>
          <w:color w:val="auto"/>
        </w:rPr>
      </w:pPr>
      <w:r>
        <w:rPr>
          <w:rFonts w:ascii="Arial" w:cs="Arial" w:eastAsia="Arial" w:hAnsi="Arial"/>
          <w:sz w:val="16"/>
          <w:szCs w:val="16"/>
          <w:color w:val="auto"/>
        </w:rPr>
        <w:t xml:space="preserve">Notwithstanding anything else to the contrary contained in this Agreement, any Lender may assign all or a portion of its Term Loans of any Class to the Borrower in accordance with Section 10.02(b) pursuant to a Dutch Auction or open market purchase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 w:lineRule="exact"/>
        <w:rPr>
          <w:rFonts w:ascii="Arial" w:cs="Arial" w:eastAsia="Arial" w:hAnsi="Arial"/>
          <w:sz w:val="16"/>
          <w:szCs w:val="16"/>
          <w:color w:val="auto"/>
        </w:rPr>
      </w:pPr>
    </w:p>
    <w:p>
      <w:pPr>
        <w:ind w:left="460" w:right="220" w:firstLine="443"/>
        <w:spacing w:after="0" w:line="277" w:lineRule="auto"/>
        <w:tabs>
          <w:tab w:leader="none" w:pos="111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assigning Lender and the Borrower purchasing such Lender’s Term Loans, as applicable, shall execute and deliver to the Administrative Agent an Assignment and Acceptance;</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6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Term Loans assigned to the Borrower shall be automatically and permanently cancelled upon the effectiveness of such assignment and will thereafter no longer be outstanding for any purpose hereunder;</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 Event of Default has occurred or is continuing; and</w:t>
      </w:r>
    </w:p>
    <w:p>
      <w:pPr>
        <w:spacing w:after="0" w:line="117" w:lineRule="exact"/>
        <w:rPr>
          <w:rFonts w:ascii="Arial" w:cs="Arial" w:eastAsia="Arial" w:hAnsi="Arial"/>
          <w:sz w:val="18"/>
          <w:szCs w:val="18"/>
          <w:color w:val="auto"/>
        </w:rPr>
      </w:pPr>
    </w:p>
    <w:p>
      <w:pPr>
        <w:ind w:left="460" w:right="80" w:firstLine="443"/>
        <w:spacing w:after="0" w:line="257" w:lineRule="auto"/>
        <w:tabs>
          <w:tab w:leader="none" w:pos="120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assignment to the Borrower and cancellation of Term Loans shall not constitute a mandatory or voluntary payment for purposes of Section 2.12 or 2.13 and shall not be subject to Section 8.08, but the aggregate outstanding principal amount of the Term Loans shall be deemed reduced by the full par value of the aggregate principal amount of the Term Loans purchased pursuant to this Section 10.02(g), and each principal repayment installment with respect to the Term Loans of such Class shall be reduced pro rata by the aggregate principal amount of Term Loans of such Class purchased hereunder.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274" w:right="239" w:bottom="1440" w:gutter="0" w:footer="0" w:header="0"/>
        </w:sectPr>
      </w:pPr>
    </w:p>
    <w:bookmarkStart w:id="236" w:name="page237"/>
    <w:bookmarkEnd w:id="236"/>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 making an assignment to the Borrower acknowledges and agrees that in connection with such assignment, (1) the Borrower then may have, and later may come into possession of, information regarding the Term Loans or the Loan Parties hereunder that is not known to such Lender and that may be material to a decision by such Lender to assign the Term Loans (“</w:t>
      </w:r>
      <w:r>
        <w:rPr>
          <w:rFonts w:ascii="Arial" w:cs="Arial" w:eastAsia="Arial" w:hAnsi="Arial"/>
          <w:sz w:val="17"/>
          <w:szCs w:val="17"/>
          <w:i w:val="1"/>
          <w:iCs w:val="1"/>
          <w:color w:val="auto"/>
        </w:rPr>
        <w:t>Excluded Information</w:t>
      </w:r>
      <w:r>
        <w:rPr>
          <w:rFonts w:ascii="Arial" w:cs="Arial" w:eastAsia="Arial" w:hAnsi="Arial"/>
          <w:sz w:val="17"/>
          <w:szCs w:val="17"/>
          <w:color w:val="auto"/>
        </w:rPr>
        <w:t>”), (2) such Lender has independently and, without reliance on the Borrower, the Administrative Agent or any of their respective Affiliates, made its own analysis and determination to enter into such assignment notwithstanding such Lender’s lack of knowledge of the Excluded Information and (3) none of the Borrower, the Administrative Agent, or any of their respective Affiliates shall have any liability to such Lender, and such Lender hereby waives and releases, to the extent permitted by law, any claims such Lender may have against the Borrower,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w:t>
      </w:r>
    </w:p>
    <w:p>
      <w:pPr>
        <w:spacing w:after="0" w:line="182" w:lineRule="exact"/>
        <w:rPr>
          <w:sz w:val="20"/>
          <w:szCs w:val="20"/>
          <w:color w:val="auto"/>
        </w:rPr>
      </w:pPr>
    </w:p>
    <w:p>
      <w:pPr>
        <w:ind w:right="20" w:firstLine="921"/>
        <w:spacing w:after="0" w:line="257" w:lineRule="auto"/>
        <w:tabs>
          <w:tab w:leader="none" w:pos="116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 assignment or participation made or purported to be made to any assignee or Participant shall be effective without the prior written consent of the Borrower if it would require the Borrower to make any filing with any Governmental Authority or qualify any Loan under the laws of any jurisdiction, and the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w:t>
      </w:r>
    </w:p>
    <w:p>
      <w:pPr>
        <w:spacing w:after="0" w:line="188" w:lineRule="exact"/>
        <w:rPr>
          <w:rFonts w:ascii="Arial" w:cs="Arial" w:eastAsia="Arial" w:hAnsi="Arial"/>
          <w:sz w:val="18"/>
          <w:szCs w:val="18"/>
          <w:color w:val="auto"/>
        </w:rPr>
      </w:pPr>
    </w:p>
    <w:p>
      <w:pPr>
        <w:ind w:right="100" w:firstLine="921"/>
        <w:spacing w:after="0" w:line="270" w:lineRule="auto"/>
        <w:tabs>
          <w:tab w:leader="none" w:pos="112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the Borrower wishes to replace any Loans under any Facility hereunder with ones having different terms, it shall have the option, with the consent of the Administrative Agent and subject to at least three (3) Business Days’ advance notice to the Lenders under such Facility, instead of prepaying the Loan to be replaced, to (i) require the Lenders under such Facility to assign such Loans to the Administrative Agent or its designees and (ii) amend the terms thereof in accordance with Section 10.08. Pursuant to any such assignment, all Loans to be replaced shall be purchased at par (allocated among the Lenders under such Facility in the same manner as would be required if such Loans were being optionally prepaid by the Borrower), accompanied by payment of any accrued interest and fees thereon and any amounts owing pursuant to Section 10.04(b). By receiving such purchase price, the Lenders under such Facility 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in connection therewith. The provisions of this clause (i) are intended to facilitate the maintenance of the perfection and priority of existing security interests in the Collateral during any such replacement.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274" w:right="279" w:bottom="1440" w:gutter="0" w:footer="0" w:header="0"/>
        </w:sectPr>
      </w:pPr>
    </w:p>
    <w:bookmarkStart w:id="237" w:name="page238"/>
    <w:bookmarkEnd w:id="237"/>
    <w:p>
      <w:pPr>
        <w:ind w:right="280" w:firstLine="921"/>
        <w:spacing w:after="0" w:line="257" w:lineRule="auto"/>
        <w:tabs>
          <w:tab w:leader="none" w:pos="1128"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any replacement of a Lender pursuant to Section 2.18, 2.26(a), 10.08(b) or other provision hereof (collectively, a “</w:t>
      </w:r>
      <w:r>
        <w:rPr>
          <w:rFonts w:ascii="Arial" w:cs="Arial" w:eastAsia="Arial" w:hAnsi="Arial"/>
          <w:sz w:val="18"/>
          <w:szCs w:val="18"/>
          <w:i w:val="1"/>
          <w:iCs w:val="1"/>
          <w:color w:val="auto"/>
        </w:rPr>
        <w:t>Replaceable Lender</w:t>
      </w:r>
      <w:r>
        <w:rPr>
          <w:rFonts w:ascii="Arial" w:cs="Arial" w:eastAsia="Arial" w:hAnsi="Arial"/>
          <w:sz w:val="18"/>
          <w:szCs w:val="18"/>
          <w:color w:val="auto"/>
        </w:rPr>
        <w:t>”),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w:t>
      </w:r>
    </w:p>
    <w:p>
      <w:pPr>
        <w:spacing w:after="0" w:line="188" w:lineRule="exact"/>
        <w:rPr>
          <w:rFonts w:ascii="Arial" w:cs="Arial" w:eastAsia="Arial" w:hAnsi="Arial"/>
          <w:sz w:val="18"/>
          <w:szCs w:val="18"/>
          <w:color w:val="auto"/>
        </w:rPr>
      </w:pPr>
    </w:p>
    <w:p>
      <w:pPr>
        <w:ind w:right="420" w:firstLine="921"/>
        <w:spacing w:after="0" w:line="264" w:lineRule="auto"/>
        <w:tabs>
          <w:tab w:leader="none" w:pos="116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Loan Party and Lender acknowledges and agrees that the Administrative Agent shall not have any responsibility for determining whether any Lender or potential Lender or Participant or potential Participant is a Disqualified Institution or otherwise prohibited from holding Loans or participations hereunder.</w:t>
      </w:r>
    </w:p>
    <w:p>
      <w:pPr>
        <w:spacing w:after="0" w:line="181"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Agent and each Lender agrees to keep confidential any information (i) delivered or made available by Parent, the Borrower or any of the Guarantors or any of their respective Subsidiaries or (ii) obtained by any Agent or such Lender based on a review of the books and records of Parent or the Borrower or any of their respective Subsidiaries to them, in accordance with their customary procedures, from anyone other than persons employed or retained by each Agent or such Lender who are or are expected to become engaged in evaluating, approving, structuring or administering the Loans, and who are advised by such Lender of the confidential nature of such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prevent any Agent or any Lender from disclosing such information (a) to any of its Affiliates and their respective agents and advisors (it being understood that the Persons to whom such disclosure is made will be informed of the confidential nature of such information under this Section 10.03 and instructed to keep such information confidential) or to any other Lender, (b) upon the order of any court or administrative agency, (c) upon the request or demand of any regulatory agency or authority (including any self-regulatory authority), (d) which has been publicly disclosed other than as a result of a disclosure by any Agent or any Lender which is not permitted by this Agreement, (e) in connection with any litigation to which any Agent, any Lender or their respective Affiliates may be a party to the extent reasonably required under applicable rules of discovery, (f) to the extent reasonably required in connection with the exercise of any remedy hereunder, (g) to such Lender’s legal counsel and independent auditors, (h) on a confidential basis to any rating agency in connection with rating Parent and its Subsidiaries or any Facility, (i) with the consent of the Borrower, (j) to any actual or proposed participant or assignee of all or part of its rights hereunder or to any direct or indirect contractual counterparty (or the professional advisors thereto) to any swap or derivative transaction relating to the Borrower and its obligations, in each case, subject to the proviso in Section 10.02(f) (with any reference to any assignee or participant set forth in such proviso being deemed to include a reference to such contractual counterparty for purposes of this Section 10.03(j)), (k) to the extent that such information is or was received by such Lender from a third party that is not, to such Lender’s knowledge, subject to confidentiality obligations to the Borrower and (l) to the extent that such information is independently developed by such Lender. If any Lender is in any manner requested or required to disclose any of the information delivered or made available to it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274" w:right="239" w:bottom="1440" w:gutter="0" w:footer="0" w:header="0"/>
        </w:sectPr>
      </w:pPr>
    </w:p>
    <w:bookmarkStart w:id="238" w:name="page239"/>
    <w:bookmarkEnd w:id="238"/>
    <w:p>
      <w:pPr>
        <w:jc w:val="both"/>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Borrower or any of the Guarantors under clauses (b), (c) (unless such disclosure is made in connection with a routine examination or audit) or (e) of this Section 10.03,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85" w:lineRule="auto"/>
        <w:tabs>
          <w:tab w:leader="none" w:pos="115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(i) The Borrower shall pay or reimburse: (A) all reasonable fees and reasonable and documented out-of-pocket expenses of each Agent and the Joint Lead Arrangers and Bookrunners (including the reasonable fees, disbursements and other charges of Milbank, Tweed, Hadley &amp; McCloy LLP, special counsel to the Agents) associated with the syndication of the credit facilities provided for herein, and the preparation, execution and delivery of the Loan Documents and (in the case of the Administrative Agent) any amendments, modifications or supplements of the provisions hereof requested by the Borrower (whether or not the transactions contemplated hereby or thereby shall be consummated) and the reasonable fees and expenses of any trustee appointed pursuant to Section 8.01(d) in connection with its services under the applicable Aircraft Security Agreement, as separately agreed between the Borrower and such trustee; and (B) in connection with any enforcement of the Loan Documents, all fees and documented out-of-pocket expenses of each Agent and any trustee appointed pursuant to Section 8.01(d) (including the reasonable fees, disbursements and other charges of counsel for the Agents and such trustee and one local counsel for each relevant jurisdiction, and, in each case, if necessary in the case of an actual conflict of interest, an additional counsel in each such applicable jurisdiction) and each Lender (including the reasonable fees, disbursements and other charges of counsel for such Lender) incurred during the continuance of a Default and (C) all reasonable, documented, out-of-pocket costs, expenses, taxes, assessments and other charges (including the reasonable fees, disbursements and other charges of counsel for the Collateral Agent) incurred by the Collateral Agent or any trustee appointed pursuant to Section 8.01(d) in connection with any filing, registration, recording or perfection of any security interest as required by the applicable Collateral Document or incurred in connection with any release or addition of Collateral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no Event of Default shall have occurred and be continuing, the Borrower shall not, in connection with this Section 10.04(a), be responsible hereunder for the reasonable fees and expenses of more than one such firm of separate counsel, in addition to any local counsel.</w:t>
      </w:r>
    </w:p>
    <w:p>
      <w:pPr>
        <w:spacing w:after="0" w:line="178" w:lineRule="exact"/>
        <w:rPr>
          <w:sz w:val="20"/>
          <w:szCs w:val="20"/>
          <w:color w:val="auto"/>
        </w:rPr>
      </w:pPr>
    </w:p>
    <w:p>
      <w:pPr>
        <w:ind w:right="140" w:firstLine="921"/>
        <w:spacing w:after="0" w:line="277" w:lineRule="auto"/>
        <w:tabs>
          <w:tab w:leader="none" w:pos="117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All payments or reimbursements pursuant to the foregoing clause (a)(i) shall be paid within thirty (30) days of written demand together with back-up documentation supporting such reimbursement request.</w:t>
      </w:r>
    </w:p>
    <w:p>
      <w:pPr>
        <w:spacing w:after="0" w:line="170" w:lineRule="exact"/>
        <w:rPr>
          <w:sz w:val="20"/>
          <w:szCs w:val="20"/>
          <w:color w:val="auto"/>
        </w:rPr>
      </w:pPr>
    </w:p>
    <w:p>
      <w:pPr>
        <w:ind w:firstLine="921"/>
        <w:spacing w:after="0" w:line="276" w:lineRule="auto"/>
        <w:tabs>
          <w:tab w:leader="none" w:pos="116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Borrower shall indemnify each Agent, any trustee appointed pursuant to Section 8.01(d), the Issuing Lenders and each Lender, and each Related Party of any of the foregoing Persons (each such Person being called an “</w:t>
      </w:r>
      <w:r>
        <w:rPr>
          <w:rFonts w:ascii="Arial" w:cs="Arial" w:eastAsia="Arial" w:hAnsi="Arial"/>
          <w:sz w:val="17"/>
          <w:szCs w:val="17"/>
          <w:i w:val="1"/>
          <w:iCs w:val="1"/>
          <w:color w:val="auto"/>
        </w:rPr>
        <w:t>Indemnitee</w:t>
      </w:r>
      <w:r>
        <w:rPr>
          <w:rFonts w:ascii="Arial" w:cs="Arial" w:eastAsia="Arial" w:hAnsi="Arial"/>
          <w:sz w:val="17"/>
          <w:szCs w:val="17"/>
          <w:color w:val="auto"/>
        </w:rPr>
        <w:t>”) against, and hold each Indemnitee harmless from, any and all losses, claims, damages, liabilities and related expenses, including the reasonable fees, charges and disbursements of one firm counsel for all Indemnitees and, if necessary, one firm of local counsel in each appropriate jurisdiction, arising out of, in connection with, or as a result of any actual or prospective claim, litigation, investigation or proceeding (including any investigating, preparing for or defending any such claims, actions,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274" w:right="239" w:bottom="1440" w:gutter="0" w:footer="0" w:header="0"/>
        </w:sectPr>
      </w:pPr>
    </w:p>
    <w:bookmarkStart w:id="239" w:name="page240"/>
    <w:bookmarkEnd w:id="23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Parent or any of its Subsidiaries, or any Environmental Liability related in any way to, or asserted against, Parent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 (y) result from any proceeding between or among Indemnitees that does not involve an action or omission by the Borrower or its Affiliates (other than claims against any Indemnitee in its capacity or in fulfilling its role as an Agent, trustee or Joint Lead Arranger and Bookrunner or any other similar role under the Facilities (excluding its role as a Lender)). This Section 10.04(b) shall not apply with respect to Taxes other than Taxes that represent losses or damages arising from any non-Tax claim. Neither the Borrower nor any Indemnitee shall be liable for any indirect, special, punitive or consequential damages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in this sentence shall limit the Borrower’s indemnity or reimbursement obligations under this Section 10.04 to the extent such indirect, special, punitive or consequential damages are included in any third party claim in connection with which such Indemnitee is entitled to indemnification hereunder.</w:t>
      </w:r>
    </w:p>
    <w:p>
      <w:pPr>
        <w:spacing w:after="0" w:line="168" w:lineRule="exact"/>
        <w:rPr>
          <w:sz w:val="20"/>
          <w:szCs w:val="20"/>
          <w:color w:val="auto"/>
        </w:rPr>
      </w:pPr>
    </w:p>
    <w:p>
      <w:pPr>
        <w:ind w:right="20" w:firstLine="921"/>
        <w:spacing w:after="0" w:line="284" w:lineRule="auto"/>
        <w:tabs>
          <w:tab w:leader="none" w:pos="1158"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In case any action or proceeding shall be brought or asserted against an Indemnitee in respect of which indemnity may be sought against the Borrower under the provisions of any Loan Document, such Indemnitee shall promptly notify the Borrower in writing and the Borrower shall,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such action or proceeding unless such settlement (x) includes an unconditional release of such Indemnitees from all liability or claims that are the subject matter of such action or proceeding and</w:t>
      </w:r>
    </w:p>
    <w:p>
      <w:pPr>
        <w:spacing w:after="0" w:line="4" w:lineRule="exact"/>
        <w:rPr>
          <w:rFonts w:ascii="Arial" w:cs="Arial" w:eastAsia="Arial" w:hAnsi="Arial"/>
          <w:sz w:val="16"/>
          <w:szCs w:val="16"/>
          <w:color w:val="auto"/>
        </w:rPr>
      </w:pPr>
    </w:p>
    <w:p>
      <w:pPr>
        <w:ind w:right="240" w:firstLine="8"/>
        <w:spacing w:after="0" w:line="261" w:lineRule="auto"/>
        <w:tabs>
          <w:tab w:leader="none" w:pos="25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does not include any statement as to fault or culpability. The failure to so notify the Borrower shall not affect any obligations the Borrower may have to such Indemnitee under the Loan Documents or otherwise other than to the extent that the Borrower is materially adversely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274" w:right="239" w:bottom="1440" w:gutter="0" w:footer="0" w:header="0"/>
        </w:sectPr>
      </w:pPr>
    </w:p>
    <w:bookmarkStart w:id="240" w:name="page241"/>
    <w:bookmarkEnd w:id="240"/>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or</w:t>
      </w:r>
    </w:p>
    <w:p>
      <w:pPr>
        <w:ind w:right="40" w:firstLine="8"/>
        <w:spacing w:after="0" w:line="251" w:lineRule="auto"/>
        <w:tabs>
          <w:tab w:leader="none" w:pos="26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regulatory counsel and any local counsel. The Borrower shall not be liable for any settlement of any such action or proceeding effected without the written consent of the Borrower (which shall not be unreasonably withheld or delayed).</w:t>
      </w:r>
    </w:p>
    <w:p>
      <w:pPr>
        <w:spacing w:after="0" w:line="198" w:lineRule="exact"/>
        <w:rPr>
          <w:sz w:val="20"/>
          <w:szCs w:val="20"/>
          <w:color w:val="auto"/>
        </w:rPr>
      </w:pPr>
    </w:p>
    <w:p>
      <w:pPr>
        <w:ind w:firstLine="921"/>
        <w:spacing w:after="0" w:line="257" w:lineRule="auto"/>
        <w:tabs>
          <w:tab w:leader="none" w:pos="116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To the extent that the Borrower fails to pay any amount required to be paid to an Issuing Lender under paragraph (a) or (b) of this Section 10.04, each Lender severally agrees to pay to the applicable Issuing Lender, as the case may be, such portion of the unpaid amount equal to such Lender’s Aggregate Exposure Percentage (determined as of the time that the applicable unreimbursed expense or indemnity payment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applicable Issuing Lender in its capacity as such.</w:t>
      </w:r>
    </w:p>
    <w:p>
      <w:pPr>
        <w:spacing w:after="0" w:line="188" w:lineRule="exact"/>
        <w:rPr>
          <w:rFonts w:ascii="Arial" w:cs="Arial" w:eastAsia="Arial" w:hAnsi="Arial"/>
          <w:sz w:val="18"/>
          <w:szCs w:val="18"/>
          <w:color w:val="auto"/>
        </w:rPr>
      </w:pPr>
    </w:p>
    <w:p>
      <w:pPr>
        <w:jc w:val="both"/>
        <w:ind w:right="140" w:firstLine="921"/>
        <w:spacing w:after="0" w:line="259" w:lineRule="auto"/>
        <w:tabs>
          <w:tab w:leader="none" w:pos="115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225" w:lineRule="exact"/>
        <w:rPr>
          <w:sz w:val="20"/>
          <w:szCs w:val="20"/>
          <w:color w:val="auto"/>
        </w:rPr>
      </w:pPr>
    </w:p>
    <w:p>
      <w:pPr>
        <w:ind w:right="900" w:firstLine="921"/>
        <w:spacing w:after="0" w:line="308" w:lineRule="auto"/>
        <w:tabs>
          <w:tab w:leader="none" w:pos="1158"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THIS AGREEMENT AND THE RIGHTS AND OBLIGATIONS OF THE PARTIES UNDER THIS AGREEMENT SHALL BE GOVERNED BY, AND CONSTRUED AND INTERPRETED IN ACCORDANCE WITH, THE LAWS OF THE STATE OF NEW YORK.</w:t>
      </w:r>
    </w:p>
    <w:p>
      <w:pPr>
        <w:spacing w:after="0" w:line="146" w:lineRule="exact"/>
        <w:rPr>
          <w:rFonts w:ascii="Arial" w:cs="Arial" w:eastAsia="Arial" w:hAnsi="Arial"/>
          <w:sz w:val="17"/>
          <w:szCs w:val="17"/>
          <w:color w:val="auto"/>
        </w:rPr>
      </w:pPr>
    </w:p>
    <w:p>
      <w:pPr>
        <w:ind w:right="100" w:firstLine="921"/>
        <w:spacing w:after="0" w:line="259" w:lineRule="auto"/>
        <w:tabs>
          <w:tab w:leader="none" w:pos="116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submits, for itself and its property in any legal action or proceeding relating to this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each of the parties hereto hereby irrevocably and unconditionally agrees that all claims in respect of any such action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274" w:right="259" w:bottom="1440" w:gutter="0" w:footer="0" w:header="0"/>
        </w:sectPr>
      </w:pPr>
    </w:p>
    <w:bookmarkStart w:id="241" w:name="page242"/>
    <w:bookmarkEnd w:id="24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81" w:lineRule="exact"/>
        <w:rPr>
          <w:sz w:val="20"/>
          <w:szCs w:val="20"/>
          <w:color w:val="auto"/>
        </w:rPr>
      </w:pPr>
    </w:p>
    <w:p>
      <w:pPr>
        <w:ind w:right="20" w:firstLine="921"/>
        <w:spacing w:after="0" w:line="259" w:lineRule="auto"/>
        <w:tabs>
          <w:tab w:leader="none" w:pos="115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right="100" w:firstLine="921"/>
        <w:spacing w:after="0" w:line="308" w:lineRule="auto"/>
        <w:tabs>
          <w:tab w:leader="none" w:pos="1168" w:val="left"/>
        </w:tabs>
        <w:numPr>
          <w:ilvl w:val="0"/>
          <w:numId w:val="283"/>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consents to service of process in the manner provided for notices in Section 10.01. Nothing in this Agreement will affect the right of any party to this Agreement to serve process in any other manner permitted by law.</w:t>
      </w:r>
    </w:p>
    <w:p>
      <w:pPr>
        <w:spacing w:after="0" w:line="147" w:lineRule="exact"/>
        <w:rPr>
          <w:sz w:val="20"/>
          <w:szCs w:val="20"/>
          <w:color w:val="auto"/>
        </w:rPr>
      </w:pPr>
    </w:p>
    <w:p>
      <w:pPr>
        <w:jc w:val="both"/>
        <w:ind w:right="260" w:firstLine="913"/>
        <w:spacing w:after="0" w:line="259"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No Waiver</w:t>
      </w:r>
      <w:r>
        <w:rPr>
          <w:rFonts w:ascii="Arial" w:cs="Arial" w:eastAsia="Arial" w:hAnsi="Arial"/>
          <w:sz w:val="18"/>
          <w:szCs w:val="18"/>
          <w:color w:val="auto"/>
        </w:rPr>
        <w:t>.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w:t>
      </w:r>
    </w:p>
    <w:p>
      <w:pPr>
        <w:spacing w:after="0" w:line="18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Extension of Maturity</w:t>
      </w:r>
      <w:r>
        <w:rPr>
          <w:rFonts w:ascii="Arial" w:cs="Arial" w:eastAsia="Arial" w:hAnsi="Arial"/>
          <w:sz w:val="18"/>
          <w:szCs w:val="18"/>
          <w:color w:val="auto"/>
        </w:rPr>
        <w:t>.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Amendments, etc</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73" w:lineRule="auto"/>
        <w:tabs>
          <w:tab w:leader="none" w:pos="1158" w:val="left"/>
        </w:tabs>
        <w:numPr>
          <w:ilvl w:val="1"/>
          <w:numId w:val="284"/>
        </w:numPr>
        <w:rPr>
          <w:rFonts w:ascii="Arial" w:cs="Arial" w:eastAsia="Arial" w:hAnsi="Arial"/>
          <w:sz w:val="17"/>
          <w:szCs w:val="17"/>
          <w:color w:val="auto"/>
        </w:rPr>
      </w:pPr>
      <w:r>
        <w:rPr>
          <w:rFonts w:ascii="Arial" w:cs="Arial" w:eastAsia="Arial" w:hAnsi="Arial"/>
          <w:sz w:val="17"/>
          <w:szCs w:val="17"/>
          <w:color w:val="auto"/>
        </w:rPr>
        <w:t xml:space="preserve">Except as set forth in clause (d)(iii) below, no modification, amendment or waiver of any provision of this Agreement or any Collateral Document (other than the Account Control Agreement), and no consent to any departure by the Borrower or any Guarantor therefrom, shall in any event be effective unless the same shall be in writing and signed by the Required Lenders or to the extent that such modification, amendment or waiver only relates to a Class, the applicable Required Class Lenders (or signed by the Administrative Agent with the consent of the Required Lenders or the Required Class Lenders, as applicable), and then such waiver or consent shall be effective only in the specific instance and for the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modification or amendment shall without the prior written consent of:</w:t>
      </w:r>
    </w:p>
    <w:p>
      <w:pPr>
        <w:spacing w:after="0" w:line="70" w:lineRule="exact"/>
        <w:rPr>
          <w:rFonts w:ascii="Arial" w:cs="Arial" w:eastAsia="Arial" w:hAnsi="Arial"/>
          <w:sz w:val="17"/>
          <w:szCs w:val="17"/>
          <w:color w:val="auto"/>
        </w:rPr>
      </w:pPr>
    </w:p>
    <w:p>
      <w:pPr>
        <w:ind w:left="460" w:right="100" w:firstLine="443"/>
        <w:spacing w:after="0" w:line="264" w:lineRule="auto"/>
        <w:tabs>
          <w:tab w:leader="none" w:pos="111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274" w:right="259" w:bottom="1440" w:gutter="0" w:footer="0" w:header="0"/>
        </w:sectPr>
      </w:pPr>
    </w:p>
    <w:bookmarkStart w:id="242" w:name="page243"/>
    <w:bookmarkEnd w:id="242"/>
    <w:p>
      <w:pPr>
        <w:ind w:left="452" w:firstLine="4"/>
        <w:spacing w:after="0" w:line="255" w:lineRule="auto"/>
        <w:tabs>
          <w:tab w:leader="none" w:pos="737" w:val="left"/>
        </w:tabs>
        <w:numPr>
          <w:ilvl w:val="1"/>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reduce the principal amount of any Loan, any reimbursement obligation in respect of any Letter of Credit, or the rate of interest payable on any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(C) amend this Section 10.08 with the effect of changing the number or percentage of Lenders that must approve any modification, amendment, waiver or consent or (D) amend or modify the terms of Section 2.17(e) in any manner that would alter the pro rata sharing of payments required thereby;</w:t>
      </w:r>
    </w:p>
    <w:p>
      <w:pPr>
        <w:spacing w:after="0" w:line="85" w:lineRule="exact"/>
        <w:rPr>
          <w:rFonts w:ascii="Arial" w:cs="Arial" w:eastAsia="Arial" w:hAnsi="Arial"/>
          <w:sz w:val="18"/>
          <w:szCs w:val="18"/>
          <w:color w:val="auto"/>
        </w:rPr>
      </w:pPr>
    </w:p>
    <w:p>
      <w:pPr>
        <w:ind w:left="452" w:right="340" w:firstLine="443"/>
        <w:spacing w:after="0" w:line="302" w:lineRule="auto"/>
        <w:tabs>
          <w:tab w:leader="none" w:pos="1155" w:val="left"/>
        </w:tabs>
        <w:numPr>
          <w:ilvl w:val="2"/>
          <w:numId w:val="286"/>
        </w:numPr>
        <w:rPr>
          <w:rFonts w:ascii="Arial" w:cs="Arial" w:eastAsia="Arial" w:hAnsi="Arial"/>
          <w:sz w:val="16"/>
          <w:szCs w:val="16"/>
          <w:color w:val="auto"/>
        </w:rPr>
      </w:pPr>
      <w:r>
        <w:rPr>
          <w:rFonts w:ascii="Arial" w:cs="Arial" w:eastAsia="Arial" w:hAnsi="Arial"/>
          <w:sz w:val="16"/>
          <w:szCs w:val="16"/>
          <w:color w:val="auto"/>
        </w:rPr>
        <w:t>all of the Lenders, (A) amend or modify any provision of this Agreement which provides for the unanimous consent or approval of the Lenders, (B) release all or substantially all of the Liens granted to the Collateral Agent hereunder or under any other Loan Document (except to the extent contemplated by Section 6.09(c) on the date hereof or by the terms of the Collateral Documents), or release all or substantially all of the Guarantors (except to the extent contemplated by Section 9.05) or (C) amend or modify the definition of “Required Lenders”;</w:t>
      </w:r>
    </w:p>
    <w:p>
      <w:pPr>
        <w:spacing w:after="0" w:line="46" w:lineRule="exact"/>
        <w:rPr>
          <w:rFonts w:ascii="Arial" w:cs="Arial" w:eastAsia="Arial" w:hAnsi="Arial"/>
          <w:sz w:val="16"/>
          <w:szCs w:val="16"/>
          <w:color w:val="auto"/>
        </w:rPr>
      </w:pPr>
    </w:p>
    <w:p>
      <w:pPr>
        <w:ind w:left="452" w:right="420" w:firstLine="443"/>
        <w:spacing w:after="0" w:line="277" w:lineRule="auto"/>
        <w:tabs>
          <w:tab w:leader="none" w:pos="1205"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the Administrative Agent (such consent not to be unreasonably withheld or denied) and each entity which becomes an initial Revolving Lender in order to increase the Revolving Commitment above $0; and</w:t>
      </w:r>
    </w:p>
    <w:p>
      <w:pPr>
        <w:spacing w:after="0" w:line="62" w:lineRule="exact"/>
        <w:rPr>
          <w:rFonts w:ascii="Arial" w:cs="Arial" w:eastAsia="Arial" w:hAnsi="Arial"/>
          <w:sz w:val="18"/>
          <w:szCs w:val="18"/>
          <w:color w:val="auto"/>
        </w:rPr>
      </w:pPr>
    </w:p>
    <w:p>
      <w:pPr>
        <w:ind w:left="452" w:right="40" w:firstLine="443"/>
        <w:spacing w:after="0" w:line="277" w:lineRule="auto"/>
        <w:tabs>
          <w:tab w:leader="none" w:pos="1195" w:val="left"/>
        </w:tabs>
        <w:numPr>
          <w:ilvl w:val="2"/>
          <w:numId w:val="286"/>
        </w:numPr>
        <w:rPr>
          <w:rFonts w:ascii="Arial" w:cs="Arial" w:eastAsia="Arial" w:hAnsi="Arial"/>
          <w:sz w:val="18"/>
          <w:szCs w:val="18"/>
          <w:color w:val="auto"/>
        </w:rPr>
      </w:pPr>
      <w:r>
        <w:rPr>
          <w:rFonts w:ascii="Arial" w:cs="Arial" w:eastAsia="Arial" w:hAnsi="Arial"/>
          <w:sz w:val="18"/>
          <w:szCs w:val="18"/>
          <w:color w:val="auto"/>
        </w:rPr>
        <w:t>all Revolving Lenders, change the definition of the term “Required Revolving Lenders” or the percentage of Lenders which shall be required for Revolving Lenders to take any action hereunder.</w:t>
      </w:r>
    </w:p>
    <w:p>
      <w:pPr>
        <w:spacing w:after="0" w:line="170" w:lineRule="exact"/>
        <w:rPr>
          <w:rFonts w:ascii="Arial" w:cs="Arial" w:eastAsia="Arial" w:hAnsi="Arial"/>
          <w:sz w:val="18"/>
          <w:szCs w:val="18"/>
          <w:color w:val="auto"/>
        </w:rPr>
      </w:pPr>
    </w:p>
    <w:p>
      <w:pPr>
        <w:ind w:left="-8" w:right="460" w:firstLine="921"/>
        <w:spacing w:after="0" w:line="277" w:lineRule="auto"/>
        <w:tabs>
          <w:tab w:leader="none" w:pos="1160" w:val="left"/>
        </w:tabs>
        <w:numPr>
          <w:ilvl w:val="3"/>
          <w:numId w:val="286"/>
        </w:numPr>
        <w:rPr>
          <w:rFonts w:ascii="Arial" w:cs="Arial" w:eastAsia="Arial" w:hAnsi="Arial"/>
          <w:sz w:val="18"/>
          <w:szCs w:val="18"/>
          <w:color w:val="auto"/>
        </w:rPr>
      </w:pPr>
      <w:r>
        <w:rPr>
          <w:rFonts w:ascii="Arial" w:cs="Arial" w:eastAsia="Arial" w:hAnsi="Arial"/>
          <w:sz w:val="18"/>
          <w:szCs w:val="18"/>
          <w:color w:val="auto"/>
        </w:rPr>
        <w:t>No such amendment or modification shall adversely affect the rights and obligations of the Administrative Agent or any Issuing Lender hereunder without its prior written consent.</w:t>
      </w:r>
    </w:p>
    <w:p>
      <w:pPr>
        <w:spacing w:after="0" w:line="170" w:lineRule="exact"/>
        <w:rPr>
          <w:rFonts w:ascii="Arial" w:cs="Arial" w:eastAsia="Arial" w:hAnsi="Arial"/>
          <w:sz w:val="18"/>
          <w:szCs w:val="18"/>
          <w:color w:val="auto"/>
        </w:rPr>
      </w:pPr>
    </w:p>
    <w:p>
      <w:pPr>
        <w:ind w:left="-8" w:right="180" w:firstLine="921"/>
        <w:spacing w:after="0" w:line="257" w:lineRule="auto"/>
        <w:tabs>
          <w:tab w:leader="none" w:pos="1150" w:val="left"/>
        </w:tabs>
        <w:numPr>
          <w:ilvl w:val="3"/>
          <w:numId w:val="286"/>
        </w:numPr>
        <w:rPr>
          <w:rFonts w:ascii="Arial" w:cs="Arial" w:eastAsia="Arial" w:hAnsi="Arial"/>
          <w:sz w:val="18"/>
          <w:szCs w:val="18"/>
          <w:color w:val="auto"/>
        </w:rPr>
      </w:pPr>
      <w:r>
        <w:rPr>
          <w:rFonts w:ascii="Arial" w:cs="Arial" w:eastAsia="Arial" w:hAnsi="Arial"/>
          <w:sz w:val="18"/>
          <w:szCs w:val="18"/>
          <w:color w:val="auto"/>
        </w:rPr>
        <w:t>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w:t>
      </w:r>
    </w:p>
    <w:p>
      <w:pPr>
        <w:spacing w:after="0" w:line="188" w:lineRule="exact"/>
        <w:rPr>
          <w:rFonts w:ascii="Arial" w:cs="Arial" w:eastAsia="Arial" w:hAnsi="Arial"/>
          <w:sz w:val="18"/>
          <w:szCs w:val="18"/>
          <w:color w:val="auto"/>
        </w:rPr>
      </w:pPr>
    </w:p>
    <w:p>
      <w:pPr>
        <w:ind w:left="-8" w:right="280" w:firstLine="921"/>
        <w:spacing w:after="0" w:line="286" w:lineRule="auto"/>
        <w:tabs>
          <w:tab w:leader="none" w:pos="1160" w:val="left"/>
        </w:tabs>
        <w:numPr>
          <w:ilvl w:val="3"/>
          <w:numId w:val="28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or all the Lenders with respect to a certain class of Loans and, in each case, such modification or amendment is agreed to by the Required Lenders, Required Revolving Lenders or Required Class Lenders, as applicable, or the relevant affected Lender, as the case may be, then the Borrower</w:t>
      </w:r>
    </w:p>
    <w:p>
      <w:pPr>
        <w:spacing w:after="0" w:line="1" w:lineRule="exact"/>
        <w:rPr>
          <w:rFonts w:ascii="Arial" w:cs="Arial" w:eastAsia="Arial" w:hAnsi="Arial"/>
          <w:sz w:val="16"/>
          <w:szCs w:val="16"/>
          <w:color w:val="auto"/>
        </w:rPr>
      </w:pPr>
    </w:p>
    <w:p>
      <w:pPr>
        <w:ind w:left="-8" w:right="280" w:firstLine="8"/>
        <w:spacing w:after="0" w:line="261" w:lineRule="auto"/>
        <w:tabs>
          <w:tab w:leader="none" w:pos="28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may replace any non-consenting Lender with respect to all or a portion of its Loans or Commitments, as applicable, in accordance with Section 10.02;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 or modification can be effected as a result of</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92"/>
          </w:cols>
          <w:pgMar w:left="248" w:top="274" w:right="259" w:bottom="1440" w:gutter="0" w:footer="0" w:header="0"/>
        </w:sectPr>
      </w:pPr>
    </w:p>
    <w:bookmarkStart w:id="243" w:name="page244"/>
    <w:bookmarkEnd w:id="243"/>
    <w:p>
      <w:pPr>
        <w:ind w:righ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assignment contemplated by such Section (together with all other such assignments required by the Borrower to be made pursuant to this clause (i)); provided, further, that any assignment made pursuant to this Section 10.08(d) shall be subject to the processing and recordation fee specified in Section</w:t>
      </w:r>
    </w:p>
    <w:p>
      <w:pPr>
        <w:spacing w:after="0" w:line="266" w:lineRule="auto"/>
        <w:rPr>
          <w:sz w:val="20"/>
          <w:szCs w:val="20"/>
          <w:color w:val="auto"/>
        </w:rPr>
      </w:pPr>
      <w:r>
        <w:rPr>
          <w:rFonts w:ascii="Arial" w:cs="Arial" w:eastAsia="Arial" w:hAnsi="Arial"/>
          <w:sz w:val="17"/>
          <w:szCs w:val="17"/>
          <w:color w:val="auto"/>
        </w:rPr>
        <w:t xml:space="preserve">10.02(b)(ii)(D) or (B) upon notice to the Administrative Agent, prepay the Loans and, at the Borrower’s option, terminate all or a portion of the Commitments of such non-consenting Lender in whole or in part, without premium or penalty, subject to Sections 2.13(d) and 10.04(b) and reallocate the LC Exposure of such non-consenting Lender under Section 2.26(d) (as if such Lender were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obligations of the Borrower owing to the non-consenting Lender relating to such Commitments, Loans and participations so prepaid or terminated shall be paid in full by the Borrower to such non-consenting Lender concurrently with such prepayment and termination;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termination of Commitments shall be permitted pursuant to this clause (B) if, after giving effect thereto and to any Revolving Extension of Credit, any prepayment of any Loan and any maturity of any Letter of Credit on the effective date thereof, the aggregate principal amount of Revolving Loans then outstanding, when added to the sum of the then outstanding LC Exposure (other than Commitments that have been Cash Collateralized in accordance with Section 2.02(j)), would exceed the Revolving Commitments then in effect;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 Defaulting Lender shall be excluded for a vote of the Lenders hereunder requiring any consent of the Lenders); (iii) notwithstanding anything to the contrary herein, any modifications or amendments under any Increase Joinder entered into in connection with Section 2.27 or any Extension Amendment entered in accordance with Section 2.28 or any Replacement Loans entered into in accordance with Section 10.08(e) may be made without the consent of the Required Lenders and (iv)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w:t>
      </w:r>
    </w:p>
    <w:p>
      <w:pPr>
        <w:spacing w:after="0" w:line="192" w:lineRule="exact"/>
        <w:rPr>
          <w:sz w:val="20"/>
          <w:szCs w:val="20"/>
          <w:color w:val="auto"/>
        </w:rPr>
      </w:pPr>
    </w:p>
    <w:p>
      <w:pPr>
        <w:ind w:right="20" w:firstLine="921"/>
        <w:spacing w:after="0" w:line="270" w:lineRule="auto"/>
        <w:tabs>
          <w:tab w:leader="none" w:pos="115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Section 10.08(a), this Agreement and, as appropriate, the other Loan Documents may be amended with the written consent of the Administrative Agent, the Borrower and the Lenders providing the relevant Replacement Loans (as defined below) as may be necessary or appropriate in the reasonable opinion of the Administrative Agent and the Borrower (x) to permit the refinancing, replacement or modification of all or a portion of the outstanding Term Loans of any tranche (“</w:t>
      </w:r>
      <w:r>
        <w:rPr>
          <w:rFonts w:ascii="Arial" w:cs="Arial" w:eastAsia="Arial" w:hAnsi="Arial"/>
          <w:sz w:val="17"/>
          <w:szCs w:val="17"/>
          <w:i w:val="1"/>
          <w:iCs w:val="1"/>
          <w:color w:val="auto"/>
        </w:rPr>
        <w:t>Refinanced Term Loans</w:t>
      </w:r>
      <w:r>
        <w:rPr>
          <w:rFonts w:ascii="Arial" w:cs="Arial" w:eastAsia="Arial" w:hAnsi="Arial"/>
          <w:sz w:val="17"/>
          <w:szCs w:val="17"/>
          <w:color w:val="auto"/>
        </w:rPr>
        <w:t>”) with a replacement term loan tranche (“</w:t>
      </w:r>
      <w:r>
        <w:rPr>
          <w:rFonts w:ascii="Arial" w:cs="Arial" w:eastAsia="Arial" w:hAnsi="Arial"/>
          <w:sz w:val="17"/>
          <w:szCs w:val="17"/>
          <w:i w:val="1"/>
          <w:iCs w:val="1"/>
          <w:color w:val="auto"/>
        </w:rPr>
        <w:t>Replacement Term Loans</w:t>
      </w:r>
      <w:r>
        <w:rPr>
          <w:rFonts w:ascii="Arial" w:cs="Arial" w:eastAsia="Arial" w:hAnsi="Arial"/>
          <w:sz w:val="17"/>
          <w:szCs w:val="17"/>
          <w:color w:val="auto"/>
        </w:rPr>
        <w:t>”) or the refinancing, replacement or modification of all or a portion of the outstanding Revolving Loans of any tranche (“</w:t>
      </w:r>
      <w:r>
        <w:rPr>
          <w:rFonts w:ascii="Arial" w:cs="Arial" w:eastAsia="Arial" w:hAnsi="Arial"/>
          <w:sz w:val="17"/>
          <w:szCs w:val="17"/>
          <w:i w:val="1"/>
          <w:iCs w:val="1"/>
          <w:color w:val="auto"/>
        </w:rPr>
        <w:t>Refinanced Revolving Loans</w:t>
      </w:r>
      <w:r>
        <w:rPr>
          <w:rFonts w:ascii="Arial" w:cs="Arial" w:eastAsia="Arial" w:hAnsi="Arial"/>
          <w:sz w:val="17"/>
          <w:szCs w:val="17"/>
          <w:color w:val="auto"/>
        </w:rPr>
        <w:t>” and, together with the Refinanced Term Loans, the “</w:t>
      </w:r>
      <w:r>
        <w:rPr>
          <w:rFonts w:ascii="Arial" w:cs="Arial" w:eastAsia="Arial" w:hAnsi="Arial"/>
          <w:sz w:val="17"/>
          <w:szCs w:val="17"/>
          <w:i w:val="1"/>
          <w:iCs w:val="1"/>
          <w:color w:val="auto"/>
        </w:rPr>
        <w:t>Refinanced Loans</w:t>
      </w:r>
      <w:r>
        <w:rPr>
          <w:rFonts w:ascii="Arial" w:cs="Arial" w:eastAsia="Arial" w:hAnsi="Arial"/>
          <w:sz w:val="17"/>
          <w:szCs w:val="17"/>
          <w:color w:val="auto"/>
        </w:rPr>
        <w:t>”) with a replacement revolving loan tranche (“</w:t>
      </w:r>
      <w:r>
        <w:rPr>
          <w:rFonts w:ascii="Arial" w:cs="Arial" w:eastAsia="Arial" w:hAnsi="Arial"/>
          <w:sz w:val="17"/>
          <w:szCs w:val="17"/>
          <w:i w:val="1"/>
          <w:iCs w:val="1"/>
          <w:color w:val="auto"/>
        </w:rPr>
        <w:t>Replacement Revolving Loans</w:t>
      </w:r>
      <w:r>
        <w:rPr>
          <w:rFonts w:ascii="Arial" w:cs="Arial" w:eastAsia="Arial" w:hAnsi="Arial"/>
          <w:sz w:val="17"/>
          <w:szCs w:val="17"/>
          <w:color w:val="auto"/>
        </w:rPr>
        <w:t>” and, together with the “</w:t>
      </w:r>
      <w:r>
        <w:rPr>
          <w:rFonts w:ascii="Arial" w:cs="Arial" w:eastAsia="Arial" w:hAnsi="Arial"/>
          <w:sz w:val="17"/>
          <w:szCs w:val="17"/>
          <w:i w:val="1"/>
          <w:iCs w:val="1"/>
          <w:color w:val="auto"/>
        </w:rPr>
        <w:t>Replacement Term Loans</w:t>
      </w:r>
      <w:r>
        <w:rPr>
          <w:rFonts w:ascii="Arial" w:cs="Arial" w:eastAsia="Arial" w:hAnsi="Arial"/>
          <w:sz w:val="17"/>
          <w:szCs w:val="17"/>
          <w:color w:val="auto"/>
        </w:rPr>
        <w:t>,” the “</w:t>
      </w:r>
      <w:r>
        <w:rPr>
          <w:rFonts w:ascii="Arial" w:cs="Arial" w:eastAsia="Arial" w:hAnsi="Arial"/>
          <w:sz w:val="17"/>
          <w:szCs w:val="17"/>
          <w:i w:val="1"/>
          <w:iCs w:val="1"/>
          <w:color w:val="auto"/>
        </w:rPr>
        <w:t>Replacement Loans</w:t>
      </w:r>
      <w:r>
        <w:rPr>
          <w:rFonts w:ascii="Arial" w:cs="Arial" w:eastAsia="Arial" w:hAnsi="Arial"/>
          <w:sz w:val="17"/>
          <w:szCs w:val="17"/>
          <w:color w:val="auto"/>
        </w:rPr>
        <w:t xml:space="preserve">”) hereunder and (y) to include appropriately the Lenders holding such credit facilities in any determination of Required Lenders, Required Class Lenders, Required Term Lenders in Required Revolving Lenders,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 amount of such Replacement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274" w:right="239" w:bottom="1440" w:gutter="0" w:footer="0" w:header="0"/>
        </w:sectPr>
      </w:pPr>
    </w:p>
    <w:bookmarkStart w:id="244" w:name="page245"/>
    <w:bookmarkEnd w:id="24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Loans shall not exceed the aggregate principal amount of such Refinanced Loans, (b) the Applicable Margin for such Replacement Loans shall not be higher than the Applicable Margin for such Refinanced Loans, (c) in the case of Replacement Term Loans,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w:t>
      </w:r>
    </w:p>
    <w:p>
      <w:pPr>
        <w:spacing w:after="0" w:line="2" w:lineRule="exact"/>
        <w:rPr>
          <w:sz w:val="20"/>
          <w:szCs w:val="20"/>
          <w:color w:val="auto"/>
        </w:rPr>
      </w:pPr>
    </w:p>
    <w:p>
      <w:pPr>
        <w:ind w:firstLine="8"/>
        <w:spacing w:after="0" w:line="252" w:lineRule="auto"/>
        <w:tabs>
          <w:tab w:leader="none" w:pos="25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all other terms applicable to such Replacement Loans shall be substantially identical to or less favorable to the Lenders providing such Replacement Loans than those applicable to the Lenders of such Refinanced Loans, except to the extent necessary to provide for covenants and other terms applicable to any period after the Latest Maturity Date in effect immediately prior to such refinancing. Notwithstanding anything to the contrary set forth in this Agreement or the other Loan Documents, the Lenders hereby irrevocably authorize the Administrative Agent to enter into amendments to this Agreement and the other Loan Documents with the Borrower as may be necessary in order to establish new tranches or sub-tranches in respect of Replacement Loans and such technical amendments as may be necessary or appropriate in the reasonable opinion of the Administrative Agent and the Borrower in connection with the establishment of such Replacement Loans.</w:t>
      </w:r>
    </w:p>
    <w:p>
      <w:pPr>
        <w:spacing w:after="0" w:line="193" w:lineRule="exact"/>
        <w:rPr>
          <w:rFonts w:ascii="Arial" w:cs="Arial" w:eastAsia="Arial" w:hAnsi="Arial"/>
          <w:sz w:val="18"/>
          <w:szCs w:val="18"/>
          <w:color w:val="auto"/>
        </w:rPr>
      </w:pPr>
    </w:p>
    <w:p>
      <w:pPr>
        <w:ind w:right="140" w:firstLine="921"/>
        <w:spacing w:after="0" w:line="293" w:lineRule="auto"/>
        <w:tabs>
          <w:tab w:leader="none" w:pos="113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(whether pursuant to Section 2.27 or otherwise)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 Required Revolving Lenders and/or Required Term Lenders, as applicable.</w:t>
      </w:r>
    </w:p>
    <w:p>
      <w:pPr>
        <w:spacing w:after="0" w:line="164" w:lineRule="exact"/>
        <w:rPr>
          <w:rFonts w:ascii="Arial" w:cs="Arial" w:eastAsia="Arial" w:hAnsi="Arial"/>
          <w:sz w:val="16"/>
          <w:szCs w:val="16"/>
          <w:color w:val="auto"/>
        </w:rPr>
      </w:pPr>
    </w:p>
    <w:p>
      <w:pPr>
        <w:ind w:right="80" w:firstLine="921"/>
        <w:spacing w:after="0" w:line="293" w:lineRule="auto"/>
        <w:tabs>
          <w:tab w:leader="none" w:pos="116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In addition, notwithstanding anything to the contrary contained in Section 7.01 or Section 10.08(a), following the consummation of any Extension pursuant to Section 2.28, no modification, amendment or waiver (including, for the avoidance of doubt, any forbearance agreement entered into with respect to this Agreement) shall limit the right of any non-extending Lender (each, a “</w:t>
      </w:r>
      <w:r>
        <w:rPr>
          <w:rFonts w:ascii="Arial" w:cs="Arial" w:eastAsia="Arial" w:hAnsi="Arial"/>
          <w:sz w:val="16"/>
          <w:szCs w:val="16"/>
          <w:i w:val="1"/>
          <w:iCs w:val="1"/>
          <w:color w:val="auto"/>
        </w:rPr>
        <w:t>Non-Extending Lender</w:t>
      </w:r>
      <w:r>
        <w:rPr>
          <w:rFonts w:ascii="Arial" w:cs="Arial" w:eastAsia="Arial" w:hAnsi="Arial"/>
          <w:sz w:val="16"/>
          <w:szCs w:val="16"/>
          <w:color w:val="auto"/>
        </w:rPr>
        <w:t>”) to enforce its right to receive payment of amounts due and owing to such Non-Extending Lender on the applicable Revolving Facility Maturity Date and/or Term Loan Maturity Date, as the case may be, applicable to the Loans of such Non-Extending Lenders without the prior written consent of Non-Extending Lenders that would constitute the Required Class Lenders with respect to any affected Class of such Loans if the Non-Extending Lenders were the only Lenders hereunder at the time.</w:t>
      </w:r>
    </w:p>
    <w:p>
      <w:pPr>
        <w:spacing w:after="0" w:line="164" w:lineRule="exact"/>
        <w:rPr>
          <w:rFonts w:ascii="Arial" w:cs="Arial" w:eastAsia="Arial" w:hAnsi="Arial"/>
          <w:sz w:val="16"/>
          <w:szCs w:val="16"/>
          <w:color w:val="auto"/>
        </w:rPr>
      </w:pPr>
    </w:p>
    <w:p>
      <w:pPr>
        <w:ind w:right="20" w:firstLine="921"/>
        <w:spacing w:after="0" w:line="308" w:lineRule="auto"/>
        <w:tabs>
          <w:tab w:leader="none" w:pos="1168" w:val="left"/>
        </w:tabs>
        <w:numPr>
          <w:ilvl w:val="1"/>
          <w:numId w:val="289"/>
        </w:numPr>
        <w:rPr>
          <w:rFonts w:ascii="Arial" w:cs="Arial" w:eastAsia="Arial" w:hAnsi="Arial"/>
          <w:sz w:val="17"/>
          <w:szCs w:val="17"/>
          <w:color w:val="auto"/>
        </w:rPr>
      </w:pPr>
      <w:r>
        <w:rPr>
          <w:rFonts w:ascii="Arial" w:cs="Arial" w:eastAsia="Arial" w:hAnsi="Arial"/>
          <w:sz w:val="17"/>
          <w:szCs w:val="17"/>
          <w:color w:val="auto"/>
        </w:rPr>
        <w:t>It is understood that the amendment provisions of this Section 10.08 shall not apply to extensions of the Revolving Facility Maturity Date, the Term Loan Maturity Date or the maturity date of any tranche of Revolving Commitments, in each case, made in accordance with Section 2.28.</w:t>
      </w:r>
    </w:p>
    <w:p>
      <w:pPr>
        <w:spacing w:after="0" w:line="146" w:lineRule="exact"/>
        <w:rPr>
          <w:rFonts w:ascii="Arial" w:cs="Arial" w:eastAsia="Arial" w:hAnsi="Arial"/>
          <w:sz w:val="17"/>
          <w:szCs w:val="17"/>
          <w:color w:val="auto"/>
        </w:rPr>
      </w:pPr>
    </w:p>
    <w:p>
      <w:pPr>
        <w:ind w:right="140" w:firstLine="921"/>
        <w:spacing w:after="0" w:line="277" w:lineRule="auto"/>
        <w:tabs>
          <w:tab w:leader="none" w:pos="112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Section 10.08(a), this Agreement and, as appropriate, the other Loan Documents, may be amended (or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274" w:right="239" w:bottom="1440" w:gutter="0" w:footer="0" w:header="0"/>
        </w:sectPr>
      </w:pPr>
    </w:p>
    <w:bookmarkStart w:id="245" w:name="page246"/>
    <w:bookmarkEnd w:id="24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restated) by each Agent and the Borrower to comply with any collateral trust agreement entered into after the Closing Date among the Borrower, the other Grantors, the Administrative Agent, the collateral trustee party thereto and the other financial institutions party thereto, including, without limitation, amending (or amending and restating) this Agreement and the other Loan Documents to provide for the assignment of the security interest in the Collateral from the Collateral Agent to such collateral trustee.</w:t>
      </w:r>
    </w:p>
    <w:p>
      <w:pPr>
        <w:spacing w:after="0" w:line="187" w:lineRule="exact"/>
        <w:rPr>
          <w:sz w:val="20"/>
          <w:szCs w:val="20"/>
          <w:color w:val="auto"/>
        </w:rPr>
      </w:pPr>
    </w:p>
    <w:p>
      <w:pPr>
        <w:ind w:right="380" w:firstLine="921"/>
        <w:spacing w:after="0" w:line="257" w:lineRule="auto"/>
        <w:tabs>
          <w:tab w:leader="none" w:pos="112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Section 10.08(a), any Collateral Document may be amended, supplemented or otherwise modified without the consent of any Lender (i) to add assets (or categories of assets) to the Collateral covered by such Collateral Document, as contemplated by the definition of “Additional Collateral” set forth in Section 1.01 or (ii) to remove any asset or type or category of asset (including after-acquired assets of that type or category) from the Collateral covered by such Collateral Document to the extent the release thereof is permitted by Section 6.09(c) or constitutes a Permitted Disposition.</w:t>
      </w:r>
    </w:p>
    <w:p>
      <w:pPr>
        <w:spacing w:after="0" w:line="188"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permitted by applicable law,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herein are for convenience only and are not to affect the construction of or be taken into consideration in interpreting this Agreement.</w:t>
      </w:r>
    </w:p>
    <w:p>
      <w:pPr>
        <w:spacing w:after="0" w:line="17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Lender or any Lender may have had notice or knowledge of any Event of Default or incorrect representation or warranty at the time any credit is extended hereunder. The provisions of Sections 2.14, 2.15, 2.16 and 10.04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6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Execution in Counterparts; Integration; Effectiveness</w:t>
      </w:r>
      <w:r>
        <w:rPr>
          <w:rFonts w:ascii="Arial" w:cs="Arial" w:eastAsia="Arial" w:hAnsi="Arial"/>
          <w:sz w:val="17"/>
          <w:szCs w:val="17"/>
          <w:color w:val="auto"/>
        </w:rPr>
        <w:t>.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274" w:right="239" w:bottom="1440" w:gutter="0" w:footer="0" w:header="0"/>
        </w:sectPr>
      </w:pPr>
    </w:p>
    <w:bookmarkStart w:id="246" w:name="page247"/>
    <w:bookmarkEnd w:id="246"/>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.pdf copy shall be effective as delivery of a manually executed counterpart of this Agreement.</w:t>
      </w:r>
    </w:p>
    <w:p>
      <w:pPr>
        <w:spacing w:after="0" w:line="181"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Patriot Act hereby notifies the Borrower and each Guarantor that pursuant to the requirements of the Patriot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w:t>
      </w:r>
    </w:p>
    <w:p>
      <w:pPr>
        <w:spacing w:after="0" w:line="187"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New Value</w:t>
      </w:r>
      <w:r>
        <w:rPr>
          <w:rFonts w:ascii="Arial" w:cs="Arial" w:eastAsia="Arial" w:hAnsi="Arial"/>
          <w:sz w:val="18"/>
          <w:szCs w:val="18"/>
          <w:color w:val="auto"/>
        </w:rPr>
        <w:t>. It is the intention of the parties hereto that any provision of Collateral by a Grantor as a condition to, or in connection with, the making of any Loan or the issuance of any Letter of Credit hereunder, shall be made as a contemporaneous exchange for new value given by the Lenders or Issuing Lenders, as the case may be, to the Borrower.</w:t>
      </w:r>
    </w:p>
    <w:p>
      <w:pPr>
        <w:spacing w:after="0" w:line="18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10.15.</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10.16.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Agent, each Lender and their Affiliates (collectively, solely for purposes of this paragraph,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Lenders</w:t>
      </w:r>
      <w:r>
        <w:rPr>
          <w:rFonts w:ascii="Arial" w:cs="Arial" w:eastAsia="Arial" w:hAnsi="Arial"/>
          <w:sz w:val="16"/>
          <w:szCs w:val="16"/>
          <w:color w:val="auto"/>
        </w:rPr>
        <w:t>”), may have economic interests that conflict with those of the Borrower, its stockholders and/or its affiliates. The Borrower agrees that nothing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Loan Documents or otherwise related to the Transactions will be deemed to create an advisory, fiduciary or agency relationship or fiduciary or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implied duty between any Lender, on the one hand, and the Borrower, its stockholders or its affiliates, on the other hand. The parties hereto acknowledge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 that (i) the transactions contemplated by the Loan Documents (including the exercise of rights and remedies hereunder and thereunder) are arm’s-length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transactions between the Lenders, on the one hand, and the Borrower and the Guarantors, on the other hand, and (ii) in connection therewith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process leading thereto, (x) no Lender has assumed an advisory or fiduciary responsibility in favor of the Borrower, its stockholders or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transactions contemplated hereby (or the exercise of rights or remedies with respect thereto) or the process leading thereto (irrespective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whether any Lender has advised, is currently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274" w:right="259" w:bottom="1440" w:gutter="0" w:footer="0" w:header="0"/>
        </w:sectPr>
      </w:pPr>
    </w:p>
    <w:bookmarkStart w:id="247" w:name="page248"/>
    <w:bookmarkEnd w:id="24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affiliates,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w:t>
      </w:r>
    </w:p>
    <w:p>
      <w:pPr>
        <w:spacing w:after="0" w:line="17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Lender Action</w:t>
      </w:r>
      <w:r>
        <w:rPr>
          <w:rFonts w:ascii="Arial" w:cs="Arial" w:eastAsia="Arial" w:hAnsi="Arial"/>
          <w:sz w:val="18"/>
          <w:szCs w:val="18"/>
          <w:color w:val="auto"/>
        </w:rPr>
        <w:t>. Each Lender agrees that it shall not take or institute any actions or proceedings, judicial or otherwise, for any right or remedy against the Borrower, any Guarantor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the Borrower or any Guarantor, unless expressly provided for herein or in any other Loan Document, without the prior written consent of the Administrative Agent. The provisions of this Section 10.17 are solely as between the Lenders and shall not afford any right to, or constitute a defense available to, the Borrower or any Guarantor and shall not limit any right or defense available to the Borrower or any Guarantor.</w:t>
      </w:r>
    </w:p>
    <w:p>
      <w:pPr>
        <w:spacing w:after="0" w:line="18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10.18. </w:t>
      </w:r>
      <w:r>
        <w:rPr>
          <w:rFonts w:ascii="Arial" w:cs="Arial" w:eastAsia="Arial" w:hAnsi="Arial"/>
          <w:sz w:val="17"/>
          <w:szCs w:val="17"/>
          <w:u w:val="single" w:color="auto"/>
          <w:color w:val="auto"/>
        </w:rPr>
        <w:t>Intercreditor Agreements</w:t>
      </w:r>
      <w:r>
        <w:rPr>
          <w:rFonts w:ascii="Arial" w:cs="Arial" w:eastAsia="Arial" w:hAnsi="Arial"/>
          <w:sz w:val="17"/>
          <w:szCs w:val="17"/>
          <w:color w:val="auto"/>
        </w:rPr>
        <w:t>. Notwithstanding anything to the contrary contained in this Agreement, if at any time the Administrative Agent or the Collateral Agent shall enter into any Intercreditor Agreement, pursuant to and as permitted by the terms of this Agreement or any Other Intercreditor Agreement and such Intercreditor Agreement or such Other Intercreditor Agreement shall remain outstanding, the rights granted to the Secured Parties hereunder and under the other Loan Documents, the Liens and security interest granted to the Collateral Agent pursuant to this Agreement or any other Loan Document and the exercise of any right or remedy by any Agent hereunder or under any other Loan Document shall be subject to the terms and conditions of such Intercreditor Agreement or such Other Intercreditor Agreement. In the event of any conflict between the terms of this Agreement, any other Loan Document and such Intercreditor Agreement or such Other Intercreditor Agreements, the terms of such Intercreditor Agreement or such Other Intercreditor Agreement shall govern and control with respect to any right or remedy, and no right, power or remedy granted to any Agent hereunder or under any other Loan Document shall be exercised by such Agent, and no direction shall be given by such Agent, in contravention of such Intercreditor Agreement or such Other Intercreditor Agreement</w:t>
      </w:r>
    </w:p>
    <w:p>
      <w:pPr>
        <w:spacing w:after="0" w:line="17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SECTION 10.19.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right="180" w:firstLine="921"/>
        <w:spacing w:after="0" w:line="277" w:lineRule="auto"/>
        <w:tabs>
          <w:tab w:leader="none" w:pos="115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80"/>
          </w:cols>
          <w:pgMar w:left="240" w:top="274" w:right="279" w:bottom="1440" w:gutter="0" w:footer="0" w:header="0"/>
        </w:sectPr>
      </w:pPr>
    </w:p>
    <w:bookmarkStart w:id="248" w:name="page249"/>
    <w:bookmarkEnd w:id="248"/>
    <w:p>
      <w:pPr>
        <w:ind w:left="720" w:hanging="259"/>
        <w:spacing w:after="0"/>
        <w:tabs>
          <w:tab w:leader="none" w:pos="7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effects of any Bail-in Action on any such liability, including, if applicable:</w:t>
      </w:r>
    </w:p>
    <w:p>
      <w:pPr>
        <w:spacing w:after="0" w:line="117" w:lineRule="exact"/>
        <w:rPr>
          <w:rFonts w:ascii="Arial" w:cs="Arial" w:eastAsia="Arial" w:hAnsi="Arial"/>
          <w:sz w:val="18"/>
          <w:szCs w:val="18"/>
          <w:color w:val="auto"/>
        </w:rPr>
      </w:pPr>
    </w:p>
    <w:p>
      <w:pPr>
        <w:ind w:left="660" w:hanging="217"/>
        <w:spacing w:after="0"/>
        <w:tabs>
          <w:tab w:leader="none" w:pos="6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firstLine="443"/>
        <w:spacing w:after="0" w:line="286" w:lineRule="auto"/>
        <w:tabs>
          <w:tab w:leader="none" w:pos="703"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7" w:lineRule="exact"/>
        <w:rPr>
          <w:rFonts w:ascii="Arial" w:cs="Arial" w:eastAsia="Arial" w:hAnsi="Arial"/>
          <w:sz w:val="17"/>
          <w:szCs w:val="17"/>
          <w:color w:val="auto"/>
        </w:rPr>
      </w:pPr>
    </w:p>
    <w:p>
      <w:pPr>
        <w:ind w:left="760" w:hanging="317"/>
        <w:spacing w:after="0"/>
        <w:tabs>
          <w:tab w:leader="none" w:pos="7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820"/>
          </w:cols>
          <w:pgMar w:left="700" w:top="274" w:right="379" w:bottom="1440" w:gutter="0" w:footer="0" w:header="0"/>
        </w:sectPr>
      </w:pPr>
    </w:p>
    <w:bookmarkStart w:id="249" w:name="page250"/>
    <w:bookmarkEnd w:id="24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signatories hereto have caused this Credit and Guaranty Agreement to be executed by their respective officers thereunto duly authorized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 as the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4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 Page to Credit and Guaranty Agreement]</w:t>
      </w:r>
    </w:p>
    <w:p>
      <w:pPr>
        <w:sectPr>
          <w:pgSz w:w="11900" w:h="16838" w:orient="portrait"/>
          <w:cols w:equalWidth="0" w:num="1">
            <w:col w:w="11100"/>
          </w:cols>
          <w:pgMar w:left="240" w:top="274" w:right="559" w:bottom="1440" w:gutter="0" w:footer="0" w:header="0"/>
        </w:sectPr>
      </w:pPr>
    </w:p>
    <w:bookmarkStart w:id="250" w:name="page251"/>
    <w:bookmarkEnd w:id="25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AMERICAN AIRLINES GROUP INC., as Parent and a</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 and Treasurer</w:t>
      </w:r>
    </w:p>
    <w:p>
      <w:pPr>
        <w:spacing w:after="0" w:line="14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Credit and Guaranty Agreement]</w:t>
      </w:r>
    </w:p>
    <w:p>
      <w:pPr>
        <w:sectPr>
          <w:pgSz w:w="11900" w:h="16838" w:orient="portrait"/>
          <w:cols w:equalWidth="0" w:num="1">
            <w:col w:w="9700"/>
          </w:cols>
          <w:pgMar w:left="1440" w:top="274" w:right="759" w:bottom="1440" w:gutter="0" w:footer="0" w:header="0"/>
        </w:sectPr>
      </w:pPr>
    </w:p>
    <w:bookmarkStart w:id="251" w:name="page252"/>
    <w:bookmarkEnd w:id="25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BANK PLC, as Administrative Agent and</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Collateral Agent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Craig Malloy</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Credit and Guaranty Agreement]</w:t>
      </w:r>
    </w:p>
    <w:p>
      <w:pPr>
        <w:sectPr>
          <w:pgSz w:w="11900" w:h="16838" w:orient="portrait"/>
          <w:cols w:equalWidth="0" w:num="1">
            <w:col w:w="9680"/>
          </w:cols>
          <w:pgMar w:left="1440" w:top="274" w:right="779" w:bottom="1440" w:gutter="0" w:footer="0" w:header="0"/>
        </w:sectPr>
      </w:pPr>
    </w:p>
    <w:bookmarkStart w:id="252" w:name="page253"/>
    <w:bookmarkEnd w:id="25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Craig Malloy</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Credit and Guaranty Agreement]</w:t>
      </w:r>
    </w:p>
    <w:p>
      <w:pPr>
        <w:sectPr>
          <w:pgSz w:w="11900" w:h="16838" w:orient="portrait"/>
          <w:cols w:equalWidth="0" w:num="1">
            <w:col w:w="9019"/>
          </w:cols>
          <w:pgMar w:left="1440" w:top="274" w:right="1440"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2"/>
          </w:tcPr>
          <w:p>
            <w:pPr>
              <w:ind w:left="900"/>
              <w:spacing w:after="0"/>
              <w:rPr>
                <w:sz w:val="20"/>
                <w:szCs w:val="20"/>
                <w:color w:val="auto"/>
              </w:rPr>
            </w:pPr>
            <w:r>
              <w:rPr>
                <w:rFonts w:ascii="Arial" w:cs="Arial" w:eastAsia="Arial" w:hAnsi="Arial"/>
                <w:sz w:val="18"/>
                <w:szCs w:val="18"/>
                <w:color w:val="auto"/>
                <w:w w:val="98"/>
              </w:rPr>
              <w:t>ANNEX A</w:t>
            </w:r>
          </w:p>
        </w:tc>
        <w:tc>
          <w:tcPr>
            <w:tcW w:w="0" w:type="dxa"/>
            <w:vAlign w:val="bottom"/>
          </w:tcPr>
          <w:p>
            <w:pPr>
              <w:spacing w:after="0"/>
              <w:rPr>
                <w:sz w:val="1"/>
                <w:szCs w:val="1"/>
                <w:color w:val="auto"/>
              </w:rPr>
            </w:pPr>
          </w:p>
        </w:tc>
      </w:tr>
      <w:tr>
        <w:trPr>
          <w:trHeight w:val="399"/>
        </w:trPr>
        <w:tc>
          <w:tcPr>
            <w:tcW w:w="928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21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Class B Term Loan Commitment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8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4" w:name="page255"/>
    <w:bookmarkEnd w:id="2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Subsidiaries</w:t>
            </w:r>
          </w:p>
        </w:tc>
      </w:tr>
      <w:tr>
        <w:trPr>
          <w:trHeight w:val="20"/>
        </w:trPr>
        <w:tc>
          <w:tcPr>
            <w:tcW w:w="524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53"/>
        </w:trPr>
        <w:tc>
          <w:tcPr>
            <w:tcW w:w="8660" w:type="dxa"/>
            <w:vAlign w:val="bottom"/>
            <w:gridSpan w:val="5"/>
          </w:tcPr>
          <w:p>
            <w:pPr>
              <w:spacing w:after="0"/>
              <w:rPr>
                <w:sz w:val="20"/>
                <w:szCs w:val="20"/>
                <w:color w:val="auto"/>
              </w:rPr>
            </w:pPr>
            <w:r>
              <w:rPr>
                <w:rFonts w:ascii="Arial" w:cs="Arial" w:eastAsia="Arial" w:hAnsi="Arial"/>
                <w:sz w:val="18"/>
                <w:szCs w:val="18"/>
                <w:color w:val="auto"/>
              </w:rPr>
              <w:t>All voting securities are owned directly or indirectly by Parent, except where otherwise indicated.</w:t>
            </w:r>
          </w:p>
        </w:tc>
      </w:tr>
      <w:tr>
        <w:trPr>
          <w:trHeight w:val="392"/>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4"/>
                <w:szCs w:val="14"/>
                <w:b w:val="1"/>
                <w:bCs w:val="1"/>
                <w:color w:val="auto"/>
                <w:w w:val="91"/>
              </w:rPr>
              <w:t>State or Sovereign Power of Incorporation</w:t>
            </w:r>
          </w:p>
        </w:tc>
      </w:tr>
      <w:tr>
        <w:trPr>
          <w:trHeight w:val="20"/>
        </w:trPr>
        <w:tc>
          <w:tcPr>
            <w:tcW w:w="122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318"/>
        </w:trPr>
        <w:tc>
          <w:tcPr>
            <w:tcW w:w="5240" w:type="dxa"/>
            <w:vAlign w:val="bottom"/>
            <w:gridSpan w:val="2"/>
          </w:tcPr>
          <w:p>
            <w:pPr>
              <w:spacing w:after="0"/>
              <w:rPr>
                <w:sz w:val="20"/>
                <w:szCs w:val="20"/>
                <w:color w:val="auto"/>
              </w:rPr>
            </w:pPr>
            <w:r>
              <w:rPr>
                <w:rFonts w:ascii="Arial" w:cs="Arial" w:eastAsia="Arial" w:hAnsi="Arial"/>
                <w:sz w:val="18"/>
                <w:szCs w:val="18"/>
                <w:color w:val="auto"/>
              </w:rPr>
              <w:t>American Airlines, Inc.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Admirals Club, Inc.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Massachusetts</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American Airlines de Mexico, S.A.</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American Airlines Marketing Services LLC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American Airlines Realty (NYC) Holdings, Inc.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American Airlines Vacations LLC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American Aviation Supply LLC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Americas Ground Services, Inc.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Caribbean Dispatch Services, Ltd.</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St. Lucia</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Dominicana de Servicios Aeroportuarios (DSA), S.R.L</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Dominican Republic</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International Ground Services, S.A. de C.V.</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Envoy Aviation Group Inc.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Envoy Air, Inc.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Eagle Aviation Services, Inc.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Executive Airlines, Inc.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Executive Ground Services, Inc.</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Avion Assurance Ltd.</w:t>
            </w:r>
          </w:p>
        </w:tc>
        <w:tc>
          <w:tcPr>
            <w:tcW w:w="8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Bermuda</w:t>
            </w:r>
          </w:p>
        </w:tc>
      </w:tr>
    </w:tbl>
    <w:p>
      <w:pPr>
        <w:sectPr>
          <w:pgSz w:w="11900" w:h="16838" w:orient="portrait"/>
          <w:cols w:equalWidth="0" w:num="1">
            <w:col w:w="11420"/>
          </w:cols>
          <w:pgMar w:left="240" w:top="274" w:right="239" w:bottom="1440" w:gutter="0" w:footer="0" w:header="0"/>
        </w:sectPr>
      </w:pPr>
    </w:p>
    <w:bookmarkStart w:id="255" w:name="page256"/>
    <w:bookmarkEnd w:id="2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600" w:type="dxa"/>
            <w:vAlign w:val="bottom"/>
          </w:tcPr>
          <w:p>
            <w:pPr>
              <w:spacing w:after="0"/>
              <w:rPr>
                <w:sz w:val="20"/>
                <w:szCs w:val="20"/>
                <w:color w:val="auto"/>
              </w:rPr>
            </w:pPr>
            <w:r>
              <w:rPr>
                <w:rFonts w:ascii="Arial" w:cs="Arial" w:eastAsia="Arial" w:hAnsi="Arial"/>
                <w:sz w:val="14"/>
                <w:szCs w:val="14"/>
                <w:b w:val="1"/>
                <w:bCs w:val="1"/>
                <w:color w:val="auto"/>
                <w:w w:val="91"/>
              </w:rPr>
              <w:t>State or Sovereign Power of Incorporation</w:t>
            </w:r>
          </w:p>
        </w:tc>
      </w:tr>
      <w:tr>
        <w:trPr>
          <w:trHeight w:val="20"/>
        </w:trPr>
        <w:tc>
          <w:tcPr>
            <w:tcW w:w="12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color w:val="auto"/>
              </w:rPr>
              <w:t>PMA Investment Subsidiary, Inc.</w:t>
            </w:r>
          </w:p>
        </w:tc>
        <w:tc>
          <w:tcPr>
            <w:tcW w:w="260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AWHQ LLC</w:t>
            </w:r>
            <w:r>
              <w:rPr>
                <w:rFonts w:ascii="Arial" w:cs="Arial" w:eastAsia="Arial" w:hAnsi="Arial"/>
                <w:sz w:val="15"/>
                <w:szCs w:val="15"/>
                <w:color w:val="auto"/>
              </w:rPr>
              <w:t>1</w:t>
            </w:r>
          </w:p>
        </w:tc>
        <w:tc>
          <w:tcPr>
            <w:tcW w:w="260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AWQH LLC</w:t>
            </w:r>
          </w:p>
        </w:tc>
        <w:tc>
          <w:tcPr>
            <w:tcW w:w="260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Airways Assurance Limited</w:t>
            </w:r>
          </w:p>
        </w:tc>
        <w:tc>
          <w:tcPr>
            <w:tcW w:w="2600" w:type="dxa"/>
            <w:vAlign w:val="bottom"/>
          </w:tcPr>
          <w:p>
            <w:pPr>
              <w:spacing w:after="0"/>
              <w:rPr>
                <w:sz w:val="20"/>
                <w:szCs w:val="20"/>
                <w:color w:val="auto"/>
              </w:rPr>
            </w:pPr>
            <w:r>
              <w:rPr>
                <w:rFonts w:ascii="Arial" w:cs="Arial" w:eastAsia="Arial" w:hAnsi="Arial"/>
                <w:sz w:val="18"/>
                <w:szCs w:val="18"/>
                <w:color w:val="auto"/>
              </w:rPr>
              <w:t>Bermuda</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Piedmont Airlines, Inc.</w:t>
            </w:r>
          </w:p>
        </w:tc>
        <w:tc>
          <w:tcPr>
            <w:tcW w:w="2600" w:type="dxa"/>
            <w:vAlign w:val="bottom"/>
          </w:tcPr>
          <w:p>
            <w:pPr>
              <w:spacing w:after="0"/>
              <w:rPr>
                <w:sz w:val="20"/>
                <w:szCs w:val="20"/>
                <w:color w:val="auto"/>
              </w:rPr>
            </w:pPr>
            <w:r>
              <w:rPr>
                <w:rFonts w:ascii="Arial" w:cs="Arial" w:eastAsia="Arial" w:hAnsi="Arial"/>
                <w:sz w:val="18"/>
                <w:szCs w:val="18"/>
                <w:color w:val="auto"/>
              </w:rPr>
              <w:t>Maryland</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PSA Airlines, Inc.</w:t>
            </w:r>
          </w:p>
        </w:tc>
        <w:tc>
          <w:tcPr>
            <w:tcW w:w="26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Material Services, Inc.</w:t>
            </w:r>
          </w:p>
        </w:tc>
        <w:tc>
          <w:tcPr>
            <w:tcW w:w="2600" w:type="dxa"/>
            <w:vAlign w:val="bottom"/>
          </w:tcPr>
          <w:p>
            <w:pPr>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hanging="212"/>
        <w:spacing w:after="0"/>
        <w:tabs>
          <w:tab w:leader="none" w:pos="220" w:val="left"/>
        </w:tabs>
        <w:numPr>
          <w:ilvl w:val="0"/>
          <w:numId w:val="294"/>
        </w:numPr>
        <w:rPr>
          <w:rFonts w:ascii="Arial" w:cs="Arial" w:eastAsia="Arial" w:hAnsi="Arial"/>
          <w:sz w:val="15"/>
          <w:szCs w:val="15"/>
          <w:color w:val="auto"/>
        </w:rPr>
      </w:pPr>
      <w:r>
        <w:rPr>
          <w:rFonts w:ascii="Arial" w:cs="Arial" w:eastAsia="Arial" w:hAnsi="Arial"/>
          <w:sz w:val="18"/>
          <w:szCs w:val="18"/>
          <w:color w:val="auto"/>
        </w:rPr>
        <w:t>99% is owned by Parent and 1% is owned by American Airlines, Inc.</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219"/>
          </w:cols>
          <w:pgMar w:left="240" w:top="265" w:right="1440"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SPARE PARTS SECURITY AGREEMENT</w:t>
      </w:r>
    </w:p>
    <w:p>
      <w:pPr>
        <w:spacing w:after="0" w:line="225" w:lineRule="exact"/>
        <w:rPr>
          <w:sz w:val="20"/>
          <w:szCs w:val="20"/>
          <w:color w:val="auto"/>
        </w:rPr>
      </w:pPr>
    </w:p>
    <w:p>
      <w:pPr>
        <w:ind w:left="3500"/>
        <w:spacing w:after="0"/>
        <w:tabs>
          <w:tab w:leader="none" w:pos="5000" w:val="left"/>
        </w:tabs>
        <w:rPr>
          <w:sz w:val="20"/>
          <w:szCs w:val="20"/>
          <w:color w:val="auto"/>
        </w:rPr>
      </w:pPr>
      <w:r>
        <w:rPr>
          <w:rFonts w:ascii="Arial" w:cs="Arial" w:eastAsia="Arial" w:hAnsi="Arial"/>
          <w:sz w:val="18"/>
          <w:szCs w:val="18"/>
          <w:b w:val="1"/>
          <w:bCs w:val="1"/>
          <w:color w:val="auto"/>
        </w:rPr>
        <w:t>Dated as of [</w:t>
      </w:r>
      <w:r>
        <w:rPr>
          <w:sz w:val="20"/>
          <w:szCs w:val="20"/>
          <w:color w:val="auto"/>
        </w:rPr>
        <w:tab/>
      </w:r>
      <w:r>
        <w:rPr>
          <w:rFonts w:ascii="Arial" w:cs="Arial" w:eastAsia="Arial" w:hAnsi="Arial"/>
          <w:sz w:val="16"/>
          <w:szCs w:val="16"/>
          <w:b w:val="1"/>
          <w:bCs w:val="1"/>
          <w:color w:val="auto"/>
        </w:rPr>
        <w:t>], 2016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AMERICAN AIRLINES,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Grantor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BARCLAYS BANK PLC,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248920</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98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2220" w:type="dxa"/>
            <w:vAlign w:val="bottom"/>
          </w:tcPr>
          <w:p>
            <w:pPr>
              <w:spacing w:after="0"/>
              <w:rPr>
                <w:sz w:val="20"/>
                <w:szCs w:val="20"/>
                <w:color w:val="auto"/>
              </w:rPr>
            </w:pPr>
          </w:p>
        </w:tc>
      </w:tr>
      <w:tr>
        <w:trPr>
          <w:trHeight w:val="407"/>
        </w:trPr>
        <w:tc>
          <w:tcPr>
            <w:tcW w:w="11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10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Section 1.1</w:t>
            </w:r>
          </w:p>
        </w:tc>
        <w:tc>
          <w:tcPr>
            <w:tcW w:w="798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1.2</w:t>
            </w:r>
          </w:p>
        </w:tc>
        <w:tc>
          <w:tcPr>
            <w:tcW w:w="7980" w:type="dxa"/>
            <w:vAlign w:val="bottom"/>
          </w:tcPr>
          <w:p>
            <w:pPr>
              <w:ind w:left="320"/>
              <w:spacing w:after="0"/>
              <w:rPr>
                <w:sz w:val="20"/>
                <w:szCs w:val="20"/>
                <w:color w:val="auto"/>
              </w:rPr>
            </w:pPr>
            <w:r>
              <w:rPr>
                <w:rFonts w:ascii="Arial" w:cs="Arial" w:eastAsia="Arial" w:hAnsi="Arial"/>
                <w:sz w:val="18"/>
                <w:szCs w:val="18"/>
                <w:color w:val="auto"/>
              </w:rPr>
              <w:t>Rules of Interpretation</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 SECURITY</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2.1</w:t>
            </w:r>
          </w:p>
        </w:tc>
        <w:tc>
          <w:tcPr>
            <w:tcW w:w="7980" w:type="dxa"/>
            <w:vAlign w:val="bottom"/>
          </w:tcPr>
          <w:p>
            <w:pPr>
              <w:ind w:left="320"/>
              <w:spacing w:after="0"/>
              <w:rPr>
                <w:sz w:val="20"/>
                <w:szCs w:val="20"/>
                <w:color w:val="auto"/>
              </w:rPr>
            </w:pPr>
            <w:r>
              <w:rPr>
                <w:rFonts w:ascii="Arial" w:cs="Arial" w:eastAsia="Arial" w:hAnsi="Arial"/>
                <w:sz w:val="18"/>
                <w:szCs w:val="18"/>
                <w:color w:val="auto"/>
              </w:rPr>
              <w:t>Grant of Security Interest</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III. GENERAL REPRESENTATIONS, WARRANTIES AND COVENANTS</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Section 3.1</w:t>
            </w:r>
          </w:p>
        </w:tc>
        <w:tc>
          <w:tcPr>
            <w:tcW w:w="7980" w:type="dxa"/>
            <w:vAlign w:val="bottom"/>
          </w:tcPr>
          <w:p>
            <w:pPr>
              <w:ind w:left="320"/>
              <w:spacing w:after="0"/>
              <w:rPr>
                <w:sz w:val="20"/>
                <w:szCs w:val="20"/>
                <w:color w:val="auto"/>
              </w:rPr>
            </w:pPr>
            <w:r>
              <w:rPr>
                <w:rFonts w:ascii="Arial" w:cs="Arial" w:eastAsia="Arial" w:hAnsi="Arial"/>
                <w:sz w:val="18"/>
                <w:szCs w:val="18"/>
                <w:color w:val="auto"/>
              </w:rPr>
              <w:t>Representations and Warranties</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3.2</w:t>
            </w:r>
          </w:p>
        </w:tc>
        <w:tc>
          <w:tcPr>
            <w:tcW w:w="7980" w:type="dxa"/>
            <w:vAlign w:val="bottom"/>
          </w:tcPr>
          <w:p>
            <w:pPr>
              <w:ind w:left="320"/>
              <w:spacing w:after="0"/>
              <w:rPr>
                <w:sz w:val="20"/>
                <w:szCs w:val="20"/>
                <w:color w:val="auto"/>
              </w:rPr>
            </w:pPr>
            <w:r>
              <w:rPr>
                <w:rFonts w:ascii="Arial" w:cs="Arial" w:eastAsia="Arial" w:hAnsi="Arial"/>
                <w:sz w:val="18"/>
                <w:szCs w:val="18"/>
                <w:color w:val="auto"/>
              </w:rPr>
              <w:t>Representations, Warranties and Covenants</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3.3</w:t>
            </w:r>
          </w:p>
        </w:tc>
        <w:tc>
          <w:tcPr>
            <w:tcW w:w="7980" w:type="dxa"/>
            <w:vAlign w:val="bottom"/>
          </w:tcPr>
          <w:p>
            <w:pPr>
              <w:ind w:left="320"/>
              <w:spacing w:after="0"/>
              <w:rPr>
                <w:sz w:val="20"/>
                <w:szCs w:val="20"/>
                <w:color w:val="auto"/>
              </w:rPr>
            </w:pPr>
            <w:r>
              <w:rPr>
                <w:rFonts w:ascii="Arial" w:cs="Arial" w:eastAsia="Arial" w:hAnsi="Arial"/>
                <w:sz w:val="18"/>
                <w:szCs w:val="18"/>
                <w:color w:val="auto"/>
              </w:rPr>
              <w:t>Possession, Operation and Use, Maintenance and Registration</w:t>
            </w: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3.4</w:t>
            </w:r>
          </w:p>
        </w:tc>
        <w:tc>
          <w:tcPr>
            <w:tcW w:w="7980" w:type="dxa"/>
            <w:vAlign w:val="bottom"/>
          </w:tcPr>
          <w:p>
            <w:pPr>
              <w:ind w:left="320"/>
              <w:spacing w:after="0"/>
              <w:rPr>
                <w:sz w:val="20"/>
                <w:szCs w:val="20"/>
                <w:color w:val="auto"/>
              </w:rPr>
            </w:pPr>
            <w:r>
              <w:rPr>
                <w:rFonts w:ascii="Arial" w:cs="Arial" w:eastAsia="Arial" w:hAnsi="Arial"/>
                <w:sz w:val="18"/>
                <w:szCs w:val="18"/>
                <w:color w:val="auto"/>
              </w:rPr>
              <w:t>Tracking System</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3.5</w:t>
            </w:r>
          </w:p>
        </w:tc>
        <w:tc>
          <w:tcPr>
            <w:tcW w:w="7980" w:type="dxa"/>
            <w:vAlign w:val="bottom"/>
          </w:tcPr>
          <w:p>
            <w:pPr>
              <w:ind w:left="320"/>
              <w:spacing w:after="0"/>
              <w:rPr>
                <w:sz w:val="20"/>
                <w:szCs w:val="20"/>
                <w:color w:val="auto"/>
              </w:rPr>
            </w:pPr>
            <w:r>
              <w:rPr>
                <w:rFonts w:ascii="Arial" w:cs="Arial" w:eastAsia="Arial" w:hAnsi="Arial"/>
                <w:sz w:val="18"/>
                <w:szCs w:val="18"/>
                <w:color w:val="auto"/>
              </w:rPr>
              <w:t>Pledged Spare Parts; Spare Parts Locations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3.6</w:t>
            </w:r>
          </w:p>
        </w:tc>
        <w:tc>
          <w:tcPr>
            <w:tcW w:w="7980" w:type="dxa"/>
            <w:vAlign w:val="bottom"/>
          </w:tcPr>
          <w:p>
            <w:pPr>
              <w:ind w:left="320"/>
              <w:spacing w:after="0"/>
              <w:rPr>
                <w:sz w:val="20"/>
                <w:szCs w:val="20"/>
                <w:color w:val="auto"/>
              </w:rPr>
            </w:pPr>
            <w:r>
              <w:rPr>
                <w:rFonts w:ascii="Arial" w:cs="Arial" w:eastAsia="Arial" w:hAnsi="Arial"/>
                <w:sz w:val="18"/>
                <w:szCs w:val="18"/>
                <w:color w:val="auto"/>
              </w:rPr>
              <w:t>Event of Loss</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3.7</w:t>
            </w:r>
          </w:p>
        </w:tc>
        <w:tc>
          <w:tcPr>
            <w:tcW w:w="798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3.8</w:t>
            </w:r>
          </w:p>
        </w:tc>
        <w:tc>
          <w:tcPr>
            <w:tcW w:w="7980" w:type="dxa"/>
            <w:vAlign w:val="bottom"/>
          </w:tcPr>
          <w:p>
            <w:pPr>
              <w:ind w:left="320"/>
              <w:spacing w:after="0"/>
              <w:rPr>
                <w:sz w:val="20"/>
                <w:szCs w:val="20"/>
                <w:color w:val="auto"/>
              </w:rPr>
            </w:pPr>
            <w:r>
              <w:rPr>
                <w:rFonts w:ascii="Arial" w:cs="Arial" w:eastAsia="Arial" w:hAnsi="Arial"/>
                <w:sz w:val="18"/>
                <w:szCs w:val="18"/>
                <w:color w:val="auto"/>
              </w:rPr>
              <w:t>Filings</w:t>
            </w:r>
          </w:p>
        </w:tc>
        <w:tc>
          <w:tcPr>
            <w:tcW w:w="2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3.9</w:t>
            </w:r>
          </w:p>
        </w:tc>
        <w:tc>
          <w:tcPr>
            <w:tcW w:w="7980" w:type="dxa"/>
            <w:vAlign w:val="bottom"/>
          </w:tcPr>
          <w:p>
            <w:pPr>
              <w:ind w:left="320"/>
              <w:spacing w:after="0"/>
              <w:rPr>
                <w:sz w:val="20"/>
                <w:szCs w:val="20"/>
                <w:color w:val="auto"/>
              </w:rPr>
            </w:pPr>
            <w:r>
              <w:rPr>
                <w:rFonts w:ascii="Arial" w:cs="Arial" w:eastAsia="Arial" w:hAnsi="Arial"/>
                <w:sz w:val="18"/>
                <w:szCs w:val="18"/>
                <w:color w:val="auto"/>
              </w:rPr>
              <w:t>License</w:t>
            </w:r>
          </w:p>
        </w:tc>
        <w:tc>
          <w:tcPr>
            <w:tcW w:w="2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IV. REMEDIES OF THE ADMINISTRATIVE AGENT UPON AN EVENT OF DEFAULT</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Section 4.1</w:t>
            </w:r>
          </w:p>
        </w:tc>
        <w:tc>
          <w:tcPr>
            <w:tcW w:w="7980" w:type="dxa"/>
            <w:vAlign w:val="bottom"/>
          </w:tcPr>
          <w:p>
            <w:pPr>
              <w:ind w:left="320"/>
              <w:spacing w:after="0"/>
              <w:rPr>
                <w:sz w:val="20"/>
                <w:szCs w:val="20"/>
                <w:color w:val="auto"/>
              </w:rPr>
            </w:pPr>
            <w:r>
              <w:rPr>
                <w:rFonts w:ascii="Arial" w:cs="Arial" w:eastAsia="Arial" w:hAnsi="Arial"/>
                <w:sz w:val="18"/>
                <w:szCs w:val="18"/>
                <w:color w:val="auto"/>
              </w:rPr>
              <w:t>Event of Default; Remedies with Respect to Collateral</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w:t>
            </w:r>
          </w:p>
        </w:tc>
        <w:tc>
          <w:tcPr>
            <w:tcW w:w="7980" w:type="dxa"/>
            <w:vAlign w:val="bottom"/>
          </w:tcPr>
          <w:p>
            <w:pPr>
              <w:ind w:left="320"/>
              <w:spacing w:after="0"/>
              <w:rPr>
                <w:sz w:val="20"/>
                <w:szCs w:val="20"/>
                <w:color w:val="auto"/>
              </w:rPr>
            </w:pPr>
            <w:r>
              <w:rPr>
                <w:rFonts w:ascii="Arial" w:cs="Arial" w:eastAsia="Arial" w:hAnsi="Arial"/>
                <w:sz w:val="18"/>
                <w:szCs w:val="18"/>
                <w:color w:val="auto"/>
              </w:rPr>
              <w:t>Waiver of Appraisement, Etc.</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4.3</w:t>
            </w:r>
          </w:p>
        </w:tc>
        <w:tc>
          <w:tcPr>
            <w:tcW w:w="7980" w:type="dxa"/>
            <w:vAlign w:val="bottom"/>
          </w:tcPr>
          <w:p>
            <w:pPr>
              <w:ind w:left="320"/>
              <w:spacing w:after="0"/>
              <w:rPr>
                <w:sz w:val="20"/>
                <w:szCs w:val="20"/>
                <w:color w:val="auto"/>
              </w:rPr>
            </w:pPr>
            <w:r>
              <w:rPr>
                <w:rFonts w:ascii="Arial" w:cs="Arial" w:eastAsia="Arial" w:hAnsi="Arial"/>
                <w:sz w:val="18"/>
                <w:szCs w:val="18"/>
                <w:color w:val="auto"/>
              </w:rPr>
              <w:t>Application of Proceeds:</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4.4</w:t>
            </w:r>
          </w:p>
        </w:tc>
        <w:tc>
          <w:tcPr>
            <w:tcW w:w="7980" w:type="dxa"/>
            <w:vAlign w:val="bottom"/>
          </w:tcPr>
          <w:p>
            <w:pPr>
              <w:ind w:left="320"/>
              <w:spacing w:after="0"/>
              <w:rPr>
                <w:sz w:val="20"/>
                <w:szCs w:val="20"/>
                <w:color w:val="auto"/>
              </w:rPr>
            </w:pPr>
            <w:r>
              <w:rPr>
                <w:rFonts w:ascii="Arial" w:cs="Arial" w:eastAsia="Arial" w:hAnsi="Arial"/>
                <w:sz w:val="18"/>
                <w:szCs w:val="18"/>
                <w:color w:val="auto"/>
              </w:rPr>
              <w:t>Remedies Cumulative</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4.5</w:t>
            </w:r>
          </w:p>
        </w:tc>
        <w:tc>
          <w:tcPr>
            <w:tcW w:w="7980" w:type="dxa"/>
            <w:vAlign w:val="bottom"/>
          </w:tcPr>
          <w:p>
            <w:pPr>
              <w:ind w:left="320"/>
              <w:spacing w:after="0"/>
              <w:rPr>
                <w:sz w:val="20"/>
                <w:szCs w:val="20"/>
                <w:color w:val="auto"/>
              </w:rPr>
            </w:pPr>
            <w:r>
              <w:rPr>
                <w:rFonts w:ascii="Arial" w:cs="Arial" w:eastAsia="Arial" w:hAnsi="Arial"/>
                <w:sz w:val="18"/>
                <w:szCs w:val="18"/>
                <w:color w:val="auto"/>
              </w:rPr>
              <w:t>Discontinuance of Proceedings</w:t>
            </w:r>
          </w:p>
        </w:tc>
        <w:tc>
          <w:tcPr>
            <w:tcW w:w="2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 Non-Lender Secured Parties</w:t>
            </w:r>
          </w:p>
        </w:tc>
        <w:tc>
          <w:tcPr>
            <w:tcW w:w="2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 MISCELLANEOUS</w:t>
            </w: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Section 6.1</w:t>
            </w:r>
          </w:p>
        </w:tc>
        <w:tc>
          <w:tcPr>
            <w:tcW w:w="7980" w:type="dxa"/>
            <w:vAlign w:val="bottom"/>
          </w:tcPr>
          <w:p>
            <w:pPr>
              <w:ind w:left="320"/>
              <w:spacing w:after="0"/>
              <w:rPr>
                <w:sz w:val="20"/>
                <w:szCs w:val="20"/>
                <w:color w:val="auto"/>
              </w:rPr>
            </w:pPr>
            <w:r>
              <w:rPr>
                <w:rFonts w:ascii="Arial" w:cs="Arial" w:eastAsia="Arial" w:hAnsi="Arial"/>
                <w:sz w:val="18"/>
                <w:szCs w:val="18"/>
                <w:color w:val="auto"/>
              </w:rPr>
              <w:t>No Legal Title to Collateral in Secured Party</w:t>
            </w:r>
          </w:p>
        </w:tc>
        <w:tc>
          <w:tcPr>
            <w:tcW w:w="2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6.2</w:t>
            </w:r>
          </w:p>
        </w:tc>
        <w:tc>
          <w:tcPr>
            <w:tcW w:w="7980" w:type="dxa"/>
            <w:vAlign w:val="bottom"/>
          </w:tcPr>
          <w:p>
            <w:pPr>
              <w:ind w:left="320"/>
              <w:spacing w:after="0"/>
              <w:rPr>
                <w:sz w:val="20"/>
                <w:szCs w:val="20"/>
                <w:color w:val="auto"/>
              </w:rPr>
            </w:pPr>
            <w:r>
              <w:rPr>
                <w:rFonts w:ascii="Arial" w:cs="Arial" w:eastAsia="Arial" w:hAnsi="Arial"/>
                <w:sz w:val="18"/>
                <w:szCs w:val="18"/>
                <w:color w:val="auto"/>
              </w:rPr>
              <w:t>Sale of Collateral by Collateral Agent is Binding</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6.3</w:t>
            </w:r>
          </w:p>
        </w:tc>
        <w:tc>
          <w:tcPr>
            <w:tcW w:w="7980" w:type="dxa"/>
            <w:vAlign w:val="bottom"/>
          </w:tcPr>
          <w:p>
            <w:pPr>
              <w:ind w:left="320"/>
              <w:spacing w:after="0"/>
              <w:rPr>
                <w:sz w:val="20"/>
                <w:szCs w:val="20"/>
                <w:color w:val="auto"/>
              </w:rPr>
            </w:pPr>
            <w:r>
              <w:rPr>
                <w:rFonts w:ascii="Arial" w:cs="Arial" w:eastAsia="Arial" w:hAnsi="Arial"/>
                <w:sz w:val="18"/>
                <w:szCs w:val="18"/>
                <w:color w:val="auto"/>
              </w:rPr>
              <w:t>Benefit of Security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6.4</w:t>
            </w:r>
          </w:p>
        </w:tc>
        <w:tc>
          <w:tcPr>
            <w:tcW w:w="7980" w:type="dxa"/>
            <w:vAlign w:val="bottom"/>
          </w:tcPr>
          <w:p>
            <w:pPr>
              <w:ind w:left="320"/>
              <w:spacing w:after="0"/>
              <w:rPr>
                <w:sz w:val="20"/>
                <w:szCs w:val="20"/>
                <w:color w:val="auto"/>
              </w:rPr>
            </w:pPr>
            <w:r>
              <w:rPr>
                <w:rFonts w:ascii="Arial" w:cs="Arial" w:eastAsia="Arial" w:hAnsi="Arial"/>
                <w:sz w:val="18"/>
                <w:szCs w:val="18"/>
                <w:color w:val="auto"/>
              </w:rPr>
              <w:t>Notices</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6.5</w:t>
            </w:r>
          </w:p>
        </w:tc>
        <w:tc>
          <w:tcPr>
            <w:tcW w:w="7980" w:type="dxa"/>
            <w:vAlign w:val="bottom"/>
          </w:tcPr>
          <w:p>
            <w:pPr>
              <w:ind w:left="320"/>
              <w:spacing w:after="0"/>
              <w:rPr>
                <w:sz w:val="20"/>
                <w:szCs w:val="20"/>
                <w:color w:val="auto"/>
              </w:rPr>
            </w:pPr>
            <w:r>
              <w:rPr>
                <w:rFonts w:ascii="Arial" w:cs="Arial" w:eastAsia="Arial" w:hAnsi="Arial"/>
                <w:sz w:val="18"/>
                <w:szCs w:val="18"/>
                <w:color w:val="auto"/>
              </w:rPr>
              <w:t>Waiver; Amendment</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6.6</w:t>
            </w:r>
          </w:p>
        </w:tc>
        <w:tc>
          <w:tcPr>
            <w:tcW w:w="7980" w:type="dxa"/>
            <w:vAlign w:val="bottom"/>
          </w:tcPr>
          <w:p>
            <w:pPr>
              <w:ind w:left="320"/>
              <w:spacing w:after="0"/>
              <w:rPr>
                <w:sz w:val="20"/>
                <w:szCs w:val="20"/>
                <w:color w:val="auto"/>
              </w:rPr>
            </w:pPr>
            <w:r>
              <w:rPr>
                <w:rFonts w:ascii="Arial" w:cs="Arial" w:eastAsia="Arial" w:hAnsi="Arial"/>
                <w:sz w:val="18"/>
                <w:szCs w:val="18"/>
                <w:color w:val="auto"/>
              </w:rPr>
              <w:t>Obligations Absolute</w:t>
            </w:r>
          </w:p>
        </w:tc>
        <w:tc>
          <w:tcPr>
            <w:tcW w:w="2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6.7</w:t>
            </w:r>
          </w:p>
        </w:tc>
        <w:tc>
          <w:tcPr>
            <w:tcW w:w="798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22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7780" w:type="dxa"/>
            <w:vAlign w:val="bottom"/>
          </w:tcPr>
          <w:p>
            <w:pPr>
              <w:jc w:val="center"/>
              <w:ind w:left="1410"/>
              <w:spacing w:after="0"/>
              <w:rPr>
                <w:sz w:val="20"/>
                <w:szCs w:val="20"/>
                <w:color w:val="auto"/>
              </w:rPr>
            </w:pPr>
            <w:r>
              <w:rPr>
                <w:rFonts w:ascii="Arial" w:cs="Arial" w:eastAsia="Arial" w:hAnsi="Arial"/>
                <w:sz w:val="18"/>
                <w:szCs w:val="18"/>
                <w:b w:val="1"/>
                <w:bCs w:val="1"/>
                <w:color w:val="auto"/>
                <w:w w:val="98"/>
              </w:rPr>
              <w:t>TABLE OF CONTENTS</w:t>
            </w:r>
          </w:p>
        </w:tc>
        <w:tc>
          <w:tcPr>
            <w:tcW w:w="24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77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(continued)</w:t>
            </w:r>
          </w:p>
        </w:tc>
        <w:tc>
          <w:tcPr>
            <w:tcW w:w="2460" w:type="dxa"/>
            <w:vAlign w:val="bottom"/>
          </w:tcPr>
          <w:p>
            <w:pPr>
              <w:spacing w:after="0"/>
              <w:rPr>
                <w:sz w:val="20"/>
                <w:szCs w:val="20"/>
                <w:color w:val="auto"/>
              </w:rPr>
            </w:pPr>
          </w:p>
        </w:tc>
      </w:tr>
      <w:tr>
        <w:trPr>
          <w:trHeight w:val="312"/>
        </w:trPr>
        <w:tc>
          <w:tcPr>
            <w:tcW w:w="10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080" w:type="dxa"/>
            <w:vAlign w:val="bottom"/>
          </w:tcPr>
          <w:p>
            <w:pPr>
              <w:spacing w:after="0"/>
              <w:rPr>
                <w:sz w:val="20"/>
                <w:szCs w:val="20"/>
                <w:color w:val="auto"/>
              </w:rPr>
            </w:pPr>
            <w:r>
              <w:rPr>
                <w:rFonts w:ascii="Arial" w:cs="Arial" w:eastAsia="Arial" w:hAnsi="Arial"/>
                <w:sz w:val="18"/>
                <w:szCs w:val="18"/>
                <w:color w:val="auto"/>
              </w:rPr>
              <w:t>Section 6.8</w:t>
            </w:r>
          </w:p>
        </w:tc>
        <w:tc>
          <w:tcPr>
            <w:tcW w:w="7780" w:type="dxa"/>
            <w:vAlign w:val="bottom"/>
          </w:tcPr>
          <w:p>
            <w:pPr>
              <w:ind w:left="380"/>
              <w:spacing w:after="0"/>
              <w:rPr>
                <w:sz w:val="20"/>
                <w:szCs w:val="20"/>
                <w:color w:val="auto"/>
              </w:rPr>
            </w:pPr>
            <w:r>
              <w:rPr>
                <w:rFonts w:ascii="Arial" w:cs="Arial" w:eastAsia="Arial" w:hAnsi="Arial"/>
                <w:sz w:val="18"/>
                <w:szCs w:val="18"/>
                <w:color w:val="auto"/>
              </w:rPr>
              <w:t>Headings Descriptive</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6.9</w:t>
            </w:r>
          </w:p>
        </w:tc>
        <w:tc>
          <w:tcPr>
            <w:tcW w:w="7780" w:type="dxa"/>
            <w:vAlign w:val="bottom"/>
          </w:tcPr>
          <w:p>
            <w:pPr>
              <w:ind w:left="380"/>
              <w:spacing w:after="0"/>
              <w:rPr>
                <w:sz w:val="20"/>
                <w:szCs w:val="20"/>
                <w:color w:val="auto"/>
              </w:rPr>
            </w:pPr>
            <w:r>
              <w:rPr>
                <w:rFonts w:ascii="Arial" w:cs="Arial" w:eastAsia="Arial" w:hAnsi="Arial"/>
                <w:sz w:val="18"/>
                <w:szCs w:val="18"/>
                <w:color w:val="auto"/>
              </w:rPr>
              <w:t>Severability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6.10</w:t>
            </w:r>
          </w:p>
        </w:tc>
        <w:tc>
          <w:tcPr>
            <w:tcW w:w="7780" w:type="dxa"/>
            <w:vAlign w:val="bottom"/>
          </w:tcPr>
          <w:p>
            <w:pPr>
              <w:ind w:left="380"/>
              <w:spacing w:after="0"/>
              <w:rPr>
                <w:sz w:val="20"/>
                <w:szCs w:val="20"/>
                <w:color w:val="auto"/>
              </w:rPr>
            </w:pPr>
            <w:r>
              <w:rPr>
                <w:rFonts w:ascii="Arial" w:cs="Arial" w:eastAsia="Arial" w:hAnsi="Arial"/>
                <w:sz w:val="18"/>
                <w:szCs w:val="18"/>
                <w:color w:val="auto"/>
              </w:rPr>
              <w:t>Governing Law</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6.11</w:t>
            </w:r>
          </w:p>
        </w:tc>
        <w:tc>
          <w:tcPr>
            <w:tcW w:w="7780" w:type="dxa"/>
            <w:vAlign w:val="bottom"/>
          </w:tcPr>
          <w:p>
            <w:pPr>
              <w:ind w:left="380"/>
              <w:spacing w:after="0"/>
              <w:rPr>
                <w:sz w:val="20"/>
                <w:szCs w:val="20"/>
                <w:color w:val="auto"/>
              </w:rPr>
            </w:pPr>
            <w:r>
              <w:rPr>
                <w:rFonts w:ascii="Arial" w:cs="Arial" w:eastAsia="Arial" w:hAnsi="Arial"/>
                <w:sz w:val="18"/>
                <w:szCs w:val="18"/>
                <w:color w:val="auto"/>
              </w:rPr>
              <w:t>Grantor’s Duties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6.12</w:t>
            </w:r>
          </w:p>
        </w:tc>
        <w:tc>
          <w:tcPr>
            <w:tcW w:w="7780" w:type="dxa"/>
            <w:vAlign w:val="bottom"/>
          </w:tcPr>
          <w:p>
            <w:pPr>
              <w:ind w:left="380"/>
              <w:spacing w:after="0"/>
              <w:rPr>
                <w:sz w:val="20"/>
                <w:szCs w:val="20"/>
                <w:color w:val="auto"/>
              </w:rPr>
            </w:pPr>
            <w:r>
              <w:rPr>
                <w:rFonts w:ascii="Arial" w:cs="Arial" w:eastAsia="Arial" w:hAnsi="Arial"/>
                <w:sz w:val="18"/>
                <w:szCs w:val="18"/>
                <w:color w:val="auto"/>
              </w:rPr>
              <w:t>Termination; Release</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6.13</w:t>
            </w:r>
          </w:p>
        </w:tc>
        <w:tc>
          <w:tcPr>
            <w:tcW w:w="778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6.14</w:t>
            </w:r>
          </w:p>
        </w:tc>
        <w:tc>
          <w:tcPr>
            <w:tcW w:w="7780" w:type="dxa"/>
            <w:vAlign w:val="bottom"/>
          </w:tcPr>
          <w:p>
            <w:pPr>
              <w:ind w:left="380"/>
              <w:spacing w:after="0"/>
              <w:rPr>
                <w:sz w:val="20"/>
                <w:szCs w:val="20"/>
                <w:color w:val="auto"/>
              </w:rPr>
            </w:pPr>
            <w:r>
              <w:rPr>
                <w:rFonts w:ascii="Arial" w:cs="Arial" w:eastAsia="Arial" w:hAnsi="Arial"/>
                <w:sz w:val="18"/>
                <w:szCs w:val="18"/>
                <w:color w:val="auto"/>
              </w:rPr>
              <w:t>The Collateral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6.15</w:t>
            </w:r>
          </w:p>
        </w:tc>
        <w:tc>
          <w:tcPr>
            <w:tcW w:w="7780" w:type="dxa"/>
            <w:vAlign w:val="bottom"/>
          </w:tcPr>
          <w:p>
            <w:pPr>
              <w:ind w:left="380"/>
              <w:spacing w:after="0"/>
              <w:rPr>
                <w:sz w:val="20"/>
                <w:szCs w:val="20"/>
                <w:color w:val="auto"/>
              </w:rPr>
            </w:pPr>
            <w:r>
              <w:rPr>
                <w:rFonts w:ascii="Arial" w:cs="Arial" w:eastAsia="Arial" w:hAnsi="Arial"/>
                <w:sz w:val="18"/>
                <w:szCs w:val="18"/>
                <w:color w:val="auto"/>
              </w:rPr>
              <w:t>Conflicts with Other Loan Documents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59"/>
        </w:trPr>
        <w:tc>
          <w:tcPr>
            <w:tcW w:w="1080" w:type="dxa"/>
            <w:vAlign w:val="bottom"/>
          </w:tcPr>
          <w:p>
            <w:pPr>
              <w:spacing w:after="0"/>
              <w:rPr>
                <w:sz w:val="20"/>
                <w:szCs w:val="20"/>
                <w:color w:val="auto"/>
              </w:rPr>
            </w:pPr>
            <w:r>
              <w:rPr>
                <w:rFonts w:ascii="Arial" w:cs="Arial" w:eastAsia="Arial" w:hAnsi="Arial"/>
                <w:sz w:val="18"/>
                <w:szCs w:val="18"/>
                <w:color w:val="auto"/>
              </w:rPr>
              <w:t>Appendix A</w:t>
            </w:r>
          </w:p>
        </w:tc>
        <w:tc>
          <w:tcPr>
            <w:tcW w:w="7780" w:type="dxa"/>
            <w:vAlign w:val="bottom"/>
          </w:tcPr>
          <w:p>
            <w:pPr>
              <w:ind w:left="180"/>
              <w:spacing w:after="0"/>
              <w:rPr>
                <w:sz w:val="20"/>
                <w:szCs w:val="20"/>
                <w:color w:val="auto"/>
              </w:rPr>
            </w:pPr>
            <w:r>
              <w:rPr>
                <w:rFonts w:ascii="Arial" w:cs="Arial" w:eastAsia="Arial" w:hAnsi="Arial"/>
                <w:sz w:val="18"/>
                <w:szCs w:val="18"/>
                <w:color w:val="auto"/>
              </w:rPr>
              <w:t>Definitions relating to the Spare Parts Security Agreement</w:t>
            </w:r>
          </w:p>
        </w:tc>
        <w:tc>
          <w:tcPr>
            <w:tcW w:w="24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Schedule I</w:t>
            </w:r>
          </w:p>
        </w:tc>
        <w:tc>
          <w:tcPr>
            <w:tcW w:w="7780" w:type="dxa"/>
            <w:vAlign w:val="bottom"/>
          </w:tcPr>
          <w:p>
            <w:pPr>
              <w:ind w:left="180"/>
              <w:spacing w:after="0"/>
              <w:rPr>
                <w:sz w:val="20"/>
                <w:szCs w:val="20"/>
                <w:color w:val="auto"/>
              </w:rPr>
            </w:pPr>
            <w:r>
              <w:rPr>
                <w:rFonts w:ascii="Arial" w:cs="Arial" w:eastAsia="Arial" w:hAnsi="Arial"/>
                <w:sz w:val="18"/>
                <w:szCs w:val="18"/>
                <w:color w:val="auto"/>
              </w:rPr>
              <w:t>Spare Parts Locations</w:t>
            </w:r>
          </w:p>
        </w:tc>
        <w:tc>
          <w:tcPr>
            <w:tcW w:w="24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Schedule II</w:t>
            </w:r>
          </w:p>
        </w:tc>
        <w:tc>
          <w:tcPr>
            <w:tcW w:w="7780" w:type="dxa"/>
            <w:vAlign w:val="bottom"/>
          </w:tcPr>
          <w:p>
            <w:pPr>
              <w:ind w:left="180"/>
              <w:spacing w:after="0"/>
              <w:rPr>
                <w:sz w:val="20"/>
                <w:szCs w:val="20"/>
                <w:color w:val="auto"/>
              </w:rPr>
            </w:pPr>
            <w:r>
              <w:rPr>
                <w:rFonts w:ascii="Arial" w:cs="Arial" w:eastAsia="Arial" w:hAnsi="Arial"/>
                <w:sz w:val="18"/>
                <w:szCs w:val="18"/>
                <w:color w:val="auto"/>
              </w:rPr>
              <w:t>Location of Grantor</w:t>
            </w:r>
          </w:p>
        </w:tc>
        <w:tc>
          <w:tcPr>
            <w:tcW w:w="24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Schedule III</w:t>
            </w:r>
          </w:p>
        </w:tc>
        <w:tc>
          <w:tcPr>
            <w:tcW w:w="7780" w:type="dxa"/>
            <w:vAlign w:val="bottom"/>
          </w:tcPr>
          <w:p>
            <w:pPr>
              <w:ind w:left="180"/>
              <w:spacing w:after="0"/>
              <w:rPr>
                <w:sz w:val="20"/>
                <w:szCs w:val="20"/>
                <w:color w:val="auto"/>
              </w:rPr>
            </w:pPr>
            <w:r>
              <w:rPr>
                <w:rFonts w:ascii="Arial" w:cs="Arial" w:eastAsia="Arial" w:hAnsi="Arial"/>
                <w:sz w:val="18"/>
                <w:szCs w:val="18"/>
                <w:color w:val="auto"/>
              </w:rPr>
              <w:t>Pledged Expendable Parts</w:t>
            </w:r>
          </w:p>
        </w:tc>
        <w:tc>
          <w:tcPr>
            <w:tcW w:w="24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Schedule IV</w:t>
            </w:r>
          </w:p>
        </w:tc>
        <w:tc>
          <w:tcPr>
            <w:tcW w:w="7780" w:type="dxa"/>
            <w:vAlign w:val="bottom"/>
          </w:tcPr>
          <w:p>
            <w:pPr>
              <w:ind w:left="180"/>
              <w:spacing w:after="0"/>
              <w:rPr>
                <w:sz w:val="20"/>
                <w:szCs w:val="20"/>
                <w:color w:val="auto"/>
              </w:rPr>
            </w:pPr>
            <w:r>
              <w:rPr>
                <w:rFonts w:ascii="Arial" w:cs="Arial" w:eastAsia="Arial" w:hAnsi="Arial"/>
                <w:sz w:val="18"/>
                <w:szCs w:val="18"/>
                <w:color w:val="auto"/>
              </w:rPr>
              <w:t>Pledged Key Repairables</w:t>
            </w:r>
          </w:p>
        </w:tc>
        <w:tc>
          <w:tcPr>
            <w:tcW w:w="24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Schedule V</w:t>
            </w:r>
          </w:p>
        </w:tc>
        <w:tc>
          <w:tcPr>
            <w:tcW w:w="7780" w:type="dxa"/>
            <w:vAlign w:val="bottom"/>
          </w:tcPr>
          <w:p>
            <w:pPr>
              <w:ind w:left="180"/>
              <w:spacing w:after="0"/>
              <w:rPr>
                <w:sz w:val="20"/>
                <w:szCs w:val="20"/>
                <w:color w:val="auto"/>
              </w:rPr>
            </w:pPr>
            <w:r>
              <w:rPr>
                <w:rFonts w:ascii="Arial" w:cs="Arial" w:eastAsia="Arial" w:hAnsi="Arial"/>
                <w:sz w:val="18"/>
                <w:szCs w:val="18"/>
                <w:color w:val="auto"/>
              </w:rPr>
              <w:t>Pledged Rotables</w:t>
            </w:r>
          </w:p>
        </w:tc>
        <w:tc>
          <w:tcPr>
            <w:tcW w:w="24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Exhibit A</w:t>
            </w:r>
          </w:p>
        </w:tc>
        <w:tc>
          <w:tcPr>
            <w:tcW w:w="7780" w:type="dxa"/>
            <w:vAlign w:val="bottom"/>
          </w:tcPr>
          <w:p>
            <w:pPr>
              <w:ind w:left="180"/>
              <w:spacing w:after="0"/>
              <w:rPr>
                <w:sz w:val="20"/>
                <w:szCs w:val="20"/>
                <w:color w:val="auto"/>
              </w:rPr>
            </w:pPr>
            <w:r>
              <w:rPr>
                <w:rFonts w:ascii="Arial" w:cs="Arial" w:eastAsia="Arial" w:hAnsi="Arial"/>
                <w:sz w:val="18"/>
                <w:szCs w:val="18"/>
                <w:color w:val="auto"/>
              </w:rPr>
              <w:t>Form of Spare Parts Security Agreement Supplement</w:t>
            </w:r>
          </w:p>
        </w:tc>
        <w:tc>
          <w:tcPr>
            <w:tcW w:w="2460" w:type="dxa"/>
            <w:vAlign w:val="bottom"/>
          </w:tcPr>
          <w:p>
            <w:pPr>
              <w:spacing w:after="0"/>
              <w:rPr>
                <w:sz w:val="24"/>
                <w:szCs w:val="24"/>
                <w:color w:val="auto"/>
              </w:rPr>
            </w:pPr>
          </w:p>
        </w:tc>
      </w:tr>
      <w:tr>
        <w:trPr>
          <w:trHeight w:val="365"/>
        </w:trPr>
        <w:tc>
          <w:tcPr>
            <w:tcW w:w="1080" w:type="dxa"/>
            <w:vAlign w:val="bottom"/>
          </w:tcPr>
          <w:p>
            <w:pPr>
              <w:spacing w:after="0"/>
              <w:rPr>
                <w:sz w:val="24"/>
                <w:szCs w:val="24"/>
                <w:color w:val="auto"/>
              </w:rPr>
            </w:pPr>
          </w:p>
        </w:tc>
        <w:tc>
          <w:tcPr>
            <w:tcW w:w="7780" w:type="dxa"/>
            <w:vAlign w:val="bottom"/>
          </w:tcPr>
          <w:p>
            <w:pPr>
              <w:jc w:val="center"/>
              <w:ind w:left="1390"/>
              <w:spacing w:after="0"/>
              <w:rPr>
                <w:sz w:val="20"/>
                <w:szCs w:val="20"/>
                <w:color w:val="auto"/>
              </w:rPr>
            </w:pPr>
            <w:r>
              <w:rPr>
                <w:rFonts w:ascii="Arial" w:cs="Arial" w:eastAsia="Arial" w:hAnsi="Arial"/>
                <w:sz w:val="18"/>
                <w:szCs w:val="18"/>
                <w:color w:val="auto"/>
              </w:rPr>
              <w:t>ii</w:t>
            </w:r>
          </w:p>
        </w:tc>
        <w:tc>
          <w:tcPr>
            <w:tcW w:w="2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9" w:name="page260"/>
    <w:bookmarkEnd w:id="25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SPARE PARTS SECURITY AGREEMENT</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SPARE PARTS SECURITY AGREEMENT dated as of [ ], 2016 (this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between American Airlines, Inc., a Delaware corporation (together with its successors and assigns, the “</w:t>
      </w:r>
      <w:r>
        <w:rPr>
          <w:rFonts w:ascii="Arial" w:cs="Arial" w:eastAsia="Arial" w:hAnsi="Arial"/>
          <w:sz w:val="18"/>
          <w:szCs w:val="18"/>
          <w:u w:val="single" w:color="auto"/>
          <w:color w:val="auto"/>
        </w:rPr>
        <w:t>Grantor</w:t>
      </w:r>
      <w:r>
        <w:rPr>
          <w:rFonts w:ascii="Arial" w:cs="Arial" w:eastAsia="Arial" w:hAnsi="Arial"/>
          <w:sz w:val="18"/>
          <w:szCs w:val="18"/>
          <w:color w:val="auto"/>
        </w:rPr>
        <w:t>”), and Barclays Bank PLC, as administrative agent and collateral agent for the Secured Parties (as hereinafter defined) (together with any successor administrative agent appointed pursuant to the Credit Agreement (as hereinafter defined),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the Grantor is a certificated U.S. air carrier under Section 44705 of Title 49 of the United States Code and holds air carrier operating certificates;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WHEREAS, the Grantor, the other Affiliates of the Grantor party thereto (together with the Grantor, the “</w:t>
      </w:r>
      <w:r>
        <w:rPr>
          <w:rFonts w:ascii="Arial" w:cs="Arial" w:eastAsia="Arial" w:hAnsi="Arial"/>
          <w:sz w:val="16"/>
          <w:szCs w:val="16"/>
          <w:u w:val="single" w:color="auto"/>
          <w:color w:val="auto"/>
        </w:rPr>
        <w:t>Borrower Parties</w:t>
      </w:r>
      <w:r>
        <w:rPr>
          <w:rFonts w:ascii="Arial" w:cs="Arial" w:eastAsia="Arial" w:hAnsi="Arial"/>
          <w:sz w:val="16"/>
          <w:szCs w:val="16"/>
          <w:color w:val="auto"/>
        </w:rPr>
        <w:t>”), the several lenders from time to time party thereto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the Collateral Agent are parties to that certain Credit and Guaranty Agreement dated as of</w:t>
      </w:r>
    </w:p>
    <w:p>
      <w:pPr>
        <w:ind w:left="600" w:hanging="592"/>
        <w:spacing w:after="0"/>
        <w:tabs>
          <w:tab w:leader="none" w:pos="6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to induce the Lenders to enter into the Credit Agreement, the Borrower Parties have agreed to enter into Collateral Documents from time to time;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WHEREAS, the Collateral Agent and one or more Additional Agents may in the future enter into one or more Intercreditor Agreement and/or Other Intercreditor Agreements; and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the Grantor may establish one or more accounts for cash and to hold securities and other financial assets (each, an “</w:t>
      </w:r>
      <w:r>
        <w:rPr>
          <w:rFonts w:ascii="Arial" w:cs="Arial" w:eastAsia="Arial" w:hAnsi="Arial"/>
          <w:sz w:val="18"/>
          <w:szCs w:val="18"/>
          <w:u w:val="single" w:color="auto"/>
          <w:color w:val="auto"/>
        </w:rPr>
        <w:t>Account</w:t>
      </w:r>
      <w:r>
        <w:rPr>
          <w:rFonts w:ascii="Arial" w:cs="Arial" w:eastAsia="Arial" w:hAnsi="Arial"/>
          <w:sz w:val="18"/>
          <w:szCs w:val="18"/>
          <w:color w:val="auto"/>
        </w:rPr>
        <w:t>”) that will be subject to one or more Account Control Agreements.</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NOW, THEREFORE, in consideration of these premises and other good and valuable consideration, the receipt and sufficiency of which is hereby acknowledged, the parties hereto hereby agree as follows: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21"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u w:val="single" w:color="auto"/>
          <w:color w:val="auto"/>
        </w:rPr>
        <w:t>Definitions</w:t>
      </w:r>
      <w:r>
        <w:rPr>
          <w:rFonts w:ascii="Arial" w:cs="Arial" w:eastAsia="Arial" w:hAnsi="Arial"/>
          <w:sz w:val="16"/>
          <w:szCs w:val="16"/>
          <w:color w:val="auto"/>
        </w:rPr>
        <w:t>. For all purposes of this Security Agreement, unless the context otherwise requires, capitalized terms used but not defined herein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respective meanings set forth or incorporated by reference in </w:t>
      </w:r>
      <w:r>
        <w:rPr>
          <w:rFonts w:ascii="Arial" w:cs="Arial" w:eastAsia="Arial" w:hAnsi="Arial"/>
          <w:sz w:val="16"/>
          <w:szCs w:val="16"/>
          <w:b w:val="1"/>
          <w:bCs w:val="1"/>
          <w:color w:val="auto"/>
        </w:rPr>
        <w:t>Annex A</w:t>
      </w:r>
      <w:r>
        <w:rPr>
          <w:rFonts w:ascii="Arial" w:cs="Arial" w:eastAsia="Arial" w:hAnsi="Arial"/>
          <w:sz w:val="16"/>
          <w:szCs w:val="16"/>
          <w:color w:val="auto"/>
        </w:rPr>
        <w:t xml:space="preserve">, or if not defined in </w:t>
      </w:r>
      <w:r>
        <w:rPr>
          <w:rFonts w:ascii="Arial" w:cs="Arial" w:eastAsia="Arial" w:hAnsi="Arial"/>
          <w:sz w:val="16"/>
          <w:szCs w:val="16"/>
          <w:b w:val="1"/>
          <w:bCs w:val="1"/>
          <w:color w:val="auto"/>
        </w:rPr>
        <w:t>Annex A</w:t>
      </w:r>
      <w:r>
        <w:rPr>
          <w:rFonts w:ascii="Arial" w:cs="Arial" w:eastAsia="Arial" w:hAnsi="Arial"/>
          <w:sz w:val="16"/>
          <w:szCs w:val="16"/>
          <w:color w:val="auto"/>
        </w:rPr>
        <w:t>, the meanings set forth in the Credit Agreement.</w:t>
      </w:r>
    </w:p>
    <w:p>
      <w:pPr>
        <w:sectPr>
          <w:pgSz w:w="11900" w:h="16838" w:orient="portrait"/>
          <w:cols w:equalWidth="0" w:num="1">
            <w:col w:w="11360"/>
          </w:cols>
          <w:pgMar w:left="240" w:top="270" w:right="299" w:bottom="1440" w:gutter="0" w:footer="0" w:header="0"/>
        </w:sectPr>
      </w:pPr>
    </w:p>
    <w:bookmarkStart w:id="260" w:name="page261"/>
    <w:bookmarkEnd w:id="26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Arial" w:cs="Arial" w:eastAsia="Arial" w:hAnsi="Arial"/>
          <w:sz w:val="18"/>
          <w:szCs w:val="18"/>
          <w:u w:val="single" w:color="auto"/>
          <w:color w:val="auto"/>
        </w:rPr>
        <w:t>Rules of Interpretation.</w:t>
      </w:r>
    </w:p>
    <w:p>
      <w:pPr>
        <w:spacing w:after="0" w:line="121" w:lineRule="exact"/>
        <w:rPr>
          <w:sz w:val="20"/>
          <w:szCs w:val="20"/>
          <w:color w:val="auto"/>
        </w:rPr>
      </w:pPr>
    </w:p>
    <w:p>
      <w:pPr>
        <w:ind w:left="1520" w:hanging="179"/>
        <w:spacing w:after="0"/>
        <w:tabs>
          <w:tab w:leader="none" w:pos="1520"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The definitions stated herein shall be equally applicable to the singular and plural forms of the terms defined.</w:t>
      </w:r>
    </w:p>
    <w:p>
      <w:pPr>
        <w:spacing w:after="0" w:line="117" w:lineRule="exact"/>
        <w:rPr>
          <w:rFonts w:ascii="Arial" w:cs="Arial" w:eastAsia="Arial" w:hAnsi="Arial"/>
          <w:sz w:val="18"/>
          <w:szCs w:val="18"/>
          <w:b w:val="1"/>
          <w:bCs w:val="1"/>
          <w:color w:val="auto"/>
        </w:rPr>
      </w:pPr>
    </w:p>
    <w:p>
      <w:pPr>
        <w:ind w:left="920" w:firstLine="421"/>
        <w:spacing w:after="0" w:line="277" w:lineRule="auto"/>
        <w:tabs>
          <w:tab w:leader="none" w:pos="1520"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The parties to this Security Agreement agree that the rules of interpretation set out in Section 1.02 of the Credit Agreement shall apply to this Security Agreement mutatis mutandis as if set out in this Security Agreement.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SECURITY</w:t>
      </w:r>
    </w:p>
    <w:p>
      <w:pPr>
        <w:spacing w:after="0" w:line="2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u w:val="single" w:color="auto"/>
          <w:color w:val="auto"/>
        </w:rPr>
        <w:t>Grant of Security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in order to secure (i) the prompt payment of all the payment Obligations in full when due and (ii)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and observance by the Grantor and each other Obligor of all other Obligations, in each case whether by lapse of time, acceleration, mandatory prepayment or otherwise, and in consideration of the premises and of the covenants herein contained, and of other good and valuable consideration, the receipt of which is hereby acknowledged, does hereby grant, bargain, sell, assign, transfer, convey, mortgage, pledge and confirm unto the Collateral Agent, its permitted successors and assigns, for the security and benefit of the Secured Parties until released pursuant to Section 6.12, a continuing security interest in, and mortgage lien on, all estate, right, title and interest of the Grantor in, to and under the following described properties, rights, interests and privileges, whether now owned or hereafter acquired and wherever located (which, collectively, including all property hereafter specifically subjected to the Lien of this Security Agreement by any instrument supplemental hereto, are referred to herein as the “</w:t>
      </w:r>
      <w:r>
        <w:rPr>
          <w:rFonts w:ascii="Arial" w:cs="Arial" w:eastAsia="Arial" w:hAnsi="Arial"/>
          <w:sz w:val="16"/>
          <w:szCs w:val="16"/>
          <w:u w:val="single" w:color="auto"/>
          <w:color w:val="auto"/>
        </w:rPr>
        <w:t>Collateral</w:t>
      </w:r>
      <w:r>
        <w:rPr>
          <w:rFonts w:ascii="Arial" w:cs="Arial" w:eastAsia="Arial" w:hAnsi="Arial"/>
          <w:sz w:val="16"/>
          <w:szCs w:val="16"/>
          <w:color w:val="auto"/>
        </w:rPr>
        <w:t>”):</w:t>
      </w:r>
    </w:p>
    <w:p>
      <w:pPr>
        <w:spacing w:after="0" w:line="56" w:lineRule="exact"/>
        <w:rPr>
          <w:sz w:val="20"/>
          <w:szCs w:val="20"/>
          <w:color w:val="auto"/>
        </w:rPr>
      </w:pPr>
    </w:p>
    <w:p>
      <w:pPr>
        <w:ind w:left="1520" w:hanging="179"/>
        <w:spacing w:after="0"/>
        <w:tabs>
          <w:tab w:leader="none" w:pos="1520"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the Pledged Spare Parts and all replacements therefor and substitutions therefor in which the Grantor shall from time to time acquire an</w:t>
      </w:r>
    </w:p>
    <w:p>
      <w:pPr>
        <w:spacing w:after="0" w:line="46" w:lineRule="exact"/>
        <w:rPr>
          <w:rFonts w:ascii="Arial" w:cs="Arial" w:eastAsia="Arial" w:hAnsi="Arial"/>
          <w:sz w:val="16"/>
          <w:szCs w:val="16"/>
          <w:b w:val="1"/>
          <w:bCs w:val="1"/>
          <w:color w:val="auto"/>
        </w:rPr>
      </w:pPr>
    </w:p>
    <w:p>
      <w:pPr>
        <w:ind w:left="920"/>
        <w:spacing w:after="0"/>
        <w:rPr>
          <w:rFonts w:ascii="Arial" w:cs="Arial" w:eastAsia="Arial" w:hAnsi="Arial"/>
          <w:sz w:val="16"/>
          <w:szCs w:val="16"/>
          <w:b w:val="1"/>
          <w:bCs w:val="1"/>
          <w:color w:val="auto"/>
        </w:rPr>
      </w:pPr>
      <w:r>
        <w:rPr>
          <w:rFonts w:ascii="Arial" w:cs="Arial" w:eastAsia="Arial" w:hAnsi="Arial"/>
          <w:sz w:val="18"/>
          <w:szCs w:val="18"/>
          <w:color w:val="auto"/>
        </w:rPr>
        <w:t>interest;</w:t>
      </w:r>
    </w:p>
    <w:p>
      <w:pPr>
        <w:spacing w:after="0" w:line="102" w:lineRule="exact"/>
        <w:rPr>
          <w:rFonts w:ascii="Arial" w:cs="Arial" w:eastAsia="Arial" w:hAnsi="Arial"/>
          <w:sz w:val="16"/>
          <w:szCs w:val="16"/>
          <w:b w:val="1"/>
          <w:bCs w:val="1"/>
          <w:color w:val="auto"/>
        </w:rPr>
      </w:pPr>
    </w:p>
    <w:p>
      <w:pPr>
        <w:ind w:left="1520" w:hanging="179"/>
        <w:spacing w:after="0"/>
        <w:tabs>
          <w:tab w:leader="none" w:pos="1520"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the Records;</w:t>
      </w:r>
    </w:p>
    <w:p>
      <w:pPr>
        <w:spacing w:after="0" w:line="117" w:lineRule="exact"/>
        <w:rPr>
          <w:rFonts w:ascii="Arial" w:cs="Arial" w:eastAsia="Arial" w:hAnsi="Arial"/>
          <w:sz w:val="18"/>
          <w:szCs w:val="18"/>
          <w:b w:val="1"/>
          <w:bCs w:val="1"/>
          <w:color w:val="auto"/>
        </w:rPr>
      </w:pPr>
    </w:p>
    <w:p>
      <w:pPr>
        <w:ind w:left="920" w:right="160" w:firstLine="421"/>
        <w:spacing w:after="0" w:line="264" w:lineRule="auto"/>
        <w:tabs>
          <w:tab w:leader="none" w:pos="1520"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all of the right, title and interest of such Grantor in, to and under each Account and all cash, checks, securities, money orders and other items of value of such Grantor now or hereafter paid, deposited, credited or held (whether for collection, provisionally or otherwise) in each Account (the “</w:t>
      </w:r>
      <w:r>
        <w:rPr>
          <w:rFonts w:ascii="Arial" w:cs="Arial" w:eastAsia="Arial" w:hAnsi="Arial"/>
          <w:sz w:val="18"/>
          <w:szCs w:val="18"/>
          <w:u w:val="single" w:color="auto"/>
          <w:color w:val="auto"/>
        </w:rPr>
        <w:t>Account Collateral</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920" w:right="220" w:firstLine="421"/>
        <w:spacing w:after="0" w:line="277" w:lineRule="auto"/>
        <w:tabs>
          <w:tab w:leader="none" w:pos="1520"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all insurance proceeds and condemnation proceeds and any other proceeds of any kind resulting from an Event of Loss, but excluding any liability insurance maintained by the Grantor;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61" w:name="page262"/>
    <w:bookmarkEnd w:id="261"/>
    <w:p>
      <w:pPr>
        <w:ind w:left="920" w:right="140" w:firstLine="421"/>
        <w:spacing w:after="0" w:line="277" w:lineRule="auto"/>
        <w:tabs>
          <w:tab w:leader="none" w:pos="1520"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of the Grantor under any warranty or indemnity, express or implied, regarding title, materials, workmanship, design or patent infringement or related matters in respect of the Pledged Spare Parts;</w:t>
      </w:r>
    </w:p>
    <w:p>
      <w:pPr>
        <w:spacing w:after="0" w:line="62" w:lineRule="exact"/>
        <w:rPr>
          <w:rFonts w:ascii="Arial" w:cs="Arial" w:eastAsia="Arial" w:hAnsi="Arial"/>
          <w:sz w:val="18"/>
          <w:szCs w:val="18"/>
          <w:b w:val="1"/>
          <w:bCs w:val="1"/>
          <w:color w:val="auto"/>
        </w:rPr>
      </w:pPr>
    </w:p>
    <w:p>
      <w:pPr>
        <w:ind w:left="1520" w:hanging="179"/>
        <w:spacing w:after="0"/>
        <w:tabs>
          <w:tab w:leader="none" w:pos="1520"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all rents, issues, profits, revenues and other income of the property subjected to the Lien of this Security Agreement;</w:t>
      </w:r>
    </w:p>
    <w:p>
      <w:pPr>
        <w:spacing w:after="0" w:line="117" w:lineRule="exact"/>
        <w:rPr>
          <w:rFonts w:ascii="Arial" w:cs="Arial" w:eastAsia="Arial" w:hAnsi="Arial"/>
          <w:sz w:val="18"/>
          <w:szCs w:val="18"/>
          <w:b w:val="1"/>
          <w:bCs w:val="1"/>
          <w:color w:val="auto"/>
        </w:rPr>
      </w:pPr>
    </w:p>
    <w:p>
      <w:pPr>
        <w:ind w:left="920" w:right="280" w:firstLine="421"/>
        <w:spacing w:after="0" w:line="342" w:lineRule="auto"/>
        <w:tabs>
          <w:tab w:leader="none" w:pos="1520" w:val="left"/>
        </w:tabs>
        <w:numPr>
          <w:ilvl w:val="0"/>
          <w:numId w:val="298"/>
        </w:numPr>
        <w:rPr>
          <w:rFonts w:ascii="Arial" w:cs="Arial" w:eastAsia="Arial" w:hAnsi="Arial"/>
          <w:sz w:val="16"/>
          <w:szCs w:val="16"/>
          <w:b w:val="1"/>
          <w:bCs w:val="1"/>
          <w:color w:val="auto"/>
        </w:rPr>
      </w:pPr>
      <w:r>
        <w:rPr>
          <w:rFonts w:ascii="Arial" w:cs="Arial" w:eastAsia="Arial" w:hAnsi="Arial"/>
          <w:sz w:val="16"/>
          <w:szCs w:val="16"/>
          <w:color w:val="auto"/>
        </w:rPr>
        <w:t>any and all property that may, from time to time hereafter, by Security Agreement Supplement be subjected to the lien and security interest hereof and the Collateral Agent is hereby authorized to receive the same at any and all times as and for additional security hereunder;</w:t>
      </w:r>
    </w:p>
    <w:p>
      <w:pPr>
        <w:spacing w:after="0" w:line="15" w:lineRule="exact"/>
        <w:rPr>
          <w:rFonts w:ascii="Arial" w:cs="Arial" w:eastAsia="Arial" w:hAnsi="Arial"/>
          <w:sz w:val="16"/>
          <w:szCs w:val="16"/>
          <w:b w:val="1"/>
          <w:bCs w:val="1"/>
          <w:color w:val="auto"/>
        </w:rPr>
      </w:pPr>
    </w:p>
    <w:p>
      <w:pPr>
        <w:ind w:left="1520" w:hanging="179"/>
        <w:spacing w:after="0"/>
        <w:tabs>
          <w:tab w:leader="none" w:pos="1520"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all Proceeds of the foregoing.</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PROVIDED, HOWEVER, that notwithstanding any of the foregoing provisions of this Section 2.1, unless and until an Event of Default shall have occurred and be continuing (i) the Grantor shall have the right, to the exclusion of the Collateral Agent and the other Secured Parties, to quiet enjoyment of the Pledged Spare Parts and other Collateral, and to possess, use, retain and control the Pledged Spare Parts and other Collateral and all revenues, income and profits derived therefrom and (ii) neither the Collateral Agent, acting on behalf of the Secured Parties, nor any Secured Party, shall, through its own actions or inactions, interfere with, or suffer to exist with respect to any Pledged Spare Part or other Collateral any Lien attributable to the Collateral Agent or any Secured Party which might interfere with, the Grantor’s continued possession, use and operation of, and quiet enjoyment of, each Pledged Spare Part and all other Collateral without hindrance during the term of this Security Agreement in accordance with the terms of the Loan Documents.</w:t>
      </w:r>
    </w:p>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 HAVE AND TO HOLD the Collateral unto the Collateral Agent, its permitted successors and assigns, until the Termination Date or until otherwise released pursuant to Section 6.12, upon the terms herein set forth, in trust for the benefit, security and protection of the Secured Parties, and for the uses and purposes and subject to the terms and provisions set forth in this Security Agreement and the Credit Agreement.</w:t>
      </w:r>
    </w:p>
    <w:p>
      <w:pPr>
        <w:spacing w:after="0" w:line="16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It is expressly agreed that anything herein contained to the contrary notwithstanding, the Grantor shall remain liable under each of the contracts and agreements included in the Collateral to which it is a party to perform all of the obligations assumed by it thereunder, all in accordance with and pursuant to the terms and provisions thereof, and no Secured Party shall have any obligation or liability under any such contracts and agreements to which the Grantor is a party by reason of or arising out of the assignment hereunder, nor shall any Secured Party be required or obligated in any manner to perform or fulfill any obligations of the Grantor under any such contracts and agreements to which the Grantor is a party, or, except as herein expressly provided, to make any payment, or to make any inquiry as to the nature or sufficiency of any payment received by it, or present or file any claim, or take any action to collect or enforce the payment of any amounts which may have been assigned to it or to which it may be entitled at any time or times.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62" w:name="page263"/>
    <w:bookmarkEnd w:id="262"/>
    <w:p>
      <w:pPr>
        <w:ind w:right="14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Grantor does hereby irrevocably constitute and appoint the Collateral Agent the true and lawful attorney of the Grantor (which appointment is coupled with an interest) with full power (in the name of the Grantor or otherwise) to ask, require, demand, receive, compound and give acquittance for any and all moneys and claims for moneys (in each case including insurance and requisition proceeds) and all other property which now or hereafter constitute part of the Collateral, to endorse any checks or other instruments or orders in connection therewith and to file any claims or to take any action or to institute any proceeding which the Collateral Agent may deem to be necessary or advisable in the premises; provided that the Collateral Agent shall not exercise any of such rights except upon the occurrence and during the continuance of an Event of Default.</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Grantor agrees that (x) on the date hereof, (y) promptly upon any Collateral becoming subject to the Lien of this Security Agreement and (z) at any time and from time to time upon the written request of the Collateral Agent, at the Grantor’s sole cost and expense, other than with respect to Excluded Spare Parts, the Grantor will promptly and duly execute and deliver and record (as applicable) or cause to be duly executed and delivered and recorded any and all further agreements, financing statements, instruments, certificates and documents as the Collateral Agent may reasonably deem necessary or advisable to create, preserve, perfect, confirm or validate the security interests in the Collateral or to enable the Collateral Agent to obtain the full benefits of this Security Agreement or to enable the Collateral Agent to lawfully enforce any of its rights, powers and remedies hereunder with respect to any of the Collateral, it being acknowledged and agreed that the Collateral Agent is expressly authorized to unilaterally exercise or cause to be exercised any and all rights of a secured party permitted to be exercised unilaterally hereunder or under applicable law, including the filing of UCC financing statements (or amendments thereto) in respect of any of the Collateral.</w:t>
      </w:r>
    </w:p>
    <w:p>
      <w:pPr>
        <w:spacing w:after="0" w:line="18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Notwithstanding anything herein to the contrary, it is the understanding of the parties hereto that the Liens granted pursuant to Section 1 shall, prior to the Discharge of Additional Obligations that are Senior Priority Obligations, be pari passu and equal in priority to the Liens granted to any Additional Agent for the benefit of the holders of the applicable Additional Obligations that are Senior Priority Obligations to secure such Additional Obligations that are Senior Priority Obligations pursuant to the applicable Additional Collateral Documents (except as may be separately otherwise agreed between the Collateral Agent, on behalf of itself and the Secured Parties, and any Additional Agent, on behalf of itself and the Additional Credit Facility Secured Parties represented thereby). The Collateral Agent acknowledges and agrees that, in the event that it enters into an Intercreditor Agreement or an Other Intercreditor Agreement, the relative priority of the Liens granted to the Collateral Agent, the Administrative Agent and any Additional Agent shall be determined solely (as between the parties to such Intercreditor Agreement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63" w:name="page264"/>
    <w:bookmarkEnd w:id="26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 Intercreditor Agreement and except as otherwise provided therein) pursuant to the applicable Intercreditor Agreements and Other Intercreditor Agreements, and not by priority as a matter of law or otherwise. Notwithstanding anything herein to the contrary, the Liens granted to the Collateral Agent pursuant to this Security Agreement and the exercise of any right or remedy by the Collateral Agent hereunder are subject to the provisions of the applicable Intercreditor Agreements and Other Intercreditor Agreements. In the event of any conflict between the terms of any Intercreditor Agreement or any Other Intercreditor Agreement and this Security Agreement, the terms of such Intercreditor Agreement or Other Intercreditor Agreement, as applicable, shall govern and control as among (</w:t>
      </w:r>
      <w:r>
        <w:rPr>
          <w:rFonts w:ascii="Arial" w:cs="Arial" w:eastAsia="Arial" w:hAnsi="Arial"/>
          <w:sz w:val="17"/>
          <w:szCs w:val="17"/>
          <w:u w:val="single" w:color="auto"/>
          <w:color w:val="auto"/>
        </w:rPr>
        <w:t>i</w:t>
      </w:r>
      <w:r>
        <w:rPr>
          <w:rFonts w:ascii="Arial" w:cs="Arial" w:eastAsia="Arial" w:hAnsi="Arial"/>
          <w:sz w:val="17"/>
          <w:szCs w:val="17"/>
          <w:color w:val="auto"/>
        </w:rPr>
        <w:t>) the Collateral Agent and any Additional Agent, in the case of the Intercreditor Agreement, and (</w:t>
      </w:r>
      <w:r>
        <w:rPr>
          <w:rFonts w:ascii="Arial" w:cs="Arial" w:eastAsia="Arial" w:hAnsi="Arial"/>
          <w:sz w:val="17"/>
          <w:szCs w:val="17"/>
          <w:u w:val="single" w:color="auto"/>
          <w:color w:val="auto"/>
        </w:rPr>
        <w:t>ii</w:t>
      </w:r>
      <w:r>
        <w:rPr>
          <w:rFonts w:ascii="Arial" w:cs="Arial" w:eastAsia="Arial" w:hAnsi="Arial"/>
          <w:sz w:val="17"/>
          <w:szCs w:val="17"/>
          <w:color w:val="auto"/>
        </w:rPr>
        <w:t>) the Collateral Agent and any other secured creditor (or agent therefor) party thereto, in the case of any Other Intercreditor Agreement. In the event of any such conflict, the Grantors may act (or omit to act) in accordance with such Intercreditor Agreement or such Other Intercreditor Agreement, as applicable, and shall not be in breach, violation or default of its obligations hereunder by reason of doing so. Notwithstanding any other provision hereof, for so long as any Additional Obligations that are Senior Priority Obligations remain outstanding, any obligation hereunder to deliver, transfer or assign to the Collateral Agent any Collateral shall be satisfied by causing such Collateral to be delivered, transferred or assigned to the applicable Senior Priority Representative to be held in accordance with the Intercreditor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REPRESENTATIONS, WARRANTIES AND COVENANTS</w:t>
      </w:r>
    </w:p>
    <w:p>
      <w:pPr>
        <w:spacing w:after="0" w:line="221"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Grantor represents and warrants on and as of the date hereof, which representations and warranties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execution and delivery of this Security Agreement, as follows:</w:t>
      </w:r>
    </w:p>
    <w:p>
      <w:pPr>
        <w:spacing w:after="0" w:line="58" w:lineRule="exact"/>
        <w:rPr>
          <w:sz w:val="20"/>
          <w:szCs w:val="20"/>
          <w:color w:val="auto"/>
        </w:rPr>
      </w:pPr>
    </w:p>
    <w:p>
      <w:pPr>
        <w:ind w:left="920" w:right="80" w:firstLine="421"/>
        <w:spacing w:after="0" w:line="259" w:lineRule="auto"/>
        <w:tabs>
          <w:tab w:leader="none" w:pos="1520" w:val="left"/>
        </w:tabs>
        <w:numPr>
          <w:ilvl w:val="0"/>
          <w:numId w:val="299"/>
        </w:numPr>
        <w:rPr>
          <w:rFonts w:ascii="Arial" w:cs="Arial" w:eastAsia="Arial" w:hAnsi="Arial"/>
          <w:sz w:val="18"/>
          <w:szCs w:val="18"/>
          <w:b w:val="1"/>
          <w:bCs w:val="1"/>
          <w:color w:val="auto"/>
        </w:rPr>
      </w:pPr>
      <w:r>
        <w:rPr>
          <w:rFonts w:ascii="Arial" w:cs="Arial" w:eastAsia="Arial" w:hAnsi="Arial"/>
          <w:sz w:val="18"/>
          <w:szCs w:val="18"/>
          <w:u w:val="single" w:color="auto"/>
          <w:color w:val="auto"/>
        </w:rPr>
        <w:t>Certificated U.S. Air Carrier; Location of Pledged Spare Parts</w:t>
      </w:r>
      <w:r>
        <w:rPr>
          <w:rFonts w:ascii="Arial" w:cs="Arial" w:eastAsia="Arial" w:hAnsi="Arial"/>
          <w:sz w:val="18"/>
          <w:szCs w:val="18"/>
          <w:color w:val="auto"/>
        </w:rPr>
        <w:t>. The grantor is a Certificated Air Carrier and the Pledged Spare Parts which are subject to this Security Agreement are maintained by it or on its behalf. The Spare Parts Locations identified on Schedule I hereto or otherwise identified on a Security Agreement Supplement hereto are the only locations at which Pledged Spare Parts (other than Excluded Spare Parts) are maintained by the Grantor (or on its behalf).</w:t>
      </w:r>
    </w:p>
    <w:p>
      <w:pPr>
        <w:spacing w:after="0" w:line="78" w:lineRule="exact"/>
        <w:rPr>
          <w:rFonts w:ascii="Arial" w:cs="Arial" w:eastAsia="Arial" w:hAnsi="Arial"/>
          <w:sz w:val="18"/>
          <w:szCs w:val="18"/>
          <w:b w:val="1"/>
          <w:bCs w:val="1"/>
          <w:color w:val="auto"/>
        </w:rPr>
      </w:pPr>
    </w:p>
    <w:p>
      <w:pPr>
        <w:ind w:left="1520" w:hanging="179"/>
        <w:spacing w:after="0"/>
        <w:tabs>
          <w:tab w:leader="none" w:pos="1520" w:val="left"/>
        </w:tabs>
        <w:numPr>
          <w:ilvl w:val="0"/>
          <w:numId w:val="299"/>
        </w:numPr>
        <w:rPr>
          <w:rFonts w:ascii="Arial" w:cs="Arial" w:eastAsia="Arial" w:hAnsi="Arial"/>
          <w:sz w:val="17"/>
          <w:szCs w:val="17"/>
          <w:b w:val="1"/>
          <w:bCs w:val="1"/>
          <w:color w:val="auto"/>
        </w:rPr>
      </w:pPr>
      <w:r>
        <w:rPr>
          <w:rFonts w:ascii="Arial" w:cs="Arial" w:eastAsia="Arial" w:hAnsi="Arial"/>
          <w:sz w:val="17"/>
          <w:szCs w:val="17"/>
          <w:u w:val="single" w:color="auto"/>
          <w:color w:val="auto"/>
        </w:rPr>
        <w:t>Necessary Filings</w:t>
      </w:r>
      <w:r>
        <w:rPr>
          <w:rFonts w:ascii="Arial" w:cs="Arial" w:eastAsia="Arial" w:hAnsi="Arial"/>
          <w:sz w:val="17"/>
          <w:szCs w:val="17"/>
          <w:color w:val="auto"/>
        </w:rPr>
        <w:t>. Other than with respect to Excluded Spare Parts and the Account Collateral, upon (i) the filing of this Security</w:t>
      </w:r>
    </w:p>
    <w:p>
      <w:pPr>
        <w:spacing w:after="0" w:line="34" w:lineRule="exact"/>
        <w:rPr>
          <w:rFonts w:ascii="Arial" w:cs="Arial" w:eastAsia="Arial" w:hAnsi="Arial"/>
          <w:sz w:val="17"/>
          <w:szCs w:val="17"/>
          <w:b w:val="1"/>
          <w:bCs w:val="1"/>
          <w:color w:val="auto"/>
        </w:rPr>
      </w:pPr>
    </w:p>
    <w:p>
      <w:pPr>
        <w:ind w:left="92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Agreement with the FAA in accordance with the Federal Aviation Act and the regulations thereunder and (ii) any local filings under the UCC that the Collateral Agent shall reasonably deem necessary or advisable, all filings, registrations and recordings that the Collateral Agent shall reasonably deem necessary or advisable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64" w:name="page265"/>
    <w:bookmarkEnd w:id="264"/>
    <w:p>
      <w:pPr>
        <w:ind w:left="9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create, preserve, protect and perfect the security interest granted by the Grantor to the Collateral Agent hereby in respect of the Collateral will have been accomplished or, as to Collateral to become subject to the security interest of this Security Agreement as provided herein from time to time after the date hereof, will be accomplished simultaneously with such Collateral being subject to the Lien of this Security Agreement, and the security interest granted to the Collateral Agent pursuant to this Security Agreement in and to the Collateral will constitute a perfected security interest therein prior to the rights of all other Persons therein, subject to no other Liens (other than Permitted Liens), and will be entitled to all the rights, priorities and benefits afforded by the Federal Aviation Act and other relevant law as enacted in any relevant jurisdiction to perfected security interests, in each case subject to any Intercreditor Agreement and any Other Intercreditor Agreement,.</w:t>
      </w:r>
    </w:p>
    <w:p>
      <w:pPr>
        <w:spacing w:after="0" w:line="59" w:lineRule="exact"/>
        <w:rPr>
          <w:sz w:val="20"/>
          <w:szCs w:val="20"/>
          <w:color w:val="auto"/>
        </w:rPr>
      </w:pPr>
    </w:p>
    <w:p>
      <w:pPr>
        <w:ind w:left="900" w:right="480" w:firstLine="421"/>
        <w:spacing w:after="0" w:line="308" w:lineRule="auto"/>
        <w:tabs>
          <w:tab w:leader="none" w:pos="1500" w:val="left"/>
        </w:tabs>
        <w:numPr>
          <w:ilvl w:val="1"/>
          <w:numId w:val="300"/>
        </w:numPr>
        <w:rPr>
          <w:rFonts w:ascii="Arial" w:cs="Arial" w:eastAsia="Arial" w:hAnsi="Arial"/>
          <w:sz w:val="17"/>
          <w:szCs w:val="17"/>
          <w:b w:val="1"/>
          <w:bCs w:val="1"/>
          <w:color w:val="auto"/>
        </w:rPr>
      </w:pPr>
      <w:r>
        <w:rPr>
          <w:rFonts w:ascii="Arial" w:cs="Arial" w:eastAsia="Arial" w:hAnsi="Arial"/>
          <w:sz w:val="17"/>
          <w:szCs w:val="17"/>
          <w:u w:val="single" w:color="auto"/>
          <w:color w:val="auto"/>
        </w:rPr>
        <w:t>Location</w:t>
      </w:r>
      <w:r>
        <w:rPr>
          <w:rFonts w:ascii="Arial" w:cs="Arial" w:eastAsia="Arial" w:hAnsi="Arial"/>
          <w:sz w:val="17"/>
          <w:szCs w:val="17"/>
          <w:color w:val="auto"/>
        </w:rPr>
        <w:t>. The Grantor is organized under the laws of the state listed on Schedule II hereto or on an applicable Security Agreement Supplement and the Grantor is a registered organization located in such state for purposes of UCC 9-307.</w:t>
      </w:r>
    </w:p>
    <w:p>
      <w:pPr>
        <w:spacing w:after="0" w:line="38" w:lineRule="exact"/>
        <w:rPr>
          <w:rFonts w:ascii="Arial" w:cs="Arial" w:eastAsia="Arial" w:hAnsi="Arial"/>
          <w:sz w:val="17"/>
          <w:szCs w:val="17"/>
          <w:b w:val="1"/>
          <w:bCs w:val="1"/>
          <w:color w:val="auto"/>
        </w:rPr>
      </w:pPr>
    </w:p>
    <w:p>
      <w:pPr>
        <w:ind w:left="900" w:right="120" w:firstLine="421"/>
        <w:spacing w:after="0" w:line="264" w:lineRule="auto"/>
        <w:tabs>
          <w:tab w:leader="none" w:pos="1500" w:val="left"/>
        </w:tabs>
        <w:numPr>
          <w:ilvl w:val="1"/>
          <w:numId w:val="300"/>
        </w:numPr>
        <w:rPr>
          <w:rFonts w:ascii="Arial" w:cs="Arial" w:eastAsia="Arial" w:hAnsi="Arial"/>
          <w:sz w:val="18"/>
          <w:szCs w:val="18"/>
          <w:b w:val="1"/>
          <w:bCs w:val="1"/>
          <w:color w:val="auto"/>
        </w:rPr>
      </w:pPr>
      <w:r>
        <w:rPr>
          <w:rFonts w:ascii="Arial" w:cs="Arial" w:eastAsia="Arial" w:hAnsi="Arial"/>
          <w:sz w:val="18"/>
          <w:szCs w:val="18"/>
          <w:u w:val="single" w:color="auto"/>
          <w:color w:val="auto"/>
        </w:rPr>
        <w:t>Recourse</w:t>
      </w:r>
      <w:r>
        <w:rPr>
          <w:rFonts w:ascii="Arial" w:cs="Arial" w:eastAsia="Arial" w:hAnsi="Arial"/>
          <w:sz w:val="18"/>
          <w:szCs w:val="18"/>
          <w:color w:val="auto"/>
        </w:rPr>
        <w:t>. This Security Agreement is made with full recourse to the Grantor and pursuant to and upon all the warranties, representations, covenants and agreements on the part of the Grantor contained herein, in the other Loan Documents and otherwise in writing in connection herewith or therewith.</w:t>
      </w:r>
    </w:p>
    <w:p>
      <w:pPr>
        <w:spacing w:after="0" w:line="73" w:lineRule="exact"/>
        <w:rPr>
          <w:rFonts w:ascii="Arial" w:cs="Arial" w:eastAsia="Arial" w:hAnsi="Arial"/>
          <w:sz w:val="18"/>
          <w:szCs w:val="18"/>
          <w:b w:val="1"/>
          <w:bCs w:val="1"/>
          <w:color w:val="auto"/>
        </w:rPr>
      </w:pPr>
    </w:p>
    <w:p>
      <w:pPr>
        <w:ind w:left="900" w:right="20" w:firstLine="421"/>
        <w:spacing w:after="0" w:line="257" w:lineRule="auto"/>
        <w:tabs>
          <w:tab w:leader="none" w:pos="1500" w:val="left"/>
        </w:tabs>
        <w:numPr>
          <w:ilvl w:val="1"/>
          <w:numId w:val="300"/>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1110 of the Bankruptcy Code</w:t>
      </w:r>
      <w:r>
        <w:rPr>
          <w:rFonts w:ascii="Arial" w:cs="Arial" w:eastAsia="Arial" w:hAnsi="Arial"/>
          <w:sz w:val="18"/>
          <w:szCs w:val="18"/>
          <w:color w:val="auto"/>
        </w:rPr>
        <w:t>. The Collateral Agent is entitled to the benefits of Section 1110 of the Bankruptcy Code, subject to the Grantor’s rights thereunder, with respect to the right to take possession of the Pledged Spare Parts, to the extent that any such Pledged Spare Part was first placed in service after October 22, 1994, and to enforce any of its other rights or remedies as provided in this Security Agreement in the event of a case under Chapter 11 of the Bankruptcy Code in which the Grantor is a debtor, all subject to the provisions and limitations of the Bankruptcy Code.</w:t>
      </w:r>
    </w:p>
    <w:p>
      <w:pPr>
        <w:spacing w:after="0" w:line="188" w:lineRule="exact"/>
        <w:rPr>
          <w:rFonts w:ascii="Arial" w:cs="Arial" w:eastAsia="Arial" w:hAnsi="Arial"/>
          <w:sz w:val="18"/>
          <w:szCs w:val="18"/>
          <w:b w:val="1"/>
          <w:bCs w:val="1"/>
          <w:color w:val="auto"/>
        </w:rPr>
      </w:pPr>
    </w:p>
    <w:p>
      <w:pPr>
        <w:ind w:left="-20" w:right="500" w:firstLine="464"/>
        <w:spacing w:after="0" w:line="277" w:lineRule="auto"/>
        <w:tabs>
          <w:tab w:leader="none" w:pos="646" w:val="left"/>
        </w:tabs>
        <w:numPr>
          <w:ilvl w:val="0"/>
          <w:numId w:val="301"/>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The Grantor represents, warrants and covenants, which representations, warranties and covenants survive execution and delivery of this Security Agreement, as follows:</w:t>
      </w:r>
    </w:p>
    <w:p>
      <w:pPr>
        <w:spacing w:after="0" w:line="62" w:lineRule="exact"/>
        <w:rPr>
          <w:rFonts w:ascii="Arial" w:cs="Arial" w:eastAsia="Arial" w:hAnsi="Arial"/>
          <w:sz w:val="18"/>
          <w:szCs w:val="18"/>
          <w:b w:val="1"/>
          <w:bCs w:val="1"/>
          <w:color w:val="auto"/>
        </w:rPr>
      </w:pPr>
    </w:p>
    <w:p>
      <w:pPr>
        <w:ind w:left="900" w:right="20" w:firstLine="421"/>
        <w:spacing w:after="0" w:line="257" w:lineRule="auto"/>
        <w:tabs>
          <w:tab w:leader="none" w:pos="1500" w:val="left"/>
        </w:tabs>
        <w:numPr>
          <w:ilvl w:val="1"/>
          <w:numId w:val="301"/>
        </w:numPr>
        <w:rPr>
          <w:rFonts w:ascii="Arial" w:cs="Arial" w:eastAsia="Arial" w:hAnsi="Arial"/>
          <w:sz w:val="18"/>
          <w:szCs w:val="18"/>
          <w:b w:val="1"/>
          <w:bCs w:val="1"/>
          <w:color w:val="auto"/>
        </w:rPr>
      </w:pPr>
      <w:r>
        <w:rPr>
          <w:rFonts w:ascii="Arial" w:cs="Arial" w:eastAsia="Arial" w:hAnsi="Arial"/>
          <w:sz w:val="18"/>
          <w:szCs w:val="18"/>
          <w:u w:val="single" w:color="auto"/>
          <w:color w:val="auto"/>
        </w:rPr>
        <w:t>No Liens</w:t>
      </w:r>
      <w:r>
        <w:rPr>
          <w:rFonts w:ascii="Arial" w:cs="Arial" w:eastAsia="Arial" w:hAnsi="Arial"/>
          <w:sz w:val="18"/>
          <w:szCs w:val="18"/>
          <w:color w:val="auto"/>
        </w:rPr>
        <w:t>. The Grantor is, and as to Collateral acquired by it from time to time after the date hereof the Grantor will be, the owner of all Collateral free from any Lien, or other right, title or interest of any Person (other than Permitted Liens and the Liens created hereunder), and the Grantor shall defend the Collateral against all claims and demands of all Persons (other than Persons claiming by, through or under the Collateral Agent) at any time claiming the same or any interest therein adverse to the Collateral Agent other than claims or demands arising out of Permitted Liens.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265" w:name="page266"/>
    <w:bookmarkEnd w:id="265"/>
    <w:p>
      <w:pPr>
        <w:ind w:left="460" w:firstLine="421"/>
        <w:spacing w:after="0" w:line="293" w:lineRule="auto"/>
        <w:tabs>
          <w:tab w:leader="none" w:pos="1060" w:val="left"/>
        </w:tabs>
        <w:numPr>
          <w:ilvl w:val="1"/>
          <w:numId w:val="302"/>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Financing Statements</w:t>
      </w:r>
      <w:r>
        <w:rPr>
          <w:rFonts w:ascii="Arial" w:cs="Arial" w:eastAsia="Arial" w:hAnsi="Arial"/>
          <w:sz w:val="16"/>
          <w:szCs w:val="16"/>
          <w:color w:val="auto"/>
        </w:rPr>
        <w:t>. There is no effective financing statement (or similar statement or instrument of encumbrance under the law of any jurisdiction) covering or purporting to cover any interest of any kind in the Collateral (other than with respect to Permitted Liens and other than financing statements with respect to which UCC terminations copies of which have been delivered to the Collateral Agent), and the Grantor will not execute or authorize to be filed in any public office any financing statement (or similar statement or instrument of encumbrance under the law of any jurisdiction) or statements relating to the Collateral, except financing statements filed or to be filed in respect of and covering the security interests granted hereby by the Grantor and financing statements filed or to be filed in respect of and covering Permitted Liens.</w:t>
      </w:r>
    </w:p>
    <w:p>
      <w:pPr>
        <w:spacing w:after="0" w:line="56" w:lineRule="exact"/>
        <w:rPr>
          <w:rFonts w:ascii="Arial" w:cs="Arial" w:eastAsia="Arial" w:hAnsi="Arial"/>
          <w:sz w:val="16"/>
          <w:szCs w:val="16"/>
          <w:b w:val="1"/>
          <w:bCs w:val="1"/>
          <w:color w:val="auto"/>
        </w:rPr>
      </w:pPr>
    </w:p>
    <w:p>
      <w:pPr>
        <w:ind w:left="460" w:right="260" w:firstLine="421"/>
        <w:spacing w:after="0" w:line="264" w:lineRule="auto"/>
        <w:tabs>
          <w:tab w:leader="none" w:pos="1060" w:val="left"/>
        </w:tabs>
        <w:numPr>
          <w:ilvl w:val="1"/>
          <w:numId w:val="302"/>
        </w:numPr>
        <w:rPr>
          <w:rFonts w:ascii="Arial" w:cs="Arial" w:eastAsia="Arial" w:hAnsi="Arial"/>
          <w:sz w:val="18"/>
          <w:szCs w:val="18"/>
          <w:b w:val="1"/>
          <w:bCs w:val="1"/>
          <w:color w:val="auto"/>
        </w:rPr>
      </w:pPr>
      <w:r>
        <w:rPr>
          <w:rFonts w:ascii="Arial" w:cs="Arial" w:eastAsia="Arial" w:hAnsi="Arial"/>
          <w:sz w:val="18"/>
          <w:szCs w:val="18"/>
          <w:u w:val="single" w:color="auto"/>
          <w:color w:val="auto"/>
        </w:rPr>
        <w:t>No Interim Filings</w:t>
      </w:r>
      <w:r>
        <w:rPr>
          <w:rFonts w:ascii="Arial" w:cs="Arial" w:eastAsia="Arial" w:hAnsi="Arial"/>
          <w:sz w:val="18"/>
          <w:szCs w:val="18"/>
          <w:color w:val="auto"/>
        </w:rPr>
        <w:t>. On and following the date hereof, the Grantor will not execute or authorize any filings, registrations or recordings (other than releases) with the FAA over any Collateral until the filings, registrations or recordings contemplated by Section 3.1(b) have been completed to the satisfaction of the Collateral Agent.</w:t>
      </w:r>
    </w:p>
    <w:p>
      <w:pPr>
        <w:spacing w:after="0" w:line="73" w:lineRule="exact"/>
        <w:rPr>
          <w:rFonts w:ascii="Arial" w:cs="Arial" w:eastAsia="Arial" w:hAnsi="Arial"/>
          <w:sz w:val="18"/>
          <w:szCs w:val="18"/>
          <w:b w:val="1"/>
          <w:bCs w:val="1"/>
          <w:color w:val="auto"/>
        </w:rPr>
      </w:pPr>
    </w:p>
    <w:p>
      <w:pPr>
        <w:ind w:left="460" w:right="420" w:firstLine="421"/>
        <w:spacing w:after="0" w:line="259" w:lineRule="auto"/>
        <w:tabs>
          <w:tab w:leader="none" w:pos="1060" w:val="left"/>
        </w:tabs>
        <w:numPr>
          <w:ilvl w:val="1"/>
          <w:numId w:val="302"/>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 of Certain Changes</w:t>
      </w:r>
      <w:r>
        <w:rPr>
          <w:rFonts w:ascii="Arial" w:cs="Arial" w:eastAsia="Arial" w:hAnsi="Arial"/>
          <w:sz w:val="18"/>
          <w:szCs w:val="18"/>
          <w:color w:val="auto"/>
        </w:rPr>
        <w:t>. It shall give to the Collateral Agent timely notice (but in any event not later than 15 days prior to the expiration of the period of time specified under applicable law to prevent lapse of perfection) of any (a) change in its jurisdiction of incorporation, or (b) change in its name, identity or organizational structure to such an extent that any UCC financing statement filed by the Grantor in connection with this Security Agreement would become seriously misleading.</w:t>
      </w:r>
    </w:p>
    <w:p>
      <w:pPr>
        <w:spacing w:after="0" w:line="186" w:lineRule="exact"/>
        <w:rPr>
          <w:rFonts w:ascii="Arial" w:cs="Arial" w:eastAsia="Arial" w:hAnsi="Arial"/>
          <w:sz w:val="18"/>
          <w:szCs w:val="18"/>
          <w:b w:val="1"/>
          <w:bCs w:val="1"/>
          <w:color w:val="auto"/>
        </w:rPr>
      </w:pPr>
    </w:p>
    <w:p>
      <w:pPr>
        <w:ind w:left="220" w:hanging="216"/>
        <w:spacing w:after="0"/>
        <w:tabs>
          <w:tab w:leader="none" w:pos="220" w:val="left"/>
        </w:tabs>
        <w:numPr>
          <w:ilvl w:val="0"/>
          <w:numId w:val="303"/>
        </w:numPr>
        <w:rPr>
          <w:rFonts w:ascii="Arial" w:cs="Arial" w:eastAsia="Arial" w:hAnsi="Arial"/>
          <w:sz w:val="18"/>
          <w:szCs w:val="18"/>
          <w:b w:val="1"/>
          <w:bCs w:val="1"/>
          <w:color w:val="auto"/>
        </w:rPr>
      </w:pPr>
      <w:r>
        <w:rPr>
          <w:rFonts w:ascii="Arial" w:cs="Arial" w:eastAsia="Arial" w:hAnsi="Arial"/>
          <w:sz w:val="18"/>
          <w:szCs w:val="18"/>
          <w:u w:val="single" w:color="auto"/>
          <w:color w:val="auto"/>
        </w:rPr>
        <w:t>Possession, Operation and Use, Maintenance and Registration.</w:t>
      </w:r>
    </w:p>
    <w:p>
      <w:pPr>
        <w:spacing w:after="0" w:line="117" w:lineRule="exact"/>
        <w:rPr>
          <w:rFonts w:ascii="Arial" w:cs="Arial" w:eastAsia="Arial" w:hAnsi="Arial"/>
          <w:sz w:val="18"/>
          <w:szCs w:val="18"/>
          <w:b w:val="1"/>
          <w:bCs w:val="1"/>
          <w:color w:val="auto"/>
        </w:rPr>
      </w:pPr>
    </w:p>
    <w:p>
      <w:pPr>
        <w:ind w:left="460" w:firstLine="421"/>
        <w:spacing w:after="0" w:line="291" w:lineRule="auto"/>
        <w:tabs>
          <w:tab w:leader="none" w:pos="1060" w:val="left"/>
        </w:tabs>
        <w:numPr>
          <w:ilvl w:val="1"/>
          <w:numId w:val="303"/>
        </w:numPr>
        <w:rPr>
          <w:rFonts w:ascii="Arial" w:cs="Arial" w:eastAsia="Arial" w:hAnsi="Arial"/>
          <w:sz w:val="16"/>
          <w:szCs w:val="16"/>
          <w:b w:val="1"/>
          <w:bCs w:val="1"/>
          <w:color w:val="auto"/>
        </w:rPr>
      </w:pPr>
      <w:r>
        <w:rPr>
          <w:rFonts w:ascii="Arial" w:cs="Arial" w:eastAsia="Arial" w:hAnsi="Arial"/>
          <w:sz w:val="16"/>
          <w:szCs w:val="16"/>
          <w:u w:val="single" w:color="auto"/>
          <w:color w:val="auto"/>
        </w:rPr>
        <w:t>Operation and Use</w:t>
      </w:r>
      <w:r>
        <w:rPr>
          <w:rFonts w:ascii="Arial" w:cs="Arial" w:eastAsia="Arial" w:hAnsi="Arial"/>
          <w:sz w:val="16"/>
          <w:szCs w:val="16"/>
          <w:color w:val="auto"/>
        </w:rPr>
        <w:t>. So long as any Pledged Spare Part is subject to the Lien of this Security Agreement, the Grantor will not maintain, use, service, repair or overhaul any Pledged Spare Part in violation of any law or any rule, regulation, order or certificate of any government or Governmental Authority (domestic or foreign) having jurisdiction, or in violation of any airworthiness certificate, license or registration relating to any Aircraft issued by any such authority except (i) immaterial or non-recurring violations with respect to which corrective measures are taken promptly by the Grantor, or a Lessee, as the case may be upon discovery thereof or (ii) where the validity or application of such law, rule, regulation or order is being contested in good faith in any reasonable manner which does not adversely affect the Lien of this Security Agreement and does not involve any material risk of sale, forfeiture or loss of the applicable Pledged Spare Parts or any other item of Collateral.</w:t>
      </w:r>
    </w:p>
    <w:p>
      <w:pPr>
        <w:spacing w:after="0" w:line="59" w:lineRule="exact"/>
        <w:rPr>
          <w:rFonts w:ascii="Arial" w:cs="Arial" w:eastAsia="Arial" w:hAnsi="Arial"/>
          <w:sz w:val="16"/>
          <w:szCs w:val="16"/>
          <w:b w:val="1"/>
          <w:bCs w:val="1"/>
          <w:color w:val="auto"/>
        </w:rPr>
      </w:pPr>
    </w:p>
    <w:p>
      <w:pPr>
        <w:ind w:left="460" w:right="340" w:firstLine="421"/>
        <w:spacing w:after="0" w:line="264" w:lineRule="auto"/>
        <w:tabs>
          <w:tab w:leader="none" w:pos="1060" w:val="left"/>
        </w:tabs>
        <w:numPr>
          <w:ilvl w:val="1"/>
          <w:numId w:val="303"/>
        </w:numPr>
        <w:rPr>
          <w:rFonts w:ascii="Arial" w:cs="Arial" w:eastAsia="Arial" w:hAnsi="Arial"/>
          <w:sz w:val="18"/>
          <w:szCs w:val="18"/>
          <w:b w:val="1"/>
          <w:bCs w:val="1"/>
          <w:color w:val="auto"/>
        </w:rPr>
      </w:pPr>
      <w:r>
        <w:rPr>
          <w:rFonts w:ascii="Arial" w:cs="Arial" w:eastAsia="Arial" w:hAnsi="Arial"/>
          <w:sz w:val="18"/>
          <w:szCs w:val="18"/>
          <w:u w:val="single" w:color="auto"/>
          <w:color w:val="auto"/>
        </w:rPr>
        <w:t>Maintenance</w:t>
      </w:r>
      <w:r>
        <w:rPr>
          <w:rFonts w:ascii="Arial" w:cs="Arial" w:eastAsia="Arial" w:hAnsi="Arial"/>
          <w:sz w:val="18"/>
          <w:szCs w:val="18"/>
          <w:color w:val="auto"/>
        </w:rPr>
        <w:t>. So long as any Pledged Spare Part is subject to the Lien of this Security Agreement, the Grantor covenants that it shall maintain or cause to be maintained all records, logs and other materials required to be maintained in respect of such Pledged Spare Part in accordance with its FAA approved maintenance program.</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266" w:name="page267"/>
    <w:bookmarkEnd w:id="266"/>
    <w:p>
      <w:pPr>
        <w:ind w:firstLine="456"/>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 </w:t>
      </w:r>
      <w:r>
        <w:rPr>
          <w:rFonts w:ascii="Arial" w:cs="Arial" w:eastAsia="Arial" w:hAnsi="Arial"/>
          <w:sz w:val="17"/>
          <w:szCs w:val="17"/>
          <w:u w:val="single" w:color="auto"/>
          <w:color w:val="auto"/>
        </w:rPr>
        <w:t>Tracking System</w:t>
      </w:r>
      <w:r>
        <w:rPr>
          <w:rFonts w:ascii="Arial" w:cs="Arial" w:eastAsia="Arial" w:hAnsi="Arial"/>
          <w:sz w:val="17"/>
          <w:szCs w:val="17"/>
          <w:color w:val="auto"/>
        </w:rPr>
        <w:t>. The Grantor covenants that it shall at all times maintain Tracking Systems substantially similar to the Tracking Systems 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maintains as at the date hereof and its perpetual inventory procedures for the Pledged Spare Parts that provide a continuous internal audit of the Pledged Spare Parts;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Grantor may consolidate multiple Tracking Systems into a single Tracking System with similar capabilities. At reasonable times during normal business hours and upon reasonable notice to the Grantor, the Collateral Agent shall be entitled to access and inspect the Tracking Systems to ensure the Grantor’s compliance with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unless a Default or Event of Default shall have occurred and be continuing, such inspections shall occur not more than once per calendar year and (ii) such inspection right shall not be exercised in a manner which is unduly disruptive to the operation or maintenance of the Tracking Systems or the business operations of the Grantor.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u w:val="single" w:color="auto"/>
          <w:color w:val="auto"/>
        </w:rPr>
        <w:t>Pledged Spare Parts; Spare Parts Locations</w:t>
      </w:r>
      <w:r>
        <w:rPr>
          <w:rFonts w:ascii="Arial" w:cs="Arial" w:eastAsia="Arial" w:hAnsi="Arial"/>
          <w:sz w:val="18"/>
          <w:szCs w:val="18"/>
          <w:color w:val="auto"/>
        </w:rPr>
        <w:t>. The Grantor covenants as follows:</w:t>
      </w:r>
    </w:p>
    <w:p>
      <w:pPr>
        <w:spacing w:after="0" w:line="121" w:lineRule="exact"/>
        <w:rPr>
          <w:sz w:val="20"/>
          <w:szCs w:val="20"/>
          <w:color w:val="auto"/>
        </w:rPr>
      </w:pPr>
    </w:p>
    <w:p>
      <w:pPr>
        <w:ind w:left="920" w:right="60" w:firstLine="421"/>
        <w:spacing w:after="0" w:line="268" w:lineRule="auto"/>
        <w:tabs>
          <w:tab w:leader="none" w:pos="1520" w:val="left"/>
        </w:tabs>
        <w:numPr>
          <w:ilvl w:val="0"/>
          <w:numId w:val="304"/>
        </w:numPr>
        <w:rPr>
          <w:rFonts w:ascii="Arial" w:cs="Arial" w:eastAsia="Arial" w:hAnsi="Arial"/>
          <w:sz w:val="17"/>
          <w:szCs w:val="17"/>
          <w:b w:val="1"/>
          <w:bCs w:val="1"/>
          <w:color w:val="auto"/>
        </w:rPr>
      </w:pPr>
      <w:r>
        <w:rPr>
          <w:rFonts w:ascii="Arial" w:cs="Arial" w:eastAsia="Arial" w:hAnsi="Arial"/>
          <w:sz w:val="17"/>
          <w:szCs w:val="17"/>
          <w:u w:val="single" w:color="auto"/>
          <w:color w:val="auto"/>
        </w:rPr>
        <w:t>Possession of Pledged Spare Parts</w:t>
      </w:r>
      <w:r>
        <w:rPr>
          <w:rFonts w:ascii="Arial" w:cs="Arial" w:eastAsia="Arial" w:hAnsi="Arial"/>
          <w:sz w:val="17"/>
          <w:szCs w:val="17"/>
          <w:color w:val="auto"/>
        </w:rPr>
        <w:t xml:space="preserve">. Except for Permitted Dispositions, without the prior consent of the Collateral Agent, the Grantor covenants that it will not (A) Dispose of any of its Pledged Spare Parts to any Person, except that the Grantor shall have the right in the Ordinary Course of Business, (i) to transfer possession of any Pledged Spare Parts belonging to the Grantor to the manufacturer thereof or any service provider for testing, overhaul, repairs, maintenance, servicing, alterations or modification purposes, (ii) to transfer possession of any Pledged Spare Parts belonging to the Grantor to any Person for the purpose of transport between Spare Parts Locations, transport to/from the manufacturer thereof or any service provider for any of the purposes described in clause (i) above and transport to any other locations owned or operated by the Grantor in the ordinary course of business (iii) to sell, lease, transfer, relinquish possession, exchange or otherwise dispose of its Pledged Spare Parts to the extent permitted in the Credit Agreement, (iv) to subject any Pledged Spare Part to an interchange or pooling, exchange, borrowing, maintenance or servicing arrangement in the Ordinary Course of Business and (v) to sell, lease or otherwise transfer possession of or title to any Pledged Spare Part to any Affiliate of the Borrower that is a grantor under a spare parts security agreement substantially similar to this Security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Grantor’s title to any such Pledged Spare Part shall be divested under any situation described in clauses (i) through (iv) above, other than a sale of Pledged Spare Parts, such divestiture shall be deemed to be a Disposition with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267" w:name="page268"/>
    <w:bookmarkEnd w:id="26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respect to such Pledged Spare Part subject to the provisions of Section 2.12(a) of the Credit Agreement or (B) commingle at any location its spare parts which are Collateral with the spare parts of another Affiliate if such other Affiliate has pledged spare parts which are not Collateral to secure any other Indebtedness or obligation, unless (x) the ownership of each such commingled spare part can be definitively determined at all times by reference to the Affiliates’ spare parts tracking numbers and system or (y) the spare parts of such Affiliate are not of a type or category of spare parts that corresponds to a type or category of Spare Parts that is included in the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spare parts that are segregated on a separate aisle, shelf or in a separate storage bin or other storage unit or area shall not be considered as having been commingled even though such spare parts are present at the same location so long as the Obligors install signs in or on each such aisle, shelf, bin or other storage unit or area containing Collateral bearing the inscription: “Property of American Airlines, Inc. (or other applicable Obligor), Mortgaged to Barclays Bank PLC, as Collateral Agent” (such sign to be replaced if there is a successor Collateral Agent). Notwithstanding anything herein to the contrary, for the avoidance of doubt, the Grantor shall have the right to incorporate in, install on, attach or make appurtenant to, or use in, any aircraft, engine or propeller owned or leased by the Grantor or any Affiliate of the Grantor (whether or not subject to any Lien), any Pledged Spare Part free and clear of the Lien of this Security Agreement.</w:t>
      </w:r>
    </w:p>
    <w:p>
      <w:pPr>
        <w:spacing w:after="0" w:line="72" w:lineRule="exact"/>
        <w:rPr>
          <w:sz w:val="20"/>
          <w:szCs w:val="20"/>
          <w:color w:val="auto"/>
        </w:rPr>
      </w:pPr>
    </w:p>
    <w:p>
      <w:pPr>
        <w:ind w:left="600" w:hanging="179"/>
        <w:spacing w:after="0"/>
        <w:tabs>
          <w:tab w:leader="none" w:pos="600" w:val="left"/>
        </w:tabs>
        <w:numPr>
          <w:ilvl w:val="1"/>
          <w:numId w:val="305"/>
        </w:numPr>
        <w:rPr>
          <w:rFonts w:ascii="Arial" w:cs="Arial" w:eastAsia="Arial" w:hAnsi="Arial"/>
          <w:sz w:val="16"/>
          <w:szCs w:val="16"/>
          <w:b w:val="1"/>
          <w:bCs w:val="1"/>
          <w:color w:val="auto"/>
        </w:rPr>
      </w:pPr>
      <w:r>
        <w:rPr>
          <w:rFonts w:ascii="Arial" w:cs="Arial" w:eastAsia="Arial" w:hAnsi="Arial"/>
          <w:sz w:val="16"/>
          <w:szCs w:val="16"/>
          <w:u w:val="single" w:color="auto"/>
          <w:color w:val="auto"/>
        </w:rPr>
        <w:t>Spare Parts Locations</w:t>
      </w:r>
      <w:r>
        <w:rPr>
          <w:rFonts w:ascii="Arial" w:cs="Arial" w:eastAsia="Arial" w:hAnsi="Arial"/>
          <w:sz w:val="16"/>
          <w:szCs w:val="16"/>
          <w:color w:val="auto"/>
        </w:rPr>
        <w:t>. The Grantor shall maintain and keep the Pledged Spare Parts at one or more of the Spare Parts Locations, except</w:t>
      </w:r>
    </w:p>
    <w:p>
      <w:pPr>
        <w:spacing w:after="0" w:line="46" w:lineRule="exact"/>
        <w:rPr>
          <w:rFonts w:ascii="Arial" w:cs="Arial" w:eastAsia="Arial" w:hAnsi="Arial"/>
          <w:sz w:val="16"/>
          <w:szCs w:val="16"/>
          <w:b w:val="1"/>
          <w:bCs w:val="1"/>
          <w:color w:val="auto"/>
        </w:rPr>
      </w:pPr>
    </w:p>
    <w:p>
      <w:pPr>
        <w:ind w:firstLine="1"/>
        <w:spacing w:after="0" w:line="253" w:lineRule="auto"/>
        <w:tabs>
          <w:tab w:leader="none" w:pos="21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as otherwise permitted under Section 3.5(a) or (ii) Pledged Spare Parts not held at Spare Parts Locations with an aggregate System Value for such Pledged Spare Parts not in excess of $100 million as of any applicable date. The Grantor may, without the consent of the Collateral Agent or any Lender, (x) subject additional spare parts to the Lien of this Security Agreement or (x) maintain Pledged Spare Parts at one or more locations that are not Spare Parts Locations if the exceptions in the preceding sentence do not apply, if in each case, the Grantor promptly furnishes to the Collateral Agent the following:</w:t>
      </w:r>
    </w:p>
    <w:p>
      <w:pPr>
        <w:spacing w:after="0" w:line="83" w:lineRule="exact"/>
        <w:rPr>
          <w:rFonts w:ascii="Arial" w:cs="Arial" w:eastAsia="Arial" w:hAnsi="Arial"/>
          <w:sz w:val="18"/>
          <w:szCs w:val="18"/>
          <w:color w:val="auto"/>
        </w:rPr>
      </w:pPr>
    </w:p>
    <w:p>
      <w:pPr>
        <w:ind w:left="580" w:right="20" w:firstLine="389"/>
        <w:spacing w:after="0" w:line="257" w:lineRule="auto"/>
        <w:tabs>
          <w:tab w:leader="none" w:pos="1147" w:val="left"/>
        </w:tabs>
        <w:numPr>
          <w:ilvl w:val="2"/>
          <w:numId w:val="306"/>
        </w:numPr>
        <w:rPr>
          <w:rFonts w:ascii="Arial" w:cs="Arial" w:eastAsia="Arial" w:hAnsi="Arial"/>
          <w:sz w:val="18"/>
          <w:szCs w:val="18"/>
          <w:color w:val="auto"/>
        </w:rPr>
      </w:pPr>
      <w:r>
        <w:rPr>
          <w:rFonts w:ascii="Arial" w:cs="Arial" w:eastAsia="Arial" w:hAnsi="Arial"/>
          <w:sz w:val="18"/>
          <w:szCs w:val="18"/>
          <w:color w:val="auto"/>
        </w:rPr>
        <w:t>a Security Agreement Supplement duly executed by the Grantor, (A) identifying, as applicable, (x) each location that is to become a Spare Parts Location and specifically subjecting the Pledged Spare Parts at such location to the Lien of the Collateral Documents or (y) the additional spare parts being made subject to the Lien of this Security Agreement and the location at which such spare parts are maintained and (B) amending or supplementing Schedules I and III to the extent necessary to describe any such additional Spare Parts Locations or additional Pledged Spare Parts, as applicable; and</w:t>
      </w:r>
    </w:p>
    <w:p>
      <w:pPr>
        <w:spacing w:after="0" w:line="80" w:lineRule="exact"/>
        <w:rPr>
          <w:rFonts w:ascii="Arial" w:cs="Arial" w:eastAsia="Arial" w:hAnsi="Arial"/>
          <w:sz w:val="18"/>
          <w:szCs w:val="18"/>
          <w:color w:val="auto"/>
        </w:rPr>
      </w:pPr>
    </w:p>
    <w:p>
      <w:pPr>
        <w:ind w:left="580" w:firstLine="389"/>
        <w:spacing w:after="0" w:line="272" w:lineRule="auto"/>
        <w:tabs>
          <w:tab w:leader="none" w:pos="1157" w:val="left"/>
        </w:tabs>
        <w:numPr>
          <w:ilvl w:val="2"/>
          <w:numId w:val="306"/>
        </w:numPr>
        <w:rPr>
          <w:rFonts w:ascii="Arial" w:cs="Arial" w:eastAsia="Arial" w:hAnsi="Arial"/>
          <w:sz w:val="17"/>
          <w:szCs w:val="17"/>
          <w:color w:val="auto"/>
        </w:rPr>
      </w:pPr>
      <w:r>
        <w:rPr>
          <w:rFonts w:ascii="Arial" w:cs="Arial" w:eastAsia="Arial" w:hAnsi="Arial"/>
          <w:sz w:val="17"/>
          <w:szCs w:val="17"/>
          <w:color w:val="auto"/>
        </w:rPr>
        <w:t>with respect to any Pledged Spare Parts located in the United States, a legal opinion from FAA counsel (which opinion and counsel shall be reasonably satisfactory to the Collateral Agent), dated the date of execution of said Security Agreement Supplement, stating that said Security Agreement Supplement has been duly filed for recording in accordance with the provisions of the Federal Aviation Act, and either: (A) no other filing or recording is required in any other place within the United States in order to perfect the Lien of this Security Agreement on the Collateral identified therein under the laws of the United States, or (B) if any such filing or recording shall be required, that said filing has been accomplished in such other manner and places, which shall be specified in such legal opinion, as are necessary to perfect the Lien of this Security Agreement.</w:t>
      </w:r>
    </w:p>
    <w:p>
      <w:pPr>
        <w:spacing w:after="0" w:line="11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80"/>
          </w:cols>
          <w:pgMar w:left="1160" w:top="274" w:right="259" w:bottom="1440" w:gutter="0" w:footer="0" w:header="0"/>
        </w:sectPr>
      </w:pPr>
    </w:p>
    <w:bookmarkStart w:id="268" w:name="page269"/>
    <w:bookmarkEnd w:id="268"/>
    <w:p>
      <w:pPr>
        <w:jc w:val="both"/>
        <w:ind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 </w:t>
      </w:r>
      <w:r>
        <w:rPr>
          <w:rFonts w:ascii="Arial" w:cs="Arial" w:eastAsia="Arial" w:hAnsi="Arial"/>
          <w:sz w:val="18"/>
          <w:szCs w:val="18"/>
          <w:u w:val="single" w:color="auto"/>
          <w:color w:val="auto"/>
        </w:rPr>
        <w:t>Event of Loss</w:t>
      </w:r>
      <w:r>
        <w:rPr>
          <w:rFonts w:ascii="Arial" w:cs="Arial" w:eastAsia="Arial" w:hAnsi="Arial"/>
          <w:sz w:val="18"/>
          <w:szCs w:val="18"/>
          <w:color w:val="auto"/>
        </w:rPr>
        <w:t>. The Grantor covenants that all insurance proceeds or condemnation proceeds received with respect to Pledged Spare Parts, whether as</w:t>
      </w:r>
      <w:r>
        <w:rPr>
          <w:rFonts w:ascii="Arial" w:cs="Arial" w:eastAsia="Arial" w:hAnsi="Arial"/>
          <w:sz w:val="18"/>
          <w:szCs w:val="18"/>
          <w:b w:val="1"/>
          <w:bCs w:val="1"/>
          <w:color w:val="auto"/>
        </w:rPr>
        <w:t xml:space="preserve"> </w:t>
      </w:r>
      <w:r>
        <w:rPr>
          <w:rFonts w:ascii="Arial" w:cs="Arial" w:eastAsia="Arial" w:hAnsi="Arial"/>
          <w:sz w:val="18"/>
          <w:szCs w:val="18"/>
          <w:color w:val="auto"/>
        </w:rPr>
        <w:t>a result of the occurrence of an Event of Loss or property damage or loss not constituting an Event of Loss, will be subject to the provisions of Section 2.12(a) of the Credit Agreement to the extent required by such provision.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u w:val="single" w:color="auto"/>
          <w:color w:val="auto"/>
        </w:rPr>
        <w:t>Insurance</w:t>
      </w:r>
      <w:r>
        <w:rPr>
          <w:rFonts w:ascii="Arial" w:cs="Arial" w:eastAsia="Arial" w:hAnsi="Arial"/>
          <w:sz w:val="18"/>
          <w:szCs w:val="18"/>
          <w:color w:val="auto"/>
        </w:rPr>
        <w:t>. The Grantor covenants as follows:</w:t>
      </w:r>
    </w:p>
    <w:p>
      <w:pPr>
        <w:spacing w:after="0" w:line="121" w:lineRule="exact"/>
        <w:rPr>
          <w:sz w:val="20"/>
          <w:szCs w:val="20"/>
          <w:color w:val="auto"/>
        </w:rPr>
      </w:pPr>
    </w:p>
    <w:p>
      <w:pPr>
        <w:ind w:left="1520" w:hanging="179"/>
        <w:spacing w:after="0"/>
        <w:tabs>
          <w:tab w:leader="none" w:pos="1520" w:val="left"/>
        </w:tabs>
        <w:numPr>
          <w:ilvl w:val="0"/>
          <w:numId w:val="307"/>
        </w:numPr>
        <w:rPr>
          <w:rFonts w:ascii="Arial" w:cs="Arial" w:eastAsia="Arial" w:hAnsi="Arial"/>
          <w:sz w:val="18"/>
          <w:szCs w:val="18"/>
          <w:b w:val="1"/>
          <w:bCs w:val="1"/>
          <w:color w:val="auto"/>
        </w:rPr>
      </w:pPr>
      <w:r>
        <w:rPr>
          <w:rFonts w:ascii="Arial" w:cs="Arial" w:eastAsia="Arial" w:hAnsi="Arial"/>
          <w:sz w:val="18"/>
          <w:szCs w:val="18"/>
          <w:u w:val="single" w:color="auto"/>
          <w:color w:val="auto"/>
        </w:rPr>
        <w:t>Insurance Against Loss or Damage to the Pledged Spare Parts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500" w:right="20" w:firstLine="397"/>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 xml:space="preserve">a. Except as provided in Section 3.7(c), the Grantor shall maintain, at its expense, with financially sound and reputable insurance companies, all-risk coverage of Pledged Spare Parts, in such forms and amounts and of such type as from time to time applicable to spare parts owned by the Grantor of the same type as the relevant Pledged Spare Parts;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insurance shall be at least of a scope and coverage as is customarily carried by United States-based major air carriers engaged in the same or similar business, similarly situated with the Grantor and owning similar spare parts;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insurance shall at all times during the term of this Security Agreement be for an amount not less than the Appraised Value applicable to such Pledged Spare Parts. Any policies carried in accordance with this paragraph (a) covering Collateral and any policies taken out in substitution or replacement for any such policies (1) shall be amended to name the Collateral Agent (on behalf of the other Secured Parties) as sole loss payee, as its interest may appear (but without imposing on any such party liability to pay premiums with respect to such insurance), (2) shall provide that if the insurers cancel such insurance for any reason whatever, or such insurance terminates for nonpayment of premium or if any material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269" w:name="page270"/>
    <w:bookmarkEnd w:id="269"/>
    <w:p>
      <w:pPr>
        <w:ind w:left="3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is made in the insurance which adversely affects the interest of the Collateral Agent, such cancellation, lapse or change shall not be effective as to the Collateral Agent for thirty (30) days (ten (10) days in the case of cancellation for failure to pay premiums) after issuance to the Collateral Agent of written notice by such insurers of such cancellation, lapse or 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notice period referred to above is not reasonably obtainable, such policies shall provide for as long a period of prior notice as shall then be reasonably obtainable, (3) shall provide that in respect of the interest of the Collateral Agent in such policies the insurance shall not be invalidated by any action or inaction of the Grantor or any other insured and shall insure the Collateral Agent regardless of any breach or violation of any warranty, declaration or condition contained in such policies by the Grantor, (4) shall waive any right of subrogation of the insurers against the Secured Parties but only to the extent the Grantor has waived its rights of recovery against and/or indemnified the Secured Parties under this Agreement, and (5) shall waive any right of the insurers to set-off or counterclaim or any other deduction, whether by attachment or otherwise, in respect of any liability of the Secured Parties or the Grantor to the extent of any moneys due to the Collateral Agent.</w:t>
      </w:r>
    </w:p>
    <w:p>
      <w:pPr>
        <w:spacing w:after="0" w:line="75" w:lineRule="exact"/>
        <w:rPr>
          <w:sz w:val="20"/>
          <w:szCs w:val="20"/>
          <w:color w:val="auto"/>
        </w:rPr>
      </w:pPr>
    </w:p>
    <w:p>
      <w:pPr>
        <w:ind w:left="-280" w:firstLine="421"/>
        <w:spacing w:after="0" w:line="268" w:lineRule="auto"/>
        <w:tabs>
          <w:tab w:leader="none" w:pos="320" w:val="left"/>
        </w:tabs>
        <w:numPr>
          <w:ilvl w:val="0"/>
          <w:numId w:val="308"/>
        </w:numPr>
        <w:rPr>
          <w:rFonts w:ascii="Arial" w:cs="Arial" w:eastAsia="Arial" w:hAnsi="Arial"/>
          <w:sz w:val="17"/>
          <w:szCs w:val="17"/>
          <w:b w:val="1"/>
          <w:bCs w:val="1"/>
          <w:color w:val="auto"/>
        </w:rPr>
      </w:pPr>
      <w:r>
        <w:rPr>
          <w:rFonts w:ascii="Arial" w:cs="Arial" w:eastAsia="Arial" w:hAnsi="Arial"/>
          <w:sz w:val="17"/>
          <w:szCs w:val="17"/>
          <w:u w:val="single" w:color="auto"/>
          <w:color w:val="auto"/>
        </w:rPr>
        <w:t>Reports, Etc</w:t>
      </w:r>
      <w:r>
        <w:rPr>
          <w:rFonts w:ascii="Arial" w:cs="Arial" w:eastAsia="Arial" w:hAnsi="Arial"/>
          <w:sz w:val="17"/>
          <w:szCs w:val="17"/>
          <w:color w:val="auto"/>
        </w:rPr>
        <w:t>. Except with respect to any insurance provided by the United States government, the Grantor will furnish, or cause to be furnished, to the Collateral Agent, on or before the date hereof and thereafter upon reasonable request by the Collateral Agent, a certificate of insurance and a letter of undertaking, signed by Factory Mutual Insurance Company or any other independent firm of insurance brokers reasonably acceptable to the Collateral Agent which insurance broker may be in the regular employ of the Grantor (the “</w:t>
      </w:r>
      <w:r>
        <w:rPr>
          <w:rFonts w:ascii="Arial" w:cs="Arial" w:eastAsia="Arial" w:hAnsi="Arial"/>
          <w:sz w:val="17"/>
          <w:szCs w:val="17"/>
          <w:u w:val="single" w:color="auto"/>
          <w:color w:val="auto"/>
        </w:rPr>
        <w:t>Insurance Brokers</w:t>
      </w:r>
      <w:r>
        <w:rPr>
          <w:rFonts w:ascii="Arial" w:cs="Arial" w:eastAsia="Arial" w:hAnsi="Arial"/>
          <w:sz w:val="17"/>
          <w:szCs w:val="17"/>
          <w:color w:val="auto"/>
        </w:rPr>
        <w:t>”). The Grantor will cause such Insurance Brokers to agree to advise the Collateral Agent in writing (except to the extent that agreement to provide such notice is not commercially available from such Insurance Broker, in which case the Grantor shall provide such written notice to the Collateral Agent) of any default in the payment of any premium. In addition, the Grantor will also cause such Insurance Brokers to deliver to the Collateral Agent, on or prior to the date of expiration of any insurance policy referenced in a previously delivered certificate of insurance, a new certificate of insurance, substantially in the same form as delivered by the Grantor to the Collateral Agent on the date hereof or other renewal documentation as may be customary except for such changes in the report or the coverage consistent with the terms hereof. In the event that the Grantor shall fail to maintain or cause to be maintained insurance as herein provided, the Collateral Agent may at its sole option provide such insurance and, in such event, the Grantor shall, upon demand, reimburse the Collateral Agent for the cost thereof to the Collateral Agent, without waiver of any other rights the Collateral Agent may have.</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80"/>
          </w:cols>
          <w:pgMar w:left="1440" w:top="274" w:right="279" w:bottom="1440" w:gutter="0" w:footer="0" w:header="0"/>
        </w:sectPr>
      </w:pPr>
    </w:p>
    <w:bookmarkStart w:id="270" w:name="page271"/>
    <w:bookmarkEnd w:id="270"/>
    <w:p>
      <w:pPr>
        <w:ind w:left="860" w:right="120" w:firstLine="421"/>
        <w:spacing w:after="0" w:line="297" w:lineRule="auto"/>
        <w:tabs>
          <w:tab w:leader="none" w:pos="1460" w:val="left"/>
        </w:tabs>
        <w:numPr>
          <w:ilvl w:val="1"/>
          <w:numId w:val="309"/>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Self-insurance</w:t>
      </w:r>
      <w:r>
        <w:rPr>
          <w:rFonts w:ascii="Arial" w:cs="Arial" w:eastAsia="Arial" w:hAnsi="Arial"/>
          <w:sz w:val="16"/>
          <w:szCs w:val="16"/>
          <w:color w:val="auto"/>
        </w:rPr>
        <w:t xml:space="preserve">. The Grantor may self-insure by way of deductible, premium adjustment or franchise provisions or otherwise in the insurance covering the risks required to be insured against pursuant to Section 3.7(a) in respect of Pledged Spare Parts;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self-insurance shall not exceed $200,000 per occurrence. In addition, the Grantor may self-insure the risks required to be insured against pursuant to this Section 3.7 in an amount equal to any applicable mandatory minimum per occurrence (or, if applicable, annual or other period) deductible imposed by its property or liability insurer, which are commensurate with the standard deductibles in the aircraft insurance industry.</w:t>
      </w:r>
    </w:p>
    <w:p>
      <w:pPr>
        <w:spacing w:after="0" w:line="50" w:lineRule="exact"/>
        <w:rPr>
          <w:rFonts w:ascii="Arial" w:cs="Arial" w:eastAsia="Arial" w:hAnsi="Arial"/>
          <w:sz w:val="16"/>
          <w:szCs w:val="16"/>
          <w:b w:val="1"/>
          <w:bCs w:val="1"/>
          <w:color w:val="auto"/>
        </w:rPr>
      </w:pPr>
    </w:p>
    <w:p>
      <w:pPr>
        <w:ind w:left="860" w:firstLine="421"/>
        <w:spacing w:after="0" w:line="255" w:lineRule="auto"/>
        <w:tabs>
          <w:tab w:leader="none" w:pos="1460" w:val="left"/>
        </w:tabs>
        <w:numPr>
          <w:ilvl w:val="1"/>
          <w:numId w:val="309"/>
        </w:numPr>
        <w:rPr>
          <w:rFonts w:ascii="Arial" w:cs="Arial" w:eastAsia="Arial" w:hAnsi="Arial"/>
          <w:sz w:val="18"/>
          <w:szCs w:val="18"/>
          <w:b w:val="1"/>
          <w:bCs w:val="1"/>
          <w:color w:val="auto"/>
        </w:rPr>
      </w:pPr>
      <w:r>
        <w:rPr>
          <w:rFonts w:ascii="Arial" w:cs="Arial" w:eastAsia="Arial" w:hAnsi="Arial"/>
          <w:sz w:val="18"/>
          <w:szCs w:val="18"/>
          <w:u w:val="single" w:color="auto"/>
          <w:color w:val="auto"/>
        </w:rPr>
        <w:t>Retention During Defaults or Events of Default</w:t>
      </w:r>
      <w:r>
        <w:rPr>
          <w:rFonts w:ascii="Arial" w:cs="Arial" w:eastAsia="Arial" w:hAnsi="Arial"/>
          <w:sz w:val="18"/>
          <w:szCs w:val="18"/>
          <w:color w:val="auto"/>
        </w:rPr>
        <w:t>. Any amount referred to in this Section 3.7 that is payable to or retainable by the Grantor shall not be paid to or retained by the Grantor if at the time of such payment or retention the Collateral Agent shall have delivered a written notice that an Event of Default, but shall be held by or paid over to the Collateral Agent as security for the Obligations and applied against the Obligations as and when due. Upon the earlier of (i) such time as there shall not be continuing any such Default or Event of Default or (ii) the termination of this Security Agreement in accordance with Section 6.12, such amount shall be paid to the Grantor to the extent not previously applied in accordance with the preceding sentence.</w:t>
      </w:r>
    </w:p>
    <w:p>
      <w:pPr>
        <w:spacing w:after="0" w:line="193" w:lineRule="exact"/>
        <w:rPr>
          <w:rFonts w:ascii="Arial" w:cs="Arial" w:eastAsia="Arial" w:hAnsi="Arial"/>
          <w:sz w:val="18"/>
          <w:szCs w:val="18"/>
          <w:b w:val="1"/>
          <w:bCs w:val="1"/>
          <w:color w:val="auto"/>
        </w:rPr>
      </w:pPr>
    </w:p>
    <w:p>
      <w:pPr>
        <w:ind w:left="-60" w:right="60" w:firstLine="464"/>
        <w:spacing w:after="0" w:line="291" w:lineRule="auto"/>
        <w:tabs>
          <w:tab w:leader="none" w:pos="626" w:val="left"/>
        </w:tabs>
        <w:numPr>
          <w:ilvl w:val="0"/>
          <w:numId w:val="310"/>
        </w:numPr>
        <w:rPr>
          <w:rFonts w:ascii="Arial" w:cs="Arial" w:eastAsia="Arial" w:hAnsi="Arial"/>
          <w:sz w:val="16"/>
          <w:szCs w:val="16"/>
          <w:b w:val="1"/>
          <w:bCs w:val="1"/>
          <w:color w:val="auto"/>
        </w:rPr>
      </w:pPr>
      <w:r>
        <w:rPr>
          <w:rFonts w:ascii="Arial" w:cs="Arial" w:eastAsia="Arial" w:hAnsi="Arial"/>
          <w:sz w:val="16"/>
          <w:szCs w:val="16"/>
          <w:u w:val="single" w:color="auto"/>
          <w:color w:val="auto"/>
        </w:rPr>
        <w:t>Filings</w:t>
      </w:r>
      <w:r>
        <w:rPr>
          <w:rFonts w:ascii="Arial" w:cs="Arial" w:eastAsia="Arial" w:hAnsi="Arial"/>
          <w:sz w:val="16"/>
          <w:szCs w:val="16"/>
          <w:color w:val="auto"/>
        </w:rPr>
        <w:t>. The Grantor will take, or cause to be taken, at the Grantor’s cost and expense, such action with respect to the recording, filing, re-recording and re-filing of this Security Agreement (i) in the office of the Federal Aviation Administration, pursuant to the Federal Aviation Act and (ii) in such other places as may be required under any applicable law or regulation, each Security Agreement Supplement and any financing statements or other instruments as are necessary or reasonably requested by the Collateral Agent, to maintain, so long as this Security Agreement is in effect, the perfection and preservation of the Lien created by this Security Agreement with respect to Pledged Spare Parts located at Spare Parts Locations, and will furnish to the Collateral Agent timely notice of the necessity of such action, together with, if requested by the Collateral Agent, such instruments, in execution form, and such other information as may be reasonably required to enable the Collateral Agent to take such action or otherwise reasonably requested by the Collateral Agent.</w:t>
      </w:r>
    </w:p>
    <w:p>
      <w:pPr>
        <w:spacing w:after="0" w:line="167" w:lineRule="exact"/>
        <w:rPr>
          <w:rFonts w:ascii="Arial" w:cs="Arial" w:eastAsia="Arial" w:hAnsi="Arial"/>
          <w:sz w:val="16"/>
          <w:szCs w:val="16"/>
          <w:b w:val="1"/>
          <w:bCs w:val="1"/>
          <w:color w:val="auto"/>
        </w:rPr>
      </w:pPr>
    </w:p>
    <w:p>
      <w:pPr>
        <w:ind w:left="-60" w:right="120" w:firstLine="464"/>
        <w:spacing w:after="0" w:line="302" w:lineRule="auto"/>
        <w:tabs>
          <w:tab w:leader="none" w:pos="556" w:val="left"/>
        </w:tabs>
        <w:numPr>
          <w:ilvl w:val="0"/>
          <w:numId w:val="310"/>
        </w:numPr>
        <w:rPr>
          <w:rFonts w:ascii="Arial" w:cs="Arial" w:eastAsia="Arial" w:hAnsi="Arial"/>
          <w:sz w:val="16"/>
          <w:szCs w:val="16"/>
          <w:b w:val="1"/>
          <w:bCs w:val="1"/>
          <w:color w:val="auto"/>
        </w:rPr>
      </w:pPr>
      <w:r>
        <w:rPr>
          <w:rFonts w:ascii="Arial" w:cs="Arial" w:eastAsia="Arial" w:hAnsi="Arial"/>
          <w:sz w:val="16"/>
          <w:szCs w:val="16"/>
          <w:u w:val="single" w:color="auto"/>
          <w:color w:val="auto"/>
        </w:rPr>
        <w:t>License</w:t>
      </w:r>
      <w:r>
        <w:rPr>
          <w:rFonts w:ascii="Arial" w:cs="Arial" w:eastAsia="Arial" w:hAnsi="Arial"/>
          <w:sz w:val="16"/>
          <w:szCs w:val="16"/>
          <w:color w:val="auto"/>
        </w:rPr>
        <w:t>. The Grantor shall at all times maintain, and upon the exercise of remedies with respect to Pledged Spare Parts shall make available to the Collateral Agent, the Lenders or their representatives, the ability to access, download, view and manipulate in a usable way all electronically stored Records concerning the Pledged Spare Parts without need of any additional software license or sublicense beyond that which is either maintained by the Grantor and may lawfully be utilized by the Collateral Agent, the Lenders or their representatives or is readily available at no more than incidental cost.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300" w:top="274" w:right="279" w:bottom="1440" w:gutter="0" w:footer="0" w:header="0"/>
        </w:sectPr>
      </w:pPr>
    </w:p>
    <w:bookmarkStart w:id="271" w:name="page272"/>
    <w:bookmarkEnd w:id="2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w:t>
      </w:r>
    </w:p>
    <w:p>
      <w:pPr>
        <w:spacing w:after="0" w:line="22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REMEDIES OF THE ADMINISTRATIVE AGENT UPON AN EVENT OF DEFAULT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u w:val="single" w:color="auto"/>
          <w:color w:val="auto"/>
        </w:rPr>
        <w:t>Event of Default; Remedies with Respect to Collateral.</w:t>
      </w:r>
    </w:p>
    <w:p>
      <w:pPr>
        <w:spacing w:after="0" w:line="121" w:lineRule="exact"/>
        <w:rPr>
          <w:sz w:val="20"/>
          <w:szCs w:val="20"/>
          <w:color w:val="auto"/>
        </w:rPr>
      </w:pPr>
    </w:p>
    <w:p>
      <w:pPr>
        <w:ind w:left="920" w:right="60" w:firstLine="421"/>
        <w:spacing w:after="0" w:line="277" w:lineRule="auto"/>
        <w:tabs>
          <w:tab w:leader="none" w:pos="1520" w:val="left"/>
        </w:tabs>
        <w:numPr>
          <w:ilvl w:val="0"/>
          <w:numId w:val="311"/>
        </w:numPr>
        <w:rPr>
          <w:rFonts w:ascii="Arial" w:cs="Arial" w:eastAsia="Arial" w:hAnsi="Arial"/>
          <w:sz w:val="18"/>
          <w:szCs w:val="18"/>
          <w:b w:val="1"/>
          <w:bCs w:val="1"/>
          <w:color w:val="auto"/>
        </w:rPr>
      </w:pPr>
      <w:r>
        <w:rPr>
          <w:rFonts w:ascii="Arial" w:cs="Arial" w:eastAsia="Arial" w:hAnsi="Arial"/>
          <w:sz w:val="18"/>
          <w:szCs w:val="18"/>
          <w:u w:val="single" w:color="auto"/>
          <w:color w:val="auto"/>
        </w:rPr>
        <w:t>Remedies Available</w:t>
      </w:r>
      <w:r>
        <w:rPr>
          <w:rFonts w:ascii="Arial" w:cs="Arial" w:eastAsia="Arial" w:hAnsi="Arial"/>
          <w:sz w:val="18"/>
          <w:szCs w:val="18"/>
          <w:color w:val="auto"/>
        </w:rPr>
        <w:t>. Upon the occurrence and during the continuance of any Event of Default, the Collateral Agent may do one or more of the following:</w:t>
      </w:r>
    </w:p>
    <w:p>
      <w:pPr>
        <w:spacing w:after="0" w:line="62" w:lineRule="exact"/>
        <w:rPr>
          <w:rFonts w:ascii="Arial" w:cs="Arial" w:eastAsia="Arial" w:hAnsi="Arial"/>
          <w:sz w:val="18"/>
          <w:szCs w:val="18"/>
          <w:b w:val="1"/>
          <w:bCs w:val="1"/>
          <w:color w:val="auto"/>
        </w:rPr>
      </w:pPr>
    </w:p>
    <w:p>
      <w:pPr>
        <w:jc w:val="both"/>
        <w:ind w:left="1500" w:right="420" w:firstLine="389"/>
        <w:spacing w:after="0" w:line="297" w:lineRule="auto"/>
        <w:tabs>
          <w:tab w:leader="none" w:pos="2067"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cause the Grantor, upon the written demand of the Collateral Agent, at the Grantor’s expense, to deliver promptly, and the Grantor shall deliver promptly, all or such part of the Collateral (other than the Account Collateral) as the Collateral Agent may so demand to the Collateral Agent or its order, or the Collateral Agent, at its option, may access and utilize the Tracking Systems (and demand the assistance of the Grantor’s personnel necessary to access and utilize the Tracking Systems);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Collateral Agent may be restricted from using the Tracking System to the extent that an applicable consent has not been obtained.</w:t>
      </w:r>
    </w:p>
    <w:p>
      <w:pPr>
        <w:spacing w:after="0" w:line="50" w:lineRule="exact"/>
        <w:rPr>
          <w:rFonts w:ascii="Arial" w:cs="Arial" w:eastAsia="Arial" w:hAnsi="Arial"/>
          <w:sz w:val="16"/>
          <w:szCs w:val="16"/>
          <w:color w:val="auto"/>
        </w:rPr>
      </w:pPr>
    </w:p>
    <w:p>
      <w:pPr>
        <w:ind w:left="1500" w:right="40" w:firstLine="389"/>
        <w:spacing w:after="0" w:line="276" w:lineRule="auto"/>
        <w:tabs>
          <w:tab w:leader="none" w:pos="2077" w:val="left"/>
        </w:tabs>
        <w:numPr>
          <w:ilvl w:val="1"/>
          <w:numId w:val="311"/>
        </w:numPr>
        <w:rPr>
          <w:rFonts w:ascii="Arial" w:cs="Arial" w:eastAsia="Arial" w:hAnsi="Arial"/>
          <w:sz w:val="17"/>
          <w:szCs w:val="17"/>
          <w:color w:val="auto"/>
        </w:rPr>
      </w:pPr>
      <w:r>
        <w:rPr>
          <w:rFonts w:ascii="Arial" w:cs="Arial" w:eastAsia="Arial" w:hAnsi="Arial"/>
          <w:sz w:val="17"/>
          <w:szCs w:val="17"/>
          <w:color w:val="auto"/>
        </w:rPr>
        <w:t xml:space="preserve">sell or otherwise liquidate, or direct the Grantor to sell or otherwise liquidate, all or any part of the Collateral at public or private sale, whether or not the Collateral Agent shall at the time have possession thereof, as the Collateral Agent may determine, or lease or otherwise dispose of all or any part of the Collateral as the Collateral Agent, in its sole discretion, may determine, all free and clear of any rights or claims of whatsoever kind of the Grantor;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Grantor shall be entitled at any time prior to any such disposition to redeem the Collateral by paying in full all of the Obligations;</w:t>
      </w:r>
    </w:p>
    <w:p>
      <w:pPr>
        <w:spacing w:after="0" w:line="64" w:lineRule="exact"/>
        <w:rPr>
          <w:rFonts w:ascii="Arial" w:cs="Arial" w:eastAsia="Arial" w:hAnsi="Arial"/>
          <w:sz w:val="17"/>
          <w:szCs w:val="17"/>
          <w:color w:val="auto"/>
        </w:rPr>
      </w:pPr>
    </w:p>
    <w:p>
      <w:pPr>
        <w:ind w:left="1500" w:right="60" w:firstLine="389"/>
        <w:spacing w:after="0" w:line="264" w:lineRule="auto"/>
        <w:tabs>
          <w:tab w:leader="none" w:pos="206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without notice to the Grantor except as required by law and at any time or from time to time, deliver a Notice of Exclusive Control (as defined in the Account Control Agreement), and charge, set off and otherwise apply all or any part of the Obligations against any funds held with respect to the Account Collateral; or</w:t>
      </w:r>
    </w:p>
    <w:p>
      <w:pPr>
        <w:spacing w:after="0" w:line="73" w:lineRule="exact"/>
        <w:rPr>
          <w:rFonts w:ascii="Arial" w:cs="Arial" w:eastAsia="Arial" w:hAnsi="Arial"/>
          <w:sz w:val="18"/>
          <w:szCs w:val="18"/>
          <w:color w:val="auto"/>
        </w:rPr>
      </w:pPr>
    </w:p>
    <w:p>
      <w:pPr>
        <w:ind w:left="1500" w:right="380" w:firstLine="389"/>
        <w:spacing w:after="0" w:line="277" w:lineRule="auto"/>
        <w:tabs>
          <w:tab w:leader="none" w:pos="207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exercise any or all of the rights and powers and pursue any and all remedies of a secured party under the UCC and any other applicable law.</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Upon every taking of possession of Collateral (other than Account Collateral) under this Section 4.1, the Collateral Agent may, from time to time, at the expense of the Grantor, make all such expenditures for maintenance, insurance, repairs, replacements, alterations, additions and improvements to and of the Collateral, as it may deem proper.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272" w:name="page273"/>
    <w:bookmarkEnd w:id="27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each such case, the Collateral Agent shall have the right to maintain, store, lease, control or manage the Collateral and to exercise all rights and powers of the Grantor relating to the Collateral in connection therewith, as the Collateral Agent shall deem best, including the right to enter into any and all such agreements with respect to the maintenance, insurance, storage, leasing, control, management or disposition of the Collateral or any part thereof as the Collateral Agent may determine; and the Collateral Agent shall be entitled to collect and receive directly all tolls, rents, revenues, issues, income, products and profits of the Collateral and every part thereof, without prejudice, however, to the right of the Collateral Agent under any provision of this Security Agreement to collect and receive all cash held by, or required to be deposited with, the Collateral Agent hereunder. Such tolls, rents, revenues, issues, income, products and profits shall be applied to pay the expenses of storage, leasing, control, management or disposition of the Collateral, and of all maintenance, repairs, replacements, alterations, additions and improvements, and to make all payments which the Collateral Agent may be required or may elect to make, if any, for taxes, assessments, insurance or other proper charges upon the Collateral or any part thereof (including the employment of engineers and accountants to examine, inspect and make reports upon the properties and books and records of the Grantor), and all other payments which the Collateral Agent may be required or authorized to make under any provision of this Security Agreement, as well as just and reasonable compensation for the services of the Collateral Agent, and of all Persons properly engaged and employed by the Collateral Agent.</w:t>
      </w:r>
    </w:p>
    <w:p>
      <w:pPr>
        <w:spacing w:after="0" w:line="1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the Grantor shall be liable for all legal fees and other costs and expenses incurred by reason of the occurrence of any Event of Default or the exercise of the Collateral Agent’s remedies with respect thereto.</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(x) any Event of Default shall have occurred and be continuing, or (y) the Loans shall have been declared forthwith due and payable pursuant to Section 7.01 of the Credit Agreement, the Collateral Agent may at any time thereafter while any Event of Default shall be continuing, without notice of any kind to the Grantor (except as provided herein) to the extent permitted by law, carry out or enforce any one or more of the actions and remedies provided in this Article IV or elsewhere in this Security Agreement or otherwise available to a secured party under the UCC, whether or not any or all of the Collateral is subject to the jurisdiction of the UCC or such remedies are referred to in this Article IV, in each case subject to Section 7.01 of the Credit Agreement and each applicable Intercreditor Agreement and Other Intercreditor Agreement.</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Nothing in the foregoing shall affect the right of each Secured Party to receive all payments of principal of, and interest on, the Obligations held by such Secured Party and all other amounts owing to such Secured Party as and when the same may be due.</w:t>
      </w:r>
    </w:p>
    <w:p>
      <w:pPr>
        <w:spacing w:after="0" w:line="62" w:lineRule="exact"/>
        <w:rPr>
          <w:sz w:val="20"/>
          <w:szCs w:val="20"/>
          <w:color w:val="auto"/>
        </w:rPr>
      </w:pPr>
    </w:p>
    <w:p>
      <w:pPr>
        <w:ind w:left="920" w:right="500" w:firstLine="421"/>
        <w:spacing w:after="0" w:line="277" w:lineRule="auto"/>
        <w:tabs>
          <w:tab w:leader="none" w:pos="1520" w:val="left"/>
        </w:tabs>
        <w:numPr>
          <w:ilvl w:val="0"/>
          <w:numId w:val="312"/>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 of Sale</w:t>
      </w:r>
      <w:r>
        <w:rPr>
          <w:rFonts w:ascii="Arial" w:cs="Arial" w:eastAsia="Arial" w:hAnsi="Arial"/>
          <w:sz w:val="18"/>
          <w:szCs w:val="18"/>
          <w:color w:val="auto"/>
        </w:rPr>
        <w:t>. The Collateral Agent or any other Secured Party may be the purchasers of any or all of the Collateral at any sale of Collateral and shall be entitled, for the purpose of bidding and making settlement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73" w:name="page274"/>
    <w:bookmarkEnd w:id="273"/>
    <w:p>
      <w:pPr>
        <w:ind w:left="90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the purchase price for all or any portion of the Collateral sold at such sale, to use and apply any of the Obligations owed to such Person as a credit on account of the purchase price of any Collateral payable by such Person at such sale. Each purchaser at any such sale shall acquire the property sold absolutely free from any claim or right on the part of the Grantor. The Grantor agrees that, to the extent notice of sale shall be required by law, at least 10 days’ notice to the Grantor of the time and place of any public sale or the time after which any private sale is to be made shall constitute reasonable notification.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w:t>
      </w:r>
    </w:p>
    <w:p>
      <w:pPr>
        <w:spacing w:after="0" w:line="59" w:lineRule="exact"/>
        <w:rPr>
          <w:sz w:val="20"/>
          <w:szCs w:val="20"/>
          <w:color w:val="auto"/>
        </w:rPr>
      </w:pPr>
    </w:p>
    <w:p>
      <w:pPr>
        <w:ind w:left="900" w:firstLine="421"/>
        <w:spacing w:after="0" w:line="279" w:lineRule="auto"/>
        <w:tabs>
          <w:tab w:leader="none" w:pos="1500" w:val="left"/>
        </w:tabs>
        <w:numPr>
          <w:ilvl w:val="1"/>
          <w:numId w:val="313"/>
        </w:numPr>
        <w:rPr>
          <w:rFonts w:ascii="Arial" w:cs="Arial" w:eastAsia="Arial" w:hAnsi="Arial"/>
          <w:sz w:val="17"/>
          <w:szCs w:val="17"/>
          <w:b w:val="1"/>
          <w:bCs w:val="1"/>
          <w:color w:val="auto"/>
        </w:rPr>
      </w:pPr>
      <w:r>
        <w:rPr>
          <w:rFonts w:ascii="Arial" w:cs="Arial" w:eastAsia="Arial" w:hAnsi="Arial"/>
          <w:sz w:val="17"/>
          <w:szCs w:val="17"/>
          <w:u w:val="single" w:color="auto"/>
          <w:color w:val="auto"/>
        </w:rPr>
        <w:t>Receiver</w:t>
      </w:r>
      <w:r>
        <w:rPr>
          <w:rFonts w:ascii="Arial" w:cs="Arial" w:eastAsia="Arial" w:hAnsi="Arial"/>
          <w:sz w:val="17"/>
          <w:szCs w:val="17"/>
          <w:color w:val="auto"/>
        </w:rPr>
        <w:t>. If any Event of Default shall occur and be continuing, to the extent permitted by law, the Collateral Agent shall be entitled, as a matter of right as against the Grantor, without notice or demand and without regard to the adequacy of the security for the Obligations or the solvency of the Grantor, upon the commencement of judicial proceedings by it to enforce any right under this Security Agreement, to the appointment of a receiver of the Collateral and of the tolls, rents, revenues, issues, income, products and profits thereof.</w:t>
      </w:r>
    </w:p>
    <w:p>
      <w:pPr>
        <w:spacing w:after="0" w:line="63" w:lineRule="exact"/>
        <w:rPr>
          <w:rFonts w:ascii="Arial" w:cs="Arial" w:eastAsia="Arial" w:hAnsi="Arial"/>
          <w:sz w:val="17"/>
          <w:szCs w:val="17"/>
          <w:b w:val="1"/>
          <w:bCs w:val="1"/>
          <w:color w:val="auto"/>
        </w:rPr>
      </w:pPr>
    </w:p>
    <w:p>
      <w:pPr>
        <w:ind w:left="900" w:right="60" w:firstLine="421"/>
        <w:spacing w:after="0" w:line="255" w:lineRule="auto"/>
        <w:tabs>
          <w:tab w:leader="none" w:pos="1500" w:val="left"/>
        </w:tabs>
        <w:numPr>
          <w:ilvl w:val="1"/>
          <w:numId w:val="313"/>
        </w:numPr>
        <w:rPr>
          <w:rFonts w:ascii="Arial" w:cs="Arial" w:eastAsia="Arial" w:hAnsi="Arial"/>
          <w:sz w:val="18"/>
          <w:szCs w:val="18"/>
          <w:b w:val="1"/>
          <w:bCs w:val="1"/>
          <w:color w:val="auto"/>
        </w:rPr>
      </w:pPr>
      <w:r>
        <w:rPr>
          <w:rFonts w:ascii="Arial" w:cs="Arial" w:eastAsia="Arial" w:hAnsi="Arial"/>
          <w:sz w:val="18"/>
          <w:szCs w:val="18"/>
          <w:u w:val="single" w:color="auto"/>
          <w:color w:val="auto"/>
        </w:rPr>
        <w:t>Concerning Sales</w:t>
      </w:r>
      <w:r>
        <w:rPr>
          <w:rFonts w:ascii="Arial" w:cs="Arial" w:eastAsia="Arial" w:hAnsi="Arial"/>
          <w:sz w:val="18"/>
          <w:szCs w:val="18"/>
          <w:color w:val="auto"/>
        </w:rPr>
        <w:t>. At any sale under this Article IV, any Secured Party may bid for and purchase the property offered for sale, may make payment on account thereof as herein provided, and, upon compliance with the terms of sale, may hold, retain and dispose of such property without further accountability therefor. Any purchaser shall be entitled, for the purpose of making payment for the property purchased, to deliver any of the Obligations in lieu of cash in the amount which shall be payable thereon as principal or interest. Said Obligations, in case the amount so payable to the holders thereof shall be less than the amounts due thereon, shall be returned to the holders thereof after being stamped or endorsed to show partial payment.</w:t>
      </w:r>
    </w:p>
    <w:p>
      <w:pPr>
        <w:spacing w:after="0" w:line="193" w:lineRule="exact"/>
        <w:rPr>
          <w:rFonts w:ascii="Arial" w:cs="Arial" w:eastAsia="Arial" w:hAnsi="Arial"/>
          <w:sz w:val="18"/>
          <w:szCs w:val="18"/>
          <w:b w:val="1"/>
          <w:bCs w:val="1"/>
          <w:color w:val="auto"/>
        </w:rPr>
      </w:pPr>
    </w:p>
    <w:p>
      <w:pPr>
        <w:ind w:left="-20" w:right="40" w:firstLine="464"/>
        <w:spacing w:after="0" w:line="255" w:lineRule="auto"/>
        <w:tabs>
          <w:tab w:leader="none" w:pos="646" w:val="left"/>
        </w:tabs>
        <w:numPr>
          <w:ilvl w:val="0"/>
          <w:numId w:val="314"/>
        </w:numPr>
        <w:rPr>
          <w:rFonts w:ascii="Arial" w:cs="Arial" w:eastAsia="Arial" w:hAnsi="Arial"/>
          <w:sz w:val="18"/>
          <w:szCs w:val="18"/>
          <w:b w:val="1"/>
          <w:bCs w:val="1"/>
          <w:color w:val="auto"/>
        </w:rPr>
      </w:pPr>
      <w:r>
        <w:rPr>
          <w:rFonts w:ascii="Arial" w:cs="Arial" w:eastAsia="Arial" w:hAnsi="Arial"/>
          <w:sz w:val="18"/>
          <w:szCs w:val="18"/>
          <w:u w:val="single" w:color="auto"/>
          <w:color w:val="auto"/>
        </w:rPr>
        <w:t>Waiver of Appraisement, Etc</w:t>
      </w:r>
      <w:r>
        <w:rPr>
          <w:rFonts w:ascii="Arial" w:cs="Arial" w:eastAsia="Arial" w:hAnsi="Arial"/>
          <w:sz w:val="18"/>
          <w:szCs w:val="18"/>
          <w:color w:val="auto"/>
        </w:rPr>
        <w:t>. To the full extent that it may lawfully so agree, the Grantor agrees that it will not at any time insist upon, plead, claim or take the benefit or advantage of, any appraisement valuation, stay, extension, or redemption law now or hereafter in force, in order to prevent or hinder the enforcement of this Security Agreement or the absolute sale of the Collateral, or any part thereof, or the possession thereof by any purchaser at any sale under this Article IV; but the Grantor, for itself and all who may claim under it, so far as it or they now or hereafter lawfully may, hereby waives the benefit of all such laws. The Grantor, for itself and all who may claim under it, waives, to the extent that it lawfully may, all right to have the property in the Collateral marshalled upon any foreclosure hereof, and agrees that any court having jurisdiction to foreclose on this Security Agreement may order the sale of the Collateral as an entirety.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274" w:name="page275"/>
    <w:bookmarkEnd w:id="274"/>
    <w:p>
      <w:pPr>
        <w:ind w:right="70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w:t>
      </w:r>
      <w:r>
        <w:rPr>
          <w:rFonts w:ascii="Arial" w:cs="Arial" w:eastAsia="Arial" w:hAnsi="Arial"/>
          <w:sz w:val="18"/>
          <w:szCs w:val="18"/>
          <w:u w:val="single" w:color="auto"/>
          <w:color w:val="auto"/>
        </w:rPr>
        <w:t>Application of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the Credit Agreement and each applicable Intercreditor Agreement and Other Intercreditor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8" w:lineRule="exact"/>
        <w:rPr>
          <w:sz w:val="20"/>
          <w:szCs w:val="20"/>
          <w:color w:val="auto"/>
        </w:rPr>
      </w:pPr>
    </w:p>
    <w:p>
      <w:pPr>
        <w:ind w:left="920" w:firstLine="421"/>
        <w:spacing w:after="0" w:line="293" w:lineRule="auto"/>
        <w:tabs>
          <w:tab w:leader="none" w:pos="1520" w:val="left"/>
        </w:tabs>
        <w:numPr>
          <w:ilvl w:val="1"/>
          <w:numId w:val="315"/>
        </w:numPr>
        <w:rPr>
          <w:rFonts w:ascii="Arial" w:cs="Arial" w:eastAsia="Arial" w:hAnsi="Arial"/>
          <w:sz w:val="16"/>
          <w:szCs w:val="16"/>
          <w:b w:val="1"/>
          <w:bCs w:val="1"/>
          <w:color w:val="auto"/>
        </w:rPr>
      </w:pPr>
      <w:r>
        <w:rPr>
          <w:rFonts w:ascii="Arial" w:cs="Arial" w:eastAsia="Arial" w:hAnsi="Arial"/>
          <w:sz w:val="16"/>
          <w:szCs w:val="16"/>
          <w:color w:val="auto"/>
        </w:rPr>
        <w:t>Any cash held by or on behalf of the Collateral Agent and all cash proceeds received by or on behalf of the Collateral Agent in respect of any sale of, collection from, or other realization upon all or any part of the Collateral pursuant to the exercise by the Collateral Agent of its remedies as a secured party pursuant to Section 4.1 of this Security Agreement shall be promptly transferred by the Collateral Agent to the account of the Collateral Agent specified in Section 2.17(a) of the Credit Agreement for application in accordance with the priority of payments set forth in Section 2.17(b) of the Credit Agreement. Any surplus of such cash or cash proceeds held by the Collateral Agent and remaining after payment in full of the Obligations shall be paid over to the Grantor or to whomever may be lawfully entitled to receive such surplus.</w:t>
      </w:r>
    </w:p>
    <w:p>
      <w:pPr>
        <w:spacing w:after="0" w:line="56" w:lineRule="exact"/>
        <w:rPr>
          <w:rFonts w:ascii="Arial" w:cs="Arial" w:eastAsia="Arial" w:hAnsi="Arial"/>
          <w:sz w:val="16"/>
          <w:szCs w:val="16"/>
          <w:b w:val="1"/>
          <w:bCs w:val="1"/>
          <w:color w:val="auto"/>
        </w:rPr>
      </w:pPr>
    </w:p>
    <w:p>
      <w:pPr>
        <w:jc w:val="both"/>
        <w:ind w:left="920" w:right="80" w:firstLine="421"/>
        <w:spacing w:after="0" w:line="259" w:lineRule="auto"/>
        <w:tabs>
          <w:tab w:leader="none" w:pos="1520"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All payments received by the Grantor under or in connection with the Collateral to which the Collateral Agent is entitled pursuant to the exercise of its remedies as a secured party under Section 4.1 of this Security Agreement shall be received in trust for the benefit of the Collateral Agent, shall be segregated from other funds of the Grantor and shall, after notice from the Collateral Agent, be forthwith paid over to the Collateral Agent in the same form as so received (with any necessary endorsement).</w:t>
      </w:r>
    </w:p>
    <w:p>
      <w:pPr>
        <w:spacing w:after="0" w:line="186" w:lineRule="exact"/>
        <w:rPr>
          <w:rFonts w:ascii="Arial" w:cs="Arial" w:eastAsia="Arial" w:hAnsi="Arial"/>
          <w:sz w:val="18"/>
          <w:szCs w:val="18"/>
          <w:b w:val="1"/>
          <w:bCs w:val="1"/>
          <w:color w:val="auto"/>
        </w:rPr>
      </w:pPr>
    </w:p>
    <w:p>
      <w:pPr>
        <w:ind w:right="40" w:firstLine="464"/>
        <w:spacing w:after="0" w:line="287" w:lineRule="auto"/>
        <w:tabs>
          <w:tab w:leader="none" w:pos="676" w:val="left"/>
        </w:tabs>
        <w:numPr>
          <w:ilvl w:val="0"/>
          <w:numId w:val="316"/>
        </w:numPr>
        <w:rPr>
          <w:rFonts w:ascii="Arial" w:cs="Arial" w:eastAsia="Arial" w:hAnsi="Arial"/>
          <w:sz w:val="16"/>
          <w:szCs w:val="16"/>
          <w:b w:val="1"/>
          <w:bCs w:val="1"/>
          <w:color w:val="auto"/>
        </w:rPr>
      </w:pPr>
      <w:r>
        <w:rPr>
          <w:rFonts w:ascii="Arial" w:cs="Arial" w:eastAsia="Arial" w:hAnsi="Arial"/>
          <w:sz w:val="16"/>
          <w:szCs w:val="16"/>
          <w:u w:val="single" w:color="auto"/>
          <w:color w:val="auto"/>
        </w:rPr>
        <w:t>Remedies Cumulative</w:t>
      </w:r>
      <w:r>
        <w:rPr>
          <w:rFonts w:ascii="Arial" w:cs="Arial" w:eastAsia="Arial" w:hAnsi="Arial"/>
          <w:sz w:val="16"/>
          <w:szCs w:val="16"/>
          <w:color w:val="auto"/>
        </w:rPr>
        <w:t>. Each and every right, power and remedy hereby specifically given to the Collateral Agent or otherwise in this Security Agreement shall be cumulative and shall be in addition to every other right, power and remedy specifically given under this Security Agreement or the other Loan Documents or now or hereafter existing at law, in equity or by statute and each and every right, power and remedy whether specifically herein given or otherwise existing may be exercised from time to time or simultaneously and as often and in such order as may be deemed expedient by the Collateral Agent. All such rights, powers and remedies shall be cumulative and the exercise or the beginning of the exercise of one shall not be deemed a waiver of the right to exercise any other or others. No delay or omission of the Collateral Agent in the exercise of any such right, power or remedy and no renewal or extension of any of the Obligations shall impair any such right, power or remedy or shall be construed to be a waiver of any Default or Event of Default or an acquiescence therein. In any case, no notice to or demand on the Grantor shall entitle it to any other or further notice or demand in similar or other circumstances or constitute a waiver of any of the rights of the Collateral Agent to any other or further action in any circumstances. In the event that the Collateral Agent shall bring any suit to enforce any of its rights hereunder and shall be entitled to judgment, then in such suit the Collateral Agent may recover reasonable expenses, including attorneys’ fees and expenses, and the amounts thereof shall be included in such judgment.</w:t>
      </w:r>
    </w:p>
    <w:p>
      <w:pPr>
        <w:spacing w:after="0" w:line="172" w:lineRule="exact"/>
        <w:rPr>
          <w:rFonts w:ascii="Arial" w:cs="Arial" w:eastAsia="Arial" w:hAnsi="Arial"/>
          <w:sz w:val="16"/>
          <w:szCs w:val="16"/>
          <w:b w:val="1"/>
          <w:bCs w:val="1"/>
          <w:color w:val="auto"/>
        </w:rPr>
      </w:pPr>
    </w:p>
    <w:p>
      <w:pPr>
        <w:ind w:right="40" w:firstLine="464"/>
        <w:spacing w:after="0" w:line="297" w:lineRule="auto"/>
        <w:tabs>
          <w:tab w:leader="none" w:pos="666" w:val="left"/>
        </w:tabs>
        <w:numPr>
          <w:ilvl w:val="0"/>
          <w:numId w:val="316"/>
        </w:numPr>
        <w:rPr>
          <w:rFonts w:ascii="Arial" w:cs="Arial" w:eastAsia="Arial" w:hAnsi="Arial"/>
          <w:sz w:val="16"/>
          <w:szCs w:val="16"/>
          <w:b w:val="1"/>
          <w:bCs w:val="1"/>
          <w:color w:val="auto"/>
        </w:rPr>
      </w:pPr>
      <w:r>
        <w:rPr>
          <w:rFonts w:ascii="Arial" w:cs="Arial" w:eastAsia="Arial" w:hAnsi="Arial"/>
          <w:sz w:val="16"/>
          <w:szCs w:val="16"/>
          <w:u w:val="single" w:color="auto"/>
          <w:color w:val="auto"/>
        </w:rPr>
        <w:t>Discontinuance of Proceedings</w:t>
      </w:r>
      <w:r>
        <w:rPr>
          <w:rFonts w:ascii="Arial" w:cs="Arial" w:eastAsia="Arial" w:hAnsi="Arial"/>
          <w:sz w:val="16"/>
          <w:szCs w:val="16"/>
          <w:color w:val="auto"/>
        </w:rPr>
        <w:t>. In the event the Collateral Agent shall have instituted any proceeding to enforce any right, power or remedy under this Security Agreement by foreclosure, sale, entry or otherwise, and such proceeding shall have been discontinued or abandoned for any reason or shall have been determined adversely to the Collateral Agent, then and in every such case the Grantor, the Collateral Agent and each holder of any of the Obligations shall be restored to its respective position and rights hereunder with respect to the Collateral subject to the security interest created under this Security Agreement, and all rights, remedies and powers of the Collateral Agent shall continue as if no such proceeding had been instituted.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275" w:name="page276"/>
    <w:bookmarkEnd w:id="275"/>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auto"/>
        </w:rPr>
        <w:t>Non-Lender Secured Parties</w:t>
      </w:r>
      <w:r>
        <w:rPr>
          <w:rFonts w:ascii="Arial" w:cs="Arial" w:eastAsia="Arial" w:hAnsi="Arial"/>
          <w:sz w:val="18"/>
          <w:szCs w:val="18"/>
          <w:color w:val="auto"/>
        </w:rPr>
        <w:t>.</w:t>
      </w:r>
    </w:p>
    <w:p>
      <w:pPr>
        <w:spacing w:after="0" w:line="225" w:lineRule="exact"/>
        <w:rPr>
          <w:sz w:val="20"/>
          <w:szCs w:val="20"/>
          <w:color w:val="auto"/>
        </w:rPr>
      </w:pPr>
    </w:p>
    <w:p>
      <w:pPr>
        <w:ind w:left="240" w:hanging="236"/>
        <w:spacing w:after="0"/>
        <w:tabs>
          <w:tab w:leader="none" w:pos="2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Rights to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68" w:lineRule="auto"/>
        <w:tabs>
          <w:tab w:leader="none" w:pos="653" w:val="left"/>
        </w:tabs>
        <w:numPr>
          <w:ilvl w:val="1"/>
          <w:numId w:val="317"/>
        </w:numPr>
        <w:rPr>
          <w:rFonts w:ascii="Arial" w:cs="Arial" w:eastAsia="Arial" w:hAnsi="Arial"/>
          <w:sz w:val="17"/>
          <w:szCs w:val="17"/>
          <w:color w:val="auto"/>
        </w:rPr>
      </w:pPr>
      <w:r>
        <w:rPr>
          <w:rFonts w:ascii="Arial" w:cs="Arial" w:eastAsia="Arial" w:hAnsi="Arial"/>
          <w:sz w:val="17"/>
          <w:szCs w:val="17"/>
          <w:color w:val="auto"/>
        </w:rPr>
        <w:t>The Non-Lender Secured Parties shall not have any right whatsoever to do any of the following: (</w:t>
      </w:r>
      <w:r>
        <w:rPr>
          <w:rFonts w:ascii="Arial" w:cs="Arial" w:eastAsia="Arial" w:hAnsi="Arial"/>
          <w:sz w:val="17"/>
          <w:szCs w:val="17"/>
          <w:u w:val="single" w:color="auto"/>
          <w:color w:val="auto"/>
        </w:rPr>
        <w:t>A</w:t>
      </w:r>
      <w:r>
        <w:rPr>
          <w:rFonts w:ascii="Arial" w:cs="Arial" w:eastAsia="Arial" w:hAnsi="Arial"/>
          <w:sz w:val="17"/>
          <w:szCs w:val="17"/>
          <w:color w:val="auto"/>
        </w:rPr>
        <w:t>) exercise any rights or remedies with respect to the Collateral or to direct the Collateral Agent to do the same, including, without limitation, the right to (</w:t>
      </w:r>
      <w:r>
        <w:rPr>
          <w:rFonts w:ascii="Arial" w:cs="Arial" w:eastAsia="Arial" w:hAnsi="Arial"/>
          <w:sz w:val="17"/>
          <w:szCs w:val="17"/>
          <w:u w:val="single" w:color="auto"/>
          <w:color w:val="auto"/>
        </w:rPr>
        <w:t>1</w:t>
      </w:r>
      <w:r>
        <w:rPr>
          <w:rFonts w:ascii="Arial" w:cs="Arial" w:eastAsia="Arial" w:hAnsi="Arial"/>
          <w:sz w:val="17"/>
          <w:szCs w:val="17"/>
          <w:color w:val="auto"/>
        </w:rPr>
        <w:t>) enforce any Liens or sell or otherwise foreclose on any portion of the Collateral, (</w:t>
      </w:r>
      <w:r>
        <w:rPr>
          <w:rFonts w:ascii="Arial" w:cs="Arial" w:eastAsia="Arial" w:hAnsi="Arial"/>
          <w:sz w:val="17"/>
          <w:szCs w:val="17"/>
          <w:u w:val="single" w:color="auto"/>
          <w:color w:val="auto"/>
        </w:rPr>
        <w:t>2</w:t>
      </w:r>
      <w:r>
        <w:rPr>
          <w:rFonts w:ascii="Arial" w:cs="Arial" w:eastAsia="Arial" w:hAnsi="Arial"/>
          <w:sz w:val="17"/>
          <w:szCs w:val="17"/>
          <w:color w:val="auto"/>
        </w:rPr>
        <w:t>) request any action, institute any proceedings, exercise any voting rights, give any instructions, make any election or make collections with respect to all or any portion of the Collateral or (</w:t>
      </w:r>
      <w:r>
        <w:rPr>
          <w:rFonts w:ascii="Arial" w:cs="Arial" w:eastAsia="Arial" w:hAnsi="Arial"/>
          <w:sz w:val="17"/>
          <w:szCs w:val="17"/>
          <w:u w:val="single" w:color="auto"/>
          <w:color w:val="auto"/>
        </w:rPr>
        <w:t>3</w:t>
      </w:r>
      <w:r>
        <w:rPr>
          <w:rFonts w:ascii="Arial" w:cs="Arial" w:eastAsia="Arial" w:hAnsi="Arial"/>
          <w:sz w:val="17"/>
          <w:szCs w:val="17"/>
          <w:color w:val="auto"/>
        </w:rPr>
        <w:t>) release any Grantor under this Security Agreement or release any Collateral from the Liens of any Collateral Document or consent to or otherwise approve any such release; (</w:t>
      </w:r>
      <w:r>
        <w:rPr>
          <w:rFonts w:ascii="Arial" w:cs="Arial" w:eastAsia="Arial" w:hAnsi="Arial"/>
          <w:sz w:val="17"/>
          <w:szCs w:val="17"/>
          <w:u w:val="single" w:color="auto"/>
          <w:color w:val="auto"/>
        </w:rPr>
        <w:t>B</w:t>
      </w:r>
      <w:r>
        <w:rPr>
          <w:rFonts w:ascii="Arial" w:cs="Arial" w:eastAsia="Arial" w:hAnsi="Arial"/>
          <w:sz w:val="17"/>
          <w:szCs w:val="17"/>
          <w:color w:val="auto"/>
        </w:rPr>
        <w:t>) demand, accept or obtain any Lien on any Collateral (except for Liens arising under, and subject to the terms of, this Security Agreement); (</w:t>
      </w:r>
      <w:r>
        <w:rPr>
          <w:rFonts w:ascii="Arial" w:cs="Arial" w:eastAsia="Arial" w:hAnsi="Arial"/>
          <w:sz w:val="17"/>
          <w:szCs w:val="17"/>
          <w:u w:val="single" w:color="auto"/>
          <w:color w:val="auto"/>
        </w:rPr>
        <w:t>C</w:t>
      </w:r>
      <w:r>
        <w:rPr>
          <w:rFonts w:ascii="Arial" w:cs="Arial" w:eastAsia="Arial" w:hAnsi="Arial"/>
          <w:sz w:val="17"/>
          <w:szCs w:val="17"/>
          <w:color w:val="auto"/>
        </w:rPr>
        <w:t>) vote in any Bankruptcy Case or similar proceeding in respect of Parent or any of its Subsidiaries (any such proceeding, for purposes of this clause (i), a “</w:t>
      </w:r>
      <w:r>
        <w:rPr>
          <w:rFonts w:ascii="Arial" w:cs="Arial" w:eastAsia="Arial" w:hAnsi="Arial"/>
          <w:sz w:val="17"/>
          <w:szCs w:val="17"/>
          <w:u w:val="single" w:color="auto"/>
          <w:color w:val="auto"/>
        </w:rPr>
        <w:t>Bankruptcy</w:t>
      </w:r>
      <w:r>
        <w:rPr>
          <w:rFonts w:ascii="Arial" w:cs="Arial" w:eastAsia="Arial" w:hAnsi="Arial"/>
          <w:sz w:val="17"/>
          <w:szCs w:val="17"/>
          <w:color w:val="auto"/>
        </w:rPr>
        <w:t>”) with respect to, or take any other actions concerning the Collateral; (</w:t>
      </w:r>
      <w:r>
        <w:rPr>
          <w:rFonts w:ascii="Arial" w:cs="Arial" w:eastAsia="Arial" w:hAnsi="Arial"/>
          <w:sz w:val="17"/>
          <w:szCs w:val="17"/>
          <w:u w:val="single" w:color="auto"/>
          <w:color w:val="auto"/>
        </w:rPr>
        <w:t>D</w:t>
      </w:r>
      <w:r>
        <w:rPr>
          <w:rFonts w:ascii="Arial" w:cs="Arial" w:eastAsia="Arial" w:hAnsi="Arial"/>
          <w:sz w:val="17"/>
          <w:szCs w:val="17"/>
          <w:color w:val="auto"/>
        </w:rPr>
        <w:t>) receive any proceeds from any sale, transfer or other disposition of any of the Collateral (except in accordance with this Security Agreement); (</w:t>
      </w:r>
      <w:r>
        <w:rPr>
          <w:rFonts w:ascii="Arial" w:cs="Arial" w:eastAsia="Arial" w:hAnsi="Arial"/>
          <w:sz w:val="17"/>
          <w:szCs w:val="17"/>
          <w:u w:val="single" w:color="auto"/>
          <w:color w:val="auto"/>
        </w:rPr>
        <w:t>E</w:t>
      </w:r>
      <w:r>
        <w:rPr>
          <w:rFonts w:ascii="Arial" w:cs="Arial" w:eastAsia="Arial" w:hAnsi="Arial"/>
          <w:sz w:val="17"/>
          <w:szCs w:val="17"/>
          <w:color w:val="auto"/>
        </w:rPr>
        <w:t>) oppose any sale, transfer or other disposition of the Collateral; (</w:t>
      </w:r>
      <w:r>
        <w:rPr>
          <w:rFonts w:ascii="Arial" w:cs="Arial" w:eastAsia="Arial" w:hAnsi="Arial"/>
          <w:sz w:val="17"/>
          <w:szCs w:val="17"/>
          <w:u w:val="single" w:color="auto"/>
          <w:color w:val="auto"/>
        </w:rPr>
        <w:t>F</w:t>
      </w:r>
      <w:r>
        <w:rPr>
          <w:rFonts w:ascii="Arial" w:cs="Arial" w:eastAsia="Arial" w:hAnsi="Arial"/>
          <w:sz w:val="17"/>
          <w:szCs w:val="17"/>
          <w:color w:val="auto"/>
        </w:rPr>
        <w:t>) object to any debtor-in-possession financing in any Bankruptcy which is provided by one or more Lenders among others (including on a priming basis under Section 364(d) of the Bankruptcy Code); (</w:t>
      </w:r>
      <w:r>
        <w:rPr>
          <w:rFonts w:ascii="Arial" w:cs="Arial" w:eastAsia="Arial" w:hAnsi="Arial"/>
          <w:sz w:val="17"/>
          <w:szCs w:val="17"/>
          <w:u w:val="single" w:color="auto"/>
          <w:color w:val="auto"/>
        </w:rPr>
        <w:t>G</w:t>
      </w:r>
      <w:r>
        <w:rPr>
          <w:rFonts w:ascii="Arial" w:cs="Arial" w:eastAsia="Arial" w:hAnsi="Arial"/>
          <w:sz w:val="17"/>
          <w:szCs w:val="17"/>
          <w:color w:val="auto"/>
        </w:rPr>
        <w:t>) object to the use of cash collateral in respect of the Collateral in any Bankruptcy; or (</w:t>
      </w:r>
      <w:r>
        <w:rPr>
          <w:rFonts w:ascii="Arial" w:cs="Arial" w:eastAsia="Arial" w:hAnsi="Arial"/>
          <w:sz w:val="17"/>
          <w:szCs w:val="17"/>
          <w:u w:val="single" w:color="auto"/>
          <w:color w:val="auto"/>
        </w:rPr>
        <w:t>H</w:t>
      </w:r>
      <w:r>
        <w:rPr>
          <w:rFonts w:ascii="Arial" w:cs="Arial" w:eastAsia="Arial" w:hAnsi="Arial"/>
          <w:sz w:val="17"/>
          <w:szCs w:val="17"/>
          <w:color w:val="auto"/>
        </w:rPr>
        <w:t>) seek, or object to the Lenders, the Administrative Agent or the Collateral Agent seeking on an equal and ratable basis, any adequate protection or relief from the automatic stay with respect to the Collateral in any Bankruptcy.</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70" w:right="259" w:bottom="1440" w:gutter="0" w:footer="0" w:header="0"/>
        </w:sectPr>
      </w:pPr>
    </w:p>
    <w:bookmarkStart w:id="276" w:name="page277"/>
    <w:bookmarkEnd w:id="276"/>
    <w:p>
      <w:pPr>
        <w:ind w:firstLine="443"/>
        <w:spacing w:after="0" w:line="287" w:lineRule="auto"/>
        <w:tabs>
          <w:tab w:leader="none" w:pos="703" w:val="left"/>
        </w:tabs>
        <w:numPr>
          <w:ilvl w:val="0"/>
          <w:numId w:val="3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Non-Lender Secured Party, by its acceptance of the benefits of this Security Agreement and the other Collateral Documents, agrees that in exercising rights and remedies with respect to the Collateral, the Collateral Agent and the Lenders, with the consent of the Collateral Agent, may enforce the provisions of the Collateral Documents and exercise remedies thereunder and under any other Loan Documents (or refrain from enforcing rights and exercising remedies), all in such order and in such manner as they may determine in the exercise of their sole business judgment and subject to the terms of any Intercreditor Agreement and any Other Intercreditor Agreement. Such exercise and enforcement shall include, without limitation, the rights to collect, sell, dispose of or otherwise realize upon all or any part of the Collateral, to incur expenses in connection with such collection, sale, disposition or other realization and to exercise all the rights and remedies of a secured lender under the UCC. The Non-Lender Secured Parties by their acceptance of the benefits of this Security Agreement and the other Collateral Documents hereby agree not to contest or otherwise challenge any such collection, sale, disposition or other realization of or upon all or any of the Collateral. Whether or not a Bankruptcy Case has been commenced, the Non-Lender Secured Parties shall be deemed to have consented to any sale or other disposition of any property, business or assets of Parent or any of its Subsidiaries and the release of any or all of the Collateral from the Liens of any Collateral Document in connection therewith.</w:t>
      </w:r>
    </w:p>
    <w:p>
      <w:pPr>
        <w:spacing w:after="0" w:line="64" w:lineRule="exact"/>
        <w:rPr>
          <w:rFonts w:ascii="Arial" w:cs="Arial" w:eastAsia="Arial" w:hAnsi="Arial"/>
          <w:sz w:val="16"/>
          <w:szCs w:val="16"/>
          <w:color w:val="auto"/>
        </w:rPr>
      </w:pPr>
    </w:p>
    <w:p>
      <w:pPr>
        <w:ind w:firstLine="443"/>
        <w:spacing w:after="0" w:line="291" w:lineRule="auto"/>
        <w:tabs>
          <w:tab w:leader="none" w:pos="753" w:val="left"/>
        </w:tabs>
        <w:numPr>
          <w:ilvl w:val="0"/>
          <w:numId w:val="318"/>
        </w:numPr>
        <w:rPr>
          <w:rFonts w:ascii="Arial" w:cs="Arial" w:eastAsia="Arial" w:hAnsi="Arial"/>
          <w:sz w:val="16"/>
          <w:szCs w:val="16"/>
          <w:color w:val="auto"/>
        </w:rPr>
      </w:pPr>
      <w:r>
        <w:rPr>
          <w:rFonts w:ascii="Arial" w:cs="Arial" w:eastAsia="Arial" w:hAnsi="Arial"/>
          <w:sz w:val="16"/>
          <w:szCs w:val="16"/>
          <w:color w:val="auto"/>
        </w:rPr>
        <w:t>Notwithstanding any provision of this Section 12(a), the Non-Lender Secured Parties shall be entitled, subject to any Intercreditor Agreement and any Other Intercreditor Agreement, to file any necessary responsive or defensive pleadings in opposition to any motion, claim, adversary proceeding or other pleadings (</w:t>
      </w:r>
      <w:r>
        <w:rPr>
          <w:rFonts w:ascii="Arial" w:cs="Arial" w:eastAsia="Arial" w:hAnsi="Arial"/>
          <w:sz w:val="16"/>
          <w:szCs w:val="16"/>
          <w:u w:val="single" w:color="auto"/>
          <w:color w:val="auto"/>
        </w:rPr>
        <w:t>A</w:t>
      </w:r>
      <w:r>
        <w:rPr>
          <w:rFonts w:ascii="Arial" w:cs="Arial" w:eastAsia="Arial" w:hAnsi="Arial"/>
          <w:sz w:val="16"/>
          <w:szCs w:val="16"/>
          <w:color w:val="auto"/>
        </w:rPr>
        <w:t>) in order to prevent any Person from seeking to foreclose on the Collateral or supersede the Non-Lender Secured Parties’ claim thereto or (</w:t>
      </w:r>
      <w:r>
        <w:rPr>
          <w:rFonts w:ascii="Arial" w:cs="Arial" w:eastAsia="Arial" w:hAnsi="Arial"/>
          <w:sz w:val="16"/>
          <w:szCs w:val="16"/>
          <w:u w:val="single" w:color="auto"/>
          <w:color w:val="auto"/>
        </w:rPr>
        <w:t>B</w:t>
      </w:r>
      <w:r>
        <w:rPr>
          <w:rFonts w:ascii="Arial" w:cs="Arial" w:eastAsia="Arial" w:hAnsi="Arial"/>
          <w:sz w:val="16"/>
          <w:szCs w:val="16"/>
          <w:color w:val="auto"/>
        </w:rPr>
        <w:t>) in opposition to any motion, claim, adversary proceeding or other pleading made by any Person objecting to or otherwise seeking the disallowance of the claims of the Non-Lender Secured Parties. Each Non-Lender Secured Party, by its acceptance of the benefits of this Security Agreement, agrees to be bound by and to comply with any Intercreditor Agreement and any Other Intercreditor Agreement and authorizes the Collateral Agent to enter into the Intercreditor Agreements and Other Intercreditor Agreements on its behalf.</w:t>
      </w:r>
    </w:p>
    <w:p>
      <w:pPr>
        <w:spacing w:after="0" w:line="59" w:lineRule="exact"/>
        <w:rPr>
          <w:rFonts w:ascii="Arial" w:cs="Arial" w:eastAsia="Arial" w:hAnsi="Arial"/>
          <w:sz w:val="16"/>
          <w:szCs w:val="16"/>
          <w:color w:val="auto"/>
        </w:rPr>
      </w:pPr>
    </w:p>
    <w:p>
      <w:pPr>
        <w:ind w:right="240" w:firstLine="443"/>
        <w:spacing w:after="0" w:line="259" w:lineRule="auto"/>
        <w:tabs>
          <w:tab w:leader="none" w:pos="74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Non-Lender Secured Party, by its acceptance of the benefits of this Security Agreement, agrees that the Collateral Agent and the Lenders may deal with the Collateral, including any exchange, taking or release of Collateral, may change or increase the amount of the Obligations, and may release any Grantor from its Obligations hereunder, all without any liability or obligation (except as may be otherwise expressly provided herein) to the Non-Lender Secured Parties.</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277" w:name="page278"/>
    <w:bookmarkEnd w:id="277"/>
    <w:p>
      <w:pPr>
        <w:ind w:right="20" w:firstLine="464"/>
        <w:spacing w:after="0" w:line="271" w:lineRule="auto"/>
        <w:tabs>
          <w:tab w:leader="none" w:pos="711"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Appointment of Agent</w:t>
      </w:r>
      <w:r>
        <w:rPr>
          <w:rFonts w:ascii="Arial" w:cs="Arial" w:eastAsia="Arial" w:hAnsi="Arial"/>
          <w:sz w:val="17"/>
          <w:szCs w:val="17"/>
          <w:color w:val="auto"/>
        </w:rPr>
        <w:t>. Each Non-Lender Secured Party, by its acceptance of the benefits of this Security Agreement and the other Collateral Documents, shall be deemed irrevocably to make, constitute and appoint the Collateral Agent, as agent under the Credit Agreement (and all officers, employees or agents designated by the Collateral Agent) as such Person’s true and lawful agent and attorney-in-fact, and in such capacity, the Collateral Agent shall have the right, with power of substitution for the Non-Lender Secured Parties and in each such Person’s name or otherwise, to effectuate any sale, transfer or other disposition of the Collateral. It is understood and agreed that the appointment of the Collateral Agent as the agent and attorney-in-fact of the Non-Lender Secured Parties for the purposes set forth herein is coupled with an interest and is irrevocable. It is understood and agreed that the Collateral Agent has appointed the Administrative Agent as its agent for purposes of perfecting certain of the security interests created hereunder and for otherwise carrying out certain of its obligations hereunder.</w:t>
      </w:r>
    </w:p>
    <w:p>
      <w:pPr>
        <w:spacing w:after="0" w:line="178" w:lineRule="exact"/>
        <w:rPr>
          <w:rFonts w:ascii="Arial" w:cs="Arial" w:eastAsia="Arial" w:hAnsi="Arial"/>
          <w:sz w:val="17"/>
          <w:szCs w:val="17"/>
          <w:color w:val="auto"/>
        </w:rPr>
      </w:pPr>
    </w:p>
    <w:p>
      <w:pPr>
        <w:ind w:firstLine="464"/>
        <w:spacing w:after="0" w:line="253" w:lineRule="auto"/>
        <w:tabs>
          <w:tab w:leader="none" w:pos="701"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Waiver of Claims</w:t>
      </w:r>
      <w:r>
        <w:rPr>
          <w:rFonts w:ascii="Arial" w:cs="Arial" w:eastAsia="Arial" w:hAnsi="Arial"/>
          <w:sz w:val="18"/>
          <w:szCs w:val="18"/>
          <w:color w:val="auto"/>
        </w:rPr>
        <w:t>. To the maximum extent permitted by law, each Non-Lender Secured Party waives any claim it might have against the Collateral Agent or the Lenders with respect to, or arising out of, any action or failure to act or any error of judgment, negligence, or mistake or oversight whatsoever on the part of the Collateral Agent or the Lenders or their respective directors, officers, employees or agents with respect to any exercise of rights or remedies under the Loan Documents or any transaction relating to the Collateral (including, without limitation, any such exercise described in Section 5(a)(ii)), except for any such action or failure to act that constitutes willful misconduct or gross negligence of such Person. To the maximum extent permitted by applicable law, none of the Collateral Agent or any Lender or any of their respective directors, officers, employees or agents shall be liable for failure to demand, collect or realize upon any of the Collateral or for any delay in doing so or shall be under any obligation to sell or otherwise dispose of any Collateral upon the request of Parent, any Subsidiary of Parent, any Non-Lender Secured Party or any other Person or to take any other action or forbear from doing so whatsoever with regard to the Collateral or any part thereof, except for any such action or failure to act that constitutes willful misconduct or gross negligence of such Person.</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21"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u w:val="single" w:color="auto"/>
          <w:color w:val="auto"/>
        </w:rPr>
        <w:t>No Legal Title to Collateral in Secured Party</w:t>
      </w:r>
      <w:r>
        <w:rPr>
          <w:rFonts w:ascii="Arial" w:cs="Arial" w:eastAsia="Arial" w:hAnsi="Arial"/>
          <w:sz w:val="18"/>
          <w:szCs w:val="18"/>
          <w:color w:val="auto"/>
        </w:rPr>
        <w:t>. No Secured Party shall have legal title to any part of the Collateral. No transfer, by operation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of any portion of the Loan or other right, title and interest of a Secured Party in and to the Collateral or this Security Agreement shall operate to terminate this Security Agreement or entitle any successor or transferee of such Secured Party to an accounting or to the transfer to it of legal title to any part of the Collateral.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78" w:name="page279"/>
    <w:bookmarkEnd w:id="278"/>
    <w:p>
      <w:pPr>
        <w:ind w:right="6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w:t>
      </w:r>
      <w:r>
        <w:rPr>
          <w:rFonts w:ascii="Arial" w:cs="Arial" w:eastAsia="Arial" w:hAnsi="Arial"/>
          <w:sz w:val="18"/>
          <w:szCs w:val="18"/>
          <w:u w:val="single" w:color="auto"/>
          <w:color w:val="auto"/>
        </w:rPr>
        <w:t>Sale of Collateral by Collateral Agent is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Any sale or other conveyance of any item of Collateral or any interest therein by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made pursuant to the terms of this Security Agreement, the Credit Agreement and each applicable Intercreditor Agreement and Other Intercreditor Agreement, shall bind the Secured Parties and the Grantor, and shall be effective to transfer or convey all right, title and interest of the Collateral Agent, the Grantor, and the Secured Parties in and to any such item of Collateral or any interest therein. No purchaser or other grantee shall be required to inquire as to the authorization, necessity, expediency or regularity of such sale or conveyance or as to the application of any sale or other Proceeds with respect thereto by the Collateral Agent.</w:t>
      </w:r>
    </w:p>
    <w:p>
      <w:pPr>
        <w:spacing w:after="0" w:line="188" w:lineRule="exact"/>
        <w:rPr>
          <w:sz w:val="20"/>
          <w:szCs w:val="20"/>
          <w:color w:val="auto"/>
        </w:rPr>
      </w:pPr>
    </w:p>
    <w:p>
      <w:pPr>
        <w:ind w:right="40" w:firstLine="456"/>
        <w:spacing w:after="0" w:line="347"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u w:val="single" w:color="auto"/>
          <w:color w:val="auto"/>
        </w:rPr>
        <w:t>Benefit of Security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Security Agreement, whether express or implied, shall be construed to give to any Person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the Collateral Agent and the Secured Parties any legal or equitable right, remedy or claim under or in respect of this Security Agreement.</w:t>
      </w:r>
    </w:p>
    <w:p>
      <w:pPr>
        <w:spacing w:after="0" w:line="11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to be given under this Security Agreement shall be in conformance with and subject to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10.01 of the Credit Agreement. All such notices shall be delivered to the respective addresses for the Grantor and the Collateral Agent set forth in the Credit Agreement.</w:t>
      </w:r>
    </w:p>
    <w:p>
      <w:pPr>
        <w:spacing w:after="0" w:line="17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u w:val="single" w:color="auto"/>
          <w:color w:val="auto"/>
        </w:rPr>
        <w:t>Waiver;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Security Agreement may not be amended, modified or waived except with the written consent of the Grantor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Agent (acting pursuant to and in accordance with the terms of the Credit Agreement). Any amendment, modification or supplement of or to any provision of this Security Agreement, any termination or waiver of any provision of this Security Agreement and any consent to any departure by the Grantor from the terms of any provision of this Security Agreement shall be effective only in the specific instance and for the specific purpose for which made or given. For the avoidance of doubt, it is understood and agreed that any amendment, amendment and restatement, waiver, supplement or other modification of or to any Intercreditor Agreement or any Other Intercreditor Agreement that would have the effect, directly or indirectly, through any reference herein to any Intercreditor Agreement or any Other Intercreditor Agreement or otherwise, of waiving, amending, supplementing or otherwise modifying this Security Agreement, or any term or provision hereof, or any right or obligation of any Grantor hereunder or in respect hereof, shall not be given such effect except pursuant to a written instrument executed by such Grantor and the Collateral Agent in accordance with this Section 6.5.</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 </w:t>
      </w:r>
      <w:r>
        <w:rPr>
          <w:rFonts w:ascii="Arial" w:cs="Arial" w:eastAsia="Arial" w:hAnsi="Arial"/>
          <w:sz w:val="16"/>
          <w:szCs w:val="16"/>
          <w:u w:val="single" w:color="auto"/>
          <w:color w:val="auto"/>
        </w:rPr>
        <w:t>Obligations Absolute.</w:t>
      </w:r>
      <w:r>
        <w:rPr>
          <w:rFonts w:ascii="Arial" w:cs="Arial" w:eastAsia="Arial" w:hAnsi="Arial"/>
          <w:sz w:val="16"/>
          <w:szCs w:val="16"/>
          <w:b w:val="1"/>
          <w:bCs w:val="1"/>
          <w:color w:val="auto"/>
        </w:rPr>
        <w:t xml:space="preserve"> </w:t>
      </w:r>
      <w:r>
        <w:rPr>
          <w:rFonts w:ascii="Arial" w:cs="Arial" w:eastAsia="Arial" w:hAnsi="Arial"/>
          <w:sz w:val="16"/>
          <w:szCs w:val="16"/>
          <w:color w:val="auto"/>
        </w:rPr>
        <w:t>The obligations of the Grantor hereunder shall remain in full force and effect without regard to, and shall not be impaired by,</w:t>
      </w:r>
    </w:p>
    <w:p>
      <w:pPr>
        <w:spacing w:after="0" w:line="50" w:lineRule="exact"/>
        <w:rPr>
          <w:sz w:val="20"/>
          <w:szCs w:val="20"/>
          <w:color w:val="auto"/>
        </w:rPr>
      </w:pPr>
    </w:p>
    <w:p>
      <w:pPr>
        <w:ind w:right="300" w:firstLine="8"/>
        <w:spacing w:after="0" w:line="255" w:lineRule="auto"/>
        <w:tabs>
          <w:tab w:leader="none" w:pos="24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exercise or non-exercise, or any waiver of, any right, remedy, power or privilege under or in respect of this Security Agreement or any other Loan Document, except as specifically set forth in a waiver granted in accordance with Section 6.5; or (b) any amendment to or modification of any Loan Document or any security for any of the Obligations, whether</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0" w:right="299" w:bottom="1440" w:gutter="0" w:footer="0" w:header="0"/>
        </w:sectPr>
      </w:pPr>
    </w:p>
    <w:bookmarkStart w:id="279" w:name="page280"/>
    <w:bookmarkEnd w:id="279"/>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not the Grantor shall have notice or knowledge of any of the foregoing, except as specifically set forth in an amendment or modification executed in accordance with Section 6.5.</w:t>
      </w:r>
    </w:p>
    <w:p>
      <w:pPr>
        <w:spacing w:after="0" w:line="166"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 xml:space="preserve">G. </w:t>
      </w:r>
      <w:r>
        <w:rPr>
          <w:rFonts w:ascii="Arial" w:cs="Arial" w:eastAsia="Arial" w:hAnsi="Arial"/>
          <w:sz w:val="17"/>
          <w:szCs w:val="17"/>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Security Agreement shall be binding upon the Grantor and its successors and assigns and shall inure to the benefit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Collateral Agent and each Secured Party and their respective successors and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Grantor may not transfer or assign any or all of its rights or obligations hereunder without the prior written consent of the Collateral Agent. All agreements, statements, representations and warranties made by the Grantor herein or in any certificate or other instrument delivered by the Grantor or on its behalf under this Security Agreement shall be considered to have been relied upon by the Secured Parties and shall survive the execution and delivery of this Security Agreement and the other Loan Documents regardless of any investigation made by the Secured Parties or on their behalf.</w:t>
      </w:r>
    </w:p>
    <w:p>
      <w:pPr>
        <w:spacing w:after="0" w:line="174"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H. </w:t>
      </w:r>
      <w:r>
        <w:rPr>
          <w:rFonts w:ascii="Arial" w:cs="Arial" w:eastAsia="Arial" w:hAnsi="Arial"/>
          <w:sz w:val="18"/>
          <w:szCs w:val="18"/>
          <w:u w:val="single" w:color="auto"/>
          <w:color w:val="auto"/>
        </w:rPr>
        <w:t>Headings Descriptive</w:t>
      </w:r>
      <w:r>
        <w:rPr>
          <w:rFonts w:ascii="Arial" w:cs="Arial" w:eastAsia="Arial" w:hAnsi="Arial"/>
          <w:sz w:val="18"/>
          <w:szCs w:val="18"/>
          <w:color w:val="auto"/>
        </w:rPr>
        <w:t>. The headings of the several sections of this Security Agreement are inserted for convenience only and shall not in any way</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meaning or construction of any provision of this Security Agreement.</w:t>
      </w:r>
    </w:p>
    <w:p>
      <w:pPr>
        <w:spacing w:after="0" w:line="162"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Security Agreement which is prohibited or unenforceable in any jurisdiction to such jurisdiction, be ineffective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J. </w:t>
      </w:r>
      <w:r>
        <w:rPr>
          <w:rFonts w:ascii="Arial" w:cs="Arial" w:eastAsia="Arial" w:hAnsi="Arial"/>
          <w:sz w:val="18"/>
          <w:szCs w:val="18"/>
          <w:u w:val="single" w:color="auto"/>
          <w:color w:val="auto"/>
        </w:rPr>
        <w:t>Governing Law; Submission to Jurisdiction; Service of Process; Waiver of Jury Trial</w:t>
      </w:r>
      <w:r>
        <w:rPr>
          <w:rFonts w:ascii="Arial" w:cs="Arial" w:eastAsia="Arial" w:hAnsi="Arial"/>
          <w:sz w:val="18"/>
          <w:szCs w:val="18"/>
          <w:color w:val="auto"/>
        </w:rPr>
        <w:t>. THIS SECURITY AGREEMENT AND THE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THE PARTIES UNDER THIS SECURITY AGREEMENT SHALL BE GOVERNED BY, AND CONSTRUED AND INTERPRETED IN ACCORDANCE WITH, THE LAWS OF THE STATE OF NEW YORK. THE PROVISIONS OF SECTIONS 10.05 AND 10.15 OF THE CREDIT AGREEMENT ARE INCORPORATED HEREIN MUTATIS MUTANDIS, AS IF FULLY SET FORTH HEREIN.</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K. </w:t>
      </w:r>
      <w:r>
        <w:rPr>
          <w:rFonts w:ascii="Arial" w:cs="Arial" w:eastAsia="Arial" w:hAnsi="Arial"/>
          <w:sz w:val="18"/>
          <w:szCs w:val="18"/>
          <w:u w:val="single" w:color="auto"/>
          <w:color w:val="auto"/>
        </w:rPr>
        <w:t>Grantor’s Duties</w:t>
      </w:r>
      <w:r>
        <w:rPr>
          <w:rFonts w:ascii="Arial" w:cs="Arial" w:eastAsia="Arial" w:hAnsi="Arial"/>
          <w:sz w:val="18"/>
          <w:szCs w:val="18"/>
          <w:color w:val="auto"/>
        </w:rPr>
        <w:t>. It is expressly agreed, anything herein contained to the contrary notwithstanding, that the Grantor shall remain liable to perform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obligations, if any, assumed by it with respect to the Collateral and the Collateral Agent shall not have any obligations or liabilities with respect to any Collateral by reason of or arising out of this Security Agreement, nor shall the Collateral Agent be required or obligated in any manner to perform or fulfill any of the obligations of the Grantor under or with respect to any Collateral.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 </w:t>
      </w:r>
      <w:r>
        <w:rPr>
          <w:rFonts w:ascii="Arial" w:cs="Arial" w:eastAsia="Arial" w:hAnsi="Arial"/>
          <w:sz w:val="18"/>
          <w:szCs w:val="18"/>
          <w:u w:val="single" w:color="auto"/>
          <w:color w:val="auto"/>
        </w:rPr>
        <w:t>Termination; Release</w:t>
      </w:r>
    </w:p>
    <w:p>
      <w:pPr>
        <w:spacing w:after="0" w:line="121" w:lineRule="exact"/>
        <w:rPr>
          <w:sz w:val="20"/>
          <w:szCs w:val="20"/>
          <w:color w:val="auto"/>
        </w:rPr>
      </w:pPr>
    </w:p>
    <w:p>
      <w:pPr>
        <w:ind w:left="460" w:firstLine="421"/>
        <w:spacing w:after="0" w:line="270" w:lineRule="auto"/>
        <w:tabs>
          <w:tab w:leader="none" w:pos="1060" w:val="left"/>
        </w:tabs>
        <w:numPr>
          <w:ilvl w:val="0"/>
          <w:numId w:val="321"/>
        </w:numPr>
        <w:rPr>
          <w:rFonts w:ascii="Arial" w:cs="Arial" w:eastAsia="Arial" w:hAnsi="Arial"/>
          <w:sz w:val="17"/>
          <w:szCs w:val="17"/>
          <w:b w:val="1"/>
          <w:bCs w:val="1"/>
          <w:color w:val="auto"/>
        </w:rPr>
      </w:pPr>
      <w:r>
        <w:rPr>
          <w:rFonts w:ascii="Arial" w:cs="Arial" w:eastAsia="Arial" w:hAnsi="Arial"/>
          <w:sz w:val="17"/>
          <w:szCs w:val="17"/>
          <w:color w:val="auto"/>
        </w:rPr>
        <w:t>At such time as the Obligations (other than any contingent indemnification Obligations for which no demand has been made and any Obligations owing to a Non-Lender Secured Party) then due and owing shall have been paid in full, the Commitments under the Credit Agreement have been terminated and no Letters of Credit shall be outstanding (except for Letters of Credit that have been cash collateralized or otherwise provided for in a manner reasonably satisfactory to the Administrative Agent), all Collateral shall be automatically released from the Liens created hereby, and this Security Agreement and all obligations (other than those expressly stated to survive such termination) of the Collateral Agent and each Grantor shall automatically terminate, all without delivery of any instrument or performance of any act by any party, and all rights to the Collateral shall revert to the applicable Grantor. At the request and sole expense of any Grantor following any such termination, the Collateral Agent shall promptly execute, acknowledge and deliver to such Grantor such releases, instruments or other documents (including without limitation UCC termination statements), and do or cause to be done all other acts, as such Grantor shall reasonably request to evidence such termination.</w:t>
      </w:r>
    </w:p>
    <w:p>
      <w:pPr>
        <w:spacing w:after="0" w:line="69" w:lineRule="exact"/>
        <w:rPr>
          <w:rFonts w:ascii="Arial" w:cs="Arial" w:eastAsia="Arial" w:hAnsi="Arial"/>
          <w:sz w:val="17"/>
          <w:szCs w:val="17"/>
          <w:b w:val="1"/>
          <w:bCs w:val="1"/>
          <w:color w:val="auto"/>
        </w:rPr>
      </w:pPr>
    </w:p>
    <w:p>
      <w:pPr>
        <w:ind w:left="460" w:firstLine="421"/>
        <w:spacing w:after="0" w:line="269" w:lineRule="auto"/>
        <w:tabs>
          <w:tab w:leader="none" w:pos="1060" w:val="left"/>
        </w:tabs>
        <w:numPr>
          <w:ilvl w:val="0"/>
          <w:numId w:val="321"/>
        </w:numPr>
        <w:rPr>
          <w:rFonts w:ascii="Arial" w:cs="Arial" w:eastAsia="Arial" w:hAnsi="Arial"/>
          <w:sz w:val="17"/>
          <w:szCs w:val="17"/>
          <w:b w:val="1"/>
          <w:bCs w:val="1"/>
          <w:color w:val="auto"/>
        </w:rPr>
      </w:pPr>
      <w:r>
        <w:rPr>
          <w:rFonts w:ascii="Arial" w:cs="Arial" w:eastAsia="Arial" w:hAnsi="Arial"/>
          <w:sz w:val="17"/>
          <w:szCs w:val="17"/>
          <w:color w:val="auto"/>
        </w:rPr>
        <w:t>Upon any Permitted Disposition of Collateral (whether by way of the sale of assets or the sale of Capital Stock of a Grantor of Collateral) of the type described in items (1), (2) (provided the requirements set forth in the first proviso to such section are satisfied), (4) and (5) of the definition of “Permitted Disposition” or any other type of Permitted Disposition involving divestiture of any Grantor’s title to the related Collateral under the Credit Agreement, the Lien pursuant to this Security Agreement on such sold or disposed of Collateral shall be automatically released. In connection with any other Disposition of Collateral not covered by the preceding sentence (whether by way of the sale of assets or the sale of Capital Stock of a Grantor of such Collateral) permitted under the Credit Agreement, the Collateral Agent shall, upon receipt from such Grantor of a written request for the release of the Collateral subject to such sale or other disposition (or in the case of a sale of Capital Stock of such Grantor, the release of such Grantor’s Collateral), at such Grantor’s sole cost and expense, promptly execute, acknowledge and deliver to such Grantor such releases, instruments or other documents (including without limitation UCC termination statements), and do or cause to be done all other acts, as such Grantor shall reasonably request to evidence or effect the release of the Liens created hereby (if any) on such Collateral.</w:t>
      </w:r>
    </w:p>
    <w:p>
      <w:pPr>
        <w:spacing w:after="0" w:line="74" w:lineRule="exact"/>
        <w:rPr>
          <w:rFonts w:ascii="Arial" w:cs="Arial" w:eastAsia="Arial" w:hAnsi="Arial"/>
          <w:sz w:val="17"/>
          <w:szCs w:val="17"/>
          <w:b w:val="1"/>
          <w:bCs w:val="1"/>
          <w:color w:val="auto"/>
        </w:rPr>
      </w:pPr>
    </w:p>
    <w:p>
      <w:pPr>
        <w:ind w:left="460" w:right="120" w:firstLine="421"/>
        <w:spacing w:after="0" w:line="259" w:lineRule="auto"/>
        <w:tabs>
          <w:tab w:leader="none" w:pos="1060"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 xml:space="preserve">If the Borrower or any other Grantor requests release documentation with respect to any Collateral released as provided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including UCC termination statements or other release-related documentation, the Borrower or other Grantor requesting such documentation shall deliver to the Collateral Agent an Officer’s Certificate stating that the release of such Grantor’s respective Collateral that is to be evidenced by such UCC</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0" w:right="259" w:bottom="1440" w:gutter="0" w:footer="0" w:header="0"/>
        </w:sectPr>
      </w:pPr>
    </w:p>
    <w:bookmarkStart w:id="281" w:name="page282"/>
    <w:bookmarkEnd w:id="281"/>
    <w:p>
      <w:pPr>
        <w:ind w:left="9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statements or other instruments is permitted pursuant to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the relevant provisions of the Credit Agreement (provided that an Officer’s Certificate delivered to the Administrative Agent pursuant to Section 6.09(c) of the Credit Agreement shall be deemed to satisfy the requirements of this clause (g)). The Collateral Agent shall have no liability whatsoever to any Secured Party as the result of any release of Collateral by it as permitted by this Section 6.12.</w:t>
      </w:r>
    </w:p>
    <w:p>
      <w:pPr>
        <w:spacing w:after="0" w:line="79" w:lineRule="exact"/>
        <w:rPr>
          <w:sz w:val="20"/>
          <w:szCs w:val="20"/>
          <w:color w:val="auto"/>
        </w:rPr>
      </w:pPr>
    </w:p>
    <w:p>
      <w:pPr>
        <w:jc w:val="both"/>
        <w:ind w:left="900" w:right="80" w:firstLine="421"/>
        <w:spacing w:after="0" w:line="312" w:lineRule="auto"/>
        <w:tabs>
          <w:tab w:leader="none" w:pos="1500" w:val="left"/>
        </w:tabs>
        <w:numPr>
          <w:ilvl w:val="1"/>
          <w:numId w:val="322"/>
        </w:numPr>
        <w:rPr>
          <w:rFonts w:ascii="Arial" w:cs="Arial" w:eastAsia="Arial" w:hAnsi="Arial"/>
          <w:sz w:val="16"/>
          <w:szCs w:val="16"/>
          <w:b w:val="1"/>
          <w:bCs w:val="1"/>
          <w:color w:val="auto"/>
        </w:rPr>
      </w:pPr>
      <w:r>
        <w:rPr>
          <w:rFonts w:ascii="Arial" w:cs="Arial" w:eastAsia="Arial" w:hAnsi="Arial"/>
          <w:sz w:val="16"/>
          <w:szCs w:val="16"/>
          <w:color w:val="auto"/>
        </w:rPr>
        <w:t>Anything to the contrary contained in this Security Agreement or any Security Agreement Supplement notwithstanding, the Lien of this Security Agreement shall automatically be released without necessity of any further action by any Person with respect to any Pledged Spare Part upon such Pledged Spare Part being incorporated in, installed on, attached or made appurtenant to, or used in any aircraft, engine or propeller.</w:t>
      </w:r>
    </w:p>
    <w:p>
      <w:pPr>
        <w:spacing w:after="0" w:line="38" w:lineRule="exact"/>
        <w:rPr>
          <w:rFonts w:ascii="Arial" w:cs="Arial" w:eastAsia="Arial" w:hAnsi="Arial"/>
          <w:sz w:val="16"/>
          <w:szCs w:val="16"/>
          <w:b w:val="1"/>
          <w:bCs w:val="1"/>
          <w:color w:val="auto"/>
        </w:rPr>
      </w:pPr>
    </w:p>
    <w:p>
      <w:pPr>
        <w:ind w:left="900" w:right="20" w:firstLine="421"/>
        <w:spacing w:after="0" w:line="259" w:lineRule="auto"/>
        <w:tabs>
          <w:tab w:leader="none" w:pos="1500"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The Liens on any Account Collateral that is withdrawn from any Account (in each case, in compliance with the Credit Agreement) prior to receipt of a Notice of Exclusive Control (as defined in the applicable Account Control Agreement) by the Securities Intermediary or after receipt of a Rescission Notice (as defined in the Account Control Agreement) by the Securities Intermediary shall be automatically released upon such withdrawal.</w:t>
      </w:r>
    </w:p>
    <w:p>
      <w:pPr>
        <w:spacing w:after="0" w:line="186" w:lineRule="exact"/>
        <w:rPr>
          <w:rFonts w:ascii="Arial" w:cs="Arial" w:eastAsia="Arial" w:hAnsi="Arial"/>
          <w:sz w:val="18"/>
          <w:szCs w:val="18"/>
          <w:b w:val="1"/>
          <w:bCs w:val="1"/>
          <w:color w:val="auto"/>
        </w:rPr>
      </w:pPr>
    </w:p>
    <w:p>
      <w:pPr>
        <w:ind w:left="-20" w:right="120" w:firstLine="464"/>
        <w:spacing w:after="0" w:line="257" w:lineRule="auto"/>
        <w:tabs>
          <w:tab w:leader="none" w:pos="696" w:val="left"/>
        </w:tabs>
        <w:numPr>
          <w:ilvl w:val="0"/>
          <w:numId w:val="323"/>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Security Agreement may be executed in any number of counterparts, each of which counterparts, when so executed and delivered, shall be deemed to be an original, and all of which counterparts, taken together, shall constitute one and the same Security Agreement. A set of the counterparts executed by all the parties hereto shall be lodged with the Grantor and the Collateral Agent. Delivery of an executed counterpart of a signature page of this Security Agreement by facsimile or electronic .pdf copy shall be effective as delivery of a manually executed counterpart of this Security Agreement.</w:t>
      </w:r>
    </w:p>
    <w:p>
      <w:pPr>
        <w:spacing w:after="0" w:line="188" w:lineRule="exact"/>
        <w:rPr>
          <w:rFonts w:ascii="Arial" w:cs="Arial" w:eastAsia="Arial" w:hAnsi="Arial"/>
          <w:sz w:val="18"/>
          <w:szCs w:val="18"/>
          <w:b w:val="1"/>
          <w:bCs w:val="1"/>
          <w:color w:val="auto"/>
        </w:rPr>
      </w:pPr>
    </w:p>
    <w:p>
      <w:pPr>
        <w:ind w:left="-20" w:right="60" w:firstLine="464"/>
        <w:spacing w:after="0" w:line="259" w:lineRule="auto"/>
        <w:tabs>
          <w:tab w:leader="none" w:pos="656" w:val="left"/>
        </w:tabs>
        <w:numPr>
          <w:ilvl w:val="0"/>
          <w:numId w:val="323"/>
        </w:numPr>
        <w:rPr>
          <w:rFonts w:ascii="Arial" w:cs="Arial" w:eastAsia="Arial" w:hAnsi="Arial"/>
          <w:sz w:val="18"/>
          <w:szCs w:val="18"/>
          <w:b w:val="1"/>
          <w:bCs w:val="1"/>
          <w:color w:val="auto"/>
        </w:rPr>
      </w:pPr>
      <w:r>
        <w:rPr>
          <w:rFonts w:ascii="Arial" w:cs="Arial" w:eastAsia="Arial" w:hAnsi="Arial"/>
          <w:sz w:val="18"/>
          <w:szCs w:val="18"/>
          <w:u w:val="single" w:color="auto"/>
          <w:color w:val="auto"/>
        </w:rPr>
        <w:t>The Collateral Agent</w:t>
      </w:r>
      <w:r>
        <w:rPr>
          <w:rFonts w:ascii="Arial" w:cs="Arial" w:eastAsia="Arial" w:hAnsi="Arial"/>
          <w:sz w:val="18"/>
          <w:szCs w:val="18"/>
          <w:color w:val="auto"/>
        </w:rPr>
        <w:t>. It is expressly understood and agreed by the parties hereto, and each Secured Party, by accepting the benefits of this Agreement, acknowledges and agrees, that the obligations of the Collateral Agent as holder of the Collateral and interests therein and with respect to the disposition thereof, and otherwise under this Agreement, are only those expressly set forth in this Agreement. The Collateral Agent shall act hereunder on the terms and conditions set forth in the Credit Agreement.</w:t>
      </w:r>
    </w:p>
    <w:p>
      <w:pPr>
        <w:spacing w:after="0" w:line="186" w:lineRule="exact"/>
        <w:rPr>
          <w:rFonts w:ascii="Arial" w:cs="Arial" w:eastAsia="Arial" w:hAnsi="Arial"/>
          <w:sz w:val="18"/>
          <w:szCs w:val="18"/>
          <w:b w:val="1"/>
          <w:bCs w:val="1"/>
          <w:color w:val="auto"/>
        </w:rPr>
      </w:pPr>
    </w:p>
    <w:p>
      <w:pPr>
        <w:ind w:left="-20" w:right="40" w:firstLine="464"/>
        <w:spacing w:after="0" w:line="257" w:lineRule="auto"/>
        <w:tabs>
          <w:tab w:leader="none" w:pos="666" w:val="left"/>
        </w:tabs>
        <w:numPr>
          <w:ilvl w:val="0"/>
          <w:numId w:val="323"/>
        </w:numPr>
        <w:rPr>
          <w:rFonts w:ascii="Arial" w:cs="Arial" w:eastAsia="Arial" w:hAnsi="Arial"/>
          <w:sz w:val="18"/>
          <w:szCs w:val="18"/>
          <w:b w:val="1"/>
          <w:bCs w:val="1"/>
          <w:color w:val="auto"/>
        </w:rPr>
      </w:pPr>
      <w:r>
        <w:rPr>
          <w:rFonts w:ascii="Arial" w:cs="Arial" w:eastAsia="Arial" w:hAnsi="Arial"/>
          <w:sz w:val="18"/>
          <w:szCs w:val="18"/>
          <w:u w:val="single" w:color="auto"/>
          <w:color w:val="auto"/>
        </w:rPr>
        <w:t>Conflicts with Other Loan Documents</w:t>
      </w:r>
      <w:r>
        <w:rPr>
          <w:rFonts w:ascii="Arial" w:cs="Arial" w:eastAsia="Arial" w:hAnsi="Arial"/>
          <w:sz w:val="18"/>
          <w:szCs w:val="18"/>
          <w:color w:val="auto"/>
        </w:rPr>
        <w:t xml:space="preserve">. Unless otherwise expressly provided in this Security Agreement (including Section 6.14), if any provision contained in this Security Agreement conflicts with any provision of any other Loan Document, the provision contained in this Security Agreement shall govern and control, except to the extent of a conflict with the Credit Agreement, in which case the Credit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the Collateral Agent or the Lenders in any other Loan Document shall not be deemed a conflict with this Security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60" w:top="274" w:right="239" w:bottom="1440" w:gutter="0" w:footer="0" w:header="0"/>
        </w:sectPr>
      </w:pPr>
    </w:p>
    <w:bookmarkStart w:id="282" w:name="page283"/>
    <w:bookmarkEnd w:id="282"/>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PAGES TO FOLLOW]</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19"/>
          </w:cols>
          <w:pgMar w:left="1440" w:top="274" w:right="1440" w:bottom="1440" w:gutter="0" w:footer="0" w:header="0"/>
          <w:type w:val="continuous"/>
        </w:sectPr>
      </w:pPr>
    </w:p>
    <w:bookmarkStart w:id="283" w:name="page284"/>
    <w:bookmarkEnd w:id="28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Security Agreement to be duly executed by their respective officers, as the case may be, there unto duly authorized, as of the day and year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GRANTOR: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Spare Parts Security Agreement]</w:t>
      </w:r>
    </w:p>
    <w:p>
      <w:pPr>
        <w:sectPr>
          <w:pgSz w:w="11900" w:h="16838" w:orient="portrait"/>
          <w:cols w:equalWidth="0" w:num="1">
            <w:col w:w="11320"/>
          </w:cols>
          <w:pgMar w:left="240" w:top="274" w:right="3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[Signature page to Spare Parts Security Agreement]</w:t>
      </w:r>
    </w:p>
    <w:p>
      <w:pPr>
        <w:sectPr>
          <w:pgSz w:w="11900" w:h="16838" w:orient="portrait"/>
          <w:cols w:equalWidth="0" w:num="1">
            <w:col w:w="10219"/>
          </w:cols>
          <w:pgMar w:left="240" w:top="274" w:right="1440" w:bottom="1440" w:gutter="0" w:footer="0" w:header="0"/>
        </w:sectPr>
      </w:pPr>
    </w:p>
    <w:bookmarkStart w:id="285" w:name="page286"/>
    <w:bookmarkEnd w:id="28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DEFINITIONS RELATING TO THE SPARE PARTS SECURITY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shall have the meaning given to such term in the fifth recital of this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Collateral</w:t>
      </w:r>
      <w:r>
        <w:rPr>
          <w:rFonts w:ascii="Arial" w:cs="Arial" w:eastAsia="Arial" w:hAnsi="Arial"/>
          <w:sz w:val="18"/>
          <w:szCs w:val="18"/>
          <w:color w:val="auto"/>
        </w:rPr>
        <w:t>” shall have the meaning set forth in Section 2.1(c).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Agent</w:t>
      </w:r>
      <w:r>
        <w:rPr>
          <w:rFonts w:ascii="Arial" w:cs="Arial" w:eastAsia="Arial" w:hAnsi="Arial"/>
          <w:sz w:val="18"/>
          <w:szCs w:val="18"/>
          <w:color w:val="auto"/>
        </w:rPr>
        <w:t>” shall have the meaning specified in the Intercreditor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Collateral Documents</w:t>
      </w:r>
      <w:r>
        <w:rPr>
          <w:rFonts w:ascii="Arial" w:cs="Arial" w:eastAsia="Arial" w:hAnsi="Arial"/>
          <w:sz w:val="18"/>
          <w:szCs w:val="18"/>
          <w:color w:val="auto"/>
        </w:rPr>
        <w:t>” shall have the meaning provided in the Intercreditor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Credit Facility Secured Parties</w:t>
      </w:r>
      <w:r>
        <w:rPr>
          <w:rFonts w:ascii="Arial" w:cs="Arial" w:eastAsia="Arial" w:hAnsi="Arial"/>
          <w:sz w:val="18"/>
          <w:szCs w:val="18"/>
          <w:color w:val="auto"/>
        </w:rPr>
        <w:t>” shall have the meaning provided in the Intercreditor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Obligations</w:t>
      </w:r>
      <w:r>
        <w:rPr>
          <w:rFonts w:ascii="Arial" w:cs="Arial" w:eastAsia="Arial" w:hAnsi="Arial"/>
          <w:sz w:val="18"/>
          <w:szCs w:val="18"/>
          <w:color w:val="auto"/>
        </w:rPr>
        <w:t>” shall have the meaning provided in the Intercreditor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given such term in the preamble to this Security Agreement.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Certificated Air Carrier</w:t>
      </w:r>
      <w:r>
        <w:rPr>
          <w:rFonts w:ascii="Arial" w:cs="Arial" w:eastAsia="Arial" w:hAnsi="Arial"/>
          <w:sz w:val="18"/>
          <w:szCs w:val="18"/>
          <w:color w:val="auto"/>
        </w:rPr>
        <w:t>” means a Citizen of the United States holding an air carrier operating certificate issued pursuant to Chapter 447 of Title 49 and a Certificate of Public Convenience and Necessity or a Commuter Air Carrier Authorization issued pursuant to Title 49 (including, without limitation Chapter 441 thereof) or any analogous successor provisions of the United States Code, for aircraft capable of carrying ten or more individuals or 6,000 pounds or more of cargo or that otherwise is certified or registered to the extent required to fall within the purview of Section 1110 of the Bankruptcy Code or any analogous successor provision of the Bankruptcy Code.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Citizen of the United States</w:t>
      </w:r>
      <w:r>
        <w:rPr>
          <w:rFonts w:ascii="Arial" w:cs="Arial" w:eastAsia="Arial" w:hAnsi="Arial"/>
          <w:sz w:val="18"/>
          <w:szCs w:val="18"/>
          <w:color w:val="auto"/>
        </w:rPr>
        <w:t>” has the meaning given to such term in Section 40102(a)(15) of Title 49, as interpreted by the United States Department of Transportation, or any subsequent legislation that amends, supplements or supersedes such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given to such term in Section 2.1 of this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given such term in the preamble to this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specified in the second recital of this Security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60"/>
          </w:cols>
          <w:pgMar w:left="240" w:top="270" w:right="39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Discharge of Additional Obligations</w:t>
      </w:r>
      <w:r>
        <w:rPr>
          <w:rFonts w:ascii="Arial" w:cs="Arial" w:eastAsia="Arial" w:hAnsi="Arial"/>
          <w:sz w:val="18"/>
          <w:szCs w:val="18"/>
          <w:color w:val="auto"/>
        </w:rPr>
        <w:t>” shall have the meaning provided in the Intercreditor Agreement.</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Loss</w:t>
      </w:r>
      <w:r>
        <w:rPr>
          <w:rFonts w:ascii="Arial" w:cs="Arial" w:eastAsia="Arial" w:hAnsi="Arial"/>
          <w:sz w:val="16"/>
          <w:szCs w:val="16"/>
          <w:color w:val="auto"/>
        </w:rPr>
        <w:t>” means, with respect to any Pledged Spare Part, any of the following events with respect to such property: (i) the loss of such property or of the use thereof due to the destruction of or damage to such property which renders repair uneconomic or which renders such property permanently unfit for normal use by the Grantor for any reason whatsoever; (ii) any damage to such property which results in an insurance settlement with respect to such property on the basis of a total loss or a constructive or compromised total loss; (iii) the theft or disappearance of such property for a period of 10 consecutive days; or</w:t>
      </w:r>
    </w:p>
    <w:p>
      <w:pPr>
        <w:spacing w:after="0" w:line="2" w:lineRule="exact"/>
        <w:rPr>
          <w:sz w:val="20"/>
          <w:szCs w:val="20"/>
          <w:color w:val="auto"/>
        </w:rPr>
      </w:pPr>
    </w:p>
    <w:p>
      <w:pPr>
        <w:ind w:right="460" w:firstLine="8"/>
        <w:spacing w:after="0" w:line="277" w:lineRule="auto"/>
        <w:tabs>
          <w:tab w:leader="none" w:pos="305"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confiscation, condemnation or seizure of, or requisition of, title to, or use of, such property by any governmental or purported Governmental Authority, which in the case of any event referred to in this clause (iv), shall have resulted in the loss of possession of such property by the Grantor for a period in excess of 75 consecutive days or shall have resulted in the loss of title of such property by the Grantor.</w:t>
      </w:r>
    </w:p>
    <w:p>
      <w:pPr>
        <w:spacing w:after="0" w:line="1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Spare Parts</w:t>
      </w:r>
      <w:r>
        <w:rPr>
          <w:rFonts w:ascii="Arial" w:cs="Arial" w:eastAsia="Arial" w:hAnsi="Arial"/>
          <w:sz w:val="17"/>
          <w:szCs w:val="17"/>
          <w:color w:val="auto"/>
        </w:rPr>
        <w:t>” means Pledged Spare Parts (i) that have been transferred to the manufacturer thereof or any service provider for testing, overhaul, repairs, maintenance, servicing, alterations or modification purposes except to the extent such manufacturer or service provided is holding such Pledged Spare Parts at a Spare Parts Location or (ii) maintained at other locations pursuant to the first sentence of Section 3.5(b).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Expendable Parts</w:t>
      </w:r>
      <w:r>
        <w:rPr>
          <w:rFonts w:ascii="Arial" w:cs="Arial" w:eastAsia="Arial" w:hAnsi="Arial"/>
          <w:sz w:val="18"/>
          <w:szCs w:val="18"/>
          <w:color w:val="auto"/>
        </w:rPr>
        <w:t>” means those Spare Parts that, once used, cannot be re-used, and if not serviceable, cannot be overhauled or repaired.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Aviation Act</w:t>
      </w:r>
      <w:r>
        <w:rPr>
          <w:rFonts w:ascii="Arial" w:cs="Arial" w:eastAsia="Arial" w:hAnsi="Arial"/>
          <w:sz w:val="18"/>
          <w:szCs w:val="18"/>
          <w:color w:val="auto"/>
        </w:rPr>
        <w:t>” means that portion of Title 49 of the United States Code comprising those provisions formerly referred to as the Federal Aviation Act of 1958, as amended, or any subsequent legislation that amends, supplements or supersedes such provisions.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Aviation Administration</w:t>
      </w:r>
      <w:r>
        <w:rPr>
          <w:rFonts w:ascii="Arial" w:cs="Arial" w:eastAsia="Arial" w:hAnsi="Arial"/>
          <w:sz w:val="18"/>
          <w:szCs w:val="18"/>
          <w:color w:val="auto"/>
        </w:rPr>
        <w:t>” and “</w:t>
      </w:r>
      <w:r>
        <w:rPr>
          <w:rFonts w:ascii="Arial" w:cs="Arial" w:eastAsia="Arial" w:hAnsi="Arial"/>
          <w:sz w:val="18"/>
          <w:szCs w:val="18"/>
          <w:u w:val="single" w:color="auto"/>
          <w:color w:val="auto"/>
        </w:rPr>
        <w:t>FAA</w:t>
      </w:r>
      <w:r>
        <w:rPr>
          <w:rFonts w:ascii="Arial" w:cs="Arial" w:eastAsia="Arial" w:hAnsi="Arial"/>
          <w:sz w:val="18"/>
          <w:szCs w:val="18"/>
          <w:color w:val="auto"/>
        </w:rPr>
        <w:t>” means the Federal Aviation Administration of the United States of America, and any successor Governmental Authority.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subject to the limitations on the application thereof set forth in Section 1.3 of the Credit Agreement, generally accepted accounting principles in the United States, as in effect from time to time as set forth in opinions and pronouncements of the Accounting Principles Board of the American Institute of Certified Public Accountants and statements and pronouncements of FASB approved by a significant segment of the accounting profession in the United States.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agency, authority, instrumentality, regulatory body, court, central bank or other entity exercising executive, legislative, judicial, taxing, regulatory or administrative powers or functions of or pertaining to government.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Grantor</w:t>
      </w:r>
      <w:r>
        <w:rPr>
          <w:rFonts w:ascii="Arial" w:cs="Arial" w:eastAsia="Arial" w:hAnsi="Arial"/>
          <w:sz w:val="18"/>
          <w:szCs w:val="18"/>
          <w:color w:val="auto"/>
        </w:rPr>
        <w:t>” has the meaning specified in the preamble to this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Brokers</w:t>
      </w:r>
      <w:r>
        <w:rPr>
          <w:rFonts w:ascii="Arial" w:cs="Arial" w:eastAsia="Arial" w:hAnsi="Arial"/>
          <w:sz w:val="18"/>
          <w:szCs w:val="18"/>
          <w:color w:val="auto"/>
        </w:rPr>
        <w:t>” has the meaning specified in Section 3.7(b) of this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shall have the meaning specified in the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to the date hereof and from time to time hereafter.</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Repairables</w:t>
      </w:r>
      <w:r>
        <w:rPr>
          <w:rFonts w:ascii="Arial" w:cs="Arial" w:eastAsia="Arial" w:hAnsi="Arial"/>
          <w:sz w:val="18"/>
          <w:szCs w:val="18"/>
          <w:color w:val="auto"/>
        </w:rPr>
        <w:t>” means those Spare Parts that can be economically restored or repaired to a serviceable condition, but have a life that is considerably less than the life of the flight equipment to which they are related.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specified in the second recital of this Security Agreement.</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assignment for security, security interest, charge, hypothecation, lease or encumbrance of any kind (including any conditional sale or other title retention agreement, any lease in the nature thereof, any easement, right of way or other encumbrance on title to real property and any agreement to give any security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Intercreditor Agreement</w:t>
      </w:r>
      <w:r>
        <w:rPr>
          <w:rFonts w:ascii="Arial" w:cs="Arial" w:eastAsia="Arial" w:hAnsi="Arial"/>
          <w:sz w:val="18"/>
          <w:szCs w:val="18"/>
          <w:color w:val="auto"/>
        </w:rPr>
        <w:t>” shall have the meaning specified in the Credit Agreement.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Non-Lender Secured Parties</w:t>
      </w:r>
      <w:r>
        <w:rPr>
          <w:rFonts w:ascii="Arial" w:cs="Arial" w:eastAsia="Arial" w:hAnsi="Arial"/>
          <w:sz w:val="18"/>
          <w:szCs w:val="18"/>
          <w:color w:val="auto"/>
        </w:rPr>
        <w:t>” shall mean, collectively, all Banking Product Providers and Hedging Providers and their respective successors, assigns and transferees. For the avoidance of doubt, “Non-Lender Secured Parties” shall exclude Banking Product Providers and Hedging Providers in their capacities as Lenders, if applicable.</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“Permitted Liens” as defined in the Credit Agreement, (b) the rights of others under agreements or arrangements to the extent expressly permitted by the terms of Sections 3.3 and 3.5 provided such rights are subject and subordinate to the Lien of this Security Agreement and (c) salvage or similar rights of insurers under policies required to be maintained by the Grantor (or Lessee) under Section 3.7 hereof.</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Expendable Parts</w:t>
      </w:r>
      <w:r>
        <w:rPr>
          <w:rFonts w:ascii="Arial" w:cs="Arial" w:eastAsia="Arial" w:hAnsi="Arial"/>
          <w:sz w:val="18"/>
          <w:szCs w:val="18"/>
          <w:color w:val="auto"/>
        </w:rPr>
        <w:t>” means the Expendable Parts of the Grantor identified on Schedule III hereto, as such schedule may be amended, modified, supplemented or replaced from time to time in accordance with the terms hereof and the Credit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00"/>
          </w:cols>
          <w:pgMar w:left="240" w:top="274" w:right="359" w:bottom="1440" w:gutter="0" w:footer="0" w:header="0"/>
        </w:sectPr>
      </w:pPr>
    </w:p>
    <w:bookmarkStart w:id="288" w:name="page289"/>
    <w:bookmarkEnd w:id="288"/>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Pledged Key Repairables</w:t>
      </w:r>
      <w:r>
        <w:rPr>
          <w:rFonts w:ascii="Arial" w:cs="Arial" w:eastAsia="Arial" w:hAnsi="Arial"/>
          <w:sz w:val="18"/>
          <w:szCs w:val="18"/>
          <w:color w:val="auto"/>
        </w:rPr>
        <w:t>” means the Key Repairables of the Grantor identified on Schedule IV hereto, as such schedule may be amended, modified, supplemented or replaced from time to time in accordance with the terms hereof and the Credit Agreement.</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Rotables</w:t>
      </w:r>
      <w:r>
        <w:rPr>
          <w:rFonts w:ascii="Arial" w:cs="Arial" w:eastAsia="Arial" w:hAnsi="Arial"/>
          <w:sz w:val="18"/>
          <w:szCs w:val="18"/>
          <w:color w:val="auto"/>
        </w:rPr>
        <w:t>” means the Rotables of the Grantor identified on Schedule V hereto, as such schedule may be amended, modified, supplemented or replaced from time to time in accordance with the terms hereof and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Spare Parts</w:t>
      </w:r>
      <w:r>
        <w:rPr>
          <w:rFonts w:ascii="Arial" w:cs="Arial" w:eastAsia="Arial" w:hAnsi="Arial"/>
          <w:sz w:val="18"/>
          <w:szCs w:val="18"/>
          <w:color w:val="auto"/>
        </w:rPr>
        <w:t>” means the Pledged Expendable Parts, Pledged Key Repairables and Pledged Rotables.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shall have the meaning assigned to that term under the UCC as in effect in any relevant jurisdiction or under other relevant law and, in any event, shall include, but not be limited to, any and all (i) proceeds of any insurance, indemnity, warranty or guarantee payable to the Collateral Agent or to the Grantor or any Affiliate of the Grantor from time to time with respect to physical damage to any of the Collateral, (ii) payments (in any form whatsoever), made or due and payable to the Grantor from time to time in connection with any requisition, confiscation, condemnation, seizure or forfeiture of all or any part of the Collateral by any Governmental Authority (or any Person acting under color of Governmental Authority) and (iii) instruments representing obligations to pay amounts in respect of the Collateral.</w:t>
      </w:r>
    </w:p>
    <w:p>
      <w:pPr>
        <w:spacing w:after="0" w:line="193"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Records</w:t>
      </w:r>
      <w:r>
        <w:rPr>
          <w:rFonts w:ascii="Arial" w:cs="Arial" w:eastAsia="Arial" w:hAnsi="Arial"/>
          <w:sz w:val="17"/>
          <w:szCs w:val="17"/>
          <w:color w:val="auto"/>
        </w:rPr>
        <w:t>” means all repair, tracking, location, use, maintenance and inventory records, logs, manuals and all other documents and materials similar thereto (including, without limitation, any such records, logs, manuals, documents and materials that are in electronic format or are computer print-outs) at any time maintained, created or used by the Grantor, and all records, logs, documents and outer materials required at any time to be maintained by the Grantor under the Grantor’s FAA-approved maintenance program, in each case with respect to any Pledged Spare Part.</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Rotables</w:t>
      </w:r>
      <w:r>
        <w:rPr>
          <w:rFonts w:ascii="Arial" w:cs="Arial" w:eastAsia="Arial" w:hAnsi="Arial"/>
          <w:sz w:val="18"/>
          <w:szCs w:val="18"/>
          <w:color w:val="auto"/>
        </w:rPr>
        <w:t>” means those Spare Parts that can be repeatedly and economically restored to a serviceable condition over a period approximating the life of the flight equipment to which they are related.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has the meaning set forth in the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has the meaning specified in the preamble to this Security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means any Spare Parts Security Agreement Supplement substantially in the form of Exhibit A to this Security Agreement, and any other supplement to this Security Agreement, from time to time executed and delivered.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40" w:top="274" w:right="31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Senior Priority Obligations</w:t>
      </w:r>
      <w:r>
        <w:rPr>
          <w:rFonts w:ascii="Arial" w:cs="Arial" w:eastAsia="Arial" w:hAnsi="Arial"/>
          <w:sz w:val="18"/>
          <w:szCs w:val="18"/>
          <w:color w:val="auto"/>
        </w:rPr>
        <w:t>” shall have the meaning provided in the Intercreditor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Representative</w:t>
      </w:r>
      <w:r>
        <w:rPr>
          <w:rFonts w:ascii="Arial" w:cs="Arial" w:eastAsia="Arial" w:hAnsi="Arial"/>
          <w:sz w:val="18"/>
          <w:szCs w:val="18"/>
          <w:color w:val="auto"/>
        </w:rPr>
        <w:t>” shall have the meaning provided in the Intercreditor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Spare Parts</w:t>
      </w:r>
      <w:r>
        <w:rPr>
          <w:rFonts w:ascii="Arial" w:cs="Arial" w:eastAsia="Arial" w:hAnsi="Arial"/>
          <w:sz w:val="18"/>
          <w:szCs w:val="18"/>
          <w:color w:val="auto"/>
        </w:rPr>
        <w:t>” has the meaning set forth in the Credit Agreement.</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Spare Parts Locations</w:t>
      </w:r>
      <w:r>
        <w:rPr>
          <w:rFonts w:ascii="Arial" w:cs="Arial" w:eastAsia="Arial" w:hAnsi="Arial"/>
          <w:sz w:val="18"/>
          <w:szCs w:val="18"/>
          <w:color w:val="auto"/>
        </w:rPr>
        <w:t>” means any of the locations designated from time to time by the Grantor at which Spare Parts are maintained by or on behalf of the Grantor, which initially shall be the locations set forth on Schedule I hereto and shall include the additional locations designated by the Grantor in any Security Agreement Supplement.</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System Value</w:t>
      </w:r>
      <w:r>
        <w:rPr>
          <w:rFonts w:ascii="Arial" w:cs="Arial" w:eastAsia="Arial" w:hAnsi="Arial"/>
          <w:sz w:val="18"/>
          <w:szCs w:val="18"/>
          <w:color w:val="auto"/>
        </w:rPr>
        <w:t>” means, with respect to any Spare Part as of any date of determination, the average unit price of such Spare Part as set forth in the Tracking Systems of the Grantor as of such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Tracking System</w:t>
      </w:r>
      <w:r>
        <w:rPr>
          <w:rFonts w:ascii="Arial" w:cs="Arial" w:eastAsia="Arial" w:hAnsi="Arial"/>
          <w:sz w:val="18"/>
          <w:szCs w:val="18"/>
          <w:color w:val="auto"/>
        </w:rPr>
        <w:t>” means one or more computer systems of the Grantor for tracking its Spare Parts, and any and all improvements, upgrades or replacement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on the date hereof in the State of New York.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00"/>
          </w:cols>
          <w:pgMar w:left="240" w:top="274" w:right="359" w:bottom="1440" w:gutter="0" w:footer="0" w:header="0"/>
        </w:sectPr>
      </w:pPr>
    </w:p>
    <w:bookmarkStart w:id="290" w:name="page291"/>
    <w:bookmarkEnd w:id="29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SPARE PARTS LOCATIONS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INSERTED]</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9019"/>
          </w:cols>
          <w:pgMar w:left="1440" w:top="270" w:right="1440" w:bottom="1440" w:gutter="0" w:footer="0" w:header="0"/>
        </w:sectPr>
      </w:pPr>
    </w:p>
    <w:bookmarkStart w:id="291" w:name="page292"/>
    <w:bookmarkEnd w:id="291"/>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9" w:lineRule="exact"/>
        <w:rPr>
          <w:sz w:val="20"/>
          <w:szCs w:val="20"/>
          <w:color w:val="auto"/>
        </w:rPr>
      </w:pPr>
    </w:p>
    <w:p>
      <w:pPr>
        <w:jc w:val="right"/>
        <w:ind w:right="3459"/>
        <w:spacing w:after="0"/>
        <w:rPr>
          <w:sz w:val="20"/>
          <w:szCs w:val="20"/>
          <w:color w:val="auto"/>
        </w:rPr>
      </w:pPr>
      <w:r>
        <w:rPr>
          <w:rFonts w:ascii="Arial" w:cs="Arial" w:eastAsia="Arial" w:hAnsi="Arial"/>
          <w:sz w:val="18"/>
          <w:szCs w:val="18"/>
          <w:color w:val="auto"/>
        </w:rPr>
        <w:t>LOCATION OF GRANTOR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Org ID: 332421</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219"/>
          </w:cols>
          <w:pgMar w:left="240" w:top="270" w:right="1440" w:bottom="1440" w:gutter="0" w:footer="0" w:header="0"/>
        </w:sectPr>
      </w:pPr>
    </w:p>
    <w:bookmarkStart w:id="292" w:name="page293"/>
    <w:bookmarkEnd w:id="29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PLEDGED EXPENDABLE PARTS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Expendable Parts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219"/>
          </w:cols>
          <w:pgMar w:left="240" w:top="270" w:right="1440" w:bottom="1440" w:gutter="0" w:footer="0" w:header="0"/>
        </w:sectPr>
      </w:pPr>
    </w:p>
    <w:bookmarkStart w:id="293" w:name="page294"/>
    <w:bookmarkEnd w:id="293"/>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IV</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PLEDGED KEY REPAIRABLES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Key Repairables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219"/>
          </w:cols>
          <w:pgMar w:left="240" w:top="270" w:right="1440" w:bottom="1440" w:gutter="0" w:footer="0" w:header="0"/>
        </w:sectPr>
      </w:pPr>
    </w:p>
    <w:bookmarkStart w:id="294" w:name="page295"/>
    <w:bookmarkEnd w:id="29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V</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PLEDGED ROTABLES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Rotables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19"/>
          </w:cols>
          <w:pgMar w:left="240" w:top="270" w:right="1440" w:bottom="1440" w:gutter="0" w:footer="0" w:header="0"/>
        </w:sectPr>
      </w:pPr>
    </w:p>
    <w:bookmarkStart w:id="295" w:name="page296"/>
    <w:bookmarkEnd w:id="295"/>
    <w:tbl>
      <w:tblPr>
        <w:tblLayout w:type="fixed"/>
        <w:tblInd w:w="46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458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rPr>
              <w:t>EXHIBIT A</w:t>
            </w:r>
          </w:p>
        </w:tc>
        <w:tc>
          <w:tcPr>
            <w:tcW w:w="840" w:type="dxa"/>
            <w:vAlign w:val="bottom"/>
          </w:tcPr>
          <w:p>
            <w:pPr>
              <w:spacing w:after="0"/>
              <w:rPr>
                <w:sz w:val="20"/>
                <w:szCs w:val="20"/>
                <w:color w:val="auto"/>
              </w:rPr>
            </w:pPr>
          </w:p>
        </w:tc>
      </w:tr>
      <w:tr>
        <w:trPr>
          <w:trHeight w:val="432"/>
        </w:trPr>
        <w:tc>
          <w:tcPr>
            <w:tcW w:w="926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99"/>
              </w:rPr>
              <w:t>FORM OF SPARE PARTS SECURITY AGREEMENT SUPPLEMENT</w:t>
            </w:r>
          </w:p>
        </w:tc>
        <w:tc>
          <w:tcPr>
            <w:tcW w:w="840" w:type="dxa"/>
            <w:vAlign w:val="bottom"/>
          </w:tcPr>
          <w:p>
            <w:pPr>
              <w:spacing w:after="0"/>
              <w:rPr>
                <w:sz w:val="24"/>
                <w:szCs w:val="24"/>
                <w:color w:val="auto"/>
              </w:rPr>
            </w:pPr>
          </w:p>
        </w:tc>
      </w:tr>
      <w:tr>
        <w:trPr>
          <w:trHeight w:val="392"/>
        </w:trPr>
        <w:tc>
          <w:tcPr>
            <w:tcW w:w="4680" w:type="dxa"/>
            <w:vAlign w:val="bottom"/>
          </w:tcPr>
          <w:p>
            <w:pPr>
              <w:spacing w:after="0"/>
              <w:rPr>
                <w:sz w:val="20"/>
                <w:szCs w:val="20"/>
                <w:color w:val="auto"/>
              </w:rPr>
            </w:pPr>
            <w:r>
              <w:rPr>
                <w:rFonts w:ascii="Arial" w:cs="Arial" w:eastAsia="Arial" w:hAnsi="Arial"/>
                <w:sz w:val="18"/>
                <w:szCs w:val="18"/>
                <w:color w:val="auto"/>
                <w:w w:val="93"/>
              </w:rPr>
              <w:t>Spare Parts Security Agreement Supplement No.   dated as of</w:t>
            </w:r>
          </w:p>
        </w:tc>
        <w:tc>
          <w:tcPr>
            <w:tcW w:w="4580" w:type="dxa"/>
            <w:vAlign w:val="bottom"/>
            <w:gridSpan w:val="3"/>
          </w:tcPr>
          <w:p>
            <w:pPr>
              <w:ind w:left="700"/>
              <w:spacing w:after="0"/>
              <w:rPr>
                <w:sz w:val="20"/>
                <w:szCs w:val="20"/>
                <w:color w:val="auto"/>
              </w:rPr>
            </w:pPr>
            <w:r>
              <w:rPr>
                <w:rFonts w:ascii="Arial" w:cs="Arial" w:eastAsia="Arial" w:hAnsi="Arial"/>
                <w:sz w:val="18"/>
                <w:szCs w:val="18"/>
                <w:color w:val="auto"/>
              </w:rPr>
              <w:t>, 20   (“Security Agreement Supplement”) of [</w:t>
            </w:r>
          </w:p>
        </w:tc>
        <w:tc>
          <w:tcPr>
            <w:tcW w:w="840" w:type="dxa"/>
            <w:vAlign w:val="bottom"/>
          </w:tcPr>
          <w:p>
            <w:pPr>
              <w:ind w:left="440"/>
              <w:spacing w:after="0"/>
              <w:rPr>
                <w:sz w:val="20"/>
                <w:szCs w:val="20"/>
                <w:color w:val="auto"/>
              </w:rPr>
            </w:pPr>
            <w:r>
              <w:rPr>
                <w:rFonts w:ascii="Arial" w:cs="Arial" w:eastAsia="Arial" w:hAnsi="Arial"/>
                <w:sz w:val="18"/>
                <w:szCs w:val="18"/>
                <w:color w:val="auto"/>
                <w:w w:val="92"/>
              </w:rPr>
              <w:t>] (the</w:t>
            </w:r>
          </w:p>
        </w:tc>
      </w:tr>
      <w:tr>
        <w:trPr>
          <w:trHeight w:val="20"/>
        </w:trPr>
        <w:tc>
          <w:tcPr>
            <w:tcW w:w="4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WHEREAS, the Grantor and Barclays Bank PLC, as Collateral Agent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are parties to that certain Spare Parts Security Agreement dated as of April 29, 2016 (as amended, modified or otherwise supplemented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pursuant to which the Grantor has granted to the Collateral Agent a security interest in the Spare Parts (as defined therein);</w:t>
      </w:r>
    </w:p>
    <w:p>
      <w:pPr>
        <w:spacing w:after="0" w:line="181" w:lineRule="exact"/>
        <w:rPr>
          <w:sz w:val="20"/>
          <w:szCs w:val="20"/>
          <w:color w:val="auto"/>
        </w:rPr>
      </w:pPr>
    </w:p>
    <w:p>
      <w:pPr>
        <w:ind w:left="460"/>
        <w:spacing w:after="0"/>
        <w:tabs>
          <w:tab w:leader="none" w:pos="8200" w:val="left"/>
          <w:tab w:leader="none" w:pos="8760" w:val="left"/>
        </w:tabs>
        <w:rPr>
          <w:sz w:val="20"/>
          <w:szCs w:val="20"/>
          <w:color w:val="auto"/>
        </w:rPr>
      </w:pPr>
      <w:r>
        <w:rPr>
          <w:rFonts w:ascii="Arial" w:cs="Arial" w:eastAsia="Arial" w:hAnsi="Arial"/>
          <w:sz w:val="18"/>
          <w:szCs w:val="18"/>
          <w:color w:val="auto"/>
        </w:rPr>
        <w:t>WHEREAS, the Security Agreement has been recorded by the Federal Aviation Administration on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and assigned conveyance number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the Security Agreement provides for the execution and delivery from time to time of Security Agreement Supplements substantially in the form hereof for the purpose of (i) specifically subjecting to the Lien of the Security Agreement certain spare parts or (ii);</w:t>
      </w:r>
    </w:p>
    <w:p>
      <w:pPr>
        <w:spacing w:after="0" w:line="170"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WHEREAS,</w:t>
      </w:r>
      <w:r>
        <w:rPr>
          <w:rFonts w:ascii="Arial" w:cs="Arial" w:eastAsia="Arial" w:hAnsi="Arial"/>
          <w:sz w:val="14"/>
          <w:szCs w:val="14"/>
          <w:color w:val="auto"/>
        </w:rPr>
        <w:t>2</w:t>
      </w:r>
      <w:r>
        <w:rPr>
          <w:rFonts w:ascii="Arial" w:cs="Arial" w:eastAsia="Arial" w:hAnsi="Arial"/>
          <w:sz w:val="17"/>
          <w:szCs w:val="17"/>
          <w:color w:val="auto"/>
        </w:rPr>
        <w:t xml:space="preserve"> the Grantor has, as provided in the Security Agreement, heretofore executed and delivered to the Collateral Agent [ ] Security Agreement Supplement(s) for the purpose of specifically subjecting to the Lien of the Security Agreement certain spare parts therein described, which Security Agreement Supplement(s) is/are dated and has/have been duly recorded with the FAA as set forth below, to wit:</w:t>
      </w:r>
    </w:p>
    <w:p>
      <w:pPr>
        <w:spacing w:after="0" w:line="166" w:lineRule="exact"/>
        <w:rPr>
          <w:sz w:val="20"/>
          <w:szCs w:val="20"/>
          <w:color w:val="auto"/>
        </w:rPr>
      </w:pPr>
    </w:p>
    <w:p>
      <w:pPr>
        <w:ind w:left="460"/>
        <w:spacing w:after="0"/>
        <w:tabs>
          <w:tab w:leader="none" w:pos="1900" w:val="left"/>
          <w:tab w:leader="none" w:pos="4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RECORDATION DATE</w:t>
      </w:r>
      <w:r>
        <w:rPr>
          <w:sz w:val="20"/>
          <w:szCs w:val="20"/>
          <w:color w:val="auto"/>
        </w:rPr>
        <w:tab/>
      </w:r>
      <w:r>
        <w:rPr>
          <w:rFonts w:ascii="Arial" w:cs="Arial" w:eastAsia="Arial" w:hAnsi="Arial"/>
          <w:sz w:val="17"/>
          <w:szCs w:val="17"/>
          <w:color w:val="auto"/>
        </w:rPr>
        <w:t>FAA DOCUMENT NUMBER</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Grantor hereby confirms that it is a certificated U.S. air carrier under Sections 41102 and 44705 of Title 49 of the United States Code, and the Spare Parts described in this Security Agreement Supplement are maintained by it or on its behalf at the applicable Spare Parts Locations described herein;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used but not defined herein have the meanings assigned to them in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325"/>
        </w:numPr>
        <w:rPr>
          <w:rFonts w:ascii="Arial" w:cs="Arial" w:eastAsia="Arial" w:hAnsi="Arial"/>
          <w:sz w:val="15"/>
          <w:szCs w:val="15"/>
          <w:color w:val="auto"/>
        </w:rPr>
      </w:pPr>
      <w:r>
        <w:rPr>
          <w:rFonts w:ascii="Arial" w:cs="Arial" w:eastAsia="Arial" w:hAnsi="Arial"/>
          <w:sz w:val="18"/>
          <w:szCs w:val="18"/>
          <w:color w:val="auto"/>
        </w:rPr>
        <w:t>This recital is not to be included in the first Security Agreement Supplement.</w:t>
      </w:r>
    </w:p>
    <w:p>
      <w:pPr>
        <w:sectPr>
          <w:pgSz w:w="11900" w:h="16838" w:orient="portrait"/>
          <w:cols w:equalWidth="0" w:num="1">
            <w:col w:w="11380"/>
          </w:cols>
          <w:pgMar w:left="240" w:top="270" w:right="279" w:bottom="1440" w:gutter="0" w:footer="0" w:header="0"/>
        </w:sectPr>
      </w:pPr>
    </w:p>
    <w:bookmarkStart w:id="296" w:name="page297"/>
    <w:bookmarkEnd w:id="296"/>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order to secure the prompt payment and performance of the Obligations, subject to the terms and conditions of the Security Agreement, and in consideration of the premises and of the covenants contained in the Security Agreement, and of other good and valuable consideration given to the Grantor at or before the delivery hereof, the receipt whereof is hereby acknowledged, the Grantor has mortgaged, assigned, pledged, hypothecated and granted, and does hereby mortgage, assign, pledge, hypothecate and grant to the Collateral Agent, for the benefit and security of the Secured Parties, a continuing first priority security interest in, and mortgage lien on, the property comprising all its right, title and interest in and to the Spare Parts at the Spare Parts Location(s) described on Annex A hereto and the Spare Parts Locations listed on Annex A hereto shall be deemed to amend and supplement Schedule I to the Security Agreement; to have and to hold all and singular the aforesaid property unto the Collateral Agent, its successors and assigns, for the benefit and security of the Secured Parties and for the uses and purposes and subject to the terms and provisions set forth in the Security Agreement.</w:t>
      </w:r>
    </w:p>
    <w:p>
      <w:pPr>
        <w:spacing w:after="0" w:line="19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This Security Agreement Supplement shall be construed as supplemental to the Security Agreement and shall form a part thereof, and the Security Agreement is hereby incorporated by reference herein and is hereby ratified, approved and confirmed and terms not otherwise defined herein shall have the meaning provided in the Security Agreement.</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SECURITY AGREEMENT SUPPLEMENT IS BEING DELIVERED IN THE STATE OF NEW YORK AND SHALL BE GOVERNED BY AND CONSTRUED IN ACCORDANCE WITH, THE LAW OF THE STATE OF NEW YORK.</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297" w:name="page298"/>
    <w:bookmarkEnd w:id="29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Grantor has caused this Security Agreement Supplement to be duly executed by one of its duly authorized officers, as of the day and year first above written.</w:t>
      </w:r>
    </w:p>
    <w:p>
      <w:pPr>
        <w:spacing w:after="0" w:line="197" w:lineRule="exact"/>
        <w:rPr>
          <w:sz w:val="20"/>
          <w:szCs w:val="20"/>
          <w:color w:val="auto"/>
        </w:rPr>
      </w:pPr>
    </w:p>
    <w:p>
      <w:pPr>
        <w:ind w:left="6860"/>
        <w:spacing w:after="0"/>
        <w:tabs>
          <w:tab w:leader="none" w:pos="8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274" w:right="259" w:bottom="1440" w:gutter="0" w:footer="0" w:header="0"/>
        </w:sectPr>
      </w:pPr>
    </w:p>
    <w:bookmarkStart w:id="298" w:name="page299"/>
    <w:bookmarkEnd w:id="298"/>
    <w:p>
      <w:pPr>
        <w:ind w:left="5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TO SECURITY AGREEMENT SUPPLEMENT NO.</w:t>
      </w:r>
    </w:p>
    <w:p>
      <w:pPr>
        <w:spacing w:after="0" w:line="211"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DESCRIPTION OF SPARE PARTS AND SPARE PARTS LOCATIONS</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Description:</w:t>
      </w:r>
      <w:r>
        <w:rPr>
          <w:sz w:val="20"/>
          <w:szCs w:val="20"/>
          <w:color w:val="auto"/>
        </w:rPr>
        <w:tab/>
      </w:r>
      <w:r>
        <w:rPr>
          <w:rFonts w:ascii="Arial" w:cs="Arial" w:eastAsia="Arial" w:hAnsi="Arial"/>
          <w:sz w:val="16"/>
          <w:szCs w:val="16"/>
          <w:color w:val="auto"/>
        </w:rPr>
        <w:t>[described at least generally, by type]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Spare Part Locations:</w:t>
      </w:r>
    </w:p>
    <w:p>
      <w:pPr>
        <w:sectPr>
          <w:pgSz w:w="11900" w:h="16838" w:orient="portrait"/>
          <w:cols w:equalWidth="0" w:num="1">
            <w:col w:w="10219"/>
          </w:cols>
          <w:pgMar w:left="240" w:top="270" w:right="1440"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SECURITY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(SLOTS, FOREIGN GATE LEASEHOLDS AND ROUTE AUTHORITIES)</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GRANTORS LISTED IN SCHEDULE I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Grantors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BARCLAYS BANK PLC,</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3320" w:type="dxa"/>
        <w:tblCellMar>
          <w:top w:w="0" w:type="dxa"/>
          <w:left w:w="0" w:type="dxa"/>
          <w:bottom w:w="0" w:type="dxa"/>
          <w:right w:w="0" w:type="dxa"/>
        </w:tblCellMar>
      </w:tblPr>
      <w:tr>
        <w:trPr>
          <w:trHeight w:val="230"/>
        </w:trPr>
        <w:tc>
          <w:tcPr>
            <w:tcW w:w="1380" w:type="dxa"/>
            <w:vAlign w:val="bottom"/>
          </w:tcPr>
          <w:p>
            <w:pPr>
              <w:ind w:left="240"/>
              <w:spacing w:after="0"/>
              <w:rPr>
                <w:sz w:val="20"/>
                <w:szCs w:val="20"/>
                <w:color w:val="auto"/>
              </w:rPr>
            </w:pPr>
            <w:r>
              <w:rPr>
                <w:rFonts w:ascii="Arial" w:cs="Arial" w:eastAsia="Arial" w:hAnsi="Arial"/>
                <w:sz w:val="18"/>
                <w:szCs w:val="18"/>
                <w:color w:val="auto"/>
              </w:rPr>
              <w:t>Dated as of</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 20</w:t>
            </w:r>
          </w:p>
        </w:tc>
      </w:tr>
      <w:tr>
        <w:trPr>
          <w:trHeight w:val="365"/>
        </w:trPr>
        <w:tc>
          <w:tcPr>
            <w:tcW w:w="1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300" w:name="page301"/>
    <w:bookmarkEnd w:id="3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4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7"/>
                <w:szCs w:val="17"/>
                <w:color w:val="auto"/>
              </w:rPr>
            </w:pPr>
          </w:p>
        </w:tc>
      </w:tr>
      <w:tr>
        <w:trPr>
          <w:trHeight w:val="412"/>
        </w:trPr>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Section 1.</w:t>
            </w:r>
          </w:p>
        </w:tc>
        <w:tc>
          <w:tcPr>
            <w:tcW w:w="18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0"/>
              </w:rPr>
              <w:t>Grant of Security Interest</w:t>
            </w:r>
          </w:p>
        </w:tc>
        <w:tc>
          <w:tcPr>
            <w:tcW w:w="7960" w:type="dxa"/>
            <w:vAlign w:val="bottom"/>
            <w:gridSpan w:val="18"/>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2.</w:t>
            </w:r>
          </w:p>
        </w:tc>
        <w:tc>
          <w:tcPr>
            <w:tcW w:w="346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2"/>
              </w:rPr>
              <w:t>Security for Obligations; Intercreditor Relations</w:t>
            </w:r>
          </w:p>
        </w:tc>
        <w:tc>
          <w:tcPr>
            <w:tcW w:w="63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3.</w:t>
            </w:r>
          </w:p>
        </w:tc>
        <w:tc>
          <w:tcPr>
            <w:tcW w:w="9800" w:type="dxa"/>
            <w:vAlign w:val="bottom"/>
            <w:gridSpan w:val="27"/>
          </w:tcPr>
          <w:p>
            <w:pPr>
              <w:spacing w:after="0" w:line="196" w:lineRule="exact"/>
              <w:rPr>
                <w:sz w:val="20"/>
                <w:szCs w:val="20"/>
                <w:color w:val="auto"/>
              </w:rPr>
            </w:pPr>
            <w:r>
              <w:rPr>
                <w:rFonts w:ascii="Arial" w:cs="Arial" w:eastAsia="Arial" w:hAnsi="Arial"/>
                <w:sz w:val="18"/>
                <w:szCs w:val="18"/>
                <w:color w:val="auto"/>
              </w:rPr>
              <w:t>No Release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4.</w:t>
            </w:r>
          </w:p>
        </w:tc>
        <w:tc>
          <w:tcPr>
            <w:tcW w:w="22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7"/>
              </w:rPr>
              <w:t>Representations and Warranties</w:t>
            </w:r>
          </w:p>
        </w:tc>
        <w:tc>
          <w:tcPr>
            <w:tcW w:w="75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5.</w:t>
            </w:r>
          </w:p>
        </w:tc>
        <w:tc>
          <w:tcPr>
            <w:tcW w:w="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0"/>
              </w:rPr>
              <w:t>Covenants</w:t>
            </w:r>
          </w:p>
        </w:tc>
        <w:tc>
          <w:tcPr>
            <w:tcW w:w="898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6.</w:t>
            </w:r>
          </w:p>
        </w:tc>
        <w:tc>
          <w:tcPr>
            <w:tcW w:w="242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8"/>
              </w:rPr>
              <w:t>Supplements, Further Assurances</w:t>
            </w:r>
          </w:p>
        </w:tc>
        <w:tc>
          <w:tcPr>
            <w:tcW w:w="73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7.</w:t>
            </w:r>
          </w:p>
        </w:tc>
        <w:tc>
          <w:tcPr>
            <w:tcW w:w="240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1"/>
              </w:rPr>
              <w:t>Provisions Concerning Collateral</w:t>
            </w:r>
          </w:p>
        </w:tc>
        <w:tc>
          <w:tcPr>
            <w:tcW w:w="74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8.</w:t>
            </w:r>
          </w:p>
        </w:tc>
        <w:tc>
          <w:tcPr>
            <w:tcW w:w="326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3"/>
              </w:rPr>
              <w:t>Collateral Agent Appointed Attorney-in-Fact</w:t>
            </w:r>
          </w:p>
        </w:tc>
        <w:tc>
          <w:tcPr>
            <w:tcW w:w="65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9.</w:t>
            </w:r>
          </w:p>
        </w:tc>
        <w:tc>
          <w:tcPr>
            <w:tcW w:w="9800" w:type="dxa"/>
            <w:vAlign w:val="bottom"/>
            <w:gridSpan w:val="27"/>
          </w:tcPr>
          <w:p>
            <w:pPr>
              <w:spacing w:after="0" w:line="196" w:lineRule="exact"/>
              <w:rPr>
                <w:sz w:val="20"/>
                <w:szCs w:val="20"/>
                <w:color w:val="auto"/>
              </w:rPr>
            </w:pPr>
            <w:r>
              <w:rPr>
                <w:rFonts w:ascii="Arial" w:cs="Arial" w:eastAsia="Arial" w:hAnsi="Arial"/>
                <w:sz w:val="18"/>
                <w:szCs w:val="18"/>
                <w:color w:val="auto"/>
              </w:rPr>
              <w:t>Collateral Agent May Perform</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10.</w:t>
            </w:r>
          </w:p>
        </w:tc>
        <w:tc>
          <w:tcPr>
            <w:tcW w:w="152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0"/>
              </w:rPr>
              <w:t>The Collateral Agent</w:t>
            </w:r>
          </w:p>
        </w:tc>
        <w:tc>
          <w:tcPr>
            <w:tcW w:w="680" w:type="dxa"/>
            <w:vAlign w:val="bottom"/>
            <w:tcBorders>
              <w:top w:val="single" w:sz="8" w:color="auto"/>
            </w:tcBorders>
            <w:gridSpan w:val="9"/>
          </w:tcPr>
          <w:p>
            <w:pPr>
              <w:spacing w:after="0"/>
              <w:rPr>
                <w:sz w:val="17"/>
                <w:szCs w:val="17"/>
                <w:color w:val="auto"/>
              </w:rPr>
            </w:pPr>
          </w:p>
        </w:tc>
        <w:tc>
          <w:tcPr>
            <w:tcW w:w="76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11.</w:t>
            </w:r>
          </w:p>
        </w:tc>
        <w:tc>
          <w:tcPr>
            <w:tcW w:w="9800" w:type="dxa"/>
            <w:vAlign w:val="bottom"/>
            <w:gridSpan w:val="27"/>
          </w:tcPr>
          <w:p>
            <w:pPr>
              <w:spacing w:after="0" w:line="196" w:lineRule="exact"/>
              <w:rPr>
                <w:sz w:val="20"/>
                <w:szCs w:val="20"/>
                <w:color w:val="auto"/>
              </w:rPr>
            </w:pPr>
            <w:r>
              <w:rPr>
                <w:rFonts w:ascii="Arial" w:cs="Arial" w:eastAsia="Arial" w:hAnsi="Arial"/>
                <w:sz w:val="18"/>
                <w:szCs w:val="18"/>
                <w:color w:val="auto"/>
              </w:rPr>
              <w:t>Events of Default, Remedies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12.</w:t>
            </w:r>
          </w:p>
        </w:tc>
        <w:tc>
          <w:tcPr>
            <w:tcW w:w="2040" w:type="dxa"/>
            <w:vAlign w:val="bottom"/>
            <w:tcBorders>
              <w:top w:val="single" w:sz="8" w:color="auto"/>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8"/>
              </w:rPr>
              <w:t>Non-Lender Secured Parties</w:t>
            </w:r>
          </w:p>
        </w:tc>
        <w:tc>
          <w:tcPr>
            <w:tcW w:w="20" w:type="dxa"/>
            <w:vAlign w:val="bottom"/>
            <w:tcBorders>
              <w:top w:val="single" w:sz="8" w:color="auto"/>
            </w:tcBorders>
          </w:tcPr>
          <w:p>
            <w:pPr>
              <w:spacing w:after="0"/>
              <w:rPr>
                <w:sz w:val="17"/>
                <w:szCs w:val="17"/>
                <w:color w:val="auto"/>
              </w:rPr>
            </w:pPr>
          </w:p>
        </w:tc>
        <w:tc>
          <w:tcPr>
            <w:tcW w:w="77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13.</w:t>
            </w:r>
          </w:p>
        </w:tc>
        <w:tc>
          <w:tcPr>
            <w:tcW w:w="17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Application of Proceeds</w:t>
            </w:r>
          </w:p>
        </w:tc>
        <w:tc>
          <w:tcPr>
            <w:tcW w:w="806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14.</w:t>
            </w:r>
          </w:p>
        </w:tc>
        <w:tc>
          <w:tcPr>
            <w:tcW w:w="9800" w:type="dxa"/>
            <w:vAlign w:val="bottom"/>
            <w:gridSpan w:val="27"/>
          </w:tcPr>
          <w:p>
            <w:pPr>
              <w:spacing w:after="0" w:line="196" w:lineRule="exact"/>
              <w:rPr>
                <w:sz w:val="20"/>
                <w:szCs w:val="20"/>
                <w:color w:val="auto"/>
              </w:rPr>
            </w:pPr>
            <w:r>
              <w:rPr>
                <w:rFonts w:ascii="Arial" w:cs="Arial" w:eastAsia="Arial" w:hAnsi="Arial"/>
                <w:sz w:val="18"/>
                <w:szCs w:val="18"/>
                <w:color w:val="auto"/>
              </w:rPr>
              <w:t>No Waiver; Discontinuance of Proceeding</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15.</w:t>
            </w:r>
          </w:p>
        </w:tc>
        <w:tc>
          <w:tcPr>
            <w:tcW w:w="304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Amendments, etc.</w:t>
            </w:r>
          </w:p>
        </w:tc>
        <w:tc>
          <w:tcPr>
            <w:tcW w:w="67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16.</w:t>
            </w:r>
          </w:p>
        </w:tc>
        <w:tc>
          <w:tcPr>
            <w:tcW w:w="9800" w:type="dxa"/>
            <w:vAlign w:val="bottom"/>
            <w:gridSpan w:val="27"/>
          </w:tcPr>
          <w:p>
            <w:pPr>
              <w:spacing w:after="0" w:line="196" w:lineRule="exact"/>
              <w:rPr>
                <w:sz w:val="20"/>
                <w:szCs w:val="20"/>
                <w:color w:val="auto"/>
              </w:rPr>
            </w:pPr>
            <w:r>
              <w:rPr>
                <w:rFonts w:ascii="Arial" w:cs="Arial" w:eastAsia="Arial" w:hAnsi="Arial"/>
                <w:sz w:val="18"/>
                <w:szCs w:val="18"/>
                <w:color w:val="auto"/>
              </w:rPr>
              <w:t>Termination; Release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17.</w:t>
            </w:r>
          </w:p>
        </w:tc>
        <w:tc>
          <w:tcPr>
            <w:tcW w:w="254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2"/>
              </w:rPr>
              <w:t>Definitions; Rules of Interpretation</w:t>
            </w:r>
          </w:p>
        </w:tc>
        <w:tc>
          <w:tcPr>
            <w:tcW w:w="72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18.</w:t>
            </w:r>
          </w:p>
        </w:tc>
        <w:tc>
          <w:tcPr>
            <w:tcW w:w="9800" w:type="dxa"/>
            <w:vAlign w:val="bottom"/>
            <w:gridSpan w:val="27"/>
          </w:tcPr>
          <w:p>
            <w:pPr>
              <w:spacing w:after="0" w:line="196" w:lineRule="exact"/>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19.</w:t>
            </w:r>
          </w:p>
        </w:tc>
        <w:tc>
          <w:tcPr>
            <w:tcW w:w="392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0"/>
              </w:rPr>
              <w:t>Continuing Security Interest; Transfer of Indebtedness</w:t>
            </w:r>
          </w:p>
        </w:tc>
        <w:tc>
          <w:tcPr>
            <w:tcW w:w="58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20.</w:t>
            </w:r>
          </w:p>
        </w:tc>
        <w:tc>
          <w:tcPr>
            <w:tcW w:w="11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2"/>
              </w:rPr>
              <w:t>Governing Law</w:t>
            </w:r>
          </w:p>
        </w:tc>
        <w:tc>
          <w:tcPr>
            <w:tcW w:w="866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21.</w:t>
            </w:r>
          </w:p>
        </w:tc>
        <w:tc>
          <w:tcPr>
            <w:tcW w:w="334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89"/>
              </w:rPr>
              <w:t>Consent to Jurisdiction and Service of Process</w:t>
            </w:r>
          </w:p>
        </w:tc>
        <w:tc>
          <w:tcPr>
            <w:tcW w:w="64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22.</w:t>
            </w:r>
          </w:p>
        </w:tc>
        <w:tc>
          <w:tcPr>
            <w:tcW w:w="188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0"/>
              </w:rPr>
              <w:t>Security Interest Absolute</w:t>
            </w:r>
          </w:p>
        </w:tc>
        <w:tc>
          <w:tcPr>
            <w:tcW w:w="79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23.</w:t>
            </w:r>
          </w:p>
        </w:tc>
        <w:tc>
          <w:tcPr>
            <w:tcW w:w="9800" w:type="dxa"/>
            <w:vAlign w:val="bottom"/>
            <w:gridSpan w:val="27"/>
          </w:tcPr>
          <w:p>
            <w:pPr>
              <w:spacing w:after="0" w:line="196" w:lineRule="exact"/>
              <w:rPr>
                <w:sz w:val="20"/>
                <w:szCs w:val="20"/>
                <w:color w:val="auto"/>
              </w:rPr>
            </w:pPr>
            <w:r>
              <w:rPr>
                <w:rFonts w:ascii="Arial" w:cs="Arial" w:eastAsia="Arial" w:hAnsi="Arial"/>
                <w:sz w:val="18"/>
                <w:szCs w:val="18"/>
                <w:color w:val="auto"/>
              </w:rPr>
              <w:t>Severability of Provisions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24.</w:t>
            </w:r>
          </w:p>
        </w:tc>
        <w:tc>
          <w:tcPr>
            <w:tcW w:w="6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Headings</w:t>
            </w:r>
          </w:p>
        </w:tc>
        <w:tc>
          <w:tcPr>
            <w:tcW w:w="1180" w:type="dxa"/>
            <w:vAlign w:val="bottom"/>
            <w:tcBorders>
              <w:top w:val="single" w:sz="8" w:color="auto"/>
            </w:tcBorders>
            <w:gridSpan w:val="8"/>
          </w:tcPr>
          <w:p>
            <w:pPr>
              <w:spacing w:after="0"/>
              <w:rPr>
                <w:sz w:val="17"/>
                <w:szCs w:val="17"/>
                <w:color w:val="auto"/>
              </w:rPr>
            </w:pPr>
          </w:p>
        </w:tc>
        <w:tc>
          <w:tcPr>
            <w:tcW w:w="79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25.</w:t>
            </w:r>
          </w:p>
        </w:tc>
        <w:tc>
          <w:tcPr>
            <w:tcW w:w="9800" w:type="dxa"/>
            <w:vAlign w:val="bottom"/>
            <w:gridSpan w:val="27"/>
          </w:tcPr>
          <w:p>
            <w:pPr>
              <w:spacing w:after="0" w:line="196" w:lineRule="exact"/>
              <w:rPr>
                <w:sz w:val="20"/>
                <w:szCs w:val="20"/>
                <w:color w:val="auto"/>
              </w:rPr>
            </w:pPr>
            <w:r>
              <w:rPr>
                <w:rFonts w:ascii="Arial" w:cs="Arial" w:eastAsia="Arial" w:hAnsi="Arial"/>
                <w:sz w:val="18"/>
                <w:szCs w:val="18"/>
                <w:color w:val="auto"/>
              </w:rPr>
              <w:t>Execution in Counterparts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26.</w:t>
            </w:r>
          </w:p>
        </w:tc>
        <w:tc>
          <w:tcPr>
            <w:tcW w:w="188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w w:val="94"/>
              </w:rPr>
              <w:t>Successors and Assigns</w:t>
            </w:r>
          </w:p>
        </w:tc>
        <w:tc>
          <w:tcPr>
            <w:tcW w:w="79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27.</w:t>
            </w:r>
          </w:p>
        </w:tc>
        <w:tc>
          <w:tcPr>
            <w:tcW w:w="152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6"/>
              </w:rPr>
              <w:t>Limited Obligations</w:t>
            </w:r>
          </w:p>
        </w:tc>
        <w:tc>
          <w:tcPr>
            <w:tcW w:w="180" w:type="dxa"/>
            <w:vAlign w:val="bottom"/>
            <w:tcBorders>
              <w:top w:val="single" w:sz="8" w:color="auto"/>
            </w:tcBorders>
          </w:tcPr>
          <w:p>
            <w:pPr>
              <w:spacing w:after="0"/>
              <w:rPr>
                <w:sz w:val="17"/>
                <w:szCs w:val="17"/>
                <w:color w:val="auto"/>
              </w:rPr>
            </w:pPr>
          </w:p>
        </w:tc>
        <w:tc>
          <w:tcPr>
            <w:tcW w:w="810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Section 28.</w:t>
            </w:r>
          </w:p>
        </w:tc>
        <w:tc>
          <w:tcPr>
            <w:tcW w:w="190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Construction of Schedules</w:t>
            </w:r>
          </w:p>
        </w:tc>
        <w:tc>
          <w:tcPr>
            <w:tcW w:w="79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I- Grantors; Location of Chief 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II – Slots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III – Scheduled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SGR Security Agreement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Joinder Agreement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7" w:right="339"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(SLOTS, FOREIGN GATE LEASEHOLDS AND ROUTE AUTHORITIES)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SECURITY AGREEMENT (Slots, Foreign Gate Leaseholds and Route Authorities), dated as of , 20 (as may be amended, restated, amended and restated, supplemented and/or otherwise modified from time to time, this “</w:t>
      </w:r>
      <w:r>
        <w:rPr>
          <w:rFonts w:ascii="Arial" w:cs="Arial" w:eastAsia="Arial" w:hAnsi="Arial"/>
          <w:sz w:val="18"/>
          <w:szCs w:val="18"/>
          <w:u w:val="single" w:color="auto"/>
          <w:color w:val="auto"/>
        </w:rPr>
        <w:t>SGR Security Agreement</w:t>
      </w:r>
      <w:r>
        <w:rPr>
          <w:rFonts w:ascii="Arial" w:cs="Arial" w:eastAsia="Arial" w:hAnsi="Arial"/>
          <w:sz w:val="18"/>
          <w:szCs w:val="18"/>
          <w:color w:val="auto"/>
        </w:rPr>
        <w:t>”), between AMERICAN AIRLINES,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other Person that becomes a Party hereto pursuant to Section 27 (together with the Borrower and their respective successors and permitted assigns, the “</w:t>
      </w:r>
      <w:r>
        <w:rPr>
          <w:rFonts w:ascii="Arial" w:cs="Arial" w:eastAsia="Arial" w:hAnsi="Arial"/>
          <w:sz w:val="18"/>
          <w:szCs w:val="18"/>
          <w:u w:val="single" w:color="auto"/>
          <w:color w:val="auto"/>
        </w:rPr>
        <w:t>Grantors</w:t>
      </w:r>
      <w:r>
        <w:rPr>
          <w:rFonts w:ascii="Arial" w:cs="Arial" w:eastAsia="Arial" w:hAnsi="Arial"/>
          <w:sz w:val="18"/>
          <w:szCs w:val="18"/>
          <w:color w:val="auto"/>
        </w:rPr>
        <w:t>”), and BARCLAYS BANK PLC, as collateral agent (in such capacity, and together with its successors and permitted assigns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for its benefit and the benefit of the other Secured Parties. Capitalized terms used herein without other definition are used as defined and interpreted in Section 17.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WHEREAS, the Grantors and the Collateral Agent are parties to that certain Credit and Guaranty Agreement, dated as of April [29], 2016 (as may be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Borrower, American Airlines Group Inc. (“</w:t>
      </w:r>
      <w:r>
        <w:rPr>
          <w:rFonts w:ascii="Arial" w:cs="Arial" w:eastAsia="Arial" w:hAnsi="Arial"/>
          <w:sz w:val="18"/>
          <w:szCs w:val="18"/>
          <w:u w:val="single" w:color="auto"/>
          <w:color w:val="auto"/>
        </w:rPr>
        <w:t>Parent</w:t>
      </w:r>
      <w:r>
        <w:rPr>
          <w:rFonts w:ascii="Arial" w:cs="Arial" w:eastAsia="Arial" w:hAnsi="Arial"/>
          <w:sz w:val="18"/>
          <w:szCs w:val="18"/>
          <w:color w:val="auto"/>
        </w:rPr>
        <w:t>”), as guarantor party thereto, the other guarantors from time to time party thereto, the lenders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the Collateral Agent and the Administrative Agent;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each Grantor has agreed to grant a continuing Lien on the Collateral (as defined below) to secure the Obligations; and</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WHEREAS, the Collateral Agent and one or more Additional Agents may in the future enter into one or more Intercreditor Agreements and/or Other Intercreditor Agreements;</w:t>
      </w:r>
    </w:p>
    <w:p>
      <w:pPr>
        <w:spacing w:after="0" w:line="17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NOW, THEREFORE, in consideration of the premises, the mutual agreements set forth herein and other good and valuable consideration, the receipt and sufficiency of which are hereby acknowledged, the parties to this SGR Security Agreement hereby agree as follows:</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To secure all of the Obligations, each Grantor hereby pledges, grants and creates a security interest and mortgage in favor of the Collateral Agent for its benefit and the benefit of the other Secured Parties in all of the following assets, rights and properties, whether real or personal and whether tangible or intangible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73" w:lineRule="exact"/>
        <w:rPr>
          <w:sz w:val="20"/>
          <w:szCs w:val="20"/>
          <w:color w:val="auto"/>
        </w:rPr>
      </w:pPr>
    </w:p>
    <w:p>
      <w:pPr>
        <w:ind w:left="460" w:right="260" w:firstLine="443"/>
        <w:spacing w:after="0" w:line="264" w:lineRule="auto"/>
        <w:tabs>
          <w:tab w:leader="none" w:pos="114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all of the right, title and interest of such Grantor in, to and under the Route Authorities, the Slots and the Foreign Gate Leaseholds, whether now owned or held or hereafter acquired and whether such assets, rights or properties constitute General Intangibles or another type or category of collateral under the NY UCC or any other type of asset, right or property; and</w:t>
      </w:r>
    </w:p>
    <w:p>
      <w:pPr>
        <w:spacing w:after="0" w:line="73"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all of the right, title and interest of such Grantor in, to and under all Proceeds of any and all of the foregoing (including, without limitation, all Proceeds (of any kind) received or to be received by such Grantor upon the transfer or other disposition of any of the assets, rights and properties described in clause (a), notwithstanding whether the mortgage, pledge and grant of the security interest in any such asset, right or property is legally effective under applicable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02" w:name="page303"/>
    <w:bookmarkEnd w:id="302"/>
    <w:p>
      <w:pPr>
        <w:spacing w:after="0" w:line="26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or any other provision of this SGR Security Agreement, (</w:t>
      </w:r>
      <w:r>
        <w:rPr>
          <w:rFonts w:ascii="Arial" w:cs="Arial" w:eastAsia="Arial" w:hAnsi="Arial"/>
          <w:sz w:val="17"/>
          <w:szCs w:val="17"/>
          <w:u w:val="single" w:color="auto"/>
          <w:color w:val="auto"/>
        </w:rPr>
        <w:t>1</w:t>
      </w:r>
      <w:r>
        <w:rPr>
          <w:rFonts w:ascii="Arial" w:cs="Arial" w:eastAsia="Arial" w:hAnsi="Arial"/>
          <w:sz w:val="17"/>
          <w:szCs w:val="17"/>
          <w:color w:val="auto"/>
        </w:rPr>
        <w:t>) (</w:t>
      </w:r>
      <w:r>
        <w:rPr>
          <w:rFonts w:ascii="Arial" w:cs="Arial" w:eastAsia="Arial" w:hAnsi="Arial"/>
          <w:sz w:val="17"/>
          <w:szCs w:val="17"/>
          <w:u w:val="single" w:color="auto"/>
          <w:color w:val="auto"/>
        </w:rPr>
        <w:t>x</w:t>
      </w:r>
      <w:r>
        <w:rPr>
          <w:rFonts w:ascii="Arial" w:cs="Arial" w:eastAsia="Arial" w:hAnsi="Arial"/>
          <w:sz w:val="17"/>
          <w:szCs w:val="17"/>
          <w:color w:val="auto"/>
        </w:rPr>
        <w:t>) if a Transfer Restriction would be applicable to the pledge, grant or creation of a security interest in or mortgage on any asset, right or property described above (other than in the Route Authorities or Proceeds thereof), then so long as such Transfer Restriction is in effect, or (</w:t>
      </w:r>
      <w:r>
        <w:rPr>
          <w:rFonts w:ascii="Arial" w:cs="Arial" w:eastAsia="Arial" w:hAnsi="Arial"/>
          <w:sz w:val="17"/>
          <w:szCs w:val="17"/>
          <w:u w:val="single" w:color="auto"/>
          <w:color w:val="auto"/>
        </w:rPr>
        <w:t>y</w:t>
      </w:r>
      <w:r>
        <w:rPr>
          <w:rFonts w:ascii="Arial" w:cs="Arial" w:eastAsia="Arial" w:hAnsi="Arial"/>
          <w:sz w:val="17"/>
          <w:szCs w:val="17"/>
          <w:color w:val="auto"/>
        </w:rPr>
        <w:t>) if, pursuant to the operative provisions of transaction documents existing prior to the Closing Date under any transaction entered into by the Grantors prior to the Closing Date, any asset, right or property is at any time subject to a security interest or mortgage in favor of another Person in connection with such transaction, (and not pursuant to an election made by the Borrower after the Closing Date to add any such asset, right or property as collateral to such transaction) then, this SGR Security Agreement shall not pledge, grant or create any security interest in or mortgage on, and the term “Collateral” shall not include, any such asset, right or property, and (</w:t>
      </w:r>
      <w:r>
        <w:rPr>
          <w:rFonts w:ascii="Arial" w:cs="Arial" w:eastAsia="Arial" w:hAnsi="Arial"/>
          <w:sz w:val="17"/>
          <w:szCs w:val="17"/>
          <w:u w:val="single" w:color="auto"/>
          <w:color w:val="auto"/>
        </w:rPr>
        <w:t>2</w:t>
      </w:r>
      <w:r>
        <w:rPr>
          <w:rFonts w:ascii="Arial" w:cs="Arial" w:eastAsia="Arial" w:hAnsi="Arial"/>
          <w:sz w:val="17"/>
          <w:szCs w:val="17"/>
          <w:color w:val="auto"/>
        </w:rPr>
        <w:t xml:space="preserve">) if any Transfer Restriction applies to the transfer or assignment (other than the pledge, grant or creation of a security interest or mortgage) of any Collateral, any provision of this SGR Security Agreement permitting the Collateral Agent to cause a Grantor to transfer or assign to it or any other Person any of such Collateral (and any right the Collateral Agent may have under applicable law to do so by virtue of the security interest and mortgage pledged or granted to it under this SGR Security Agreement) shall be subject to such Transfer Restriction;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following an Event of Default, at the direction of the Collateral Agent, such Grantor shall use commercially reasonable efforts to obtain all approvals and consents that would be required to transfer or assign Collateral subject to such a Transfer Restriction referred to in clause (</w:t>
      </w:r>
      <w:r>
        <w:rPr>
          <w:rFonts w:ascii="Arial" w:cs="Arial" w:eastAsia="Arial" w:hAnsi="Arial"/>
          <w:sz w:val="17"/>
          <w:szCs w:val="17"/>
          <w:u w:val="single" w:color="auto"/>
          <w:color w:val="auto"/>
        </w:rPr>
        <w:t>2</w:t>
      </w:r>
      <w:r>
        <w:rPr>
          <w:rFonts w:ascii="Arial" w:cs="Arial" w:eastAsia="Arial" w:hAnsi="Arial"/>
          <w:sz w:val="17"/>
          <w:szCs w:val="17"/>
          <w:color w:val="auto"/>
        </w:rPr>
        <w:t>) of the preceding proviso. As used herein, “</w:t>
      </w:r>
      <w:r>
        <w:rPr>
          <w:rFonts w:ascii="Arial" w:cs="Arial" w:eastAsia="Arial" w:hAnsi="Arial"/>
          <w:sz w:val="17"/>
          <w:szCs w:val="17"/>
          <w:u w:val="single" w:color="auto"/>
          <w:color w:val="auto"/>
        </w:rPr>
        <w:t>Transfer Restriction</w:t>
      </w:r>
      <w:r>
        <w:rPr>
          <w:rFonts w:ascii="Arial" w:cs="Arial" w:eastAsia="Arial" w:hAnsi="Arial"/>
          <w:sz w:val="17"/>
          <w:szCs w:val="17"/>
          <w:color w:val="auto"/>
        </w:rPr>
        <w:t>” means any prohibition, restriction or consent requirement, whether arising under contract, applicable law, rule or regulation, or otherwise, relating to the transfer or assignment by a Grantor of, or the pledge, grant, or creation by a Grantor of a security interest or mortgage in, any right, title or interest in any asset, right or property, or any claim, right or benefit arising thereunder or resulting therefrom, if</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303" w:name="page304"/>
    <w:bookmarkEnd w:id="30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transfer or assignment thereof (or any pledge, grant or creation of a security interest or mortgage therein) or any attempt to so transfer, assign, pledge, grant or create, in contravention or violation of any such prohibition or restriction or without any required consent of any Person would (</w:t>
      </w:r>
      <w:r>
        <w:rPr>
          <w:rFonts w:ascii="Arial" w:cs="Arial" w:eastAsia="Arial" w:hAnsi="Arial"/>
          <w:sz w:val="17"/>
          <w:szCs w:val="17"/>
          <w:u w:val="single" w:color="auto"/>
          <w:color w:val="auto"/>
        </w:rPr>
        <w:t>i</w:t>
      </w:r>
      <w:r>
        <w:rPr>
          <w:rFonts w:ascii="Arial" w:cs="Arial" w:eastAsia="Arial" w:hAnsi="Arial"/>
          <w:sz w:val="17"/>
          <w:szCs w:val="17"/>
          <w:color w:val="auto"/>
        </w:rPr>
        <w:t>) constitute a violation of the terms under which such Grantor was granted such right, title or interest or give rise to a default, breach, right of recoupment, claim, defense, termination, right of termination or remedy with respect thereto, (</w:t>
      </w:r>
      <w:r>
        <w:rPr>
          <w:rFonts w:ascii="Arial" w:cs="Arial" w:eastAsia="Arial" w:hAnsi="Arial"/>
          <w:sz w:val="17"/>
          <w:szCs w:val="17"/>
          <w:u w:val="single" w:color="auto"/>
          <w:color w:val="auto"/>
        </w:rPr>
        <w:t>ii</w:t>
      </w:r>
      <w:r>
        <w:rPr>
          <w:rFonts w:ascii="Arial" w:cs="Arial" w:eastAsia="Arial" w:hAnsi="Arial"/>
          <w:sz w:val="17"/>
          <w:szCs w:val="17"/>
          <w:color w:val="auto"/>
        </w:rPr>
        <w:t>) entitle any Governmental Authority or other Person to terminate or suspend any such right, title or interest (or such Grantor’s interest in any agreement or license related thereto), or (</w:t>
      </w:r>
      <w:r>
        <w:rPr>
          <w:rFonts w:ascii="Arial" w:cs="Arial" w:eastAsia="Arial" w:hAnsi="Arial"/>
          <w:sz w:val="17"/>
          <w:szCs w:val="17"/>
          <w:u w:val="single" w:color="auto"/>
          <w:color w:val="auto"/>
        </w:rPr>
        <w:t>iii</w:t>
      </w:r>
      <w:r>
        <w:rPr>
          <w:rFonts w:ascii="Arial" w:cs="Arial" w:eastAsia="Arial" w:hAnsi="Arial"/>
          <w:sz w:val="17"/>
          <w:szCs w:val="17"/>
          <w:color w:val="auto"/>
        </w:rPr>
        <w:t>) be prohibited by or violate any applicable law, rule or regulation, except, in any case, to the extent such “Transfer Restriction” shall be rendered ineffective (both to the extent that it (</w:t>
      </w:r>
      <w:r>
        <w:rPr>
          <w:rFonts w:ascii="Arial" w:cs="Arial" w:eastAsia="Arial" w:hAnsi="Arial"/>
          <w:sz w:val="17"/>
          <w:szCs w:val="17"/>
          <w:u w:val="single" w:color="auto"/>
          <w:color w:val="auto"/>
        </w:rPr>
        <w:t>x</w:t>
      </w:r>
      <w:r>
        <w:rPr>
          <w:rFonts w:ascii="Arial" w:cs="Arial" w:eastAsia="Arial" w:hAnsi="Arial"/>
          <w:sz w:val="17"/>
          <w:szCs w:val="17"/>
          <w:color w:val="auto"/>
        </w:rPr>
        <w:t>) prohibits, restricts or requires consent and (</w:t>
      </w:r>
      <w:r>
        <w:rPr>
          <w:rFonts w:ascii="Arial" w:cs="Arial" w:eastAsia="Arial" w:hAnsi="Arial"/>
          <w:sz w:val="17"/>
          <w:szCs w:val="17"/>
          <w:u w:val="single" w:color="auto"/>
          <w:color w:val="auto"/>
        </w:rPr>
        <w:t>y</w:t>
      </w:r>
      <w:r>
        <w:rPr>
          <w:rFonts w:ascii="Arial" w:cs="Arial" w:eastAsia="Arial" w:hAnsi="Arial"/>
          <w:sz w:val="17"/>
          <w:szCs w:val="17"/>
          <w:color w:val="auto"/>
        </w:rPr>
        <w:t>) gives rise to a default, breach, right of recoupment, claim, defense, termination, right of termination or remedy) by virtue of any applicable law, including, but not limited to Sections 9-406, 9-407, 9-408 or 9-409 of the NY UCC, to the extent applicable (or any corresponding sections of the UCC in a jurisdiction other than the State of New York to the extent applicable).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Security for Obligations; Intercreditor Relations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This SGR Security Agreement secures, and the Collateral is collateral security for, the Obligations.</w:t>
      </w:r>
    </w:p>
    <w:p>
      <w:pPr>
        <w:spacing w:after="0" w:line="225" w:lineRule="exact"/>
        <w:rPr>
          <w:rFonts w:ascii="Arial" w:cs="Arial" w:eastAsia="Arial" w:hAnsi="Arial"/>
          <w:sz w:val="18"/>
          <w:szCs w:val="18"/>
          <w:color w:val="auto"/>
        </w:rPr>
      </w:pPr>
    </w:p>
    <w:p>
      <w:pPr>
        <w:ind w:firstLine="464"/>
        <w:spacing w:after="0" w:line="287" w:lineRule="auto"/>
        <w:tabs>
          <w:tab w:leader="none" w:pos="711" w:val="left"/>
        </w:tabs>
        <w:numPr>
          <w:ilvl w:val="0"/>
          <w:numId w:val="327"/>
        </w:numPr>
        <w:rPr>
          <w:rFonts w:ascii="Arial" w:cs="Arial" w:eastAsia="Arial" w:hAnsi="Arial"/>
          <w:sz w:val="16"/>
          <w:szCs w:val="16"/>
          <w:color w:val="auto"/>
        </w:rPr>
      </w:pPr>
      <w:r>
        <w:rPr>
          <w:rFonts w:ascii="Arial" w:cs="Arial" w:eastAsia="Arial" w:hAnsi="Arial"/>
          <w:sz w:val="16"/>
          <w:szCs w:val="16"/>
          <w:color w:val="auto"/>
        </w:rPr>
        <w:t>Notwithstanding anything herein to the contrary, it is the understanding of the parties hereto that the Liens granted pursuant to Section 1 shall, prior to the Discharge of Additional Obligations that are Senior Priority Obligations, be pari passu and equal in priority to the Liens granted to any Additional Agent for the benefit of the holders of the applicable Additional Obligations that are Senior Priority Obligations to secure such Additional Obligations that are Senior Priority Obligations pursuant to the applicable Additional Collateral Documents (except as may be separately otherwise agreed between the Collateral Agent, on behalf of itself and the Secured Parties, and any Additional Agent, on behalf of itself and the Additional Credit Facility Secured Parties represented thereby). The Collateral Agent acknowledges and agrees that, in the event that it enters into an Intercreditor Agreement or an Other Intercreditor Agreement, the relative priority of the Liens granted to the Collateral Agent, the Administrative Agent and any Additional Agent shall be determined solely (as between the parties to such Intercreditor Agreement or Other Intercreditor Agreement and except as otherwise provided therein) pursuant to the applicable Intercreditor Agreements and Other Intercreditor Agreements, and not by priority as a matter of law or otherwise. Notwithstanding anything herein to the contrary, the Liens granted to the Collateral Agent pursuant to this SGR Security Agreement and the exercise of any right or remedy by the Collateral Agent hereunder are subject to the provisions of the applicable Intercreditor Agreements and Other Intercreditor Agreements. In the event of any conflict between the terms of any Intercreditor Agreement or any Other Intercreditor Agreement and this SGR Security Agreement,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04" w:name="page305"/>
    <w:bookmarkEnd w:id="304"/>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of such Intercreditor Agreement or Other Intercreditor Agreement, as applicable, shall govern and control as among (</w:t>
      </w:r>
      <w:r>
        <w:rPr>
          <w:rFonts w:ascii="Arial" w:cs="Arial" w:eastAsia="Arial" w:hAnsi="Arial"/>
          <w:sz w:val="16"/>
          <w:szCs w:val="16"/>
          <w:u w:val="single" w:color="auto"/>
          <w:color w:val="auto"/>
        </w:rPr>
        <w:t>i</w:t>
      </w:r>
      <w:r>
        <w:rPr>
          <w:rFonts w:ascii="Arial" w:cs="Arial" w:eastAsia="Arial" w:hAnsi="Arial"/>
          <w:sz w:val="16"/>
          <w:szCs w:val="16"/>
          <w:color w:val="auto"/>
        </w:rPr>
        <w:t>) the Collateral Agent and any Additional Agent, in the case of the Intercreditor Agreement, and (</w:t>
      </w:r>
      <w:r>
        <w:rPr>
          <w:rFonts w:ascii="Arial" w:cs="Arial" w:eastAsia="Arial" w:hAnsi="Arial"/>
          <w:sz w:val="16"/>
          <w:szCs w:val="16"/>
          <w:u w:val="single" w:color="auto"/>
          <w:color w:val="auto"/>
        </w:rPr>
        <w:t>ii</w:t>
      </w:r>
      <w:r>
        <w:rPr>
          <w:rFonts w:ascii="Arial" w:cs="Arial" w:eastAsia="Arial" w:hAnsi="Arial"/>
          <w:sz w:val="16"/>
          <w:szCs w:val="16"/>
          <w:color w:val="auto"/>
        </w:rPr>
        <w:t>) the Collateral Agent and any other secured creditor (or agent therefor) party thereto, in the case of any Other Intercreditor Agreement. In the event of any such conflict, the Grantors may act (or omit to act) in accordance with such Intercreditor Agreement or such Other Intercreditor Agreement, as applicable, and shall not be in breach, violation or default of its obligations hereunder by reason of doing so. Notwithstanding any other provision hereof, for so long as any Additional Obligations that are Senior Priority Obligations remain outstanding, any obligation hereunder to deliver, transfer or assign to the Collateral Agent any Collateral shall be satisfied by causing such Collateral to be delivered, transferred or assigned to the applicable Senior Priority Representative to be held in accordance with the Intercreditor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 Release</w:t>
      </w:r>
      <w:r>
        <w:rPr>
          <w:rFonts w:ascii="Arial" w:cs="Arial" w:eastAsia="Arial" w:hAnsi="Arial"/>
          <w:sz w:val="18"/>
          <w:szCs w:val="18"/>
          <w:color w:val="auto"/>
        </w:rPr>
        <w:t>.</w:t>
      </w:r>
    </w:p>
    <w:p>
      <w:pPr>
        <w:spacing w:after="0" w:line="225" w:lineRule="exact"/>
        <w:rPr>
          <w:sz w:val="20"/>
          <w:szCs w:val="20"/>
          <w:color w:val="auto"/>
        </w:rPr>
      </w:pPr>
    </w:p>
    <w:p>
      <w:pPr>
        <w:jc w:val="both"/>
        <w:ind w:firstLine="464"/>
        <w:spacing w:after="0" w:line="264" w:lineRule="auto"/>
        <w:tabs>
          <w:tab w:leader="none" w:pos="70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Other than as provided in clause (2) of the proviso to Section 1, nothing set forth in this SGR Security Agreement shall relieve any Grantor from the performance of any term, covenant, condition or agreement on such Grantor’s part to be performed or observed under or in respect of any of the Collateral or from any liability to any Person under or in respect of any of the Collateral.</w:t>
      </w:r>
    </w:p>
    <w:p>
      <w:pPr>
        <w:spacing w:after="0" w:line="181" w:lineRule="exact"/>
        <w:rPr>
          <w:rFonts w:ascii="Arial" w:cs="Arial" w:eastAsia="Arial" w:hAnsi="Arial"/>
          <w:sz w:val="18"/>
          <w:szCs w:val="18"/>
          <w:color w:val="auto"/>
        </w:rPr>
      </w:pPr>
    </w:p>
    <w:p>
      <w:pPr>
        <w:ind w:right="80" w:firstLine="464"/>
        <w:spacing w:after="0" w:line="297" w:lineRule="auto"/>
        <w:tabs>
          <w:tab w:leader="none" w:pos="711" w:val="left"/>
        </w:tabs>
        <w:numPr>
          <w:ilvl w:val="0"/>
          <w:numId w:val="328"/>
        </w:numPr>
        <w:rPr>
          <w:rFonts w:ascii="Arial" w:cs="Arial" w:eastAsia="Arial" w:hAnsi="Arial"/>
          <w:sz w:val="16"/>
          <w:szCs w:val="16"/>
          <w:color w:val="auto"/>
        </w:rPr>
      </w:pPr>
      <w:r>
        <w:rPr>
          <w:rFonts w:ascii="Arial" w:cs="Arial" w:eastAsia="Arial" w:hAnsi="Arial"/>
          <w:sz w:val="16"/>
          <w:szCs w:val="16"/>
          <w:color w:val="auto"/>
        </w:rPr>
        <w:t>Nothing set forth in this SGR Security Agreement shall impose any obligation on the Collateral Agent or any Secured Party to perform or observe any such term, covenant, condition or agreement on any Grantor’s part to be so performed or observed or impose any liability on the Collateral Agent or any Secured Party for any act or omission on the part of such Grantor relating thereto or for any breach of any representation or warranty on the part of such Grantor contained in this SGR Security Agreement, or in respect of the Collateral or made in connection herewith or therewith. This Section 3(b) shall survive the termination of this SGR Security Agreement and the discharge of the Grantors’ obligations hereunder and under the Loan Documents.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Grantor represents and warrants as follows as of the date hereof:</w:t>
      </w:r>
    </w:p>
    <w:p>
      <w:pPr>
        <w:spacing w:after="0" w:line="117" w:lineRule="exact"/>
        <w:rPr>
          <w:sz w:val="20"/>
          <w:szCs w:val="20"/>
          <w:color w:val="auto"/>
        </w:rPr>
      </w:pPr>
    </w:p>
    <w:p>
      <w:pPr>
        <w:ind w:left="460" w:right="400" w:firstLine="443"/>
        <w:spacing w:after="0" w:line="257" w:lineRule="auto"/>
        <w:tabs>
          <w:tab w:leader="none" w:pos="114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All UCC filings necessary or reasonably requested by the Collateral Agent to create, preserve, protect and perfect the security interests granted by such Grantor to the Collateral Agent for the benefit of the Secured Parties in respect of the Collateral have been accomplished by such Grantor to the extent that such security interests can be perfected by filings under the UCC. Subject to any Intercreditor Agreement and any Other Intercreditor Agreement, the security interests granted to the Collateral Agent for the benefit of the Secured Parties pursuant to this SGR Security Agreement in and to the Collateral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3" w:right="279" w:bottom="1440" w:gutter="0" w:footer="0" w:header="0"/>
        </w:sectPr>
      </w:pPr>
    </w:p>
    <w:bookmarkStart w:id="305" w:name="page306"/>
    <w:bookmarkEnd w:id="30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the Collateral Agent is entitled with respect to such perfected security interest to all the rights, priorities and benefits afforded by the UCC to perfected security interests.</w:t>
      </w:r>
    </w:p>
    <w:p>
      <w:pPr>
        <w:spacing w:after="0" w:line="79" w:lineRule="exact"/>
        <w:rPr>
          <w:sz w:val="20"/>
          <w:szCs w:val="20"/>
          <w:color w:val="auto"/>
        </w:rPr>
      </w:pPr>
    </w:p>
    <w:p>
      <w:pPr>
        <w:ind w:firstLine="443"/>
        <w:spacing w:after="0" w:line="277" w:lineRule="auto"/>
        <w:tabs>
          <w:tab w:leader="none" w:pos="69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There are no filings, registrations or recordings under Title 49 necessary to create, preserve, protect or perfect the security interests granted by such Grantor to the Collateral Agent for the benefit of the Secured Parties in respect of the Collateral.</w:t>
      </w:r>
    </w:p>
    <w:p>
      <w:pPr>
        <w:spacing w:after="0" w:line="62" w:lineRule="exact"/>
        <w:rPr>
          <w:rFonts w:ascii="Arial" w:cs="Arial" w:eastAsia="Arial" w:hAnsi="Arial"/>
          <w:sz w:val="18"/>
          <w:szCs w:val="18"/>
          <w:color w:val="auto"/>
        </w:rPr>
      </w:pPr>
    </w:p>
    <w:p>
      <w:pPr>
        <w:ind w:right="660" w:firstLine="443"/>
        <w:spacing w:after="0" w:line="342" w:lineRule="auto"/>
        <w:tabs>
          <w:tab w:leader="none" w:pos="683"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Such Grantor is, and as to Collateral acquired by it from time to time after the date hereof such Grantor will be, the holder of all such Collateral free from any Lien except for (1) the Lien and security interest created by this SGR Security Agreement and (2) Permitted Liens.</w:t>
      </w:r>
    </w:p>
    <w:p>
      <w:pPr>
        <w:spacing w:after="0" w:line="15" w:lineRule="exact"/>
        <w:rPr>
          <w:rFonts w:ascii="Arial" w:cs="Arial" w:eastAsia="Arial" w:hAnsi="Arial"/>
          <w:sz w:val="16"/>
          <w:szCs w:val="16"/>
          <w:color w:val="auto"/>
        </w:rPr>
      </w:pPr>
    </w:p>
    <w:p>
      <w:pPr>
        <w:ind w:right="80" w:firstLine="443"/>
        <w:spacing w:after="0" w:line="264" w:lineRule="auto"/>
        <w:tabs>
          <w:tab w:leader="none" w:pos="69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There is no UCC financing statement (or, to the knowledge of such Grantor, any similar statement or instrument of registration of a security interest under the law of any jurisdiction) in effect on the date hereof, covering or purporting to cover any security interest in the Collateral (other than those relating to Permitted Liens).</w:t>
      </w:r>
    </w:p>
    <w:p>
      <w:pPr>
        <w:spacing w:after="0" w:line="73" w:lineRule="exact"/>
        <w:rPr>
          <w:rFonts w:ascii="Arial" w:cs="Arial" w:eastAsia="Arial" w:hAnsi="Arial"/>
          <w:sz w:val="18"/>
          <w:szCs w:val="18"/>
          <w:color w:val="auto"/>
        </w:rPr>
      </w:pPr>
    </w:p>
    <w:p>
      <w:pPr>
        <w:ind w:left="680" w:hanging="237"/>
        <w:spacing w:after="0"/>
        <w:tabs>
          <w:tab w:leader="none" w:pos="6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chief executive office of such Grantor is located at the address listed opposite such Grantor’s name in Schedule I hereto.</w:t>
      </w:r>
    </w:p>
    <w:p>
      <w:pPr>
        <w:spacing w:after="0" w:line="117" w:lineRule="exact"/>
        <w:rPr>
          <w:rFonts w:ascii="Arial" w:cs="Arial" w:eastAsia="Arial" w:hAnsi="Arial"/>
          <w:sz w:val="18"/>
          <w:szCs w:val="18"/>
          <w:color w:val="auto"/>
        </w:rPr>
      </w:pPr>
    </w:p>
    <w:p>
      <w:pPr>
        <w:ind w:right="20" w:firstLine="443"/>
        <w:spacing w:after="0" w:line="254" w:lineRule="auto"/>
        <w:tabs>
          <w:tab w:leader="none" w:pos="66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With respect to its Pledged Route Authorities relating to the Scheduled Services, such Grantor holds the requisite authority to operate over such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w:t>
      </w:r>
    </w:p>
    <w:p>
      <w:pPr>
        <w:spacing w:after="0" w:line="84" w:lineRule="exact"/>
        <w:rPr>
          <w:rFonts w:ascii="Arial" w:cs="Arial" w:eastAsia="Arial" w:hAnsi="Arial"/>
          <w:sz w:val="18"/>
          <w:szCs w:val="18"/>
          <w:color w:val="auto"/>
        </w:rPr>
      </w:pPr>
    </w:p>
    <w:p>
      <w:pPr>
        <w:ind w:right="180" w:firstLine="443"/>
        <w:spacing w:after="0" w:line="342" w:lineRule="auto"/>
        <w:tabs>
          <w:tab w:leader="none" w:pos="693"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Set forth in Schedule II is a true, correct and complete list of the Slots at IATA Level 3 airports as of the last calendar week prior to the date hereof. Set forth in Schedule III is a true, correct and complete list of the Scheduled Services as of the last calendar week prior to the date hereof.</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73" w:right="279" w:bottom="1440" w:gutter="0" w:footer="0" w:header="0"/>
        </w:sectPr>
      </w:pPr>
    </w:p>
    <w:bookmarkStart w:id="306" w:name="page307"/>
    <w:bookmarkEnd w:id="306"/>
    <w:p>
      <w:pPr>
        <w:ind w:right="60" w:firstLine="443"/>
        <w:spacing w:after="0" w:line="257" w:lineRule="auto"/>
        <w:tabs>
          <w:tab w:leader="none" w:pos="693"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Grantor holds each of its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w:t>
      </w:r>
    </w:p>
    <w:p>
      <w:pPr>
        <w:spacing w:after="0" w:line="80" w:lineRule="exact"/>
        <w:rPr>
          <w:rFonts w:ascii="Arial" w:cs="Arial" w:eastAsia="Arial" w:hAnsi="Arial"/>
          <w:sz w:val="18"/>
          <w:szCs w:val="18"/>
          <w:color w:val="auto"/>
        </w:rPr>
      </w:pPr>
    </w:p>
    <w:p>
      <w:pPr>
        <w:ind w:firstLine="443"/>
        <w:spacing w:after="0" w:line="276" w:lineRule="auto"/>
        <w:tabs>
          <w:tab w:leader="none" w:pos="653" w:val="left"/>
        </w:tabs>
        <w:numPr>
          <w:ilvl w:val="0"/>
          <w:numId w:val="331"/>
        </w:numPr>
        <w:rPr>
          <w:rFonts w:ascii="Arial" w:cs="Arial" w:eastAsia="Arial" w:hAnsi="Arial"/>
          <w:sz w:val="17"/>
          <w:szCs w:val="17"/>
          <w:color w:val="auto"/>
        </w:rPr>
      </w:pPr>
      <w:r>
        <w:rPr>
          <w:rFonts w:ascii="Arial" w:cs="Arial" w:eastAsia="Arial" w:hAnsi="Arial"/>
          <w:sz w:val="17"/>
          <w:szCs w:val="17"/>
          <w:color w:val="auto"/>
        </w:rPr>
        <w:t>Such Grantor holds each of its Pledged Foreign Gate Leaseholds pursuant to authority granted by the applicable Airport Authority or Foreign Aviation Authority, and there exists no material violation by such Grantor of the regulations, terms, conditions or limitations of the relevant Airport Authority or Foreign Aviation Authority applicable to any such Pledged Foreign Gate Leasehold or any provision of law applicable to any such Pledged Foreign Gate Leasehold that gives any applicable Airport Authority or Foreign Aviation Authority the right to modify in any material respect, terminate, cancel or withdraw the rights of such Grantor in any such Pledged Foreign Gate Leasehold.</w:t>
      </w:r>
    </w:p>
    <w:p>
      <w:pPr>
        <w:spacing w:after="0" w:line="64" w:lineRule="exact"/>
        <w:rPr>
          <w:rFonts w:ascii="Arial" w:cs="Arial" w:eastAsia="Arial" w:hAnsi="Arial"/>
          <w:sz w:val="17"/>
          <w:szCs w:val="17"/>
          <w:color w:val="auto"/>
        </w:rPr>
      </w:pPr>
    </w:p>
    <w:p>
      <w:pPr>
        <w:ind w:right="140" w:firstLine="443"/>
        <w:spacing w:after="0" w:line="297" w:lineRule="auto"/>
        <w:tabs>
          <w:tab w:leader="none" w:pos="653" w:val="left"/>
        </w:tabs>
        <w:numPr>
          <w:ilvl w:val="0"/>
          <w:numId w:val="331"/>
        </w:numPr>
        <w:rPr>
          <w:rFonts w:ascii="Arial" w:cs="Arial" w:eastAsia="Arial" w:hAnsi="Arial"/>
          <w:sz w:val="16"/>
          <w:szCs w:val="16"/>
          <w:color w:val="auto"/>
        </w:rPr>
      </w:pPr>
      <w:r>
        <w:rPr>
          <w:rFonts w:ascii="Arial" w:cs="Arial" w:eastAsia="Arial" w:hAnsi="Arial"/>
          <w:sz w:val="16"/>
          <w:szCs w:val="16"/>
          <w:color w:val="auto"/>
        </w:rPr>
        <w:t>Such Grantor is an “air carrier” within the meaning of Section 40102 of Title 49 and holds a certificate under Section 41102 of Title 49. Such Grantor holds an air carrier operating certificate issued pursuant to Chapter 447 of Title 49. Such Grantor is a United States Citizen. Such Grantor 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w:t>
      </w:r>
    </w:p>
    <w:p>
      <w:pPr>
        <w:spacing w:after="0" w:line="50" w:lineRule="exact"/>
        <w:rPr>
          <w:rFonts w:ascii="Arial" w:cs="Arial" w:eastAsia="Arial" w:hAnsi="Arial"/>
          <w:sz w:val="16"/>
          <w:szCs w:val="16"/>
          <w:color w:val="auto"/>
        </w:rPr>
      </w:pPr>
    </w:p>
    <w:p>
      <w:pPr>
        <w:ind w:right="260" w:firstLine="443"/>
        <w:spacing w:after="0" w:line="277" w:lineRule="auto"/>
        <w:tabs>
          <w:tab w:leader="none" w:pos="69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Such Grantor has full corporate power and authority and legal right to pledge all of the Collateral pursuant to, and as provided in, this SGR Security Agreement.</w:t>
      </w:r>
    </w:p>
    <w:p>
      <w:pPr>
        <w:spacing w:after="0" w:line="62" w:lineRule="exact"/>
        <w:rPr>
          <w:rFonts w:ascii="Arial" w:cs="Arial" w:eastAsia="Arial" w:hAnsi="Arial"/>
          <w:sz w:val="18"/>
          <w:szCs w:val="18"/>
          <w:color w:val="auto"/>
        </w:rPr>
      </w:pPr>
    </w:p>
    <w:p>
      <w:pPr>
        <w:ind w:right="20" w:firstLine="443"/>
        <w:spacing w:after="0" w:line="264" w:lineRule="auto"/>
        <w:tabs>
          <w:tab w:leader="none" w:pos="65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Except for any Transfer Restriction, the execution, delivery and performance by such Grantor of this SGR Security Agreement do not require the consent, authorization by or approval of or notice to or filing or registration with any Governmental Authority or any other Person, other than (</w:t>
      </w:r>
      <w:r>
        <w:rPr>
          <w:rFonts w:ascii="Arial" w:cs="Arial" w:eastAsia="Arial" w:hAnsi="Arial"/>
          <w:sz w:val="18"/>
          <w:szCs w:val="18"/>
          <w:u w:val="single" w:color="auto"/>
          <w:color w:val="auto"/>
        </w:rPr>
        <w:t>i</w:t>
      </w:r>
      <w:r>
        <w:rPr>
          <w:rFonts w:ascii="Arial" w:cs="Arial" w:eastAsia="Arial" w:hAnsi="Arial"/>
          <w:sz w:val="18"/>
          <w:szCs w:val="18"/>
          <w:color w:val="auto"/>
        </w:rPr>
        <w:t>) the filing of financing statements under the UCC or any continuation statement required or</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307" w:name="page308"/>
    <w:bookmarkEnd w:id="307"/>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contemplated to be filed hereby, (</w:t>
      </w:r>
      <w:r>
        <w:rPr>
          <w:rFonts w:ascii="Arial" w:cs="Arial" w:eastAsia="Arial" w:hAnsi="Arial"/>
          <w:sz w:val="18"/>
          <w:szCs w:val="18"/>
          <w:u w:val="single" w:color="auto"/>
          <w:color w:val="auto"/>
        </w:rPr>
        <w:t>ii</w:t>
      </w:r>
      <w:r>
        <w:rPr>
          <w:rFonts w:ascii="Arial" w:cs="Arial" w:eastAsia="Arial" w:hAnsi="Arial"/>
          <w:sz w:val="18"/>
          <w:szCs w:val="18"/>
          <w:color w:val="auto"/>
        </w:rPr>
        <w:t>) such as may be required in order to perfect and register the security interests and liens purported to be created by this SGR Security Agreement, (</w:t>
      </w:r>
      <w:r>
        <w:rPr>
          <w:rFonts w:ascii="Arial" w:cs="Arial" w:eastAsia="Arial" w:hAnsi="Arial"/>
          <w:sz w:val="18"/>
          <w:szCs w:val="18"/>
          <w:u w:val="single" w:color="auto"/>
          <w:color w:val="auto"/>
        </w:rPr>
        <w:t>iii</w:t>
      </w:r>
      <w:r>
        <w:rPr>
          <w:rFonts w:ascii="Arial" w:cs="Arial" w:eastAsia="Arial" w:hAnsi="Arial"/>
          <w:sz w:val="18"/>
          <w:szCs w:val="18"/>
          <w:color w:val="auto"/>
        </w:rPr>
        <w:t>) approvals, consents and exemptions that have been obtained on or prior to the date hereof and remain in full force and effect, (</w:t>
      </w:r>
      <w:r>
        <w:rPr>
          <w:rFonts w:ascii="Arial" w:cs="Arial" w:eastAsia="Arial" w:hAnsi="Arial"/>
          <w:sz w:val="18"/>
          <w:szCs w:val="18"/>
          <w:u w:val="single" w:color="auto"/>
          <w:color w:val="auto"/>
        </w:rPr>
        <w:t>iv</w:t>
      </w:r>
      <w:r>
        <w:rPr>
          <w:rFonts w:ascii="Arial" w:cs="Arial" w:eastAsia="Arial" w:hAnsi="Arial"/>
          <w:sz w:val="18"/>
          <w:szCs w:val="18"/>
          <w:color w:val="auto"/>
        </w:rPr>
        <w:t>) consents, approvals and exemptions that the failure to obtain in the aggregate would not be reasonably expected to result in a Material Adverse Effect and (</w:t>
      </w:r>
      <w:r>
        <w:rPr>
          <w:rFonts w:ascii="Arial" w:cs="Arial" w:eastAsia="Arial" w:hAnsi="Arial"/>
          <w:sz w:val="18"/>
          <w:szCs w:val="18"/>
          <w:u w:val="single" w:color="auto"/>
          <w:color w:val="auto"/>
        </w:rPr>
        <w:t>v</w:t>
      </w:r>
      <w:r>
        <w:rPr>
          <w:rFonts w:ascii="Arial" w:cs="Arial" w:eastAsia="Arial" w:hAnsi="Arial"/>
          <w:sz w:val="18"/>
          <w:szCs w:val="18"/>
          <w:color w:val="auto"/>
        </w:rPr>
        <w:t>) routine reporting obligations.</w:t>
      </w:r>
    </w:p>
    <w:p>
      <w:pPr>
        <w:spacing w:after="0" w:line="79" w:lineRule="exact"/>
        <w:rPr>
          <w:sz w:val="20"/>
          <w:szCs w:val="20"/>
          <w:color w:val="auto"/>
        </w:rPr>
      </w:pPr>
    </w:p>
    <w:p>
      <w:pPr>
        <w:ind w:right="520" w:firstLine="443"/>
        <w:spacing w:after="0" w:line="277" w:lineRule="auto"/>
        <w:tabs>
          <w:tab w:leader="none" w:pos="74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This SGR Security Agreement is made with full recourse to such Grantor and pursuant to and upon all the warranties, representations, covenants and agreements on the part of such Grantor contained herein.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Covenants</w:t>
      </w:r>
      <w:r>
        <w:rPr>
          <w:rFonts w:ascii="Arial" w:cs="Arial" w:eastAsia="Arial" w:hAnsi="Arial"/>
          <w:sz w:val="17"/>
          <w:szCs w:val="17"/>
          <w:color w:val="auto"/>
        </w:rPr>
        <w:t>. Each Grantor covenants and agrees with the Collateral Agent that so long as this SGR Security Agreement is in effect:</w:t>
      </w:r>
    </w:p>
    <w:p>
      <w:pPr>
        <w:spacing w:after="0" w:line="129" w:lineRule="exact"/>
        <w:rPr>
          <w:sz w:val="20"/>
          <w:szCs w:val="20"/>
          <w:color w:val="auto"/>
        </w:rPr>
      </w:pPr>
    </w:p>
    <w:p>
      <w:pPr>
        <w:ind w:firstLine="443"/>
        <w:spacing w:after="0" w:line="259" w:lineRule="auto"/>
        <w:tabs>
          <w:tab w:leader="none" w:pos="68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Such Grantor shall use commercially reasonable efforts to defend the Collateral against any and all claims and demands of all Persons at any time claiming any interest therein adverse to the Collateral Agent or any Secured Party (other than Permitted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such Grantor’s only obligations with respect to any Transfer Restriction described in clause (2) of the first proviso to Section 1 shall be as stated in the second proviso to Section 1.</w:t>
      </w:r>
    </w:p>
    <w:p>
      <w:pPr>
        <w:spacing w:after="0" w:line="78" w:lineRule="exact"/>
        <w:rPr>
          <w:rFonts w:ascii="Arial" w:cs="Arial" w:eastAsia="Arial" w:hAnsi="Arial"/>
          <w:sz w:val="18"/>
          <w:szCs w:val="18"/>
          <w:color w:val="auto"/>
        </w:rPr>
      </w:pPr>
    </w:p>
    <w:p>
      <w:pPr>
        <w:ind w:right="40" w:firstLine="443"/>
        <w:spacing w:after="0" w:line="259" w:lineRule="auto"/>
        <w:tabs>
          <w:tab w:leader="none" w:pos="69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Such Grantor shall not execute or authorize to be filed in any public office any UCC financing statement (or similar statement or instrument of registration of a security interest under the law of any jurisdiction) relating to the Collateral, except UCC financing statements (or similar statements or instruments of registration of a security interest under the law of any jurisdiction) filed or to be filed in respect of and covering the security interests granted hereby by such Grantor and except with respect to Permitted Liens.</w:t>
      </w:r>
    </w:p>
    <w:p>
      <w:pPr>
        <w:spacing w:after="0" w:line="78" w:lineRule="exact"/>
        <w:rPr>
          <w:rFonts w:ascii="Arial" w:cs="Arial" w:eastAsia="Arial" w:hAnsi="Arial"/>
          <w:sz w:val="18"/>
          <w:szCs w:val="18"/>
          <w:color w:val="auto"/>
        </w:rPr>
      </w:pPr>
    </w:p>
    <w:p>
      <w:pPr>
        <w:ind w:right="100" w:firstLine="443"/>
        <w:spacing w:after="0" w:line="255" w:lineRule="auto"/>
        <w:tabs>
          <w:tab w:leader="none" w:pos="68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Such Grantor shall give to the Collateral Agent timely written notice (but in any event not later than 30 days prior to the expiration of the period of time specified under applicable law to prevent lapse of perfection) of any (</w:t>
      </w:r>
      <w:r>
        <w:rPr>
          <w:rFonts w:ascii="Arial" w:cs="Arial" w:eastAsia="Arial" w:hAnsi="Arial"/>
          <w:sz w:val="18"/>
          <w:szCs w:val="18"/>
          <w:u w:val="single" w:color="auto"/>
          <w:color w:val="auto"/>
        </w:rPr>
        <w:t>i</w:t>
      </w:r>
      <w:r>
        <w:rPr>
          <w:rFonts w:ascii="Arial" w:cs="Arial" w:eastAsia="Arial" w:hAnsi="Arial"/>
          <w:sz w:val="18"/>
          <w:szCs w:val="18"/>
          <w:color w:val="auto"/>
        </w:rPr>
        <w:t>) change in its jurisdiction of incorporation, or (</w:t>
      </w:r>
      <w:r>
        <w:rPr>
          <w:rFonts w:ascii="Arial" w:cs="Arial" w:eastAsia="Arial" w:hAnsi="Arial"/>
          <w:sz w:val="18"/>
          <w:szCs w:val="18"/>
          <w:u w:val="single" w:color="auto"/>
          <w:color w:val="auto"/>
        </w:rPr>
        <w:t>ii</w:t>
      </w:r>
      <w:r>
        <w:rPr>
          <w:rFonts w:ascii="Arial" w:cs="Arial" w:eastAsia="Arial" w:hAnsi="Arial"/>
          <w:sz w:val="18"/>
          <w:szCs w:val="18"/>
          <w:color w:val="auto"/>
        </w:rPr>
        <w:t>) change in its name, identity or corporate or other organizational structure to such an extent that any UCC financing statement filed by the Collateral Agent in connection with this SGR Security Agreement would become seriously misleading; and such Grantor shall, in each case, provide such other information in connection therewith as the Collateral Agent may reasonably request and shall make all filings under the UCC reasonably requested by the Collateral Agent to maintain the perfection and priority of the security interests of the Collateral Agent on behalf of the Secured Parties in the Collateral intended to be granted hereby.</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74" w:right="279" w:bottom="1440" w:gutter="0" w:footer="0" w:header="0"/>
        </w:sectPr>
      </w:pPr>
    </w:p>
    <w:bookmarkStart w:id="308" w:name="page309"/>
    <w:bookmarkEnd w:id="30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Supplements, Further Assurances.</w:t>
      </w:r>
    </w:p>
    <w:p>
      <w:pPr>
        <w:spacing w:after="0" w:line="225" w:lineRule="exact"/>
        <w:rPr>
          <w:sz w:val="20"/>
          <w:szCs w:val="20"/>
          <w:color w:val="auto"/>
        </w:rPr>
      </w:pPr>
    </w:p>
    <w:p>
      <w:pPr>
        <w:ind w:left="-40" w:firstLine="464"/>
        <w:spacing w:after="0" w:line="290" w:lineRule="auto"/>
        <w:tabs>
          <w:tab w:leader="none" w:pos="661"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Any Grantor may, at any time and from time to time, execute and deliver to the Collateral Agent, and upon receipt the Collateral Agent shall execute and deliver, a supplement to this SGR Security Agreement in substantially the form of Exhibit A hereto (each such supplement, an “</w:t>
      </w:r>
      <w:r>
        <w:rPr>
          <w:rFonts w:ascii="Arial" w:cs="Arial" w:eastAsia="Arial" w:hAnsi="Arial"/>
          <w:sz w:val="16"/>
          <w:szCs w:val="16"/>
          <w:u w:val="single" w:color="auto"/>
          <w:color w:val="auto"/>
        </w:rPr>
        <w:t>SGR Security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 Supplement</w:t>
      </w:r>
      <w:r>
        <w:rPr>
          <w:rFonts w:ascii="Arial" w:cs="Arial" w:eastAsia="Arial" w:hAnsi="Arial"/>
          <w:sz w:val="16"/>
          <w:szCs w:val="16"/>
          <w:color w:val="auto"/>
        </w:rPr>
        <w:t>”) designating any non-stop scheduled air carrier service being operated by such Grantor at such time (each, a “</w:t>
      </w:r>
      <w:r>
        <w:rPr>
          <w:rFonts w:ascii="Arial" w:cs="Arial" w:eastAsia="Arial" w:hAnsi="Arial"/>
          <w:sz w:val="16"/>
          <w:szCs w:val="16"/>
          <w:u w:val="single" w:color="auto"/>
          <w:color w:val="auto"/>
        </w:rPr>
        <w:t>Designated Service</w:t>
      </w:r>
      <w:r>
        <w:rPr>
          <w:rFonts w:ascii="Arial" w:cs="Arial" w:eastAsia="Arial" w:hAnsi="Arial"/>
          <w:sz w:val="16"/>
          <w:szCs w:val="16"/>
          <w:color w:val="auto"/>
        </w:rPr>
        <w:t>”) as an additional Scheduled Service, identifying one or more airports (or if applicable, designating airports within a particular region) outside the United States that is an origin and/or destination point for such Designated Service and, if applicable, identifying one or more route authorities to operate such Designated Service as an additional Route Authority. Upon the execution and delivery of such SGR Security Agreement Supplement, (</w:t>
      </w:r>
      <w:r>
        <w:rPr>
          <w:rFonts w:ascii="Arial" w:cs="Arial" w:eastAsia="Arial" w:hAnsi="Arial"/>
          <w:sz w:val="16"/>
          <w:szCs w:val="16"/>
          <w:u w:val="single" w:color="auto"/>
          <w:color w:val="auto"/>
        </w:rPr>
        <w:t>i</w:t>
      </w:r>
      <w:r>
        <w:rPr>
          <w:rFonts w:ascii="Arial" w:cs="Arial" w:eastAsia="Arial" w:hAnsi="Arial"/>
          <w:sz w:val="16"/>
          <w:szCs w:val="16"/>
          <w:color w:val="auto"/>
        </w:rPr>
        <w:t>) each such Designated Service shall be included in the definition of “Scheduled Services”, (</w:t>
      </w:r>
      <w:r>
        <w:rPr>
          <w:rFonts w:ascii="Arial" w:cs="Arial" w:eastAsia="Arial" w:hAnsi="Arial"/>
          <w:sz w:val="16"/>
          <w:szCs w:val="16"/>
          <w:u w:val="single" w:color="auto"/>
          <w:color w:val="auto"/>
        </w:rPr>
        <w:t>ii</w:t>
      </w:r>
      <w:r>
        <w:rPr>
          <w:rFonts w:ascii="Arial" w:cs="Arial" w:eastAsia="Arial" w:hAnsi="Arial"/>
          <w:sz w:val="16"/>
          <w:szCs w:val="16"/>
          <w:color w:val="auto"/>
        </w:rPr>
        <w:t>) each such route authority shall be included in the definition of “Route Authorities” and (</w:t>
      </w:r>
      <w:r>
        <w:rPr>
          <w:rFonts w:ascii="Arial" w:cs="Arial" w:eastAsia="Arial" w:hAnsi="Arial"/>
          <w:sz w:val="16"/>
          <w:szCs w:val="16"/>
          <w:u w:val="single" w:color="auto"/>
          <w:color w:val="auto"/>
        </w:rPr>
        <w:t>iii</w:t>
      </w:r>
      <w:r>
        <w:rPr>
          <w:rFonts w:ascii="Arial" w:cs="Arial" w:eastAsia="Arial" w:hAnsi="Arial"/>
          <w:sz w:val="16"/>
          <w:szCs w:val="16"/>
          <w:color w:val="auto"/>
        </w:rPr>
        <w:t>) the Additional Collateral (as defined in such SGR Security Agreement Supplement) shall be Collateral hereunder.</w:t>
      </w:r>
    </w:p>
    <w:p>
      <w:pPr>
        <w:spacing w:after="0" w:line="166" w:lineRule="exact"/>
        <w:rPr>
          <w:rFonts w:ascii="Arial" w:cs="Arial" w:eastAsia="Arial" w:hAnsi="Arial"/>
          <w:sz w:val="16"/>
          <w:szCs w:val="16"/>
          <w:color w:val="auto"/>
        </w:rPr>
      </w:pPr>
    </w:p>
    <w:p>
      <w:pPr>
        <w:ind w:left="-40" w:firstLine="464"/>
        <w:spacing w:after="0" w:line="276" w:lineRule="auto"/>
        <w:tabs>
          <w:tab w:leader="none" w:pos="671" w:val="left"/>
        </w:tabs>
        <w:numPr>
          <w:ilvl w:val="0"/>
          <w:numId w:val="334"/>
        </w:numPr>
        <w:rPr>
          <w:rFonts w:ascii="Arial" w:cs="Arial" w:eastAsia="Arial" w:hAnsi="Arial"/>
          <w:sz w:val="17"/>
          <w:szCs w:val="17"/>
          <w:color w:val="auto"/>
        </w:rPr>
      </w:pPr>
      <w:r>
        <w:rPr>
          <w:rFonts w:ascii="Arial" w:cs="Arial" w:eastAsia="Arial" w:hAnsi="Arial"/>
          <w:sz w:val="17"/>
          <w:szCs w:val="17"/>
          <w:color w:val="auto"/>
        </w:rPr>
        <w:t>Each Grantor agrees that at any time and from time to time, upon the reasonable request of the Collateral Agent and at the reasonable expense of such Grantor, such Grantor will (</w:t>
      </w:r>
      <w:r>
        <w:rPr>
          <w:rFonts w:ascii="Arial" w:cs="Arial" w:eastAsia="Arial" w:hAnsi="Arial"/>
          <w:sz w:val="17"/>
          <w:szCs w:val="17"/>
          <w:u w:val="single" w:color="auto"/>
          <w:color w:val="auto"/>
        </w:rPr>
        <w:t>i</w:t>
      </w:r>
      <w:r>
        <w:rPr>
          <w:rFonts w:ascii="Arial" w:cs="Arial" w:eastAsia="Arial" w:hAnsi="Arial"/>
          <w:sz w:val="17"/>
          <w:szCs w:val="17"/>
          <w:color w:val="auto"/>
        </w:rPr>
        <w:t>) take, or cause to be taken, such action with respect to the due and timely recording, filing, re-recording and re-filing of any financing statements and any continuation statements under the UCC as are necessary to maintain the perfection of any security interest granted or purported to be granted or intended to be granted hereby, subject, in each case, to Permitted Liens, or (</w:t>
      </w:r>
      <w:r>
        <w:rPr>
          <w:rFonts w:ascii="Arial" w:cs="Arial" w:eastAsia="Arial" w:hAnsi="Arial"/>
          <w:sz w:val="17"/>
          <w:szCs w:val="17"/>
          <w:u w:val="single" w:color="auto"/>
          <w:color w:val="auto"/>
        </w:rPr>
        <w:t>ii</w:t>
      </w:r>
      <w:r>
        <w:rPr>
          <w:rFonts w:ascii="Arial" w:cs="Arial" w:eastAsia="Arial" w:hAnsi="Arial"/>
          <w:sz w:val="17"/>
          <w:szCs w:val="17"/>
          <w:color w:val="auto"/>
        </w:rPr>
        <w:t>) furnish the Collateral Agent with such financing statements and continuation statements, as may be required to enable the Collateral Agent to take such action.</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Provisions Concerning Collateral</w:t>
      </w:r>
      <w:r>
        <w:rPr>
          <w:rFonts w:ascii="Arial" w:cs="Arial" w:eastAsia="Arial" w:hAnsi="Arial"/>
          <w:sz w:val="18"/>
          <w:szCs w:val="18"/>
          <w:color w:val="auto"/>
        </w:rPr>
        <w:t>.</w:t>
      </w:r>
    </w:p>
    <w:p>
      <w:pPr>
        <w:spacing w:after="0" w:line="117" w:lineRule="exact"/>
        <w:rPr>
          <w:sz w:val="20"/>
          <w:szCs w:val="20"/>
          <w:color w:val="auto"/>
        </w:rPr>
      </w:pPr>
    </w:p>
    <w:p>
      <w:pPr>
        <w:ind w:left="420" w:right="140" w:firstLine="443"/>
        <w:spacing w:after="0" w:line="271" w:lineRule="auto"/>
        <w:tabs>
          <w:tab w:leader="none" w:pos="1103"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UCC Financing Statements</w:t>
      </w:r>
      <w:r>
        <w:rPr>
          <w:rFonts w:ascii="Arial" w:cs="Arial" w:eastAsia="Arial" w:hAnsi="Arial"/>
          <w:sz w:val="17"/>
          <w:szCs w:val="17"/>
          <w:color w:val="auto"/>
        </w:rPr>
        <w:t>. Each Grantor hereby authorizes the Collateral Agent, at any time and from time to time, to file or record such UCC financing statements which reasonably describe the Collateral and amendments thereto, in the form provided to it by such Grantor, as may from time to time be required or necessary to grant, continue and maintain a valid, enforceable, first priority security interest in the Collateral as provided herein, subject to Permitted Liens (to the extent such perfection and priority can be obtained by filing a UCC financing statement), all in accordance with the UCC. Each Grantor shall pay any applicable filing fees and other reasonable out-of-pocket expenses related to the filing of such UCC financing statements and amendments thereto. The Collateral Agent hereby authorizes each Grantor to file (</w:t>
      </w:r>
      <w:r>
        <w:rPr>
          <w:rFonts w:ascii="Arial" w:cs="Arial" w:eastAsia="Arial" w:hAnsi="Arial"/>
          <w:sz w:val="17"/>
          <w:szCs w:val="17"/>
          <w:u w:val="single" w:color="auto"/>
          <w:color w:val="auto"/>
        </w:rPr>
        <w:t>i</w:t>
      </w:r>
      <w:r>
        <w:rPr>
          <w:rFonts w:ascii="Arial" w:cs="Arial" w:eastAsia="Arial" w:hAnsi="Arial"/>
          <w:sz w:val="17"/>
          <w:szCs w:val="17"/>
          <w:color w:val="auto"/>
        </w:rPr>
        <w:t>) UCC financing statements and amendments to UCC financing statements filed on or prior to the date hereof in each case adding Collateral pursuant to an SGR Security Agreement Supplement and (</w:t>
      </w:r>
      <w:r>
        <w:rPr>
          <w:rFonts w:ascii="Arial" w:cs="Arial" w:eastAsia="Arial" w:hAnsi="Arial"/>
          <w:sz w:val="17"/>
          <w:szCs w:val="17"/>
          <w:u w:val="single" w:color="auto"/>
          <w:color w:val="auto"/>
        </w:rPr>
        <w:t>ii</w:t>
      </w:r>
      <w:r>
        <w:rPr>
          <w:rFonts w:ascii="Arial" w:cs="Arial" w:eastAsia="Arial" w:hAnsi="Arial"/>
          <w:sz w:val="17"/>
          <w:szCs w:val="17"/>
          <w:color w:val="auto"/>
        </w:rPr>
        <w:t>) continuation statements of any UCC financing statement naming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74" w:right="279" w:bottom="1440" w:gutter="0" w:footer="0" w:header="0"/>
        </w:sectPr>
      </w:pPr>
    </w:p>
    <w:bookmarkStart w:id="309" w:name="page310"/>
    <w:bookmarkEnd w:id="309"/>
    <w:p>
      <w:pPr>
        <w:ind w:left="46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Agent, as secured party, and such Grantor, as debtor, in each case filed pursuant to the terms of this SGR Security Agreement, any SGR Security Agreement Supplement and the other Loan Documents. Notwithstanding the foregoing and for the avoidance of doubt, no Grantor shall be responsible for the filing of any continuation statements of any UCC financing statements referred to herein unless such filing is requested by, and expressly authorized by, the Collateral Agent.</w:t>
      </w:r>
    </w:p>
    <w:p>
      <w:pPr>
        <w:spacing w:after="0" w:line="79" w:lineRule="exact"/>
        <w:rPr>
          <w:sz w:val="20"/>
          <w:szCs w:val="20"/>
          <w:color w:val="auto"/>
        </w:rPr>
      </w:pPr>
    </w:p>
    <w:p>
      <w:pPr>
        <w:ind w:left="460" w:firstLine="443"/>
        <w:spacing w:after="0" w:line="272" w:lineRule="auto"/>
        <w:tabs>
          <w:tab w:leader="none" w:pos="1153"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Compliance with Laws and Regulations</w:t>
      </w:r>
      <w:r>
        <w:rPr>
          <w:rFonts w:ascii="Arial" w:cs="Arial" w:eastAsia="Arial" w:hAnsi="Arial"/>
          <w:sz w:val="17"/>
          <w:szCs w:val="17"/>
          <w:color w:val="auto"/>
        </w:rPr>
        <w:t>. Except for matters that would not reasonably be expected to result in a Material Adverse Effect, each Grantor shall comply with all laws, ordinances, orders, rules, regulations, and requirements of all federal, state, municipal or other governmental or quasi-governmental authorities or bodies including, without limitation, Foreign Aviation Authorities, then applicable to the Collateral (or any part thereof) and/or the use thereof by such Grantor, of every nature and kind (the “</w:t>
      </w:r>
      <w:r>
        <w:rPr>
          <w:rFonts w:ascii="Arial" w:cs="Arial" w:eastAsia="Arial" w:hAnsi="Arial"/>
          <w:sz w:val="17"/>
          <w:szCs w:val="17"/>
          <w:u w:val="single" w:color="auto"/>
          <w:color w:val="auto"/>
        </w:rPr>
        <w:t>Requirements</w:t>
      </w:r>
      <w:r>
        <w:rPr>
          <w:rFonts w:ascii="Arial" w:cs="Arial" w:eastAsia="Arial" w:hAnsi="Arial"/>
          <w:sz w:val="17"/>
          <w:szCs w:val="17"/>
          <w:color w:val="auto"/>
        </w:rPr>
        <w:t>”), whether or not such Requirements shall now exist or shall hereafter be enacted or promulgated and whether or not the same may be said to be within the present contemplation of the parties hereto. Notwithstanding the foregoing, if any Grantor in good faith contests a Requirement, it shall not be obligated to comply with such Requirement to the extent such non-compliance or deferral is consistent with law and does not have a Material Adverse Effect.</w:t>
      </w:r>
    </w:p>
    <w:p>
      <w:pPr>
        <w:spacing w:after="0" w:line="69" w:lineRule="exact"/>
        <w:rPr>
          <w:rFonts w:ascii="Arial" w:cs="Arial" w:eastAsia="Arial" w:hAnsi="Arial"/>
          <w:sz w:val="17"/>
          <w:szCs w:val="17"/>
          <w:color w:val="auto"/>
        </w:rPr>
      </w:pPr>
    </w:p>
    <w:p>
      <w:pPr>
        <w:ind w:left="460" w:right="260" w:firstLine="443"/>
        <w:spacing w:after="0" w:line="264" w:lineRule="auto"/>
        <w:tabs>
          <w:tab w:leader="none" w:pos="1143"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Notice of Violations</w:t>
      </w:r>
      <w:r>
        <w:rPr>
          <w:rFonts w:ascii="Arial" w:cs="Arial" w:eastAsia="Arial" w:hAnsi="Arial"/>
          <w:sz w:val="18"/>
          <w:szCs w:val="18"/>
          <w:color w:val="auto"/>
        </w:rPr>
        <w:t>. Each Grantor agrees to give the Collateral Agent notice of any violations of any Requirement with respect to the Collateral or such Grantor’s use thereof that may reasonably be expected to have a Material Adverse Effect within fifteen (15) Business Days after a Responsible Officer of such Grantor obtains knowledge of such violation.</w:t>
      </w:r>
    </w:p>
    <w:p>
      <w:pPr>
        <w:spacing w:after="0" w:line="73" w:lineRule="exact"/>
        <w:rPr>
          <w:rFonts w:ascii="Arial" w:cs="Arial" w:eastAsia="Arial" w:hAnsi="Arial"/>
          <w:sz w:val="18"/>
          <w:szCs w:val="18"/>
          <w:color w:val="auto"/>
        </w:rPr>
      </w:pPr>
    </w:p>
    <w:p>
      <w:pPr>
        <w:ind w:left="460" w:right="340" w:firstLine="443"/>
        <w:spacing w:after="0" w:line="308" w:lineRule="auto"/>
        <w:tabs>
          <w:tab w:leader="none" w:pos="1153"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Disposition of Collateral</w:t>
      </w:r>
      <w:r>
        <w:rPr>
          <w:rFonts w:ascii="Arial" w:cs="Arial" w:eastAsia="Arial" w:hAnsi="Arial"/>
          <w:sz w:val="17"/>
          <w:szCs w:val="17"/>
          <w:color w:val="auto"/>
        </w:rPr>
        <w:t>. Any or all of the Collateral may be sold, leased, conveyed, transferred or otherwise disposed of by any Grantor, subject to the terms of the Credit Agreement and each applicable Intercreditor Agreement and Other Intercreditor Agreement.</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Collateral Agent Appointed Attorney-in-Fact</w:t>
      </w:r>
      <w:r>
        <w:rPr>
          <w:rFonts w:ascii="Arial" w:cs="Arial" w:eastAsia="Arial" w:hAnsi="Arial"/>
          <w:sz w:val="17"/>
          <w:szCs w:val="17"/>
          <w:color w:val="auto"/>
        </w:rPr>
        <w:t>. The Grantors hereby appoint the Collateral Agent as each Grantor’s attorney-in-fact, with full authority in the place and stead of each Grantor and in the name of each Grantor or otherwise, from time to time in the Collateral Agent’s discretion, upon the occurrence and during the continuation of an Event of Default, and in accordance with and subject to any Intercreditor Agreement and any Other Intercreditor Agreement, to take any action and to execute any instrument which the Collateral Agent may reasonably deem necessary or advisable to accomplish the purposes of this SGR Security Agreement, which appointment as attorney-in-fact is coupled with an interest.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3" w:right="259" w:bottom="1440" w:gutter="0" w:footer="0" w:header="0"/>
        </w:sectPr>
      </w:pPr>
    </w:p>
    <w:bookmarkStart w:id="310" w:name="page311"/>
    <w:bookmarkEnd w:id="310"/>
    <w:p>
      <w:pPr>
        <w:ind w:right="2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Collateral Agent May Perform</w:t>
      </w:r>
      <w:r>
        <w:rPr>
          <w:rFonts w:ascii="Arial" w:cs="Arial" w:eastAsia="Arial" w:hAnsi="Arial"/>
          <w:sz w:val="18"/>
          <w:szCs w:val="18"/>
          <w:color w:val="auto"/>
        </w:rPr>
        <w:t>. If any Grantor fails to perform any agreement contained herein within a reasonable time after receipt of a written request to do so from the Collateral Agent, upon two (2) Business Days prior written notice the Collateral Agent may itself perform, or cause performance of, such agreement, and the reasonable expenses of the Collateral Agent, including, without limitation, the reasonable fees and out-of-pocket expenses of its counsel, incurred in connection therewith, shall be payable by the Borrower in accordance with Section 10.04 of the Credit Agreement and shall constitute Obligations.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The Collateral Agent</w:t>
      </w:r>
      <w:r>
        <w:rPr>
          <w:rFonts w:ascii="Arial" w:cs="Arial" w:eastAsia="Arial" w:hAnsi="Arial"/>
          <w:sz w:val="17"/>
          <w:szCs w:val="17"/>
          <w:color w:val="auto"/>
        </w:rPr>
        <w:t>. Each Grantor acknowledges that the rights and responsibilities of the Collateral Agent under this SGR Security Agreement with respect to any action taken by the Collateral Agent or the exercise or non-exercise by the Collateral Agent of any option, voting right, request, judgment or other right or remedy provided for herein or resulting or arising out of this SGR Security Agreement or any amendment, supplement or other modification of this SGR Security Agreement shall, as between the Collateral Agent and the Secured Parties, be governed by the Credit Agreement and by such other agreements with respect thereto as may exist from time to time among them, but, as between the Collateral Agent and each Grantor, the Collateral Agent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Events of Default, Remedies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9" w:lineRule="auto"/>
        <w:tabs>
          <w:tab w:leader="none" w:pos="701"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Remedies: Obtaining the Collateral Upon Event of Default</w:t>
      </w:r>
      <w:r>
        <w:rPr>
          <w:rFonts w:ascii="Arial" w:cs="Arial" w:eastAsia="Arial" w:hAnsi="Arial"/>
          <w:sz w:val="17"/>
          <w:szCs w:val="17"/>
          <w:color w:val="auto"/>
        </w:rPr>
        <w:t>. In each case, subject to the requirements of applicable law (including without limitation the UCC and Title 49) and subject to the approval of all necessary Governmental Authorities, Foreign Aviation Authorities and Airport Authorities, if any Event of Default shall have occurred and be continuing, then and in every such case, the Collateral Agent may, subject to any Intercreditor Agreement and any Other Intercreditor Agreement, at any time or from time to time during the continuance of such Event of Default:</w:t>
      </w:r>
    </w:p>
    <w:p>
      <w:pPr>
        <w:spacing w:after="0" w:line="63" w:lineRule="exact"/>
        <w:rPr>
          <w:rFonts w:ascii="Arial" w:cs="Arial" w:eastAsia="Arial" w:hAnsi="Arial"/>
          <w:sz w:val="17"/>
          <w:szCs w:val="17"/>
          <w:color w:val="auto"/>
        </w:rPr>
      </w:pPr>
    </w:p>
    <w:p>
      <w:pPr>
        <w:ind w:left="460" w:right="40" w:firstLine="443"/>
        <w:spacing w:after="0" w:line="293" w:lineRule="auto"/>
        <w:tabs>
          <w:tab w:leader="none" w:pos="1113" w:val="left"/>
        </w:tabs>
        <w:numPr>
          <w:ilvl w:val="1"/>
          <w:numId w:val="337"/>
        </w:numPr>
        <w:rPr>
          <w:rFonts w:ascii="Arial" w:cs="Arial" w:eastAsia="Arial" w:hAnsi="Arial"/>
          <w:sz w:val="16"/>
          <w:szCs w:val="16"/>
          <w:color w:val="auto"/>
        </w:rPr>
      </w:pPr>
      <w:r>
        <w:rPr>
          <w:rFonts w:ascii="Arial" w:cs="Arial" w:eastAsia="Arial" w:hAnsi="Arial"/>
          <w:sz w:val="16"/>
          <w:szCs w:val="16"/>
          <w:color w:val="auto"/>
        </w:rPr>
        <w:t>Declare the entire right, title and interest of any Grantor in and to the Collateral vested, in which event such right, title and interest shall immediately vest in the Collateral Agent, in which case such Grantor agrees to execute and deliver such deeds of conveyance, assignments and other documents or instruments (including any notices or applications to the DOT, the FAA, applicable Foreign Aviation Authorities, Governmental Authorities or Airport Authorities having jurisdiction over any such Collateral or the use thereof) as shall be requested by the Collateral Agent in order to effectuate the transfer of such Collateral, together with copies of the certificates or orders issued by the DOT and the Foreign Aviation Authorities representing same and any other rights of such Grantor with respect thereto, to any designee or designees selected by the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3" w:right="299" w:bottom="1440" w:gutter="0" w:footer="0" w:header="0"/>
        </w:sectPr>
      </w:pPr>
    </w:p>
    <w:bookmarkStart w:id="311" w:name="page312"/>
    <w:bookmarkEnd w:id="311"/>
    <w:p>
      <w:pPr>
        <w:ind w:left="4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Agent and approved by all necessary Governmental Authorities, Foreign Aviation Authorities and Airport Authorities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of the foregoing is not permitted under applicable law or by the DOT or applicable Governmental Authority, Foreign Aviation Authority and/or Airport Authority, the Collateral Agent for the benefit of the Secured Parties shall nevertheless continue to have all of such Grantor’s right, title and interest in and to all of the Proceeds (of any kind) received or to be received by such Grantor upon the transfer or other disposition of such Collateral); it being understood that each Grantor’s obligation to deliver such Collateral and such documents and instruments with respect thereto, subject to the aforesaid limitations, is of the essence of this SGR Security Agreement; and</w:t>
      </w:r>
    </w:p>
    <w:p>
      <w:pPr>
        <w:spacing w:after="0" w:line="70" w:lineRule="exact"/>
        <w:rPr>
          <w:sz w:val="20"/>
          <w:szCs w:val="20"/>
          <w:color w:val="auto"/>
        </w:rPr>
      </w:pPr>
    </w:p>
    <w:p>
      <w:pPr>
        <w:ind w:left="460" w:right="640" w:firstLine="443"/>
        <w:spacing w:after="0" w:line="277" w:lineRule="auto"/>
        <w:tabs>
          <w:tab w:leader="none" w:pos="116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Sell or otherwise liquidate, or direct any Grantor to sell or otherwise liquidate, any or all of the Collateral or any part thereof and take possession of the Proceeds of any such sale or liquidation.</w:t>
      </w:r>
    </w:p>
    <w:p>
      <w:pPr>
        <w:spacing w:after="0" w:line="170" w:lineRule="exact"/>
        <w:rPr>
          <w:rFonts w:ascii="Arial" w:cs="Arial" w:eastAsia="Arial" w:hAnsi="Arial"/>
          <w:sz w:val="18"/>
          <w:szCs w:val="18"/>
          <w:color w:val="auto"/>
        </w:rPr>
      </w:pPr>
    </w:p>
    <w:p>
      <w:pPr>
        <w:ind w:right="80" w:firstLine="464"/>
        <w:spacing w:after="0" w:line="312" w:lineRule="auto"/>
        <w:tabs>
          <w:tab w:leader="none" w:pos="711"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Remedies; Disposition of the Collateral</w:t>
      </w:r>
      <w:r>
        <w:rPr>
          <w:rFonts w:ascii="Arial" w:cs="Arial" w:eastAsia="Arial" w:hAnsi="Arial"/>
          <w:sz w:val="16"/>
          <w:szCs w:val="16"/>
          <w:color w:val="auto"/>
        </w:rPr>
        <w:t>. In each case, subject to the requirements of applicable law (including without limitation the UCC and Title 49), subject to the Credit Agreement, and subject to any Intercreditor Agreement and any Other Intercreditor Agreement, and subject to the approval of all necessary Governmental Authorities, Foreign Aviation Authorities and Airport Authorities, if any Event of Default shall have occurred and be continuing:</w:t>
      </w:r>
    </w:p>
    <w:p>
      <w:pPr>
        <w:spacing w:after="0" w:line="38" w:lineRule="exact"/>
        <w:rPr>
          <w:rFonts w:ascii="Arial" w:cs="Arial" w:eastAsia="Arial" w:hAnsi="Arial"/>
          <w:sz w:val="16"/>
          <w:szCs w:val="16"/>
          <w:color w:val="auto"/>
        </w:rPr>
      </w:pPr>
    </w:p>
    <w:p>
      <w:pPr>
        <w:ind w:left="460" w:right="20" w:firstLine="443"/>
        <w:spacing w:after="0" w:line="287" w:lineRule="auto"/>
        <w:tabs>
          <w:tab w:leader="none" w:pos="1113" w:val="left"/>
        </w:tabs>
        <w:numPr>
          <w:ilvl w:val="1"/>
          <w:numId w:val="3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t>
      </w:r>
      <w:r>
        <w:rPr>
          <w:rFonts w:ascii="Arial" w:cs="Arial" w:eastAsia="Arial" w:hAnsi="Arial"/>
          <w:sz w:val="16"/>
          <w:szCs w:val="16"/>
          <w:color w:val="auto"/>
        </w:rPr>
        <w:t>) the Collateral Agent may from time to time exercise in respect of the Collateral, in addition to other rights and remedies provided for herein or otherwise available to it, and all the rights and remedies of a secured party on default under the UCC at the time of such Event of Default, and the Collateral Agent may also in its sole discretion, without notice except as specified below, sell the Collateral or any part thereof in one or more parcels at public or private sale, at any exchange, broker’s board or at any of the Collateral Agent’s offices or elsewhere, for cash, on credit or for future delivery, and at such price or prices and upon such other terms as the Collateral Agent may deem commercially reasonable, (</w:t>
      </w:r>
      <w:r>
        <w:rPr>
          <w:rFonts w:ascii="Arial" w:cs="Arial" w:eastAsia="Arial" w:hAnsi="Arial"/>
          <w:sz w:val="16"/>
          <w:szCs w:val="16"/>
          <w:u w:val="single" w:color="auto"/>
          <w:color w:val="auto"/>
        </w:rPr>
        <w:t>B</w:t>
      </w:r>
      <w:r>
        <w:rPr>
          <w:rFonts w:ascii="Arial" w:cs="Arial" w:eastAsia="Arial" w:hAnsi="Arial"/>
          <w:sz w:val="16"/>
          <w:szCs w:val="16"/>
          <w:color w:val="auto"/>
        </w:rPr>
        <w:t>) the Collateral Agent or any other Secured Party may be the purchasers of any or all of the Collateral at any such sale and shall be entitled, for the purpose of bidding and making settlement or payment of the purchase price for all or any portion of the Collateral sold at such sale, to use and apply any of the Obligations owed to such Person as a credit on account of the purchase price of any Collateral payable by such Person at such sale, (</w:t>
      </w:r>
      <w:r>
        <w:rPr>
          <w:rFonts w:ascii="Arial" w:cs="Arial" w:eastAsia="Arial" w:hAnsi="Arial"/>
          <w:sz w:val="16"/>
          <w:szCs w:val="16"/>
          <w:u w:val="single" w:color="auto"/>
          <w:color w:val="auto"/>
        </w:rPr>
        <w:t>C</w:t>
      </w:r>
      <w:r>
        <w:rPr>
          <w:rFonts w:ascii="Arial" w:cs="Arial" w:eastAsia="Arial" w:hAnsi="Arial"/>
          <w:sz w:val="16"/>
          <w:szCs w:val="16"/>
          <w:color w:val="auto"/>
        </w:rPr>
        <w:t>) each purchaser at any such sale shall acquire the property sold absolutely free from any claim or right on the part of any Grantor, and each Grantor hereby waives, to the fullest extent permitted by law, all rights of redemption, stay or appraisal which it now has or may at any time in the future have under any rule of law or statute now existing or hereafter enacted, (</w:t>
      </w:r>
      <w:r>
        <w:rPr>
          <w:rFonts w:ascii="Arial" w:cs="Arial" w:eastAsia="Arial" w:hAnsi="Arial"/>
          <w:sz w:val="16"/>
          <w:szCs w:val="16"/>
          <w:u w:val="single" w:color="auto"/>
          <w:color w:val="auto"/>
        </w:rPr>
        <w:t>D</w:t>
      </w:r>
      <w:r>
        <w:rPr>
          <w:rFonts w:ascii="Arial" w:cs="Arial" w:eastAsia="Arial" w:hAnsi="Arial"/>
          <w:sz w:val="16"/>
          <w:szCs w:val="16"/>
          <w:color w:val="auto"/>
        </w:rPr>
        <w:t>) each Grantor agrees that, to the extent notice of sale shall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12" w:name="page313"/>
    <w:bookmarkEnd w:id="31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required by law, at least ten (10) days’ notice to the Borrower of the time and place of any public sale or the time after which any private sale is to be made shall constitute reasonable notification, (</w:t>
      </w:r>
      <w:r>
        <w:rPr>
          <w:rFonts w:ascii="Arial" w:cs="Arial" w:eastAsia="Arial" w:hAnsi="Arial"/>
          <w:sz w:val="17"/>
          <w:szCs w:val="17"/>
          <w:u w:val="single" w:color="auto"/>
          <w:color w:val="auto"/>
        </w:rPr>
        <w:t>E</w:t>
      </w:r>
      <w:r>
        <w:rPr>
          <w:rFonts w:ascii="Arial" w:cs="Arial" w:eastAsia="Arial" w:hAnsi="Arial"/>
          <w:sz w:val="17"/>
          <w:szCs w:val="17"/>
          <w:color w:val="auto"/>
        </w:rPr>
        <w:t>) the Collateral Agent shall not be obligated to make any sale of Collateral regardless of notice of sale having been given, (</w:t>
      </w:r>
      <w:r>
        <w:rPr>
          <w:rFonts w:ascii="Arial" w:cs="Arial" w:eastAsia="Arial" w:hAnsi="Arial"/>
          <w:sz w:val="17"/>
          <w:szCs w:val="17"/>
          <w:u w:val="single" w:color="auto"/>
          <w:color w:val="auto"/>
        </w:rPr>
        <w:t>F</w:t>
      </w:r>
      <w:r>
        <w:rPr>
          <w:rFonts w:ascii="Arial" w:cs="Arial" w:eastAsia="Arial" w:hAnsi="Arial"/>
          <w:sz w:val="17"/>
          <w:szCs w:val="17"/>
          <w:color w:val="auto"/>
        </w:rPr>
        <w:t>) the Collateral Agent may adjourn any public or private sale from time to time by announcement at the time and place fixed therefor, and such sale may, without further notice, be made at the time and place to which it was so adjourned and (G) each Grantor hereby waives, to the full extent permitted by law, any claims against the Collateral Agent arising by reason of the fact that the price at which any Collateral may have been sold at such a private sale was less than the price which might have been obtained at a public sale;</w:t>
      </w:r>
    </w:p>
    <w:p>
      <w:pPr>
        <w:spacing w:after="0" w:line="70" w:lineRule="exact"/>
        <w:rPr>
          <w:sz w:val="20"/>
          <w:szCs w:val="20"/>
          <w:color w:val="auto"/>
        </w:rPr>
      </w:pPr>
    </w:p>
    <w:p>
      <w:pPr>
        <w:ind w:right="80" w:firstLine="443"/>
        <w:spacing w:after="0" w:line="289" w:lineRule="auto"/>
        <w:tabs>
          <w:tab w:leader="none" w:pos="703" w:val="left"/>
        </w:tabs>
        <w:numPr>
          <w:ilvl w:val="0"/>
          <w:numId w:val="3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t>
      </w:r>
      <w:r>
        <w:rPr>
          <w:rFonts w:ascii="Arial" w:cs="Arial" w:eastAsia="Arial" w:hAnsi="Arial"/>
          <w:sz w:val="16"/>
          <w:szCs w:val="16"/>
          <w:color w:val="auto"/>
        </w:rPr>
        <w:t>) except as otherwise provided herein, each Grantor hereby waives, to the fullest extent permitted by applicable law: (</w:t>
      </w:r>
      <w:r>
        <w:rPr>
          <w:rFonts w:ascii="Arial" w:cs="Arial" w:eastAsia="Arial" w:hAnsi="Arial"/>
          <w:sz w:val="16"/>
          <w:szCs w:val="16"/>
          <w:u w:val="single" w:color="auto"/>
          <w:color w:val="auto"/>
        </w:rPr>
        <w:t>w</w:t>
      </w:r>
      <w:r>
        <w:rPr>
          <w:rFonts w:ascii="Arial" w:cs="Arial" w:eastAsia="Arial" w:hAnsi="Arial"/>
          <w:sz w:val="16"/>
          <w:szCs w:val="16"/>
          <w:color w:val="auto"/>
        </w:rPr>
        <w:t>) notice or judicial hearing in connection with the Collateral Agent’s taking possession or the Collateral Agent’s disposition of any of the Collateral, including, without limitation, any and all prior notice and hearing for any prejudgment remedy or remedies and any such right which such Grantor would otherwise have under law; (</w:t>
      </w:r>
      <w:r>
        <w:rPr>
          <w:rFonts w:ascii="Arial" w:cs="Arial" w:eastAsia="Arial" w:hAnsi="Arial"/>
          <w:sz w:val="16"/>
          <w:szCs w:val="16"/>
          <w:u w:val="single" w:color="auto"/>
          <w:color w:val="auto"/>
        </w:rPr>
        <w:t>x</w:t>
      </w:r>
      <w:r>
        <w:rPr>
          <w:rFonts w:ascii="Arial" w:cs="Arial" w:eastAsia="Arial" w:hAnsi="Arial"/>
          <w:sz w:val="16"/>
          <w:szCs w:val="16"/>
          <w:color w:val="auto"/>
        </w:rPr>
        <w:t>) all damages occasioned by such taking of possession; (</w:t>
      </w:r>
      <w:r>
        <w:rPr>
          <w:rFonts w:ascii="Arial" w:cs="Arial" w:eastAsia="Arial" w:hAnsi="Arial"/>
          <w:sz w:val="16"/>
          <w:szCs w:val="16"/>
          <w:u w:val="single" w:color="auto"/>
          <w:color w:val="auto"/>
        </w:rPr>
        <w:t>y</w:t>
      </w:r>
      <w:r>
        <w:rPr>
          <w:rFonts w:ascii="Arial" w:cs="Arial" w:eastAsia="Arial" w:hAnsi="Arial"/>
          <w:sz w:val="16"/>
          <w:szCs w:val="16"/>
          <w:color w:val="auto"/>
        </w:rPr>
        <w:t>) all other requirements as to the time, place and terms of sale or other requirements with respect to the enforcement of the Collateral Agent’s rights hereunder; and (</w:t>
      </w:r>
      <w:r>
        <w:rPr>
          <w:rFonts w:ascii="Arial" w:cs="Arial" w:eastAsia="Arial" w:hAnsi="Arial"/>
          <w:sz w:val="16"/>
          <w:szCs w:val="16"/>
          <w:u w:val="single" w:color="auto"/>
          <w:color w:val="auto"/>
        </w:rPr>
        <w:t>z</w:t>
      </w:r>
      <w:r>
        <w:rPr>
          <w:rFonts w:ascii="Arial" w:cs="Arial" w:eastAsia="Arial" w:hAnsi="Arial"/>
          <w:sz w:val="16"/>
          <w:szCs w:val="16"/>
          <w:color w:val="auto"/>
        </w:rPr>
        <w:t>) all rights of redemption, appraisement, valuation, stay, extension or moratorium now or hereafter in force under any applicable law and (</w:t>
      </w:r>
      <w:r>
        <w:rPr>
          <w:rFonts w:ascii="Arial" w:cs="Arial" w:eastAsia="Arial" w:hAnsi="Arial"/>
          <w:sz w:val="16"/>
          <w:szCs w:val="16"/>
          <w:u w:val="single" w:color="auto"/>
          <w:color w:val="auto"/>
        </w:rPr>
        <w:t>B</w:t>
      </w:r>
      <w:r>
        <w:rPr>
          <w:rFonts w:ascii="Arial" w:cs="Arial" w:eastAsia="Arial" w:hAnsi="Arial"/>
          <w:sz w:val="16"/>
          <w:szCs w:val="16"/>
          <w:color w:val="auto"/>
        </w:rPr>
        <w:t>) any sale of, or the grant of options to purchase, or any other realization upon, any Collateral shall operate to divest all right, title, interest, claim and demand, either at law or in equity, of any Grantor therein and thereto, and shall be a perpetual bar both at law and in equity against any Grantor and against any and all Persons claiming or attempting to claim the Collateral so sold, optioned or realized upon, or any part thereof, from, through and under each Grantor; and</w:t>
      </w:r>
    </w:p>
    <w:p>
      <w:pPr>
        <w:spacing w:after="0" w:line="58" w:lineRule="exact"/>
        <w:rPr>
          <w:rFonts w:ascii="Arial" w:cs="Arial" w:eastAsia="Arial" w:hAnsi="Arial"/>
          <w:sz w:val="16"/>
          <w:szCs w:val="16"/>
          <w:color w:val="auto"/>
        </w:rPr>
      </w:pPr>
    </w:p>
    <w:p>
      <w:pPr>
        <w:ind w:right="40" w:firstLine="443"/>
        <w:spacing w:after="0" w:line="272" w:lineRule="auto"/>
        <w:tabs>
          <w:tab w:leader="none" w:pos="753" w:val="left"/>
        </w:tabs>
        <w:numPr>
          <w:ilvl w:val="0"/>
          <w:numId w:val="340"/>
        </w:numPr>
        <w:rPr>
          <w:rFonts w:ascii="Arial" w:cs="Arial" w:eastAsia="Arial" w:hAnsi="Arial"/>
          <w:sz w:val="17"/>
          <w:szCs w:val="17"/>
          <w:color w:val="auto"/>
        </w:rPr>
      </w:pPr>
      <w:r>
        <w:rPr>
          <w:rFonts w:ascii="Arial" w:cs="Arial" w:eastAsia="Arial" w:hAnsi="Arial"/>
          <w:sz w:val="17"/>
          <w:szCs w:val="17"/>
          <w:color w:val="auto"/>
        </w:rPr>
        <w:t>With respect to any Collateral, in connection with any foreclosure, collection, sale or other enforcement of Liens granted to the Collateral Agent in this SGR Security Agreement, each Grantor will reasonably cooperate in good faith with the Collateral Agent in transferring the right to use such Collateral to any designee of the Collateral Agent that is an air carrier or any other Person otherwise permitted to hold and use properties or rights as such Collateral and will, at the reasonable request of the Collateral Agent and in good faith, continue to operate and manage such Collateral and maintain such Grantor’s applicable regulatory licenses with respect to such Collateral until such time as such designee obtains such licenses and governmental approvals as may be necessary or (in the reasonable opinion of the Collateral Agent or its designee specified above) advisable to conduct aviation operations with respect to such Collateral.</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3" w:right="25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Non-Lender Secured Parties</w:t>
      </w:r>
      <w:r>
        <w:rPr>
          <w:rFonts w:ascii="Arial" w:cs="Arial" w:eastAsia="Arial" w:hAnsi="Arial"/>
          <w:sz w:val="18"/>
          <w:szCs w:val="18"/>
          <w:color w:val="auto"/>
        </w:rPr>
        <w:t>.</w:t>
      </w:r>
    </w:p>
    <w:p>
      <w:pPr>
        <w:spacing w:after="0" w:line="225" w:lineRule="exact"/>
        <w:rPr>
          <w:sz w:val="20"/>
          <w:szCs w:val="20"/>
          <w:color w:val="auto"/>
        </w:rPr>
      </w:pPr>
    </w:p>
    <w:p>
      <w:pPr>
        <w:ind w:left="240" w:hanging="236"/>
        <w:spacing w:after="0"/>
        <w:tabs>
          <w:tab w:leader="none" w:pos="24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Rights to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43"/>
        <w:spacing w:after="0" w:line="268" w:lineRule="auto"/>
        <w:tabs>
          <w:tab w:leader="none" w:pos="653" w:val="left"/>
        </w:tabs>
        <w:numPr>
          <w:ilvl w:val="1"/>
          <w:numId w:val="341"/>
        </w:numPr>
        <w:rPr>
          <w:rFonts w:ascii="Arial" w:cs="Arial" w:eastAsia="Arial" w:hAnsi="Arial"/>
          <w:sz w:val="17"/>
          <w:szCs w:val="17"/>
          <w:color w:val="auto"/>
        </w:rPr>
      </w:pPr>
      <w:r>
        <w:rPr>
          <w:rFonts w:ascii="Arial" w:cs="Arial" w:eastAsia="Arial" w:hAnsi="Arial"/>
          <w:sz w:val="17"/>
          <w:szCs w:val="17"/>
          <w:color w:val="auto"/>
        </w:rPr>
        <w:t>The Non-Lender Secured Parties shall not have any right whatsoever to do any of the following: (</w:t>
      </w:r>
      <w:r>
        <w:rPr>
          <w:rFonts w:ascii="Arial" w:cs="Arial" w:eastAsia="Arial" w:hAnsi="Arial"/>
          <w:sz w:val="17"/>
          <w:szCs w:val="17"/>
          <w:u w:val="single" w:color="auto"/>
          <w:color w:val="auto"/>
        </w:rPr>
        <w:t>A</w:t>
      </w:r>
      <w:r>
        <w:rPr>
          <w:rFonts w:ascii="Arial" w:cs="Arial" w:eastAsia="Arial" w:hAnsi="Arial"/>
          <w:sz w:val="17"/>
          <w:szCs w:val="17"/>
          <w:color w:val="auto"/>
        </w:rPr>
        <w:t>) exercise any rights or remedies with respect to the Collateral or to direct the Collateral Agent to do the same, including, without limitation, the right to (</w:t>
      </w:r>
      <w:r>
        <w:rPr>
          <w:rFonts w:ascii="Arial" w:cs="Arial" w:eastAsia="Arial" w:hAnsi="Arial"/>
          <w:sz w:val="17"/>
          <w:szCs w:val="17"/>
          <w:u w:val="single" w:color="auto"/>
          <w:color w:val="auto"/>
        </w:rPr>
        <w:t>1</w:t>
      </w:r>
      <w:r>
        <w:rPr>
          <w:rFonts w:ascii="Arial" w:cs="Arial" w:eastAsia="Arial" w:hAnsi="Arial"/>
          <w:sz w:val="17"/>
          <w:szCs w:val="17"/>
          <w:color w:val="auto"/>
        </w:rPr>
        <w:t>) enforce any Liens or sell or otherwise foreclose on any portion of the Collateral, (</w:t>
      </w:r>
      <w:r>
        <w:rPr>
          <w:rFonts w:ascii="Arial" w:cs="Arial" w:eastAsia="Arial" w:hAnsi="Arial"/>
          <w:sz w:val="17"/>
          <w:szCs w:val="17"/>
          <w:u w:val="single" w:color="auto"/>
          <w:color w:val="auto"/>
        </w:rPr>
        <w:t>2</w:t>
      </w:r>
      <w:r>
        <w:rPr>
          <w:rFonts w:ascii="Arial" w:cs="Arial" w:eastAsia="Arial" w:hAnsi="Arial"/>
          <w:sz w:val="17"/>
          <w:szCs w:val="17"/>
          <w:color w:val="auto"/>
        </w:rPr>
        <w:t>) request any action, institute any proceedings, exercise any voting rights, give any instructions, make any election or make collections with respect to all or any portion of the Collateral or (</w:t>
      </w:r>
      <w:r>
        <w:rPr>
          <w:rFonts w:ascii="Arial" w:cs="Arial" w:eastAsia="Arial" w:hAnsi="Arial"/>
          <w:sz w:val="17"/>
          <w:szCs w:val="17"/>
          <w:u w:val="single" w:color="auto"/>
          <w:color w:val="auto"/>
        </w:rPr>
        <w:t>3</w:t>
      </w:r>
      <w:r>
        <w:rPr>
          <w:rFonts w:ascii="Arial" w:cs="Arial" w:eastAsia="Arial" w:hAnsi="Arial"/>
          <w:sz w:val="17"/>
          <w:szCs w:val="17"/>
          <w:color w:val="auto"/>
        </w:rPr>
        <w:t>) release any Grantor under this SGR Security Agreement or release any Collateral from the Liens of any Collateral Document or consent to or otherwise approve any such release; (</w:t>
      </w:r>
      <w:r>
        <w:rPr>
          <w:rFonts w:ascii="Arial" w:cs="Arial" w:eastAsia="Arial" w:hAnsi="Arial"/>
          <w:sz w:val="17"/>
          <w:szCs w:val="17"/>
          <w:u w:val="single" w:color="auto"/>
          <w:color w:val="auto"/>
        </w:rPr>
        <w:t>B</w:t>
      </w:r>
      <w:r>
        <w:rPr>
          <w:rFonts w:ascii="Arial" w:cs="Arial" w:eastAsia="Arial" w:hAnsi="Arial"/>
          <w:sz w:val="17"/>
          <w:szCs w:val="17"/>
          <w:color w:val="auto"/>
        </w:rPr>
        <w:t>) demand, accept or obtain any Lien on any Collateral (except for Liens arising under, and subject to the terms of, this SGR Security Agreement); (</w:t>
      </w:r>
      <w:r>
        <w:rPr>
          <w:rFonts w:ascii="Arial" w:cs="Arial" w:eastAsia="Arial" w:hAnsi="Arial"/>
          <w:sz w:val="17"/>
          <w:szCs w:val="17"/>
          <w:u w:val="single" w:color="auto"/>
          <w:color w:val="auto"/>
        </w:rPr>
        <w:t>C</w:t>
      </w:r>
      <w:r>
        <w:rPr>
          <w:rFonts w:ascii="Arial" w:cs="Arial" w:eastAsia="Arial" w:hAnsi="Arial"/>
          <w:sz w:val="17"/>
          <w:szCs w:val="17"/>
          <w:color w:val="auto"/>
        </w:rPr>
        <w:t>) vote in any Bankruptcy Case or similar proceeding in respect of Parent or any of its Subsidiaries (any such proceeding, for purposes of this clause (i), a “</w:t>
      </w:r>
      <w:r>
        <w:rPr>
          <w:rFonts w:ascii="Arial" w:cs="Arial" w:eastAsia="Arial" w:hAnsi="Arial"/>
          <w:sz w:val="17"/>
          <w:szCs w:val="17"/>
          <w:u w:val="single" w:color="auto"/>
          <w:color w:val="auto"/>
        </w:rPr>
        <w:t>Bankruptcy</w:t>
      </w:r>
      <w:r>
        <w:rPr>
          <w:rFonts w:ascii="Arial" w:cs="Arial" w:eastAsia="Arial" w:hAnsi="Arial"/>
          <w:sz w:val="17"/>
          <w:szCs w:val="17"/>
          <w:color w:val="auto"/>
        </w:rPr>
        <w:t>”) with respect to, or take any other actions concerning the Collateral; (</w:t>
      </w:r>
      <w:r>
        <w:rPr>
          <w:rFonts w:ascii="Arial" w:cs="Arial" w:eastAsia="Arial" w:hAnsi="Arial"/>
          <w:sz w:val="17"/>
          <w:szCs w:val="17"/>
          <w:u w:val="single" w:color="auto"/>
          <w:color w:val="auto"/>
        </w:rPr>
        <w:t>D</w:t>
      </w:r>
      <w:r>
        <w:rPr>
          <w:rFonts w:ascii="Arial" w:cs="Arial" w:eastAsia="Arial" w:hAnsi="Arial"/>
          <w:sz w:val="17"/>
          <w:szCs w:val="17"/>
          <w:color w:val="auto"/>
        </w:rPr>
        <w:t>) receive any proceeds from any sale, transfer or other disposition of any of the Collateral (except in accordance with this SGR Security Agreement); (</w:t>
      </w:r>
      <w:r>
        <w:rPr>
          <w:rFonts w:ascii="Arial" w:cs="Arial" w:eastAsia="Arial" w:hAnsi="Arial"/>
          <w:sz w:val="17"/>
          <w:szCs w:val="17"/>
          <w:u w:val="single" w:color="auto"/>
          <w:color w:val="auto"/>
        </w:rPr>
        <w:t>E</w:t>
      </w:r>
      <w:r>
        <w:rPr>
          <w:rFonts w:ascii="Arial" w:cs="Arial" w:eastAsia="Arial" w:hAnsi="Arial"/>
          <w:sz w:val="17"/>
          <w:szCs w:val="17"/>
          <w:color w:val="auto"/>
        </w:rPr>
        <w:t>) oppose any sale, transfer or other disposition of the Collateral; (</w:t>
      </w:r>
      <w:r>
        <w:rPr>
          <w:rFonts w:ascii="Arial" w:cs="Arial" w:eastAsia="Arial" w:hAnsi="Arial"/>
          <w:sz w:val="17"/>
          <w:szCs w:val="17"/>
          <w:u w:val="single" w:color="auto"/>
          <w:color w:val="auto"/>
        </w:rPr>
        <w:t>F</w:t>
      </w:r>
      <w:r>
        <w:rPr>
          <w:rFonts w:ascii="Arial" w:cs="Arial" w:eastAsia="Arial" w:hAnsi="Arial"/>
          <w:sz w:val="17"/>
          <w:szCs w:val="17"/>
          <w:color w:val="auto"/>
        </w:rPr>
        <w:t>) object to any debtor-in-possession financing in any Bankruptcy which is provided by one or more Lenders among others (including on a priming basis under Section 364(d) of the Bankruptcy Code); (</w:t>
      </w:r>
      <w:r>
        <w:rPr>
          <w:rFonts w:ascii="Arial" w:cs="Arial" w:eastAsia="Arial" w:hAnsi="Arial"/>
          <w:sz w:val="17"/>
          <w:szCs w:val="17"/>
          <w:u w:val="single" w:color="auto"/>
          <w:color w:val="auto"/>
        </w:rPr>
        <w:t>G</w:t>
      </w:r>
      <w:r>
        <w:rPr>
          <w:rFonts w:ascii="Arial" w:cs="Arial" w:eastAsia="Arial" w:hAnsi="Arial"/>
          <w:sz w:val="17"/>
          <w:szCs w:val="17"/>
          <w:color w:val="auto"/>
        </w:rPr>
        <w:t>) object to the use of cash collateral in respect of the Collateral in any Bankruptcy; or (</w:t>
      </w:r>
      <w:r>
        <w:rPr>
          <w:rFonts w:ascii="Arial" w:cs="Arial" w:eastAsia="Arial" w:hAnsi="Arial"/>
          <w:sz w:val="17"/>
          <w:szCs w:val="17"/>
          <w:u w:val="single" w:color="auto"/>
          <w:color w:val="auto"/>
        </w:rPr>
        <w:t>H</w:t>
      </w:r>
      <w:r>
        <w:rPr>
          <w:rFonts w:ascii="Arial" w:cs="Arial" w:eastAsia="Arial" w:hAnsi="Arial"/>
          <w:sz w:val="17"/>
          <w:szCs w:val="17"/>
          <w:color w:val="auto"/>
        </w:rPr>
        <w:t>) seek, or object to the Lenders, the Administrative Agent or the Collateral Agent seeking on an equal and ratable basis, any adequate protection or relief from the automatic stay with respect to the Collateral in any Bankruptcy.</w:t>
      </w:r>
    </w:p>
    <w:p>
      <w:pPr>
        <w:spacing w:after="0" w:line="79" w:lineRule="exact"/>
        <w:rPr>
          <w:rFonts w:ascii="Arial" w:cs="Arial" w:eastAsia="Arial" w:hAnsi="Arial"/>
          <w:sz w:val="17"/>
          <w:szCs w:val="17"/>
          <w:color w:val="auto"/>
        </w:rPr>
      </w:pPr>
    </w:p>
    <w:p>
      <w:pPr>
        <w:ind w:firstLine="443"/>
        <w:spacing w:after="0" w:line="271" w:lineRule="auto"/>
        <w:tabs>
          <w:tab w:leader="none" w:pos="703" w:val="left"/>
        </w:tabs>
        <w:numPr>
          <w:ilvl w:val="1"/>
          <w:numId w:val="341"/>
        </w:numPr>
        <w:rPr>
          <w:rFonts w:ascii="Arial" w:cs="Arial" w:eastAsia="Arial" w:hAnsi="Arial"/>
          <w:sz w:val="17"/>
          <w:szCs w:val="17"/>
          <w:color w:val="auto"/>
        </w:rPr>
      </w:pPr>
      <w:r>
        <w:rPr>
          <w:rFonts w:ascii="Arial" w:cs="Arial" w:eastAsia="Arial" w:hAnsi="Arial"/>
          <w:sz w:val="17"/>
          <w:szCs w:val="17"/>
          <w:color w:val="auto"/>
        </w:rPr>
        <w:t>Each Non-Lender Secured Party, by its acceptance of the benefits of this SGR Security Agreement and the other Collateral Documents, agrees that in exercising rights and remedies with respect to the Collateral, the Collateral Agent and the Lenders, with the consent of the Collateral Agent, may enforce the provisions of the Collateral Documents and exercise remedies thereunder and under any other Loan Documents (or refrain from enforcing rights and exercising remedies), all in such order and in such manner as they may determine in the exercise of their sole business judgment and subject to the terms of any Intercreditor Agreement and any Other Intercreditor Agreement. Such exercise and enforcement shall include, without limitation, the rights to collect, sell, dispose of or otherwise realize upon all or any part of the Collateral, to incur expenses in connection with such collection, sale, disposition or other realization and to exercise all the rights and remedies of a secured lender under the UCC. The Non-Lender Secured Parties by their acceptance of the benefits of this SGR</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314" w:name="page315"/>
    <w:bookmarkEnd w:id="314"/>
    <w:p>
      <w:pPr>
        <w:ind w:left="440"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Agreement and the other Collateral Documents hereby agree not to contest or otherwise challenge any such collection, sale, disposition or other realization of or upon all or any of the Collateral. Whether or not a Bankruptcy Case has been commenced, the Non-Lender Secured Parties shall be deemed to have consented to any sale or other disposition of any property, business or assets of Parent or any of its Subsidiaries and the release of any or all of the Collateral from the Liens of any Collateral Document in connection therewith.</w:t>
      </w:r>
    </w:p>
    <w:p>
      <w:pPr>
        <w:spacing w:after="0" w:line="63" w:lineRule="exact"/>
        <w:rPr>
          <w:sz w:val="20"/>
          <w:szCs w:val="20"/>
          <w:color w:val="auto"/>
        </w:rPr>
      </w:pPr>
    </w:p>
    <w:p>
      <w:pPr>
        <w:ind w:left="440" w:firstLine="443"/>
        <w:spacing w:after="0" w:line="291" w:lineRule="auto"/>
        <w:tabs>
          <w:tab w:leader="none" w:pos="1193" w:val="left"/>
        </w:tabs>
        <w:numPr>
          <w:ilvl w:val="1"/>
          <w:numId w:val="342"/>
        </w:numPr>
        <w:rPr>
          <w:rFonts w:ascii="Arial" w:cs="Arial" w:eastAsia="Arial" w:hAnsi="Arial"/>
          <w:sz w:val="16"/>
          <w:szCs w:val="16"/>
          <w:color w:val="auto"/>
        </w:rPr>
      </w:pPr>
      <w:r>
        <w:rPr>
          <w:rFonts w:ascii="Arial" w:cs="Arial" w:eastAsia="Arial" w:hAnsi="Arial"/>
          <w:sz w:val="16"/>
          <w:szCs w:val="16"/>
          <w:color w:val="auto"/>
        </w:rPr>
        <w:t>Notwithstanding any provision of this Section 12(a), the Non-Lender Secured Parties shall be entitled, subject to any Intercreditor Agreement and any Other Intercreditor Agreement, to file any necessary responsive or defensive pleadings in opposition to any motion, claim, adversary proceeding or other pleadings (</w:t>
      </w:r>
      <w:r>
        <w:rPr>
          <w:rFonts w:ascii="Arial" w:cs="Arial" w:eastAsia="Arial" w:hAnsi="Arial"/>
          <w:sz w:val="16"/>
          <w:szCs w:val="16"/>
          <w:u w:val="single" w:color="auto"/>
          <w:color w:val="auto"/>
        </w:rPr>
        <w:t>A</w:t>
      </w:r>
      <w:r>
        <w:rPr>
          <w:rFonts w:ascii="Arial" w:cs="Arial" w:eastAsia="Arial" w:hAnsi="Arial"/>
          <w:sz w:val="16"/>
          <w:szCs w:val="16"/>
          <w:color w:val="auto"/>
        </w:rPr>
        <w:t>) in order to prevent any Person from seeking to foreclose on the Collateral or supersede the Non-Lender Secured Parties’ claim thereto or (</w:t>
      </w:r>
      <w:r>
        <w:rPr>
          <w:rFonts w:ascii="Arial" w:cs="Arial" w:eastAsia="Arial" w:hAnsi="Arial"/>
          <w:sz w:val="16"/>
          <w:szCs w:val="16"/>
          <w:u w:val="single" w:color="auto"/>
          <w:color w:val="auto"/>
        </w:rPr>
        <w:t>B</w:t>
      </w:r>
      <w:r>
        <w:rPr>
          <w:rFonts w:ascii="Arial" w:cs="Arial" w:eastAsia="Arial" w:hAnsi="Arial"/>
          <w:sz w:val="16"/>
          <w:szCs w:val="16"/>
          <w:color w:val="auto"/>
        </w:rPr>
        <w:t>) in opposition to any motion, claim, adversary proceeding or other pleading made by any Person objecting to or otherwise seeking the disallowance of the claims of the Non-Lender Secured Parties. Each Non-Lender Secured Party, by its acceptance of the benefits of this SGR Security Agreement, agrees to be bound by and to comply with any Intercreditor Agreement and any Other Intercreditor Agreement and authorizes the Collateral Agent to enter into the Intercreditor Agreements and Other Intercreditor Agreements on its behalf.</w:t>
      </w:r>
    </w:p>
    <w:p>
      <w:pPr>
        <w:spacing w:after="0" w:line="59" w:lineRule="exact"/>
        <w:rPr>
          <w:rFonts w:ascii="Arial" w:cs="Arial" w:eastAsia="Arial" w:hAnsi="Arial"/>
          <w:sz w:val="16"/>
          <w:szCs w:val="16"/>
          <w:color w:val="auto"/>
        </w:rPr>
      </w:pPr>
    </w:p>
    <w:p>
      <w:pPr>
        <w:ind w:left="440" w:right="180" w:firstLine="443"/>
        <w:spacing w:after="0" w:line="259" w:lineRule="auto"/>
        <w:tabs>
          <w:tab w:leader="none" w:pos="1183" w:val="left"/>
        </w:tabs>
        <w:numPr>
          <w:ilvl w:val="1"/>
          <w:numId w:val="342"/>
        </w:numPr>
        <w:rPr>
          <w:rFonts w:ascii="Arial" w:cs="Arial" w:eastAsia="Arial" w:hAnsi="Arial"/>
          <w:sz w:val="18"/>
          <w:szCs w:val="18"/>
          <w:color w:val="auto"/>
        </w:rPr>
      </w:pPr>
      <w:r>
        <w:rPr>
          <w:rFonts w:ascii="Arial" w:cs="Arial" w:eastAsia="Arial" w:hAnsi="Arial"/>
          <w:sz w:val="18"/>
          <w:szCs w:val="18"/>
          <w:color w:val="auto"/>
        </w:rPr>
        <w:t>Each Non-Lender Secured Party, by its acceptance of the benefits of this SGR Security Agreement, agrees that the Collateral Agent and the Lenders may deal with the Collateral, including any exchange, taking or release of Collateral, may change or increase the amount of the Obligations, and may release any Grantor from its Obligations hereunder, all without any liability or obligation (except as may be otherwise expressly provided herein) to the Non-Lender Secured Parties.</w:t>
      </w:r>
    </w:p>
    <w:p>
      <w:pPr>
        <w:spacing w:after="0" w:line="186" w:lineRule="exact"/>
        <w:rPr>
          <w:rFonts w:ascii="Arial" w:cs="Arial" w:eastAsia="Arial" w:hAnsi="Arial"/>
          <w:sz w:val="18"/>
          <w:szCs w:val="18"/>
          <w:color w:val="auto"/>
        </w:rPr>
      </w:pPr>
    </w:p>
    <w:p>
      <w:pPr>
        <w:ind w:left="-20" w:right="40" w:firstLine="464"/>
        <w:spacing w:after="0" w:line="271" w:lineRule="auto"/>
        <w:tabs>
          <w:tab w:leader="none" w:pos="691"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Appointment of Agent</w:t>
      </w:r>
      <w:r>
        <w:rPr>
          <w:rFonts w:ascii="Arial" w:cs="Arial" w:eastAsia="Arial" w:hAnsi="Arial"/>
          <w:sz w:val="17"/>
          <w:szCs w:val="17"/>
          <w:color w:val="auto"/>
        </w:rPr>
        <w:t>. Each Non-Lender Secured Party, by its acceptance of the benefits of this SGR Security Agreement and the other Collateral Documents, shall be deemed irrevocably to make, constitute and appoint the Collateral Agent, as agent under the Credit Agreement (and all officers, employees or agents designated by the Collateral Agent) as such Person’s true and lawful agent and attorney-in-fact, and in such capacity, the Collateral Agent shall have the right, with power of substitution for the Non-Lender Secured Parties and in each such Person’s name or otherwise, to effectuate any sale, transfer or other disposition of the Collateral. It is understood and agreed that the appointment of the Collateral Agent as the agent and attorney-in-fact of the Non-Lender Secured Parties for the purposes set forth herein is coupled with an interest and is irrevocable. It is understood and agreed that the Collateral Agent has appointed the Administrative Agent as its agent for purposes of perfecting certain of the security interests created hereunder and for otherwise carrying out certain of its obligations hereunder.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3" w:right="239" w:bottom="1440" w:gutter="0" w:footer="0" w:header="0"/>
        </w:sectPr>
      </w:pPr>
    </w:p>
    <w:bookmarkStart w:id="315" w:name="page316"/>
    <w:bookmarkEnd w:id="315"/>
    <w:p>
      <w:pPr>
        <w:ind w:left="-40" w:firstLine="464"/>
        <w:spacing w:after="0" w:line="270" w:lineRule="auto"/>
        <w:tabs>
          <w:tab w:leader="none" w:pos="661"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Claims</w:t>
      </w:r>
      <w:r>
        <w:rPr>
          <w:rFonts w:ascii="Arial" w:cs="Arial" w:eastAsia="Arial" w:hAnsi="Arial"/>
          <w:sz w:val="17"/>
          <w:szCs w:val="17"/>
          <w:color w:val="auto"/>
        </w:rPr>
        <w:t>. To the maximum extent permitted by law, each Non-Lender Secured Party waives any claim it might have against the Collateral Agent or the Lenders with respect to, or arising out of, any action or failure to act or any error of judgment, negligence, or mistake or oversight whatsoever on the part of the Collateral Agent or the Lenders or their respective directors, officers, employees or agents with respect to any exercise of rights or remedies under the Loan Documents or any transaction relating to the Collateral (including, without limitation, any such exercise described in Section 12(a)(ii)), except for any such action or failure to act that constitutes willful misconduct or gross negligence of such Person. To the maximum extent permitted by applicable law, none of the Collateral Agent or any Lender or any of their respective directors, officers, employees or agents shall be liable for failure to demand, collect or realize upon any of the Collateral or for any delay in doing so or shall be under any obligation to sell or otherwise dispose of any Collateral upon the request of Parent, any Subsidiary of Parent, any Non-Lender Secured Party or any other Person or to take any other action or forbear from doing so whatsoever with regard to the Collateral or any part thereof, except for any such action or failure to act that constitutes willful misconduct or gross negligence of such Person.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w:t>
      </w:r>
    </w:p>
    <w:p>
      <w:pPr>
        <w:spacing w:after="0" w:line="225" w:lineRule="exact"/>
        <w:rPr>
          <w:sz w:val="20"/>
          <w:szCs w:val="20"/>
          <w:color w:val="auto"/>
        </w:rPr>
      </w:pPr>
    </w:p>
    <w:p>
      <w:pPr>
        <w:ind w:left="-40" w:right="320" w:firstLine="464"/>
        <w:spacing w:after="0" w:line="257" w:lineRule="auto"/>
        <w:tabs>
          <w:tab w:leader="none" w:pos="66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cash held by the Collateral Agent as Collateral and all cash Proceeds received (including a distribution of Collateral in connection with any Bankruptcy Case or similar proceeding) by the Collateral Agent in respect of any sale of, collection from, or other realization upon all or any part of the Collateral pursuant to the exercise by the Collateral Agent of its remedies as a secured creditor as provided in Section 11 of this SGR Security Agreement shall, subject to the terms of any Intercreditor Agreement and any Other Intercreditor Agreement, be applied from time to time by the Collateral Agent in accordance with the terms of the Credit Agreement.</w:t>
      </w:r>
    </w:p>
    <w:p>
      <w:pPr>
        <w:spacing w:after="0" w:line="188" w:lineRule="exact"/>
        <w:rPr>
          <w:rFonts w:ascii="Arial" w:cs="Arial" w:eastAsia="Arial" w:hAnsi="Arial"/>
          <w:sz w:val="18"/>
          <w:szCs w:val="18"/>
          <w:color w:val="auto"/>
        </w:rPr>
      </w:pPr>
    </w:p>
    <w:p>
      <w:pPr>
        <w:ind w:left="-40" w:right="100" w:firstLine="464"/>
        <w:spacing w:after="0" w:line="277" w:lineRule="auto"/>
        <w:tabs>
          <w:tab w:leader="none" w:pos="67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It is understood that, to the extent permitted by applicable law, each Grantor shall remain liable to the extent of any deficiency between the amount of the Proceeds of the Collateral and the aggregate amount of the outstanding Obligations.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 Waiver; Discontinuance of Proceeding</w:t>
      </w:r>
      <w:r>
        <w:rPr>
          <w:rFonts w:ascii="Arial" w:cs="Arial" w:eastAsia="Arial" w:hAnsi="Arial"/>
          <w:sz w:val="18"/>
          <w:szCs w:val="18"/>
          <w:color w:val="auto"/>
        </w:rPr>
        <w:t>.</w:t>
      </w:r>
    </w:p>
    <w:p>
      <w:pPr>
        <w:spacing w:after="0" w:line="225" w:lineRule="exact"/>
        <w:rPr>
          <w:sz w:val="20"/>
          <w:szCs w:val="20"/>
          <w:color w:val="auto"/>
        </w:rPr>
      </w:pPr>
    </w:p>
    <w:p>
      <w:pPr>
        <w:ind w:left="-40" w:right="300" w:firstLine="464"/>
        <w:spacing w:after="0" w:line="286" w:lineRule="auto"/>
        <w:tabs>
          <w:tab w:leader="none" w:pos="661" w:val="left"/>
        </w:tabs>
        <w:numPr>
          <w:ilvl w:val="0"/>
          <w:numId w:val="346"/>
        </w:numPr>
        <w:rPr>
          <w:rFonts w:ascii="Arial" w:cs="Arial" w:eastAsia="Arial" w:hAnsi="Arial"/>
          <w:sz w:val="17"/>
          <w:szCs w:val="17"/>
          <w:color w:val="auto"/>
        </w:rPr>
      </w:pPr>
      <w:r>
        <w:rPr>
          <w:rFonts w:ascii="Arial" w:cs="Arial" w:eastAsia="Arial" w:hAnsi="Arial"/>
          <w:sz w:val="17"/>
          <w:szCs w:val="17"/>
          <w:color w:val="auto"/>
        </w:rPr>
        <w:t>Each and every right, power and remedy hereby specifically given to the Collateral Agent or otherwise in this SGR Security Agreement shall be cumulative and shall be in addition to every other right, power and remedy specifically given under this SGR Security Agreement or the other Loan Documents now or hereafter existing at law, in equity or by statute and each and every right, power and remedy whether specifically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73" w:right="259" w:bottom="1440" w:gutter="0" w:footer="0" w:header="0"/>
        </w:sectPr>
      </w:pPr>
    </w:p>
    <w:bookmarkStart w:id="316" w:name="page317"/>
    <w:bookmarkEnd w:id="316"/>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herein given or otherwise existing may be exercised from time to time or simultaneously and as often and in such order as may be deemed expedient by the Collateral Agent. All such rights, powers and remedies shall be cumulative and the exercise or the beginning of the exercise of one shall not be deemed a waiver of the right to exercise any other or others. No delay or omission of the Collateral Agent in the exercise of any such right, power or remedy and no renewal or extension of any of the Obligations shall impair any such right, power or remedy or shall be construed to be a waiver of any default or Event of Default or an acquiescence therein. No notice to or demand on any Grantor in any case shall entitle it to any other or further notice or demand in similar or other circumstances or constitute a waiver of any of the rights of the Collateral Agent to any other or further action in any circumstances without notice or demand. In the event that the Collateral Agent shall bring any suit to enforce any of its rights hereunder and shall be entitled to judgment, then in such suit the Collateral Agent may recover reasonable out-of-pocket expenses, including reasonable attorneys’ fees, and the amounts thereof shall be included in such judgment.</w:t>
      </w:r>
    </w:p>
    <w:p>
      <w:pPr>
        <w:spacing w:after="0" w:line="197" w:lineRule="exact"/>
        <w:rPr>
          <w:sz w:val="20"/>
          <w:szCs w:val="20"/>
          <w:color w:val="auto"/>
        </w:rPr>
      </w:pPr>
    </w:p>
    <w:p>
      <w:pPr>
        <w:ind w:firstLine="464"/>
        <w:spacing w:after="0" w:line="276" w:lineRule="auto"/>
        <w:tabs>
          <w:tab w:leader="none" w:pos="71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In the event the Collateral Agent shall have instituted any proceeding to enforce any right, power or remedy under this SGR Security Agreement by foreclosure, sale, entry or otherwise, and such proceeding shall have been discontinued or abandoned for any reason or shall have been determined adversely to the Collateral Agent, then and in every such case each Grantor, the Collateral Agent and each Secured Party shall, to the extent permitted by applicable law, be restored to their respective former positions and rights hereunder with respect to the Collateral, and all rights, remedies and powers of the Collateral Agent and the Secured Parties shall continue as if no such proceeding had been instituted.</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Amendments, etc</w:t>
      </w:r>
      <w:r>
        <w:rPr>
          <w:rFonts w:ascii="Arial" w:cs="Arial" w:eastAsia="Arial" w:hAnsi="Arial"/>
          <w:sz w:val="17"/>
          <w:szCs w:val="17"/>
          <w:color w:val="auto"/>
        </w:rPr>
        <w:t xml:space="preserve">. This SGR Security Agreement may not be amended, modified or waived except with the written consent of each Grantor and the Collateral Agent (who shall act pursuant to and in accordance with the terms of Section 10.08 of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separately agreed in writing between each Grantor and any Non-Lender Secured Party, no such waiver and no such amendment or modification shall amend, modify or waive Section 12 (or the definition of “Non-Lender Secured Party” or “Secured Party” to the extent relating thereto) if such waiver, amendment, or modification would disproportionately directly and adversely affect a Non-Lender Secured Party as compared to the Lenders without the written consent of such affected Non-Lender Secured Party. Any amendment, modification or supplement of or to any provision of this SGR Security Agreement, any termination or waiver of any provision of this SGR Security Agreement and any consent to any departure by any Grantor from the terms of any provision of this SGR Security Agreement shall be effective only in the specific instance and for the specific purpose for which made or given. No notice to or demand upon any Grantor in any instance hereunder shall entitle such Grantor to any other or further notice or demand in similar or other circumstances. For the avoidance of doubt, it is understood and agreed that 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17" w:name="page318"/>
    <w:bookmarkEnd w:id="317"/>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amendment and restatement, waiver, supplement or other modification of or to any Intercreditor Agreement or any Other Intercreditor Agreement that would have the effect, directly or indirectly, through any reference herein to any Intercreditor Agreement or any Other Intercreditor Agreement or otherwise, of waiving, amending, supplementing or otherwise modifying this SGR Security Agreement, or any term or provision hereof, or any right or obligation of any Grantor hereunder or in respect hereof, shall not be given such effect except pursuant to a written instrument executed by such Grantor and the Collateral Agent in accordance with this Section 15. Notwithstanding the foregoing, the Grantors may cause the Schedules hereto to be amended, supplemented or otherwise modified without the consent of any Person in order to (i) evidence the addition of Collateral pursuant to Section 6(a) or the release of Collateral pursuant to Section 16, or (ii) otherwise evidence the release or addition of Collateral in accordance with this SGR Security Agreement and the Credit Agreement; provided that, in the case of the addition or release of any Collateral consisting of Route Authorities, the Borrower shall, at the written request of the Collateral Agent, promptly amend, supplement or otherwise modify Schedule III to reflect such addition or release.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Termination; Release</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0" w:lineRule="auto"/>
        <w:tabs>
          <w:tab w:leader="none" w:pos="701"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At such time as the Obligations (other than any contingent indemnification Obligations for which no demand has been made and any Obligations owing to a Non-Lender Secured Party) then due and owing shall have been paid in full, the Commitments under the Credit Agreement have been terminated and no Letters of Credit shall be outstanding (except for Letters of Credit that have been cash collateralized or otherwise provided for in a manner reasonably satisfactory to the Administrative Agent), all Collateral shall be automatically released from the Liens created hereby, and this SGR Security Agreement and all obligations (other than those expressly stated to survive such termination) of the Collateral Agent and each Grantor shall automatically terminate, all without delivery of any instrument or performance of any act by any party, and all rights to the Collateral shall revert to the applicable Grantor. At the request and sole expense of any Grantor following any such termination, the Collateral Agent shall promptly execute, acknowledge and deliver to such Grantor such releases, instruments or other documents (including without limitation UCC termination statements), and do or cause to be done all other acts, as such Grantor shall reasonably request to evidence such termination.</w:t>
      </w:r>
    </w:p>
    <w:p>
      <w:pPr>
        <w:spacing w:after="0" w:line="181" w:lineRule="exact"/>
        <w:rPr>
          <w:rFonts w:ascii="Arial" w:cs="Arial" w:eastAsia="Arial" w:hAnsi="Arial"/>
          <w:sz w:val="17"/>
          <w:szCs w:val="17"/>
          <w:color w:val="auto"/>
        </w:rPr>
      </w:pPr>
    </w:p>
    <w:p>
      <w:pPr>
        <w:ind w:right="20" w:firstLine="464"/>
        <w:spacing w:after="0" w:line="257" w:lineRule="auto"/>
        <w:tabs>
          <w:tab w:leader="none" w:pos="71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Upon any Permitted Disposition of Collateral (whether by way of the sale of assets or the sale of Capital Stock of a Grantor of Collateral) of the type described in items (1), (2) (provided the requirements set forth in the first proviso to such section are satisfied), (4) and (5) of the definition of “Permitted Disposition” or any other type of Permitted Disposition involving divestiture of any Grantor’s title to the related Collateral under the Credit Agreement, the Lien pursuant to this SGR Security Agreement on such sold or disposed of Collateral shall be automatically released. In connection with any other Disposition of Collateral not covered by the preceding sentence (whether by way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3" w:right="239" w:bottom="1440" w:gutter="0" w:footer="0" w:header="0"/>
        </w:sectPr>
      </w:pPr>
    </w:p>
    <w:bookmarkStart w:id="318" w:name="page319"/>
    <w:bookmarkEnd w:id="318"/>
    <w:p>
      <w:pPr>
        <w:ind w:right="1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of assets or the sale of Capital Stock of a Grantor of such Collateral) permitted under the Credit Agreement, the Collateral Agent shall, upon receipt from such Grantor of a written request for the release of the Collateral subject to such sale or other disposition (or in the case of a sale of Capital Stock of such Grantor, the release of such Grantor’s Collateral), at such Grantor’s sole cost and expense, promptly execute, acknowledge and deliver to such Grantor such releases, instruments or other documents (including without limitation UCC termination statements), and do or cause to be done all other acts, as such Grantor shall reasonably request to evidence or effect the release of the Liens created hereby (if any) on such Collateral.</w:t>
      </w:r>
    </w:p>
    <w:p>
      <w:pPr>
        <w:spacing w:after="0" w:line="158" w:lineRule="exact"/>
        <w:rPr>
          <w:sz w:val="20"/>
          <w:szCs w:val="20"/>
          <w:color w:val="auto"/>
        </w:rPr>
      </w:pPr>
    </w:p>
    <w:p>
      <w:pPr>
        <w:ind w:right="120" w:firstLine="464"/>
        <w:spacing w:after="0" w:line="291" w:lineRule="auto"/>
        <w:tabs>
          <w:tab w:leader="none" w:pos="701" w:val="left"/>
        </w:tabs>
        <w:numPr>
          <w:ilvl w:val="0"/>
          <w:numId w:val="349"/>
        </w:numPr>
        <w:rPr>
          <w:rFonts w:ascii="Arial" w:cs="Arial" w:eastAsia="Arial" w:hAnsi="Arial"/>
          <w:sz w:val="16"/>
          <w:szCs w:val="16"/>
          <w:color w:val="auto"/>
        </w:rPr>
      </w:pPr>
      <w:r>
        <w:rPr>
          <w:rFonts w:ascii="Arial" w:cs="Arial" w:eastAsia="Arial" w:hAnsi="Arial"/>
          <w:sz w:val="16"/>
          <w:szCs w:val="16"/>
          <w:color w:val="auto"/>
        </w:rPr>
        <w:t>For the avoidance of doubt, (</w:t>
      </w:r>
      <w:r>
        <w:rPr>
          <w:rFonts w:ascii="Arial" w:cs="Arial" w:eastAsia="Arial" w:hAnsi="Arial"/>
          <w:sz w:val="16"/>
          <w:szCs w:val="16"/>
          <w:u w:val="single" w:color="auto"/>
          <w:color w:val="auto"/>
        </w:rPr>
        <w:t>i</w:t>
      </w:r>
      <w:r>
        <w:rPr>
          <w:rFonts w:ascii="Arial" w:cs="Arial" w:eastAsia="Arial" w:hAnsi="Arial"/>
          <w:sz w:val="16"/>
          <w:szCs w:val="16"/>
          <w:color w:val="auto"/>
        </w:rPr>
        <w:t>) if any Slot ceases to be included in the Collateral because it ceases to be actually utilized in connection with the Scheduled Services or any Foreign Gate Leasehold ceases to be included in the Collateral because it ceases to be used for servicing the Scheduled Services relating to the airport at which such Foreign Gate Leasehold is located, such Slot or Foreign Gate Leasehold shall be automatically released from the Lien of this SGR Security Agreement and (</w:t>
      </w:r>
      <w:r>
        <w:rPr>
          <w:rFonts w:ascii="Arial" w:cs="Arial" w:eastAsia="Arial" w:hAnsi="Arial"/>
          <w:sz w:val="16"/>
          <w:szCs w:val="16"/>
          <w:u w:val="single" w:color="auto"/>
          <w:color w:val="auto"/>
        </w:rPr>
        <w:t>ii</w:t>
      </w:r>
      <w:r>
        <w:rPr>
          <w:rFonts w:ascii="Arial" w:cs="Arial" w:eastAsia="Arial" w:hAnsi="Arial"/>
          <w:sz w:val="16"/>
          <w:szCs w:val="16"/>
          <w:color w:val="auto"/>
        </w:rPr>
        <w:t>) subject to clause (1) of the first proviso to Section 1 hereof, if any FAA Slot or Foreign Slot now held or hereafter acquired by any Grantor becomes an FAA Route Slot or Foreign Route Slot, respectively, or any right, title, privilege, interest and authority now held or hereafter acquired by such Grantor in connection with the right to use or occupy space in an airport terminal becomes a Foreign Gate Leasehold, such FAA Slot, Foreign Slot or right, title, privilege, interest and authority shall be automatically subject to the Lien of this SGR Security Agreement.</w:t>
      </w:r>
    </w:p>
    <w:p>
      <w:pPr>
        <w:spacing w:after="0" w:line="167" w:lineRule="exact"/>
        <w:rPr>
          <w:rFonts w:ascii="Arial" w:cs="Arial" w:eastAsia="Arial" w:hAnsi="Arial"/>
          <w:sz w:val="16"/>
          <w:szCs w:val="16"/>
          <w:color w:val="auto"/>
        </w:rPr>
      </w:pPr>
    </w:p>
    <w:p>
      <w:pPr>
        <w:ind w:left="720" w:hanging="256"/>
        <w:spacing w:after="0"/>
        <w:tabs>
          <w:tab w:leader="none" w:pos="7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64"/>
        <w:spacing w:after="0" w:line="270" w:lineRule="auto"/>
        <w:tabs>
          <w:tab w:leader="none" w:pos="701" w:val="left"/>
        </w:tabs>
        <w:numPr>
          <w:ilvl w:val="0"/>
          <w:numId w:val="349"/>
        </w:numPr>
        <w:rPr>
          <w:rFonts w:ascii="Arial" w:cs="Arial" w:eastAsia="Arial" w:hAnsi="Arial"/>
          <w:sz w:val="17"/>
          <w:szCs w:val="17"/>
          <w:color w:val="auto"/>
        </w:rPr>
      </w:pPr>
      <w:r>
        <w:rPr>
          <w:rFonts w:ascii="Arial" w:cs="Arial" w:eastAsia="Arial" w:hAnsi="Arial"/>
          <w:sz w:val="17"/>
          <w:szCs w:val="17"/>
          <w:color w:val="auto"/>
        </w:rPr>
        <w:t xml:space="preserve">Upon the release of any Grantor from its guarantee of the Obligations pursuant to Section 9.05 of the Credit Agreement, such Grantor shall cease to be a Grantor hereunder and the items of Collateral owned by such Grantor shall be released from the Lien and security interest granted hereby, and in connection therewith, the Collateral Agent will, at the applicable Grantor’s expense, execute and deliver to such Grantor such documents as it shall reasonably request (without recourse and without any representation or warranty), including, without limitation, any UCC termination statements and any amendment or modification of this SGR Security Agreement pursuant to a SGR Security Agreement Supplement or otherwise, to evidence the release of such Grantor and such Grantor’s Collateral from the Lien and security interest granted hereby and reassignment of all right, title and interest of the Collateral Agent in all of such Grantor’s Collateral to such Grantor. For the avoidance of doubt, upon any merger or consolidation pursuant to Section 6.10(b) of the Credit Agreement, the Collateral shall not be released pursuant to this </w:t>
      </w:r>
      <w:r>
        <w:rPr>
          <w:rFonts w:ascii="Arial" w:cs="Arial" w:eastAsia="Arial" w:hAnsi="Arial"/>
          <w:sz w:val="17"/>
          <w:szCs w:val="17"/>
          <w:u w:val="single" w:color="auto"/>
          <w:color w:val="auto"/>
        </w:rPr>
        <w:t>Section 16(e)</w:t>
      </w:r>
      <w:r>
        <w:rPr>
          <w:rFonts w:ascii="Arial" w:cs="Arial" w:eastAsia="Arial" w:hAnsi="Arial"/>
          <w:sz w:val="17"/>
          <w:szCs w:val="17"/>
          <w:color w:val="auto"/>
        </w:rPr>
        <w:t xml:space="preserve"> so long as following such merger or consolidation, the surviving entity is another Grantor party to this SGR Security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19" w:name="page320"/>
    <w:bookmarkEnd w:id="319"/>
    <w:p>
      <w:pPr>
        <w:ind w:left="-20" w:right="100" w:firstLine="464"/>
        <w:spacing w:after="0" w:line="293" w:lineRule="auto"/>
        <w:tabs>
          <w:tab w:leader="none" w:pos="661" w:val="left"/>
        </w:tabs>
        <w:numPr>
          <w:ilvl w:val="0"/>
          <w:numId w:val="3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direction of the Borrower pursuant to and in accordance with Section 6.09(c) of the Credit Agreement, such items of Collateral as may be specified by the Borrower shall be released from the Lien and security interest granted hereby, and in connection therewith, the Collateral Agent will, at the applicable Grantor’s expense, execute and deliver to such Grantor such documents as it shall reasonably request (without recourse and without any representation or warranty), including, without limitation, any UCC termination statements and any amendment or modification of this SGR Security Agreement pursuant to a SGR Security Agreement Supplement or otherwise, to evidence the release of such items of Collateral from the Lien and security interest granted hereby and reassignment of all right, title and interest of the Collateral Agent in all of such Grantor’s specified Collateral to such Grantor.</w:t>
      </w:r>
    </w:p>
    <w:p>
      <w:pPr>
        <w:spacing w:after="0" w:line="164" w:lineRule="exact"/>
        <w:rPr>
          <w:rFonts w:ascii="Arial" w:cs="Arial" w:eastAsia="Arial" w:hAnsi="Arial"/>
          <w:sz w:val="16"/>
          <w:szCs w:val="16"/>
          <w:color w:val="auto"/>
        </w:rPr>
      </w:pPr>
    </w:p>
    <w:p>
      <w:pPr>
        <w:ind w:left="-20" w:firstLine="464"/>
        <w:spacing w:after="0" w:line="255" w:lineRule="auto"/>
        <w:tabs>
          <w:tab w:leader="none" w:pos="69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If the Borrower or any other Grantor requests release documentation with respect to any Collateral released as provided in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including UCC termination statements or other release-related documentation, the Borrower or other Grantor requesting such documentation shall deliver to the Collateral Agent an Officer’s Certificate stating that the release of such Grantor’s respective Collateral that is to be evidenced by such UCC termination statements or other instruments is permitted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the relevant provisions of the Credit Agreement (provided that an Officer’s Certificate delivered to the Administrative Agent pursuant to Section 6.09(c) of the Credit Agreement shall be deemed to satisfy the requirements of this clause (g)). The Collateral Agent shall have no liability whatsoever to any Secured Party as the result of any release of Collateral by it as permitted by this Section 16.</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Definitions; Rules of Interpretation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shall have the following meanings: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Agent</w:t>
      </w:r>
      <w:r>
        <w:rPr>
          <w:rFonts w:ascii="Arial" w:cs="Arial" w:eastAsia="Arial" w:hAnsi="Arial"/>
          <w:sz w:val="18"/>
          <w:szCs w:val="18"/>
          <w:color w:val="auto"/>
        </w:rPr>
        <w:t>” shall have the meaning provided in the Intercreditor Agreement.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Collateral Documents</w:t>
      </w:r>
      <w:r>
        <w:rPr>
          <w:rFonts w:ascii="Arial" w:cs="Arial" w:eastAsia="Arial" w:hAnsi="Arial"/>
          <w:sz w:val="18"/>
          <w:szCs w:val="18"/>
          <w:color w:val="auto"/>
        </w:rPr>
        <w:t>” shall have the meaning provided in the Intercreditor Agreement.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Credit Facility Secured Parties</w:t>
      </w:r>
      <w:r>
        <w:rPr>
          <w:rFonts w:ascii="Arial" w:cs="Arial" w:eastAsia="Arial" w:hAnsi="Arial"/>
          <w:sz w:val="18"/>
          <w:szCs w:val="18"/>
          <w:color w:val="auto"/>
        </w:rPr>
        <w:t>” shall have the meaning provided in the Intercreditor Agreement.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Obligations</w:t>
      </w:r>
      <w:r>
        <w:rPr>
          <w:rFonts w:ascii="Arial" w:cs="Arial" w:eastAsia="Arial" w:hAnsi="Arial"/>
          <w:sz w:val="18"/>
          <w:szCs w:val="18"/>
          <w:color w:val="auto"/>
        </w:rPr>
        <w:t>” shall have the meaning provided in the Intercreditor Agreement.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shall have the meaning provided in the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4" w:right="259" w:bottom="1440" w:gutter="0" w:footer="0" w:header="0"/>
        </w:sectPr>
      </w:pPr>
    </w:p>
    <w:bookmarkStart w:id="320" w:name="page321"/>
    <w:bookmarkEnd w:id="3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Airport Authority</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Product Provider</w:t>
      </w:r>
      <w:r>
        <w:rPr>
          <w:rFonts w:ascii="Arial" w:cs="Arial" w:eastAsia="Arial" w:hAnsi="Arial"/>
          <w:sz w:val="16"/>
          <w:szCs w:val="16"/>
          <w:color w:val="auto"/>
        </w:rPr>
        <w:t>” shall mean any Person that has entered into a Designated Banking Product Agreement with Parent or the Grantor.</w:t>
      </w:r>
    </w:p>
    <w:p>
      <w:pPr>
        <w:spacing w:after="0" w:line="140" w:lineRule="exact"/>
        <w:rPr>
          <w:sz w:val="20"/>
          <w:szCs w:val="20"/>
          <w:color w:val="auto"/>
        </w:rPr>
      </w:pPr>
    </w:p>
    <w:p>
      <w:pPr>
        <w:ind w:firstLine="43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Case</w:t>
      </w:r>
      <w:r>
        <w:rPr>
          <w:rFonts w:ascii="Arial" w:cs="Arial" w:eastAsia="Arial" w:hAnsi="Arial"/>
          <w:sz w:val="17"/>
          <w:szCs w:val="17"/>
          <w:color w:val="auto"/>
        </w:rPr>
        <w:t>” shall mean (a) pursuant to or within the meaning of Bankruptcy Law, (i) a voluntary case commenced by Parent or any of its Subsidiaries, (ii) an involuntary case in which Parent or any of its Subsidiaries consent to the entry of an order for relief against it, (iii) an appointment consented to by Parent or any of its Subsidiaries of a custodian of it or for all or substantially all of its property, (iv) the making of a general assignment for the benefit of its creditors by Parent or any of its Subsidiaries or (v) the admission in writing of Parent’s or any of its Subsidiaries’ inability generally to pay its debts or (b) an order or decree under any Bankruptcy Law entered by a court of competent jurisdiction that (i) is for relief against Parent or any of its Subsidiaries in an involuntary case, (ii) appoints a custodian of Parent or any of its Subsidiaries for all or substantially all of the property of Parent or any of its Subsidiaries, (iii) orders the liquidation of Parent or any of its Subsidiaries, and in each case of this clause (b) the order or decree remains unstayed and in effect for 60 consecutive days.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have the meaning provided in Section 1 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shall have the meaning provided in the preamble 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shall have the meaning provided in the Credit Agreement.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74" w:right="27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Credit Agreement</w:t>
      </w:r>
      <w:r>
        <w:rPr>
          <w:rFonts w:ascii="Arial" w:cs="Arial" w:eastAsia="Arial" w:hAnsi="Arial"/>
          <w:sz w:val="18"/>
          <w:szCs w:val="18"/>
          <w:color w:val="auto"/>
        </w:rPr>
        <w:t>” shall have the meaning provided in the recitals hereof.</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Banking Product Agreement</w:t>
      </w:r>
      <w:r>
        <w:rPr>
          <w:rFonts w:ascii="Arial" w:cs="Arial" w:eastAsia="Arial" w:hAnsi="Arial"/>
          <w:sz w:val="16"/>
          <w:szCs w:val="16"/>
          <w:color w:val="auto"/>
        </w:rPr>
        <w:t>” shall have the meaning provided in the Credit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Hedging Agreement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Service</w:t>
      </w:r>
      <w:r>
        <w:rPr>
          <w:rFonts w:ascii="Arial" w:cs="Arial" w:eastAsia="Arial" w:hAnsi="Arial"/>
          <w:sz w:val="18"/>
          <w:szCs w:val="18"/>
          <w:color w:val="auto"/>
        </w:rPr>
        <w:t>” shall have the meaning provided in Section 6(a) hereof.</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Discharge of Additional Obligations</w:t>
      </w:r>
      <w:r>
        <w:rPr>
          <w:rFonts w:ascii="Arial" w:cs="Arial" w:eastAsia="Arial" w:hAnsi="Arial"/>
          <w:sz w:val="16"/>
          <w:szCs w:val="16"/>
          <w:color w:val="auto"/>
        </w:rPr>
        <w:t>” shall have the meaning provided in the Intercreditor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 Route Slot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 Slot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Aviation Authority</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Gate Leasehold</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Route Slot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Slot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w:t>
      </w:r>
      <w:r>
        <w:rPr>
          <w:rFonts w:ascii="Arial" w:cs="Arial" w:eastAsia="Arial" w:hAnsi="Arial"/>
          <w:sz w:val="18"/>
          <w:szCs w:val="18"/>
          <w:color w:val="auto"/>
        </w:rPr>
        <w:t>” shall have the meaning provided in the NY UCC.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 shall have the meaning provided in the preamble hereof.</w:t>
      </w:r>
    </w:p>
    <w:p>
      <w:pPr>
        <w:spacing w:after="0" w:line="15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319"/>
          </w:cols>
          <w:pgMar w:left="1140" w:top="274" w:right="1440" w:bottom="1440" w:gutter="0" w:footer="0" w:header="0"/>
        </w:sectPr>
      </w:pPr>
    </w:p>
    <w:bookmarkStart w:id="322" w:name="page323"/>
    <w:bookmarkEnd w:id="3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Hedging Provider</w:t>
      </w:r>
      <w:r>
        <w:rPr>
          <w:rFonts w:ascii="Arial" w:cs="Arial" w:eastAsia="Arial" w:hAnsi="Arial"/>
          <w:sz w:val="18"/>
          <w:szCs w:val="18"/>
          <w:color w:val="auto"/>
        </w:rPr>
        <w:t>” shall mean any Person that has entered into a Designated Hedging Agreement with Parent or the Grantor.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Joinder Agreement</w:t>
      </w:r>
      <w:r>
        <w:rPr>
          <w:rFonts w:ascii="Arial" w:cs="Arial" w:eastAsia="Arial" w:hAnsi="Arial"/>
          <w:sz w:val="17"/>
          <w:szCs w:val="17"/>
          <w:color w:val="auto"/>
        </w:rPr>
        <w:t>” shall mean a Joinder Agreement to this SGR Security Agreement, substantially in the form of Exhibit B hereto.</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shall have the meaning provided in the recitals 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Non-Lender Secured Parties</w:t>
      </w:r>
      <w:r>
        <w:rPr>
          <w:rFonts w:ascii="Arial" w:cs="Arial" w:eastAsia="Arial" w:hAnsi="Arial"/>
          <w:sz w:val="18"/>
          <w:szCs w:val="18"/>
          <w:color w:val="auto"/>
        </w:rPr>
        <w:t>” shall mean, collectively, all Banking Product Providers and Hedging Providers and their respective successors, assigns and transferees. For the avoidance of doubt, “Non-Lender Secured Parties” shall exclude Banking Product Providers and Hedging Providers in their capacities as Lenders, if applicable.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 UCC</w:t>
      </w:r>
      <w:r>
        <w:rPr>
          <w:rFonts w:ascii="Arial" w:cs="Arial" w:eastAsia="Arial" w:hAnsi="Arial"/>
          <w:sz w:val="18"/>
          <w:szCs w:val="18"/>
          <w:color w:val="auto"/>
        </w:rPr>
        <w:t>” shall mean the Uniform Commercial Code, as in effect in the state of New York from time to time.</w:t>
      </w:r>
    </w:p>
    <w:p>
      <w:pPr>
        <w:spacing w:after="0" w:line="117" w:lineRule="exact"/>
        <w:rPr>
          <w:sz w:val="20"/>
          <w:szCs w:val="20"/>
          <w:color w:val="auto"/>
        </w:rPr>
      </w:pPr>
    </w:p>
    <w:p>
      <w:pPr>
        <w:ind w:right="58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shall have the meaning provided in the Credit Agreement. For the avoidance of doubt, “Obligations” does not include any Indebtedness or other obligations under any Pari Passu Notes (as defined in the Credit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Intercreditor Agreement</w:t>
      </w:r>
      <w:r>
        <w:rPr>
          <w:rFonts w:ascii="Arial" w:cs="Arial" w:eastAsia="Arial" w:hAnsi="Arial"/>
          <w:sz w:val="18"/>
          <w:szCs w:val="18"/>
          <w:color w:val="auto"/>
        </w:rPr>
        <w:t>” shall have the meaning provided in the Credit Agreement.</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40"/>
          </w:cols>
          <w:pgMar w:left="700" w:top="273" w:right="359" w:bottom="1440" w:gutter="0" w:footer="0" w:header="0"/>
        </w:sectPr>
      </w:pPr>
    </w:p>
    <w:bookmarkStart w:id="323" w:name="page324"/>
    <w:bookmarkEnd w:id="3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provided in the recitals 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Disposition</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Foreign Gate Leaseholds</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Route Authorities</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Slots</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shall have the meaning assigned to that term under the NY UCC or under other relevant law and, in any event, shall include, but not be limited to, any and all (</w:t>
      </w:r>
      <w:r>
        <w:rPr>
          <w:rFonts w:ascii="Arial" w:cs="Arial" w:eastAsia="Arial" w:hAnsi="Arial"/>
          <w:sz w:val="18"/>
          <w:szCs w:val="18"/>
          <w:u w:val="single" w:color="auto"/>
          <w:color w:val="auto"/>
        </w:rPr>
        <w:t>i</w:t>
      </w:r>
      <w:r>
        <w:rPr>
          <w:rFonts w:ascii="Arial" w:cs="Arial" w:eastAsia="Arial" w:hAnsi="Arial"/>
          <w:sz w:val="18"/>
          <w:szCs w:val="18"/>
          <w:color w:val="auto"/>
        </w:rPr>
        <w:t>) proceeds of any insurance, indemnity, warranty or guarantee payable to the Collateral Agent or to any Grantor from time to time with respect to physical damage to any of the Collateral, (</w:t>
      </w:r>
      <w:r>
        <w:rPr>
          <w:rFonts w:ascii="Arial" w:cs="Arial" w:eastAsia="Arial" w:hAnsi="Arial"/>
          <w:sz w:val="18"/>
          <w:szCs w:val="18"/>
          <w:u w:val="single" w:color="auto"/>
          <w:color w:val="auto"/>
        </w:rPr>
        <w:t>ii</w:t>
      </w:r>
      <w:r>
        <w:rPr>
          <w:rFonts w:ascii="Arial" w:cs="Arial" w:eastAsia="Arial" w:hAnsi="Arial"/>
          <w:sz w:val="18"/>
          <w:szCs w:val="18"/>
          <w:color w:val="auto"/>
        </w:rPr>
        <w:t>) payments (in any form whatsoever), made or due and payable to any Grantor from time to time in connection with any requisition, confiscation, condemnation, seizure or forfeiture of all or any part of the Collateral by any Governmental Authority (or any Person acting under color of Governmental Authority), and (</w:t>
      </w:r>
      <w:r>
        <w:rPr>
          <w:rFonts w:ascii="Arial" w:cs="Arial" w:eastAsia="Arial" w:hAnsi="Arial"/>
          <w:sz w:val="18"/>
          <w:szCs w:val="18"/>
          <w:u w:val="single" w:color="auto"/>
          <w:color w:val="auto"/>
        </w:rPr>
        <w:t>iii</w:t>
      </w:r>
      <w:r>
        <w:rPr>
          <w:rFonts w:ascii="Arial" w:cs="Arial" w:eastAsia="Arial" w:hAnsi="Arial"/>
          <w:sz w:val="18"/>
          <w:szCs w:val="18"/>
          <w:color w:val="auto"/>
        </w:rPr>
        <w:t>) instruments representing obligations to pay amounts to any Grantor in respect of the Collateral.</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w:t>
      </w:r>
      <w:r>
        <w:rPr>
          <w:rFonts w:ascii="Arial" w:cs="Arial" w:eastAsia="Arial" w:hAnsi="Arial"/>
          <w:sz w:val="18"/>
          <w:szCs w:val="18"/>
          <w:color w:val="auto"/>
        </w:rPr>
        <w:t>” shall have the meaning provided in Section 7(b) 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right="80" w:firstLine="43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Route Authorities</w:t>
      </w:r>
      <w:r>
        <w:rPr>
          <w:rFonts w:ascii="Arial" w:cs="Arial" w:eastAsia="Arial" w:hAnsi="Arial"/>
          <w:sz w:val="17"/>
          <w:szCs w:val="17"/>
          <w:color w:val="auto"/>
        </w:rPr>
        <w:t xml:space="preserve">” shall mean, at any time of determination, any route authority identified in Schedule III hereto as such Schedule may be amended or modified from time to time pursuant to </w:t>
      </w:r>
      <w:r>
        <w:rPr>
          <w:rFonts w:ascii="Arial" w:cs="Arial" w:eastAsia="Arial" w:hAnsi="Arial"/>
          <w:sz w:val="17"/>
          <w:szCs w:val="17"/>
          <w:u w:val="single" w:color="auto"/>
          <w:color w:val="auto"/>
        </w:rPr>
        <w:t>Sections 6(a)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hereof or any SGR Security Agreement Supplement, as applicable, as the route authority with respect to any additional Scheduled Service being designated by this SGR Security Agreement or such SGR Security Agreement Supplement, as applicable, and “Route Authority” shall have the meaning provided in the Credit Agreement.</w:t>
      </w:r>
    </w:p>
    <w:p>
      <w:pPr>
        <w:spacing w:after="0" w:line="63" w:lineRule="exact"/>
        <w:rPr>
          <w:sz w:val="20"/>
          <w:szCs w:val="20"/>
          <w:color w:val="auto"/>
        </w:rPr>
      </w:pPr>
    </w:p>
    <w:p>
      <w:pPr>
        <w:ind w:right="3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Services</w:t>
      </w:r>
      <w:r>
        <w:rPr>
          <w:rFonts w:ascii="Arial" w:cs="Arial" w:eastAsia="Arial" w:hAnsi="Arial"/>
          <w:sz w:val="18"/>
          <w:szCs w:val="18"/>
          <w:color w:val="auto"/>
        </w:rPr>
        <w:t>” shall mean, at any time of determination, (i) each non-stop scheduled air carrier service being operated by a Grantor, in each case,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3" w:right="259" w:bottom="1440" w:gutter="0" w:footer="0" w:header="0"/>
        </w:sectPr>
      </w:pPr>
    </w:p>
    <w:bookmarkStart w:id="324" w:name="page325"/>
    <w:bookmarkEnd w:id="324"/>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identified in Schedule III hereto (as such Schedule may be amended or modified from time to time pursuant to Sections 6(a) or 15 hereof) and (ii) any other non-stop scheduled air carrier service being operated by a Grantor at such time that has been designated as an additional “Scheduled Service” pursuant to any SGR Security Agreement Supplement, and “</w:t>
      </w:r>
      <w:r>
        <w:rPr>
          <w:rFonts w:ascii="Arial" w:cs="Arial" w:eastAsia="Arial" w:hAnsi="Arial"/>
          <w:sz w:val="16"/>
          <w:szCs w:val="16"/>
          <w:u w:val="single" w:color="auto"/>
          <w:color w:val="auto"/>
        </w:rPr>
        <w:t>Scheduled Service</w:t>
      </w:r>
      <w:r>
        <w:rPr>
          <w:rFonts w:ascii="Arial" w:cs="Arial" w:eastAsia="Arial" w:hAnsi="Arial"/>
          <w:sz w:val="16"/>
          <w:szCs w:val="16"/>
          <w:color w:val="auto"/>
        </w:rPr>
        <w:t>” shall mean any of such Scheduled Services as the context requires.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Obligations</w:t>
      </w:r>
      <w:r>
        <w:rPr>
          <w:rFonts w:ascii="Arial" w:cs="Arial" w:eastAsia="Arial" w:hAnsi="Arial"/>
          <w:sz w:val="18"/>
          <w:szCs w:val="18"/>
          <w:color w:val="auto"/>
        </w:rPr>
        <w:t>” shall have the meaning provided in the Intercreditor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Representative</w:t>
      </w:r>
      <w:r>
        <w:rPr>
          <w:rFonts w:ascii="Arial" w:cs="Arial" w:eastAsia="Arial" w:hAnsi="Arial"/>
          <w:sz w:val="18"/>
          <w:szCs w:val="18"/>
          <w:color w:val="auto"/>
        </w:rPr>
        <w:t>” shall have the meaning provided in the Intercreditor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SGR Security Agreement</w:t>
      </w:r>
      <w:r>
        <w:rPr>
          <w:rFonts w:ascii="Arial" w:cs="Arial" w:eastAsia="Arial" w:hAnsi="Arial"/>
          <w:sz w:val="18"/>
          <w:szCs w:val="18"/>
          <w:color w:val="auto"/>
        </w:rPr>
        <w:t>” shall have the meaning provided in the preamble 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SGR Security Agreement Supplement</w:t>
      </w:r>
      <w:r>
        <w:rPr>
          <w:rFonts w:ascii="Arial" w:cs="Arial" w:eastAsia="Arial" w:hAnsi="Arial"/>
          <w:sz w:val="18"/>
          <w:szCs w:val="18"/>
          <w:color w:val="auto"/>
        </w:rPr>
        <w:t>” shall have the meaning provided in Section 6(a) 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Slots</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FAA Slot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Foreign Slot</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14</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49</w:t>
      </w:r>
      <w:r>
        <w:rPr>
          <w:rFonts w:ascii="Arial" w:cs="Arial" w:eastAsia="Arial" w:hAnsi="Arial"/>
          <w:sz w:val="18"/>
          <w:szCs w:val="18"/>
          <w:color w:val="auto"/>
        </w:rPr>
        <w:t>” shall have the meaning provided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Restriction</w:t>
      </w:r>
      <w:r>
        <w:rPr>
          <w:rFonts w:ascii="Arial" w:cs="Arial" w:eastAsia="Arial" w:hAnsi="Arial"/>
          <w:sz w:val="18"/>
          <w:szCs w:val="18"/>
          <w:color w:val="auto"/>
        </w:rPr>
        <w:t>” shall have the meaning provided in Section 1 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 as in effect from time to time in any applicable jurisdiction.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Citizen</w:t>
      </w:r>
      <w:r>
        <w:rPr>
          <w:rFonts w:ascii="Arial" w:cs="Arial" w:eastAsia="Arial" w:hAnsi="Arial"/>
          <w:sz w:val="18"/>
          <w:szCs w:val="18"/>
          <w:color w:val="auto"/>
        </w:rPr>
        <w:t>” shall have the meaning provided in the Credit Agreement.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700" w:top="274" w:right="279" w:bottom="1440" w:gutter="0" w:footer="0" w:header="0"/>
        </w:sectPr>
      </w:pPr>
    </w:p>
    <w:bookmarkStart w:id="325" w:name="page326"/>
    <w:bookmarkEnd w:id="325"/>
    <w:p>
      <w:pPr>
        <w:ind w:left="720" w:hanging="256"/>
        <w:spacing w:after="0"/>
        <w:tabs>
          <w:tab w:leader="none" w:pos="72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of Interpretation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definitions stated herein shall be equally applicable to the singular and plural forms of the terms defined.</w:t>
      </w:r>
    </w:p>
    <w:p>
      <w:pPr>
        <w:spacing w:after="0" w:line="225" w:lineRule="exact"/>
        <w:rPr>
          <w:rFonts w:ascii="Arial" w:cs="Arial" w:eastAsia="Arial" w:hAnsi="Arial"/>
          <w:sz w:val="18"/>
          <w:szCs w:val="18"/>
          <w:color w:val="auto"/>
        </w:rPr>
      </w:pPr>
    </w:p>
    <w:p>
      <w:pPr>
        <w:ind w:firstLine="921"/>
        <w:spacing w:after="0" w:line="277" w:lineRule="auto"/>
        <w:tabs>
          <w:tab w:leader="none" w:pos="1178" w:val="left"/>
        </w:tabs>
        <w:numPr>
          <w:ilvl w:val="1"/>
          <w:numId w:val="351"/>
        </w:numPr>
        <w:rPr>
          <w:rFonts w:ascii="Arial" w:cs="Arial" w:eastAsia="Arial" w:hAnsi="Arial"/>
          <w:sz w:val="18"/>
          <w:szCs w:val="18"/>
          <w:color w:val="auto"/>
        </w:rPr>
      </w:pPr>
      <w:r>
        <w:rPr>
          <w:rFonts w:ascii="Arial" w:cs="Arial" w:eastAsia="Arial" w:hAnsi="Arial"/>
          <w:sz w:val="18"/>
          <w:szCs w:val="18"/>
          <w:color w:val="auto"/>
        </w:rPr>
        <w:t>For the avoidance of doubt, references herein to any airport shall, in the event of a name change with respect to any such airport, include such renamed airport.</w:t>
      </w:r>
    </w:p>
    <w:p>
      <w:pPr>
        <w:spacing w:after="0" w:line="170" w:lineRule="exact"/>
        <w:rPr>
          <w:rFonts w:ascii="Arial" w:cs="Arial" w:eastAsia="Arial" w:hAnsi="Arial"/>
          <w:sz w:val="18"/>
          <w:szCs w:val="18"/>
          <w:color w:val="auto"/>
        </w:rPr>
      </w:pPr>
    </w:p>
    <w:p>
      <w:pPr>
        <w:ind w:right="80" w:firstLine="921"/>
        <w:spacing w:after="0" w:line="277" w:lineRule="auto"/>
        <w:tabs>
          <w:tab w:leader="none" w:pos="1228"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xml:space="preserve">The parties to this SGR Security Agreement agree that the rules of interpretation set out in Section 1.02 of the Credit Agreement shall apply to this SGR Security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set out in this SGR Security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460" w:firstLine="464"/>
        <w:spacing w:after="0" w:line="264" w:lineRule="auto"/>
        <w:tabs>
          <w:tab w:leader="none" w:pos="70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Except in the case of notices and other communications expressly permitted to be given by telephone (and subject to paragraph (b) below), all notices and other communications provided for herein shall be in writing (including by facsimile or electronic mail), and shall be delivered by hand or overnight courier service, mailed by certified or registered mail or sent by facsimile, as follows:</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if to any Grantor, to it at the notice address provided for such Grantor in Schedule I hereto;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if to Barclays Bank PLC as Collateral Agent, to it at [ ● ], facsimile[ ● ]; email: [ ● ]; Attention: [ ● ].</w:t>
      </w:r>
    </w:p>
    <w:p>
      <w:pPr>
        <w:spacing w:after="0" w:line="225" w:lineRule="exact"/>
        <w:rPr>
          <w:rFonts w:ascii="Arial" w:cs="Arial" w:eastAsia="Arial" w:hAnsi="Arial"/>
          <w:sz w:val="18"/>
          <w:szCs w:val="18"/>
          <w:color w:val="auto"/>
        </w:rPr>
      </w:pPr>
    </w:p>
    <w:p>
      <w:pPr>
        <w:jc w:val="both"/>
        <w:ind w:right="700" w:firstLine="464"/>
        <w:spacing w:after="0" w:line="264" w:lineRule="auto"/>
        <w:tabs>
          <w:tab w:leader="none" w:pos="71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The Collateral Agent or any Grantor may, in its reasonable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Any party hereto may change its address or facsimile number for notices and other communications hereunder by notice to the other parties</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hereto. All notices and other communications given to any party hereto in accordance with the provisions of this SGR Security Agreement shall be deemed to have been given on the date of receipt.</w:t>
      </w:r>
    </w:p>
    <w:p>
      <w:pPr>
        <w:spacing w:after="0" w:line="1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Continuing Security Interest; Transfer of Indebtedness</w:t>
      </w:r>
      <w:r>
        <w:rPr>
          <w:rFonts w:ascii="Arial" w:cs="Arial" w:eastAsia="Arial" w:hAnsi="Arial"/>
          <w:sz w:val="18"/>
          <w:szCs w:val="18"/>
          <w:color w:val="auto"/>
        </w:rPr>
        <w:t>. This SGR Security Agreement shall create a continuing security interest in the Collateral and shall (</w:t>
      </w:r>
      <w:r>
        <w:rPr>
          <w:rFonts w:ascii="Arial" w:cs="Arial" w:eastAsia="Arial" w:hAnsi="Arial"/>
          <w:sz w:val="18"/>
          <w:szCs w:val="18"/>
          <w:u w:val="single" w:color="auto"/>
          <w:color w:val="auto"/>
        </w:rPr>
        <w:t>i</w:t>
      </w:r>
      <w:r>
        <w:rPr>
          <w:rFonts w:ascii="Arial" w:cs="Arial" w:eastAsia="Arial" w:hAnsi="Arial"/>
          <w:sz w:val="18"/>
          <w:szCs w:val="18"/>
          <w:color w:val="auto"/>
        </w:rPr>
        <w:t>) remain in full force and effect until the termination of this SGR Security Agreement in accordance with Section 16(a), (</w:t>
      </w:r>
      <w:r>
        <w:rPr>
          <w:rFonts w:ascii="Arial" w:cs="Arial" w:eastAsia="Arial" w:hAnsi="Arial"/>
          <w:sz w:val="18"/>
          <w:szCs w:val="18"/>
          <w:u w:val="single" w:color="auto"/>
          <w:color w:val="auto"/>
        </w:rPr>
        <w:t>ii</w:t>
      </w:r>
      <w:r>
        <w:rPr>
          <w:rFonts w:ascii="Arial" w:cs="Arial" w:eastAsia="Arial" w:hAnsi="Arial"/>
          <w:sz w:val="18"/>
          <w:szCs w:val="18"/>
          <w:color w:val="auto"/>
        </w:rPr>
        <w:t>) be binding upon each Grantor, its successors and assigns, and (</w:t>
      </w:r>
      <w:r>
        <w:rPr>
          <w:rFonts w:ascii="Arial" w:cs="Arial" w:eastAsia="Arial" w:hAnsi="Arial"/>
          <w:sz w:val="18"/>
          <w:szCs w:val="18"/>
          <w:u w:val="single" w:color="auto"/>
          <w:color w:val="auto"/>
        </w:rPr>
        <w:t>iii</w:t>
      </w:r>
      <w:r>
        <w:rPr>
          <w:rFonts w:ascii="Arial" w:cs="Arial" w:eastAsia="Arial" w:hAnsi="Arial"/>
          <w:sz w:val="18"/>
          <w:szCs w:val="18"/>
          <w:color w:val="auto"/>
        </w:rPr>
        <w:t>) inure, together with the rights and remedies of the Collateral Agent hereunder, to the benefit of the Collateral Agent and each other Secured Party and each of their respective successors, permitted transferees and permitted assigns; no other persons (including, without limitation, any other creditor of any Grantor) shall have any interest herein or any right or benefit with respect hereto. Without limiting the generality of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26" w:name="page327"/>
    <w:bookmarkEnd w:id="32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foregoing clause (iii) and subject to the provisions of the applicable Loan Documents (including any Intercreditor Agreement and any Other Intercreditor Agreement), any Secured Party may assign or otherwise transfer any indebtedness held by it secured by this SGR Security Agreement to any other Person, and following such assignment or transfer, the Collateral Agent shall hold the security interest and mortgage of this SGR Security Agreement for the benefit of such other Person, subject, however, to the provisions of the applicable Loan Documents (including any Intercreditor Agreement and any Other Intercreditor Agreement).</w:t>
      </w:r>
    </w:p>
    <w:p>
      <w:pPr>
        <w:spacing w:after="0" w:line="184" w:lineRule="exact"/>
        <w:rPr>
          <w:sz w:val="20"/>
          <w:szCs w:val="20"/>
          <w:color w:val="auto"/>
        </w:rPr>
      </w:pPr>
    </w:p>
    <w:p>
      <w:pPr>
        <w:jc w:val="both"/>
        <w:ind w:right="80" w:firstLine="456"/>
        <w:spacing w:after="0" w:line="261"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SGR SECURITY AGREEMENT HAS BEEN DELIVERED IN THE STATE OF NEW YORK, AND THIS</w:t>
      </w:r>
      <w:r>
        <w:rPr>
          <w:rFonts w:ascii="Arial" w:cs="Arial" w:eastAsia="Arial" w:hAnsi="Arial"/>
          <w:sz w:val="18"/>
          <w:szCs w:val="18"/>
          <w:color w:val="auto"/>
        </w:rPr>
        <w:t xml:space="preserve"> </w:t>
      </w:r>
      <w:r>
        <w:rPr>
          <w:rFonts w:ascii="Arial" w:cs="Arial" w:eastAsia="Arial" w:hAnsi="Arial"/>
          <w:sz w:val="18"/>
          <w:szCs w:val="18"/>
          <w:b w:val="1"/>
          <w:bCs w:val="1"/>
          <w:color w:val="auto"/>
        </w:rPr>
        <w:t>SGR SECURITY AGREEMENT AND THE RIGHTS AND OBLIGATIONS OF THE PARTIES UNDER THIS SGR SECURITY AGREEMENT SHALL BE GOVERNED BY, AND CONSTRUED AND INTERPRETED IN ACCORDANCE WITH, THE LAWS OF THE STATE OF NEW YORK.</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PARTY HERETO HEREBY WAIVES, TO THE FULLEST EXTENT PERMITTED BY</w:t>
      </w:r>
      <w:r>
        <w:rPr>
          <w:rFonts w:ascii="Arial" w:cs="Arial" w:eastAsia="Arial" w:hAnsi="Arial"/>
          <w:sz w:val="18"/>
          <w:szCs w:val="18"/>
          <w:color w:val="auto"/>
        </w:rPr>
        <w:t xml:space="preserve"> </w:t>
      </w:r>
      <w:r>
        <w:rPr>
          <w:rFonts w:ascii="Arial" w:cs="Arial" w:eastAsia="Arial" w:hAnsi="Arial"/>
          <w:sz w:val="18"/>
          <w:szCs w:val="18"/>
          <w:b w:val="1"/>
          <w:bCs w:val="1"/>
          <w:color w:val="auto"/>
        </w:rPr>
        <w:t>APPLICABLE LAW, ANY RIGHT IT MAY HAVE TO A TRIAL BY JURY IN ANY LEGAL PROCEEDING DIRECTLY OR INDIRECTLY ARISING OUT OF OR RELATING TO THIS SGR SECURITY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SGR SECURITY AGREEMENT BY, AMONG OTHER THINGS, THE MUTUAL WAIVERS AND CERTIFICATIONS IN THIS SECTION 21.</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Consent to Jurisdiction and Service of Process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97" w:lineRule="auto"/>
        <w:tabs>
          <w:tab w:leader="none" w:pos="701" w:val="left"/>
        </w:tabs>
        <w:numPr>
          <w:ilvl w:val="0"/>
          <w:numId w:val="353"/>
        </w:numPr>
        <w:rPr>
          <w:rFonts w:ascii="Arial" w:cs="Arial" w:eastAsia="Arial" w:hAnsi="Arial"/>
          <w:sz w:val="16"/>
          <w:szCs w:val="16"/>
          <w:color w:val="auto"/>
        </w:rPr>
      </w:pPr>
      <w:r>
        <w:rPr>
          <w:rFonts w:ascii="Arial" w:cs="Arial" w:eastAsia="Arial" w:hAnsi="Arial"/>
          <w:sz w:val="16"/>
          <w:szCs w:val="16"/>
          <w:color w:val="auto"/>
        </w:rPr>
        <w:t>Each party hereto hereby irrevocably and unconditionally submits, for itself and its property in any legal action or proceeding relating to this SGR Security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any appellate court from any thereof, in any action or proceeding arising out of or relating to this SGR Security Agreement, and each of the parties hereto hereby irrevocably and unconditionally agrees that all claims in respect of any such action or proceeding may be heard and determined in such New York</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274" w:right="339" w:bottom="1440" w:gutter="0" w:footer="0" w:header="0"/>
        </w:sectPr>
      </w:pPr>
    </w:p>
    <w:bookmarkStart w:id="327" w:name="page328"/>
    <w:bookmarkEnd w:id="327"/>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24" w:lineRule="exact"/>
        <w:rPr>
          <w:sz w:val="20"/>
          <w:szCs w:val="20"/>
          <w:color w:val="auto"/>
        </w:rPr>
      </w:pPr>
    </w:p>
    <w:p>
      <w:pPr>
        <w:ind w:right="80" w:firstLine="464"/>
        <w:spacing w:after="0" w:line="259" w:lineRule="auto"/>
        <w:tabs>
          <w:tab w:leader="none" w:pos="711"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SGR Security Agreement in any court referred to in Section 21(a).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right="180" w:firstLine="464"/>
        <w:spacing w:after="0" w:line="342" w:lineRule="auto"/>
        <w:tabs>
          <w:tab w:leader="none" w:pos="701" w:val="left"/>
        </w:tabs>
        <w:numPr>
          <w:ilvl w:val="0"/>
          <w:numId w:val="354"/>
        </w:numPr>
        <w:rPr>
          <w:rFonts w:ascii="Arial" w:cs="Arial" w:eastAsia="Arial" w:hAnsi="Arial"/>
          <w:sz w:val="16"/>
          <w:szCs w:val="16"/>
          <w:color w:val="auto"/>
        </w:rPr>
      </w:pPr>
      <w:r>
        <w:rPr>
          <w:rFonts w:ascii="Arial" w:cs="Arial" w:eastAsia="Arial" w:hAnsi="Arial"/>
          <w:sz w:val="16"/>
          <w:szCs w:val="16"/>
          <w:color w:val="auto"/>
        </w:rPr>
        <w:t>Each party hereto hereby irrevocably and unconditionally consents to service of process in the manner provided for notices in Section 18. Nothing in this SGR Security Agreement will affect the right of any party to this SGR Security Agreement to serve process in any other manner permitted by law.</w:t>
      </w:r>
    </w:p>
    <w:p>
      <w:pPr>
        <w:spacing w:after="0" w:line="12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Security Interest Absolute</w:t>
      </w:r>
      <w:r>
        <w:rPr>
          <w:rFonts w:ascii="Arial" w:cs="Arial" w:eastAsia="Arial" w:hAnsi="Arial"/>
          <w:sz w:val="17"/>
          <w:szCs w:val="17"/>
          <w:color w:val="auto"/>
        </w:rPr>
        <w:t>. To the extent permitted by applicable law, the obligations of the Grantors hereunder shall remain in full force and effect without regard to, and shall not be impaired by (</w:t>
      </w:r>
      <w:r>
        <w:rPr>
          <w:rFonts w:ascii="Arial" w:cs="Arial" w:eastAsia="Arial" w:hAnsi="Arial"/>
          <w:sz w:val="17"/>
          <w:szCs w:val="17"/>
          <w:u w:val="single" w:color="auto"/>
          <w:color w:val="auto"/>
        </w:rPr>
        <w:t>a</w:t>
      </w:r>
      <w:r>
        <w:rPr>
          <w:rFonts w:ascii="Arial" w:cs="Arial" w:eastAsia="Arial" w:hAnsi="Arial"/>
          <w:sz w:val="17"/>
          <w:szCs w:val="17"/>
          <w:color w:val="auto"/>
        </w:rPr>
        <w:t>) any bankruptcy, insolvency, reorganization, arrangement, readjustment, composition, liquidation or the like of any Grantor, except to the extent that the enforceability thereof may be limited by any such event; (</w:t>
      </w:r>
      <w:r>
        <w:rPr>
          <w:rFonts w:ascii="Arial" w:cs="Arial" w:eastAsia="Arial" w:hAnsi="Arial"/>
          <w:sz w:val="17"/>
          <w:szCs w:val="17"/>
          <w:u w:val="single" w:color="auto"/>
          <w:color w:val="auto"/>
        </w:rPr>
        <w:t>b</w:t>
      </w:r>
      <w:r>
        <w:rPr>
          <w:rFonts w:ascii="Arial" w:cs="Arial" w:eastAsia="Arial" w:hAnsi="Arial"/>
          <w:sz w:val="17"/>
          <w:szCs w:val="17"/>
          <w:color w:val="auto"/>
        </w:rPr>
        <w:t>) any exercise or non-exercise, or any waiver of any right, remedy, power or privilege under or in respect of this SGR Security Agreement or any other Loan Documents, except as specifically set forth in a waiver granted pursuant to Section 15; (</w:t>
      </w:r>
      <w:r>
        <w:rPr>
          <w:rFonts w:ascii="Arial" w:cs="Arial" w:eastAsia="Arial" w:hAnsi="Arial"/>
          <w:sz w:val="17"/>
          <w:szCs w:val="17"/>
          <w:u w:val="single" w:color="auto"/>
          <w:color w:val="auto"/>
        </w:rPr>
        <w:t>c</w:t>
      </w:r>
      <w:r>
        <w:rPr>
          <w:rFonts w:ascii="Arial" w:cs="Arial" w:eastAsia="Arial" w:hAnsi="Arial"/>
          <w:sz w:val="17"/>
          <w:szCs w:val="17"/>
          <w:color w:val="auto"/>
        </w:rPr>
        <w:t>) any lack of validity or enforceability of the Liens granted hereunder; or (</w:t>
      </w:r>
      <w:r>
        <w:rPr>
          <w:rFonts w:ascii="Arial" w:cs="Arial" w:eastAsia="Arial" w:hAnsi="Arial"/>
          <w:sz w:val="17"/>
          <w:szCs w:val="17"/>
          <w:u w:val="single" w:color="auto"/>
          <w:color w:val="auto"/>
        </w:rPr>
        <w:t>d</w:t>
      </w:r>
      <w:r>
        <w:rPr>
          <w:rFonts w:ascii="Arial" w:cs="Arial" w:eastAsia="Arial" w:hAnsi="Arial"/>
          <w:sz w:val="17"/>
          <w:szCs w:val="17"/>
          <w:color w:val="auto"/>
        </w:rPr>
        <w:t>) any other circumstances which might otherwise constitute a defense available to, or a discharge of, any Grantor (other than payment or performance in accordance with the terms of the Loan Documents (including any Intercreditor Agreement and any Other Intercreditor Agreement)).</w:t>
      </w:r>
    </w:p>
    <w:p>
      <w:pPr>
        <w:spacing w:after="0" w:line="17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To the extent permitted by applicable law, any provision of this SGR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herein are for convenience only and are not to affect the construction of or be taken into consideration in interpreting this SGR Security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3" w:right="239" w:bottom="1440" w:gutter="0" w:footer="0" w:header="0"/>
        </w:sectPr>
      </w:pPr>
    </w:p>
    <w:bookmarkStart w:id="328" w:name="page329"/>
    <w:bookmarkEnd w:id="328"/>
    <w:p>
      <w:pPr>
        <w:ind w:right="3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26.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SGR Security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SGR Security Agreement by facsimile or electronic .pdf copy shall be effective as delivery of a manually executed counterpart of this SGR Security Agreement.</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Additional Grantors</w:t>
      </w:r>
      <w:r>
        <w:rPr>
          <w:rFonts w:ascii="Arial" w:cs="Arial" w:eastAsia="Arial" w:hAnsi="Arial"/>
          <w:sz w:val="17"/>
          <w:szCs w:val="17"/>
          <w:color w:val="auto"/>
        </w:rPr>
        <w:t>. If, at the option of the Borrower or as required pursuant to Section 5.09 of the Credit Agreement, the Borrower shall cause any Affiliate that is not a Grantor to become a Grantor hereunder, such Affiliate shall execute and deliver to the Collateral Agent a Joinder Agreement substantially in the form of Exhibit B and shall thereafter for all purposes be a party hereto and have the same rights, benefits and obligations as a Grantor party hereto on the date hereof, it being understood that Section 1 shall apply to, and the representations and warranties contained in Section 4 shall be made by, such Affiliate only after such Affiliate executes and delivers to the Administrative Agent a Joinder Agreement.</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SGR Security Agreement shall be binding upon each Grantor and its successors and assigns and shall inure to the benefit of the Collateral Agent and each Secured Party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Grantor may transfer or assign any or all of its rights or obligations hereunder without the prior written consent of the Collateral Agent, unless otherwise permitted by the applicable Loan Documents. All agreements, statements, representations and warranties made by any Grantor herein or in any certificate or other instrument delivered by such Grantor or on its behalf under this SGR Security Agreement shall be considered to have been relied upon by the Secured Parties and shall survive the execution and delivery of this SGR Security Agreement and the other Loan Documents regardless of any investigation made by the Secured Parties or on their behalf.</w:t>
      </w:r>
    </w:p>
    <w:p>
      <w:pPr>
        <w:spacing w:after="0" w:line="18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Limited Obligations</w:t>
      </w:r>
      <w:r>
        <w:rPr>
          <w:rFonts w:ascii="Arial" w:cs="Arial" w:eastAsia="Arial" w:hAnsi="Arial"/>
          <w:sz w:val="17"/>
          <w:szCs w:val="17"/>
          <w:color w:val="auto"/>
        </w:rPr>
        <w:t>. It is the desire and intent of each Grantor, the Collateral Agent and the Secured Parties that this SGR Security Agreement shall be enforced against each Grantor to the fullest extent permissible under the laws and public policies applied in each jurisdiction in which enforcement is sought. If and to the extent that the obligations of any Grantor under this SGR Security Agreement shall be adjudicated to be invalid or unenforceable for any reason (including, without limitation, because of any applicable state or federal law relating to fraudulent conveyances or transfers, which laws would determine the solvency of such Grantor by reference to the full amount of the Obligations at the time of the execution and delivery of this SGR Security Agreement), then the amount of the Obligations of such Grantor shall be deemed to be reduced and such Grantor shall pay the maximum amount of the Obligations which would be permissible under the applicable law.</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3" w:right="279" w:bottom="1440" w:gutter="0" w:footer="0" w:header="0"/>
        </w:sectPr>
      </w:pPr>
    </w:p>
    <w:bookmarkStart w:id="329" w:name="page330"/>
    <w:bookmarkEnd w:id="329"/>
    <w:p>
      <w:pPr>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 </w:t>
      </w:r>
      <w:r>
        <w:rPr>
          <w:rFonts w:ascii="Arial" w:cs="Arial" w:eastAsia="Arial" w:hAnsi="Arial"/>
          <w:sz w:val="16"/>
          <w:szCs w:val="16"/>
          <w:u w:val="single" w:color="auto"/>
          <w:color w:val="auto"/>
        </w:rPr>
        <w:t>Construction of Schedules</w:t>
      </w:r>
      <w:r>
        <w:rPr>
          <w:rFonts w:ascii="Arial" w:cs="Arial" w:eastAsia="Arial" w:hAnsi="Arial"/>
          <w:sz w:val="16"/>
          <w:szCs w:val="16"/>
          <w:color w:val="auto"/>
        </w:rPr>
        <w:t xml:space="preserve">. It is understood and agreed that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is intended to be descriptive of the Slots listed on such Schedule as of the last calendar week prior to the date hereof and that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is intended to be descriptive of the Scheduled Services listed on such Schedule as of the date hereof, and such Schedules shall not be construed as expanding or limiting in any way the Collateral subject to this SGR Security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30" w:name="page331"/>
    <w:bookmarkEnd w:id="33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as a Grantor and the Collateral Agent each has caused this SGR Security Agreement to be duly executed and delivered by its officer thereunto duly authorized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Security Agreement (Slots, Foreign Gate Leaseholds and Route Authorities)</w:t>
      </w:r>
    </w:p>
    <w:p>
      <w:pPr>
        <w:sectPr>
          <w:pgSz w:w="11900" w:h="16838" w:orient="portrait"/>
          <w:cols w:equalWidth="0" w:num="1">
            <w:col w:w="11340"/>
          </w:cols>
          <w:pgMar w:left="240" w:top="274" w:right="319" w:bottom="1440" w:gutter="0" w:footer="0" w:header="0"/>
        </w:sectPr>
      </w:pPr>
    </w:p>
    <w:bookmarkStart w:id="331" w:name="page332"/>
    <w:bookmarkEnd w:id="33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American Airlines, Inc. - Security Agreement (Slots, Foreign Gate Leaseholds and Route Authorities)</w:t>
      </w:r>
    </w:p>
    <w:p>
      <w:pPr>
        <w:sectPr>
          <w:pgSz w:w="11900" w:h="16838" w:orient="portrait"/>
          <w:cols w:equalWidth="0" w:num="1">
            <w:col w:w="9019"/>
          </w:cols>
          <w:pgMar w:left="1440" w:top="274" w:right="1440"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SCHEDULE OF GRANTORS; LOCATIONS OF CHIEF EXECUTIVE OFFICES AND ADDRESSES</w:t>
      </w:r>
    </w:p>
    <w:p>
      <w:pPr>
        <w:sectPr>
          <w:pgSz w:w="11900" w:h="16838" w:orient="portrait"/>
          <w:cols w:equalWidth="0" w:num="1">
            <w:col w:w="10220"/>
          </w:cols>
          <w:pgMar w:left="1440" w:top="273" w:right="239" w:bottom="1440" w:gutter="0" w:footer="0" w:header="0"/>
        </w:sect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GRANTOR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ADDRESS</w:t>
      </w:r>
    </w:p>
    <w:p>
      <w:pPr>
        <w:spacing w:after="0" w:line="115" w:lineRule="exact"/>
        <w:rPr>
          <w:sz w:val="20"/>
          <w:szCs w:val="20"/>
          <w:color w:val="auto"/>
        </w:rPr>
      </w:pPr>
    </w:p>
    <w:p>
      <w:pPr>
        <w:sectPr>
          <w:pgSz w:w="11900" w:h="16838" w:orient="portrait"/>
          <w:cols w:equalWidth="0" w:num="2">
            <w:col w:w="6480" w:space="720"/>
            <w:col w:w="3020"/>
          </w:cols>
          <w:pgMar w:left="1440" w:top="27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AMERICAN AIRLINES, INC.</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7"/>
          <w:szCs w:val="17"/>
          <w:color w:val="auto"/>
        </w:rPr>
        <w:t>4333 AMON CARTER BOULEVARD,</w:t>
      </w:r>
    </w:p>
    <w:p>
      <w:pPr>
        <w:spacing w:after="0" w:line="14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FORT WORTH, TEXAS 76155</w:t>
      </w:r>
    </w:p>
    <w:p>
      <w:pPr>
        <w:sectPr>
          <w:pgSz w:w="11900" w:h="16838" w:orient="portrait"/>
          <w:cols w:equalWidth="0" w:num="2">
            <w:col w:w="5380" w:space="720"/>
            <w:col w:w="4120"/>
          </w:cols>
          <w:pgMar w:left="1440" w:top="273" w:right="239" w:bottom="1440" w:gutter="0" w:footer="0" w:header="0"/>
          <w:type w:val="continuous"/>
        </w:sectPr>
      </w:pPr>
    </w:p>
    <w:bookmarkStart w:id="333" w:name="page334"/>
    <w:bookmarkEnd w:id="3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SLOTS</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73" w:right="2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SCHEDULED SERVICES</w:t>
      </w:r>
    </w:p>
    <w:p>
      <w:pPr>
        <w:spacing w:after="0" w:line="24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ROUTE AUTHORITIES</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0220"/>
          </w:cols>
          <w:pgMar w:left="1440" w:top="274" w:right="2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SGR Security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SGR SECURITY AGREEMENT SUPPLEMENT</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SGR Security Agreement Supplement No.</w:t>
      </w:r>
    </w:p>
    <w:p>
      <w:pPr>
        <w:spacing w:after="0" w:line="225" w:lineRule="exact"/>
        <w:rPr>
          <w:sz w:val="20"/>
          <w:szCs w:val="20"/>
          <w:color w:val="auto"/>
        </w:rPr>
      </w:pPr>
    </w:p>
    <w:p>
      <w:pPr>
        <w:ind w:left="460"/>
        <w:spacing w:after="0"/>
        <w:tabs>
          <w:tab w:leader="none" w:pos="4880" w:val="left"/>
          <w:tab w:leader="none" w:pos="5940" w:val="left"/>
          <w:tab w:leader="none" w:pos="6440" w:val="left"/>
          <w:tab w:leader="none" w:pos="11160" w:val="left"/>
        </w:tabs>
        <w:rPr>
          <w:sz w:val="20"/>
          <w:szCs w:val="20"/>
          <w:color w:val="auto"/>
        </w:rPr>
      </w:pPr>
      <w:r>
        <w:rPr>
          <w:rFonts w:ascii="Arial" w:cs="Arial" w:eastAsia="Arial" w:hAnsi="Arial"/>
          <w:sz w:val="18"/>
          <w:szCs w:val="18"/>
          <w:color w:val="auto"/>
        </w:rPr>
        <w:t>SGR SECURITY AGREEMENT SUPPLEMENT NO.</w:t>
      </w:r>
      <w:r>
        <w:rPr>
          <w:sz w:val="20"/>
          <w:szCs w:val="20"/>
          <w:color w:val="auto"/>
        </w:rPr>
        <w:tab/>
      </w:r>
      <w:r>
        <w:rPr>
          <w:rFonts w:ascii="Arial" w:cs="Arial" w:eastAsia="Arial" w:hAnsi="Arial"/>
          <w:sz w:val="18"/>
          <w:szCs w:val="18"/>
          <w:color w:val="auto"/>
        </w:rPr>
        <w:t>, 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SGR Security Agreement Supplement</w:t>
      </w:r>
      <w:r>
        <w:rPr>
          <w:rFonts w:ascii="Arial" w:cs="Arial" w:eastAsia="Arial" w:hAnsi="Arial"/>
          <w:sz w:val="18"/>
          <w:szCs w:val="18"/>
          <w:color w:val="auto"/>
        </w:rPr>
        <w:t>”), between [</w:t>
      </w:r>
      <w:r>
        <w:rPr>
          <w:sz w:val="20"/>
          <w:szCs w:val="20"/>
          <w:color w:val="auto"/>
        </w:rPr>
        <w:tab/>
      </w:r>
      <w:r>
        <w:rPr>
          <w:rFonts w:ascii="Arial" w:cs="Arial" w:eastAsia="Arial" w:hAnsi="Arial"/>
          <w:sz w:val="15"/>
          <w:szCs w:val="15"/>
          <w:color w:val="auto"/>
        </w:rPr>
        <w:t>], a</w:t>
      </w:r>
    </w:p>
    <w:p>
      <w:pPr>
        <w:spacing w:after="0" w:line="23" w:lineRule="exact"/>
        <w:rPr>
          <w:sz w:val="20"/>
          <w:szCs w:val="20"/>
          <w:color w:val="auto"/>
        </w:rPr>
      </w:pPr>
    </w:p>
    <w:p>
      <w:pPr>
        <w:ind w:right="580" w:firstLine="8"/>
        <w:spacing w:after="0" w:line="261" w:lineRule="auto"/>
        <w:tabs>
          <w:tab w:leader="none" w:pos="9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(together with its permitted successors and assigns, the “</w:t>
      </w:r>
      <w:r>
        <w:rPr>
          <w:rFonts w:ascii="Arial" w:cs="Arial" w:eastAsia="Arial" w:hAnsi="Arial"/>
          <w:sz w:val="18"/>
          <w:szCs w:val="18"/>
          <w:u w:val="single" w:color="auto"/>
          <w:color w:val="auto"/>
        </w:rPr>
        <w:t>Grantor</w:t>
      </w:r>
      <w:r>
        <w:rPr>
          <w:rFonts w:ascii="Arial" w:cs="Arial" w:eastAsia="Arial" w:hAnsi="Arial"/>
          <w:sz w:val="18"/>
          <w:szCs w:val="18"/>
          <w:color w:val="auto"/>
        </w:rPr>
        <w:t>”) and BARCLAYS BANK PLC, as Collateral Agent (in such capacity, together with its successors and permitted assigns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38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4260" w:type="dxa"/>
            <w:vAlign w:val="bottom"/>
            <w:gridSpan w:val="18"/>
          </w:tcPr>
          <w:p>
            <w:pPr>
              <w:spacing w:after="0"/>
              <w:rPr>
                <w:sz w:val="20"/>
                <w:szCs w:val="20"/>
                <w:color w:val="auto"/>
              </w:rPr>
            </w:pPr>
            <w:r>
              <w:rPr>
                <w:rFonts w:ascii="Arial" w:cs="Arial" w:eastAsia="Arial" w:hAnsi="Arial"/>
                <w:sz w:val="18"/>
                <w:szCs w:val="18"/>
                <w:color w:val="auto"/>
              </w:rPr>
              <w:t xml:space="preserve">W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 N E S S E T H:</w:t>
            </w:r>
          </w:p>
        </w:tc>
        <w:tc>
          <w:tcPr>
            <w:tcW w:w="160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53"/>
        </w:trPr>
        <w:tc>
          <w:tcPr>
            <w:tcW w:w="8720" w:type="dxa"/>
            <w:vAlign w:val="bottom"/>
            <w:gridSpan w:val="19"/>
          </w:tcPr>
          <w:p>
            <w:pPr>
              <w:spacing w:after="0"/>
              <w:rPr>
                <w:sz w:val="20"/>
                <w:szCs w:val="20"/>
                <w:color w:val="auto"/>
              </w:rPr>
            </w:pPr>
            <w:r>
              <w:rPr>
                <w:rFonts w:ascii="Arial" w:cs="Arial" w:eastAsia="Arial" w:hAnsi="Arial"/>
                <w:sz w:val="18"/>
                <w:szCs w:val="18"/>
                <w:color w:val="auto"/>
                <w:w w:val="93"/>
              </w:rPr>
              <w:t>A. Reference is made to the Security Agreement (Slots, Foreign Gate Leaseholds and Route Authorities), dated as of</w:t>
            </w:r>
          </w:p>
        </w:tc>
        <w:tc>
          <w:tcPr>
            <w:tcW w:w="1600" w:type="dxa"/>
            <w:vAlign w:val="bottom"/>
          </w:tcPr>
          <w:p>
            <w:pPr>
              <w:ind w:left="320"/>
              <w:spacing w:after="0"/>
              <w:rPr>
                <w:sz w:val="20"/>
                <w:szCs w:val="20"/>
                <w:color w:val="auto"/>
              </w:rPr>
            </w:pPr>
            <w:r>
              <w:rPr>
                <w:rFonts w:ascii="Arial" w:cs="Arial" w:eastAsia="Arial" w:hAnsi="Arial"/>
                <w:sz w:val="18"/>
                <w:szCs w:val="18"/>
                <w:color w:val="auto"/>
                <w:w w:val="93"/>
              </w:rPr>
              <w:t>, 20   (as may be</w:t>
            </w:r>
          </w:p>
        </w:tc>
      </w:tr>
    </w:tbl>
    <w:p>
      <w:pPr>
        <w:ind w:right="100"/>
        <w:spacing w:after="0" w:line="261" w:lineRule="auto"/>
        <w:rPr>
          <w:sz w:val="20"/>
          <w:szCs w:val="20"/>
          <w:color w:val="auto"/>
        </w:rPr>
      </w:pPr>
      <w:r>
        <w:rPr>
          <w:rFonts w:ascii="Arial" w:cs="Arial" w:eastAsia="Arial" w:hAnsi="Arial"/>
          <w:sz w:val="18"/>
          <w:szCs w:val="18"/>
          <w:color w:val="auto"/>
        </w:rPr>
        <w:t>amended, restated, amended and restated, supplemented or otherwise modified from time to time, the “</w:t>
      </w:r>
      <w:r>
        <w:rPr>
          <w:rFonts w:ascii="Arial" w:cs="Arial" w:eastAsia="Arial" w:hAnsi="Arial"/>
          <w:sz w:val="18"/>
          <w:szCs w:val="18"/>
          <w:u w:val="single" w:color="auto"/>
          <w:color w:val="auto"/>
        </w:rPr>
        <w:t>SGR Security Agreement</w:t>
      </w:r>
      <w:r>
        <w:rPr>
          <w:rFonts w:ascii="Arial" w:cs="Arial" w:eastAsia="Arial" w:hAnsi="Arial"/>
          <w:sz w:val="18"/>
          <w:szCs w:val="18"/>
          <w:color w:val="auto"/>
        </w:rPr>
        <w:t>”), between the Grantor, [the other Grantors party thereto] and the Collateral Agent.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Capitalized terms used herein and not otherwise defined herein shall have the meanings assigned to such terms in the SGR Security Agreement.</w:t>
      </w:r>
    </w:p>
    <w:p>
      <w:pPr>
        <w:spacing w:after="0" w:line="24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C. Section 6(a) of the SGR Security Agreement provides that the Grantor may, at any time and from time to time, designate additional non-stop</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scheduled air carrier services being operated by the Grantor at such time as additional Scheduled Services by execution and delivery of supplements thereto.</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the Grantor and the Collateral Agent agree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Section 6(a) of the SGR Security Agreement:</w:t>
      </w:r>
    </w:p>
    <w:p>
      <w:pPr>
        <w:spacing w:after="0" w:line="225" w:lineRule="exact"/>
        <w:rPr>
          <w:sz w:val="20"/>
          <w:szCs w:val="20"/>
          <w:color w:val="auto"/>
        </w:rPr>
      </w:pPr>
    </w:p>
    <w:p>
      <w:pPr>
        <w:ind w:right="20" w:firstLine="464"/>
        <w:spacing w:after="0" w:line="264" w:lineRule="auto"/>
        <w:tabs>
          <w:tab w:leader="none" w:pos="71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non-stop scheduled air carrier service[s] listed below (the “</w:t>
      </w:r>
      <w:r>
        <w:rPr>
          <w:rFonts w:ascii="Arial" w:cs="Arial" w:eastAsia="Arial" w:hAnsi="Arial"/>
          <w:sz w:val="18"/>
          <w:szCs w:val="18"/>
          <w:u w:val="single" w:color="auto"/>
          <w:color w:val="auto"/>
        </w:rPr>
        <w:t>Designated Service[s]</w:t>
      </w:r>
      <w:r>
        <w:rPr>
          <w:rFonts w:ascii="Arial" w:cs="Arial" w:eastAsia="Arial" w:hAnsi="Arial"/>
          <w:sz w:val="18"/>
          <w:szCs w:val="18"/>
          <w:color w:val="auto"/>
        </w:rPr>
        <w:t>”) [is][are] hereby designated as [a] Scheduled Service[s] under the SGR Security Agreement, and Schedule III of the SGR Security Agreement is hereby amended and supplemented to include such Designated Service[s] for all purposes of the SGR Security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Services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[list Designated Service(s)];</w:t>
      </w:r>
      <w:r>
        <w:rPr>
          <w:rFonts w:ascii="Arial" w:cs="Arial" w:eastAsia="Arial" w:hAnsi="Arial"/>
          <w:sz w:val="15"/>
          <w:szCs w:val="15"/>
          <w:color w:val="auto"/>
        </w:rPr>
        <w:t>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[[each of][ ], (the “</w:t>
      </w:r>
      <w:r>
        <w:rPr>
          <w:rFonts w:ascii="Arial" w:cs="Arial" w:eastAsia="Arial" w:hAnsi="Arial"/>
          <w:sz w:val="18"/>
          <w:szCs w:val="18"/>
          <w:u w:val="single" w:color="auto"/>
          <w:color w:val="auto"/>
        </w:rPr>
        <w:t>Additional Route Authorit[y][ies]</w:t>
      </w:r>
      <w:r>
        <w:rPr>
          <w:rFonts w:ascii="Arial" w:cs="Arial" w:eastAsia="Arial" w:hAnsi="Arial"/>
          <w:sz w:val="18"/>
          <w:szCs w:val="18"/>
          <w:color w:val="auto"/>
        </w:rPr>
        <w:t>”) [in each case] as more specifically described in Schedule I hereto, is identified as a route authority to operate the related Designated Services.]</w:t>
      </w:r>
      <w:r>
        <w:rPr>
          <w:rFonts w:ascii="Arial" w:cs="Arial" w:eastAsia="Arial" w:hAnsi="Arial"/>
          <w:sz w:val="15"/>
          <w:szCs w:val="15"/>
          <w:color w:val="auto"/>
        </w:rPr>
        <w:t>2</w:t>
      </w:r>
    </w:p>
    <w:p>
      <w:pPr>
        <w:spacing w:after="0" w:line="170"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NOW, THEREFORE, to secure all of the Obligations, the Grantor hereby pledges, grants and creates a security interest and mortgage in favor of the Collateral Agent for its benefit and the benefit of the other Secured Parties in all of the following assets, rights and properties, whether real or personal and whether tangible or intangible (the “</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w:t>
      </w:r>
    </w:p>
    <w:p>
      <w:pPr>
        <w:spacing w:after="0" w:line="73" w:lineRule="exact"/>
        <w:rPr>
          <w:sz w:val="20"/>
          <w:szCs w:val="20"/>
          <w:color w:val="auto"/>
        </w:rPr>
      </w:pPr>
    </w:p>
    <w:p>
      <w:pPr>
        <w:ind w:left="460" w:firstLine="443"/>
        <w:spacing w:after="0" w:line="286" w:lineRule="auto"/>
        <w:tabs>
          <w:tab w:leader="none" w:pos="1113" w:val="left"/>
        </w:tabs>
        <w:numPr>
          <w:ilvl w:val="0"/>
          <w:numId w:val="357"/>
        </w:numPr>
        <w:rPr>
          <w:rFonts w:ascii="Arial" w:cs="Arial" w:eastAsia="Arial" w:hAnsi="Arial"/>
          <w:sz w:val="17"/>
          <w:szCs w:val="17"/>
          <w:color w:val="auto"/>
        </w:rPr>
      </w:pPr>
      <w:r>
        <w:rPr>
          <w:rFonts w:ascii="Arial" w:cs="Arial" w:eastAsia="Arial" w:hAnsi="Arial"/>
          <w:sz w:val="17"/>
          <w:szCs w:val="17"/>
          <w:color w:val="auto"/>
        </w:rPr>
        <w:t>all of the right, title and interest of the Grantor in, to and under [the Additional Route Authorities,] [the Additional Slots] and [the Additional Foreign Gate Leaseholds], whether now owned or held or hereafter acquired and whether such assets, rights or properties constitute General Intangibles or another type or category of collateral under the NY UCC or any other type of asset, right or property; and</w:t>
      </w:r>
    </w:p>
    <w:p>
      <w:pPr>
        <w:spacing w:after="0" w:line="57" w:lineRule="exact"/>
        <w:rPr>
          <w:rFonts w:ascii="Arial" w:cs="Arial" w:eastAsia="Arial" w:hAnsi="Arial"/>
          <w:sz w:val="17"/>
          <w:szCs w:val="17"/>
          <w:color w:val="auto"/>
        </w:rPr>
      </w:pPr>
    </w:p>
    <w:p>
      <w:pPr>
        <w:ind w:left="460" w:right="120" w:firstLine="443"/>
        <w:spacing w:after="0" w:line="259" w:lineRule="auto"/>
        <w:tabs>
          <w:tab w:leader="none" w:pos="116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all of the right, title and interest of the Grantor in, to and under all Proceeds of any and all of the foregoing (including, without limitation, all Proceeds (of any kind) received or to be received by the Grantor upon the transfer or other disposition of any of the assets, rights and properties described in clause (i), notwithstanding whether the mortgage, pledge and grant of the security interest in any such asset, right or property is legally effective under applicable law);</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or any other provision of any provision of the SGR Security Agreement, (</w:t>
      </w:r>
      <w:r>
        <w:rPr>
          <w:rFonts w:ascii="Arial" w:cs="Arial" w:eastAsia="Arial" w:hAnsi="Arial"/>
          <w:sz w:val="18"/>
          <w:szCs w:val="18"/>
          <w:u w:val="single" w:color="auto"/>
          <w:color w:val="auto"/>
        </w:rPr>
        <w:t>x</w:t>
      </w:r>
      <w:r>
        <w:rPr>
          <w:rFonts w:ascii="Arial" w:cs="Arial" w:eastAsia="Arial" w:hAnsi="Arial"/>
          <w:sz w:val="18"/>
          <w:szCs w:val="18"/>
          <w:color w:val="auto"/>
        </w:rPr>
        <w:t>) if a Transfer Restriction would be applicable to the pledge, grant or creation of a security interest in or mortgage on any asset, right or property described above [(other than in the Additional Route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hanging="212"/>
        <w:spacing w:after="0"/>
        <w:tabs>
          <w:tab w:leader="none" w:pos="220" w:val="left"/>
        </w:tabs>
        <w:numPr>
          <w:ilvl w:val="0"/>
          <w:numId w:val="358"/>
        </w:numPr>
        <w:rPr>
          <w:rFonts w:ascii="Arial" w:cs="Arial" w:eastAsia="Arial" w:hAnsi="Arial"/>
          <w:sz w:val="15"/>
          <w:szCs w:val="15"/>
          <w:color w:val="auto"/>
        </w:rPr>
      </w:pPr>
      <w:r>
        <w:rPr>
          <w:rFonts w:ascii="Arial" w:cs="Arial" w:eastAsia="Arial" w:hAnsi="Arial"/>
          <w:sz w:val="18"/>
          <w:szCs w:val="18"/>
          <w:color w:val="auto"/>
        </w:rPr>
        <w:t>Specify airport-to-airport, region to airport, or region to region Designated Services, as applicable.</w:t>
      </w:r>
    </w:p>
    <w:p>
      <w:pPr>
        <w:spacing w:after="0" w:line="22" w:lineRule="exact"/>
        <w:rPr>
          <w:sz w:val="20"/>
          <w:szCs w:val="20"/>
          <w:color w:val="auto"/>
        </w:rPr>
      </w:pPr>
    </w:p>
    <w:p>
      <w:pPr>
        <w:ind w:left="220" w:right="280" w:hanging="212"/>
        <w:spacing w:after="0" w:line="262" w:lineRule="auto"/>
        <w:tabs>
          <w:tab w:leader="none" w:pos="220" w:val="left"/>
        </w:tabs>
        <w:numPr>
          <w:ilvl w:val="0"/>
          <w:numId w:val="359"/>
        </w:numPr>
        <w:rPr>
          <w:rFonts w:ascii="Arial" w:cs="Arial" w:eastAsia="Arial" w:hAnsi="Arial"/>
          <w:sz w:val="15"/>
          <w:szCs w:val="15"/>
          <w:color w:val="auto"/>
        </w:rPr>
      </w:pPr>
      <w:r>
        <w:rPr>
          <w:rFonts w:ascii="Arial" w:cs="Arial" w:eastAsia="Arial" w:hAnsi="Arial"/>
          <w:sz w:val="18"/>
          <w:szCs w:val="18"/>
          <w:color w:val="auto"/>
        </w:rPr>
        <w:t>To describe the route authority(ies) used by the Grantor to operate the Designated Service(s), if such route authority(ies) have not already been pledged under the SGR Security Agreement or any previously executed SGR Security Agreement Supplement.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337" w:name="page338"/>
    <w:bookmarkEnd w:id="33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Authorities or Proceeds thereof)]</w:t>
      </w:r>
      <w:r>
        <w:rPr>
          <w:rFonts w:ascii="Arial" w:cs="Arial" w:eastAsia="Arial" w:hAnsi="Arial"/>
          <w:sz w:val="15"/>
          <w:szCs w:val="15"/>
          <w:color w:val="auto"/>
        </w:rPr>
        <w:t>3</w:t>
      </w:r>
      <w:r>
        <w:rPr>
          <w:rFonts w:ascii="Arial" w:cs="Arial" w:eastAsia="Arial" w:hAnsi="Arial"/>
          <w:sz w:val="18"/>
          <w:szCs w:val="18"/>
          <w:color w:val="auto"/>
        </w:rPr>
        <w:t>, then so long as such Transfer Restriction is in effect, or (</w:t>
      </w:r>
      <w:r>
        <w:rPr>
          <w:rFonts w:ascii="Arial" w:cs="Arial" w:eastAsia="Arial" w:hAnsi="Arial"/>
          <w:sz w:val="18"/>
          <w:szCs w:val="18"/>
          <w:u w:val="single" w:color="auto"/>
          <w:color w:val="auto"/>
        </w:rPr>
        <w:t>y</w:t>
      </w:r>
      <w:r>
        <w:rPr>
          <w:rFonts w:ascii="Arial" w:cs="Arial" w:eastAsia="Arial" w:hAnsi="Arial"/>
          <w:sz w:val="18"/>
          <w:szCs w:val="18"/>
          <w:color w:val="auto"/>
        </w:rPr>
        <w:t>) if, pursuant to the operative provisions of transaction documents existing prior to the Closing Date under any transaction entered into by the Grantors prior to the Closing Date, any asset, right or property is at any time subject to a security interest or mortgage in favor of another Person in connection with such transaction, any asset, right or property is at any time subject to a security interest or mortgage in favor of another Person in connection with such transaction (and not pursuant to an election made by the Grantor after the Closing Date to add any such asset, right or property as collateral to such transaction), the SGR Security Agreement and this SGR Security Agreement Supplement shall not pledge, grant or create any security interest in or mortgage on, and the terms “Additional Collateral” and “Collateral” shall not include, any such asset, right or property.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Slots</w:t>
      </w:r>
      <w:r>
        <w:rPr>
          <w:rFonts w:ascii="Arial" w:cs="Arial" w:eastAsia="Arial" w:hAnsi="Arial"/>
          <w:sz w:val="18"/>
          <w:szCs w:val="18"/>
          <w:color w:val="auto"/>
        </w:rPr>
        <w:t>” shall mean, at any time of determination, (</w:t>
      </w:r>
      <w:r>
        <w:rPr>
          <w:rFonts w:ascii="Arial" w:cs="Arial" w:eastAsia="Arial" w:hAnsi="Arial"/>
          <w:sz w:val="18"/>
          <w:szCs w:val="18"/>
          <w:u w:val="single" w:color="auto"/>
          <w:color w:val="auto"/>
        </w:rPr>
        <w:t>x</w:t>
      </w:r>
      <w:r>
        <w:rPr>
          <w:rFonts w:ascii="Arial" w:cs="Arial" w:eastAsia="Arial" w:hAnsi="Arial"/>
          <w:sz w:val="18"/>
          <w:szCs w:val="18"/>
          <w:color w:val="auto"/>
        </w:rPr>
        <w:t>) any Foreign Slot of the Grantor at [ ]</w:t>
      </w:r>
      <w:r>
        <w:rPr>
          <w:rFonts w:ascii="Arial" w:cs="Arial" w:eastAsia="Arial" w:hAnsi="Arial"/>
          <w:sz w:val="15"/>
          <w:szCs w:val="15"/>
          <w:color w:val="auto"/>
        </w:rPr>
        <w:t>4</w:t>
      </w:r>
      <w:r>
        <w:rPr>
          <w:rFonts w:ascii="Arial" w:cs="Arial" w:eastAsia="Arial" w:hAnsi="Arial"/>
          <w:sz w:val="18"/>
          <w:szCs w:val="18"/>
          <w:color w:val="auto"/>
        </w:rPr>
        <w:t>, in each case only to the extent such Foreign Slot is being utilized by the Grantor (or any other “Grantor” as defined in the SGR Security Agreement on behalf of the Grantor) to provide any Designated Service, but in each case excluding any Temporary Foreign Slot, and (</w:t>
      </w:r>
      <w:r>
        <w:rPr>
          <w:rFonts w:ascii="Arial" w:cs="Arial" w:eastAsia="Arial" w:hAnsi="Arial"/>
          <w:sz w:val="18"/>
          <w:szCs w:val="18"/>
          <w:u w:val="single" w:color="auto"/>
          <w:color w:val="auto"/>
        </w:rPr>
        <w:t>y</w:t>
      </w:r>
      <w:r>
        <w:rPr>
          <w:rFonts w:ascii="Arial" w:cs="Arial" w:eastAsia="Arial" w:hAnsi="Arial"/>
          <w:sz w:val="18"/>
          <w:szCs w:val="18"/>
          <w:color w:val="auto"/>
        </w:rPr>
        <w:t>) any FAA Slot of the Grantor [at any airport in the United States]</w:t>
      </w:r>
      <w:r>
        <w:rPr>
          <w:rFonts w:ascii="Arial" w:cs="Arial" w:eastAsia="Arial" w:hAnsi="Arial"/>
          <w:sz w:val="15"/>
          <w:szCs w:val="15"/>
          <w:color w:val="auto"/>
        </w:rPr>
        <w:t>5</w:t>
      </w:r>
      <w:r>
        <w:rPr>
          <w:rFonts w:ascii="Arial" w:cs="Arial" w:eastAsia="Arial" w:hAnsi="Arial"/>
          <w:sz w:val="18"/>
          <w:szCs w:val="18"/>
          <w:color w:val="auto"/>
        </w:rPr>
        <w:t xml:space="preserve"> that is an origin and/or destination point with respect to any Designated Service, in each case only to the extent such FAA Slot is being utilized by the Grantor (or any other “Grantor” as defined in the SGR Security Agreement on behalf of the Grantor) to provide such Designated Service, but in each case excluding any Temporary FAA Slot.]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Foreign Gate Leaseholds</w:t>
      </w:r>
      <w:r>
        <w:rPr>
          <w:rFonts w:ascii="Arial" w:cs="Arial" w:eastAsia="Arial" w:hAnsi="Arial"/>
          <w:sz w:val="16"/>
          <w:szCs w:val="16"/>
          <w:color w:val="auto"/>
        </w:rPr>
        <w:t>” shall mean, at any time of determination, all of the right, title, privilege, interest and authority of the Grantor to</w:t>
      </w:r>
    </w:p>
    <w:p>
      <w:pPr>
        <w:spacing w:after="0" w:line="45"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use or occupy space in an airport terminal at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6</w:t>
      </w:r>
      <w:r>
        <w:rPr>
          <w:rFonts w:ascii="Arial" w:cs="Arial" w:eastAsia="Arial" w:hAnsi="Arial"/>
          <w:sz w:val="16"/>
          <w:szCs w:val="16"/>
          <w:color w:val="auto"/>
        </w:rPr>
        <w:t>, in each case only to the extent necessary for the Grantor to provide any Designated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89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5" w:lineRule="exact"/>
        <w:rPr>
          <w:sz w:val="20"/>
          <w:szCs w:val="20"/>
          <w:color w:val="auto"/>
        </w:rPr>
      </w:pPr>
    </w:p>
    <w:p>
      <w:pPr>
        <w:ind w:left="220" w:hanging="212"/>
        <w:spacing w:after="0"/>
        <w:tabs>
          <w:tab w:leader="none" w:pos="220" w:val="left"/>
        </w:tabs>
        <w:numPr>
          <w:ilvl w:val="0"/>
          <w:numId w:val="360"/>
        </w:numPr>
        <w:rPr>
          <w:rFonts w:ascii="Arial" w:cs="Arial" w:eastAsia="Arial" w:hAnsi="Arial"/>
          <w:sz w:val="15"/>
          <w:szCs w:val="15"/>
          <w:color w:val="auto"/>
        </w:rPr>
      </w:pPr>
      <w:r>
        <w:rPr>
          <w:rFonts w:ascii="Arial" w:cs="Arial" w:eastAsia="Arial" w:hAnsi="Arial"/>
          <w:sz w:val="18"/>
          <w:szCs w:val="18"/>
          <w:color w:val="auto"/>
        </w:rPr>
        <w:t>Delete if no Additional Route Authorities are being pledged under the SGR Security Agreement Supplement.</w:t>
      </w:r>
    </w:p>
    <w:p>
      <w:pPr>
        <w:spacing w:after="0" w:line="22" w:lineRule="exact"/>
        <w:rPr>
          <w:sz w:val="20"/>
          <w:szCs w:val="20"/>
          <w:color w:val="auto"/>
        </w:rPr>
      </w:pPr>
    </w:p>
    <w:p>
      <w:pPr>
        <w:ind w:left="220" w:hanging="212"/>
        <w:spacing w:after="0"/>
        <w:tabs>
          <w:tab w:leader="none" w:pos="220" w:val="left"/>
        </w:tabs>
        <w:numPr>
          <w:ilvl w:val="0"/>
          <w:numId w:val="361"/>
        </w:numPr>
        <w:rPr>
          <w:rFonts w:ascii="Arial" w:cs="Arial" w:eastAsia="Arial" w:hAnsi="Arial"/>
          <w:sz w:val="14"/>
          <w:szCs w:val="14"/>
          <w:color w:val="auto"/>
        </w:rPr>
      </w:pPr>
      <w:r>
        <w:rPr>
          <w:rFonts w:ascii="Arial" w:cs="Arial" w:eastAsia="Arial" w:hAnsi="Arial"/>
          <w:sz w:val="17"/>
          <w:szCs w:val="17"/>
          <w:color w:val="auto"/>
        </w:rPr>
        <w:t>To list any foreign airport or airports within any region that is or are an origin and/or destination point(s) with respect to the Designated Service(s).</w:t>
      </w:r>
    </w:p>
    <w:p>
      <w:pPr>
        <w:spacing w:after="0" w:line="21" w:lineRule="exact"/>
        <w:rPr>
          <w:sz w:val="20"/>
          <w:szCs w:val="20"/>
          <w:color w:val="auto"/>
        </w:rPr>
      </w:pPr>
    </w:p>
    <w:p>
      <w:pPr>
        <w:ind w:left="220" w:hanging="212"/>
        <w:spacing w:after="0"/>
        <w:tabs>
          <w:tab w:leader="none" w:pos="220" w:val="left"/>
        </w:tabs>
        <w:numPr>
          <w:ilvl w:val="0"/>
          <w:numId w:val="362"/>
        </w:numPr>
        <w:rPr>
          <w:rFonts w:ascii="Arial" w:cs="Arial" w:eastAsia="Arial" w:hAnsi="Arial"/>
          <w:sz w:val="15"/>
          <w:szCs w:val="15"/>
          <w:color w:val="auto"/>
        </w:rPr>
      </w:pPr>
      <w:r>
        <w:rPr>
          <w:rFonts w:ascii="Arial" w:cs="Arial" w:eastAsia="Arial" w:hAnsi="Arial"/>
          <w:sz w:val="18"/>
          <w:szCs w:val="18"/>
          <w:color w:val="auto"/>
        </w:rPr>
        <w:t>Alternately identify specific US airports.</w:t>
      </w:r>
    </w:p>
    <w:p>
      <w:pPr>
        <w:spacing w:after="0" w:line="9" w:lineRule="exact"/>
        <w:rPr>
          <w:sz w:val="20"/>
          <w:szCs w:val="20"/>
          <w:color w:val="auto"/>
        </w:rPr>
      </w:pPr>
    </w:p>
    <w:p>
      <w:pPr>
        <w:jc w:val="center"/>
        <w:ind w:left="5580" w:right="620" w:hanging="5572"/>
        <w:spacing w:after="0" w:line="434" w:lineRule="auto"/>
        <w:tabs>
          <w:tab w:leader="none" w:pos="230" w:val="left"/>
        </w:tabs>
        <w:numPr>
          <w:ilvl w:val="0"/>
          <w:numId w:val="363"/>
        </w:numPr>
        <w:rPr>
          <w:rFonts w:ascii="Arial" w:cs="Arial" w:eastAsia="Arial" w:hAnsi="Arial"/>
          <w:sz w:val="15"/>
          <w:szCs w:val="15"/>
          <w:color w:val="auto"/>
        </w:rPr>
      </w:pPr>
      <w:r>
        <w:rPr>
          <w:rFonts w:ascii="Arial" w:cs="Arial" w:eastAsia="Arial" w:hAnsi="Arial"/>
          <w:sz w:val="18"/>
          <w:szCs w:val="18"/>
          <w:color w:val="auto"/>
        </w:rPr>
        <w:t>To list any foreign airport or airports within any region that is or are an origin and/or destination point(s) with respect to the Designated Service(s). A-3</w:t>
      </w:r>
    </w:p>
    <w:p>
      <w:pPr>
        <w:sectPr>
          <w:pgSz w:w="11900" w:h="16838" w:orient="portrait"/>
          <w:cols w:equalWidth="0" w:num="1">
            <w:col w:w="11420"/>
          </w:cols>
          <w:pgMar w:left="240" w:top="273" w:right="239" w:bottom="1440" w:gutter="0" w:footer="0" w:header="0"/>
        </w:sectPr>
      </w:pPr>
    </w:p>
    <w:bookmarkStart w:id="338" w:name="page339"/>
    <w:bookmarkEnd w:id="3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reference to “Collateral” in the SGR Security Agreement shall be deemed to include the Additional Collateral.</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SGR Security Agreement Supplement shall be construed as supplemental to the SGR Security Agreement and shall form a part thereof, and the SGR Security Agreement as so supplemented is hereby ratified, approved and confirmed.</w:t>
      </w:r>
    </w:p>
    <w:p>
      <w:pPr>
        <w:spacing w:after="0" w:line="16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THIS SGR SECURITY AGREEMENT SUPPLEMENT HAS BEEN DELIVERED IN THE STATE OF NEW YORK, AND THIS SGR SECURITY AGREEMENT SUPPLEMENT AND THE RIGHTS AND OBLIGATIONS OF THE PARTIES UNDER THIS SGR SECURITY AGREEMENT SUPPLEMENT SHALL BE GOVERNED BY, AND CONSTRUED AND INTERPRETED IN ACCORDANCE WITH, THE LAWS OF THE STATE OF NEW YORK.</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73" w:right="279" w:bottom="1440" w:gutter="0" w:footer="0" w:header="0"/>
        </w:sectPr>
      </w:pPr>
    </w:p>
    <w:bookmarkStart w:id="339" w:name="page340"/>
    <w:bookmarkEnd w:id="33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Grantor and the Collateral Agent each has caused this SGR Security Agreement Supplement No. to be duly executed and delivered by its officer thereunto duly authorized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 ], as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60"/>
          </w:cols>
          <w:pgMar w:left="240" w:top="274" w:right="299" w:bottom="1440" w:gutter="0" w:footer="0" w:header="0"/>
        </w:sectPr>
      </w:pPr>
    </w:p>
    <w:bookmarkStart w:id="340" w:name="page341"/>
    <w:bookmarkEnd w:id="340"/>
    <w:p>
      <w:pPr>
        <w:jc w:val="right"/>
        <w:spacing w:after="0"/>
        <w:tabs>
          <w:tab w:leader="none" w:pos="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w:t>
        <w:tab/>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Exhibit A</w:t>
      </w:r>
    </w:p>
    <w:p>
      <w:pPr>
        <w:spacing w:after="0" w:line="211" w:lineRule="exact"/>
        <w:rPr>
          <w:sz w:val="20"/>
          <w:szCs w:val="20"/>
          <w:color w:val="auto"/>
        </w:rPr>
      </w:pPr>
    </w:p>
    <w:p>
      <w:pPr>
        <w:jc w:val="center"/>
        <w:ind w:right="1180"/>
        <w:spacing w:after="0"/>
        <w:tabs>
          <w:tab w:leader="none" w:pos="160" w:val="left"/>
        </w:tabs>
        <w:rPr>
          <w:sz w:val="20"/>
          <w:szCs w:val="20"/>
          <w:color w:val="auto"/>
        </w:rPr>
      </w:pPr>
      <w:r>
        <w:rPr>
          <w:rFonts w:ascii="Arial" w:cs="Arial" w:eastAsia="Arial" w:hAnsi="Arial"/>
          <w:sz w:val="18"/>
          <w:szCs w:val="18"/>
          <w:u w:val="single" w:color="auto"/>
          <w:color w:val="auto"/>
        </w:rPr>
        <w:t>SCHEDULE [</w:t>
        <w:tab/>
        <w:t>]</w:t>
      </w:r>
    </w:p>
    <w:p>
      <w:pPr>
        <w:spacing w:after="0" w:line="225" w:lineRule="exact"/>
        <w:rPr>
          <w:sz w:val="20"/>
          <w:szCs w:val="20"/>
          <w:color w:val="auto"/>
        </w:rPr>
      </w:pPr>
    </w:p>
    <w:p>
      <w:pPr>
        <w:jc w:val="center"/>
        <w:ind w:right="1200"/>
        <w:spacing w:after="0"/>
        <w:tabs>
          <w:tab w:leader="none" w:pos="160" w:val="left"/>
        </w:tabs>
        <w:rPr>
          <w:sz w:val="20"/>
          <w:szCs w:val="20"/>
          <w:color w:val="auto"/>
        </w:rPr>
      </w:pPr>
      <w:r>
        <w:rPr>
          <w:rFonts w:ascii="Arial" w:cs="Arial" w:eastAsia="Arial" w:hAnsi="Arial"/>
          <w:sz w:val="18"/>
          <w:szCs w:val="18"/>
          <w:u w:val="single" w:color="auto"/>
          <w:color w:val="auto"/>
        </w:rPr>
        <w:t>TO SGR SECURITY AGREEMENT SUPPLEMENT NO. [</w:t>
        <w:tab/>
        <w: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220"/>
          </w:cols>
          <w:pgMar w:left="1440" w:top="274" w:right="239"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34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230"/>
        </w:trPr>
        <w:tc>
          <w:tcPr>
            <w:tcW w:w="3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340" w:type="dxa"/>
            <w:vAlign w:val="bottom"/>
          </w:tcPr>
          <w:p>
            <w:pPr>
              <w:jc w:val="right"/>
              <w:spacing w:after="0"/>
              <w:rPr>
                <w:sz w:val="20"/>
                <w:szCs w:val="20"/>
                <w:color w:val="auto"/>
              </w:rPr>
            </w:pPr>
            <w:r>
              <w:rPr>
                <w:rFonts w:ascii="Arial" w:cs="Arial" w:eastAsia="Arial" w:hAnsi="Arial"/>
                <w:sz w:val="18"/>
                <w:szCs w:val="18"/>
                <w:color w:val="auto"/>
              </w:rPr>
              <w:t>to SGR Security Agreement</w:t>
            </w:r>
          </w:p>
        </w:tc>
      </w:tr>
      <w:tr>
        <w:trPr>
          <w:trHeight w:val="392"/>
        </w:trPr>
        <w:tc>
          <w:tcPr>
            <w:tcW w:w="3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80" w:type="dxa"/>
            <w:vAlign w:val="bottom"/>
            <w:gridSpan w:val="2"/>
          </w:tcPr>
          <w:p>
            <w:pPr>
              <w:jc w:val="right"/>
              <w:ind w:right="4250"/>
              <w:spacing w:after="0"/>
              <w:rPr>
                <w:sz w:val="20"/>
                <w:szCs w:val="20"/>
                <w:color w:val="auto"/>
              </w:rPr>
            </w:pPr>
            <w:r>
              <w:rPr>
                <w:rFonts w:ascii="Arial" w:cs="Arial" w:eastAsia="Arial" w:hAnsi="Arial"/>
                <w:sz w:val="18"/>
                <w:szCs w:val="18"/>
                <w:color w:val="auto"/>
                <w:w w:val="95"/>
              </w:rPr>
              <w:t>FORM OF JOINDER AGREEMENT</w:t>
            </w:r>
          </w:p>
        </w:tc>
      </w:tr>
      <w:tr>
        <w:trPr>
          <w:trHeight w:val="20"/>
        </w:trPr>
        <w:tc>
          <w:tcPr>
            <w:tcW w:w="4340" w:type="dxa"/>
            <w:vAlign w:val="bottom"/>
            <w:gridSpan w:val="2"/>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38"/>
        </w:trPr>
        <w:tc>
          <w:tcPr>
            <w:tcW w:w="4340" w:type="dxa"/>
            <w:vAlign w:val="bottom"/>
            <w:gridSpan w:val="2"/>
          </w:tcPr>
          <w:p>
            <w:pPr>
              <w:jc w:val="right"/>
              <w:ind w:right="210"/>
              <w:spacing w:after="0"/>
              <w:rPr>
                <w:sz w:val="20"/>
                <w:szCs w:val="20"/>
                <w:color w:val="auto"/>
              </w:rPr>
            </w:pPr>
            <w:r>
              <w:rPr>
                <w:rFonts w:ascii="Arial" w:cs="Arial" w:eastAsia="Arial" w:hAnsi="Arial"/>
                <w:sz w:val="18"/>
                <w:szCs w:val="18"/>
                <w:color w:val="auto"/>
              </w:rPr>
              <w:t>This JOINDER AGREEMENT, dated as of</w:t>
            </w:r>
          </w:p>
        </w:tc>
        <w:tc>
          <w:tcPr>
            <w:tcW w:w="7080" w:type="dxa"/>
            <w:vAlign w:val="bottom"/>
            <w:gridSpan w:val="2"/>
          </w:tcPr>
          <w:p>
            <w:pPr>
              <w:jc w:val="right"/>
              <w:ind w:right="170"/>
              <w:spacing w:after="0"/>
              <w:rPr>
                <w:sz w:val="20"/>
                <w:szCs w:val="20"/>
                <w:color w:val="auto"/>
              </w:rPr>
            </w:pPr>
            <w:r>
              <w:rPr>
                <w:rFonts w:ascii="Arial" w:cs="Arial" w:eastAsia="Arial" w:hAnsi="Arial"/>
                <w:sz w:val="18"/>
                <w:szCs w:val="18"/>
                <w:color w:val="auto"/>
                <w:w w:val="96"/>
              </w:rPr>
              <w:t>, 20  , is delivered pursuant to Section 27 of the Security Agreement (Slots, Foreign Gate</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8"/>
              </w:rPr>
              <w:t>Leaseholds and Route Authorities), dated as of</w:t>
            </w:r>
          </w:p>
        </w:tc>
        <w:tc>
          <w:tcPr>
            <w:tcW w:w="640" w:type="dxa"/>
            <w:vAlign w:val="bottom"/>
          </w:tcPr>
          <w:p>
            <w:pPr>
              <w:jc w:val="right"/>
              <w:spacing w:after="0"/>
              <w:rPr>
                <w:sz w:val="20"/>
                <w:szCs w:val="20"/>
                <w:color w:val="auto"/>
              </w:rPr>
            </w:pPr>
            <w:r>
              <w:rPr>
                <w:rFonts w:ascii="Arial" w:cs="Arial" w:eastAsia="Arial" w:hAnsi="Arial"/>
                <w:sz w:val="18"/>
                <w:szCs w:val="18"/>
                <w:color w:val="auto"/>
              </w:rPr>
              <w:t>, 20</w:t>
            </w:r>
          </w:p>
        </w:tc>
        <w:tc>
          <w:tcPr>
            <w:tcW w:w="708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(as may be amended, restated, amended and restated, supplemented and/or otherwise modified</w:t>
            </w:r>
          </w:p>
        </w:tc>
      </w:tr>
    </w:tbl>
    <w:p>
      <w:pPr>
        <w:ind w:right="20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time to time, the “</w:t>
      </w:r>
      <w:r>
        <w:rPr>
          <w:rFonts w:ascii="Arial" w:cs="Arial" w:eastAsia="Arial" w:hAnsi="Arial"/>
          <w:sz w:val="16"/>
          <w:szCs w:val="16"/>
          <w:u w:val="single" w:color="auto"/>
          <w:color w:val="auto"/>
        </w:rPr>
        <w:t>SGR Security Agreement</w:t>
      </w:r>
      <w:r>
        <w:rPr>
          <w:rFonts w:ascii="Arial" w:cs="Arial" w:eastAsia="Arial" w:hAnsi="Arial"/>
          <w:sz w:val="16"/>
          <w:szCs w:val="16"/>
          <w:color w:val="auto"/>
        </w:rPr>
        <w:t>”), between the parties listed in Schedule I thereto as Grantors, and Barclays Bank PLC, as collateral agent for the Secured Parties referred to therein. Capitalized terms used herein without definition are used as defined in the SGR Security Agreement.</w:t>
      </w:r>
    </w:p>
    <w:p>
      <w:pPr>
        <w:spacing w:after="0" w:line="13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By executing and delivering this Joinder Agreement, the undersigned, as provided in Section 27 of the SGR Security Agreement, hereby becomes a party to the SGR Security Agreement as a Grantor thereunder with the same force and effect as if originally named as a Grantor therein and, without limiting the generality of the foregoing, as collateral security for the prompt and complete payment and performance when due (whether at stated maturity, by acceleration or otherwise) of the Obligations of the undersigned, hereby grants, pledges and creates a security interest and mortgage in favor of the Collateral Agent for its benefit and the benefit of the other Secured Parties in all of its right, title and interest in, to and under the Collateral of the undersigned, whether real or personal and whether tangible or intangible and expressly assumes all obligations and liabilities of a Grantor thereunder.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agrees to be bound as a Grantor for the purposes of the SGR Security Agreement.</w:t>
      </w:r>
    </w:p>
    <w:p>
      <w:pPr>
        <w:spacing w:after="0" w:line="22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information set forth in the schedules to this Joinder Agreement is hereby added to the information set forth in Schedules I through III of the SGR Security Agreement. By acknowledging and agreeing to this Joinder Agreement, the undersigned hereby agrees that this Joinder Agreement may be attached to the SGR Security Agreement and that the Collateral listed on the schedule to this Joinder Agreement shall be and become part of the Collateral referred to in the SGR Security Agreement and shall secure all Obligations of the undersigned.</w:t>
      </w:r>
    </w:p>
    <w:p>
      <w:pPr>
        <w:spacing w:after="0" w:line="187"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The undersigned hereby represents and warrants that each of the representations and warranties contained in Section 4 of the SGR Security Agreement applicable to it is true and correct on and as the date hereof as if made on and as of such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42" w:name="page343"/>
    <w:bookmarkEnd w:id="34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900"/>
          </w:cols>
          <w:pgMar w:left="240" w:top="273" w:right="75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INSTRUMENT OF ASSUMPTION AND JOINDER</w:t>
      </w:r>
    </w:p>
    <w:p>
      <w:pPr>
        <w:spacing w:after="0" w:line="229" w:lineRule="exact"/>
        <w:rPr>
          <w:sz w:val="20"/>
          <w:szCs w:val="20"/>
          <w:color w:val="auto"/>
        </w:rPr>
      </w:pPr>
    </w:p>
    <w:p>
      <w:pPr>
        <w:ind w:left="460"/>
        <w:spacing w:after="0"/>
        <w:tabs>
          <w:tab w:leader="none" w:pos="7520" w:val="left"/>
          <w:tab w:leader="none" w:pos="7860" w:val="left"/>
          <w:tab w:leader="none" w:pos="8420" w:val="left"/>
          <w:tab w:leader="none" w:pos="10720" w:val="left"/>
        </w:tabs>
        <w:rPr>
          <w:sz w:val="20"/>
          <w:szCs w:val="20"/>
          <w:color w:val="auto"/>
        </w:rPr>
      </w:pPr>
      <w:r>
        <w:rPr>
          <w:rFonts w:ascii="Arial" w:cs="Arial" w:eastAsia="Arial" w:hAnsi="Arial"/>
          <w:sz w:val="18"/>
          <w:szCs w:val="18"/>
          <w:color w:val="auto"/>
        </w:rPr>
        <w:t>THIS INSTRUMENT OF ASSUMPTION AND JOINDER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w:t>
      </w:r>
      <w:r>
        <w:rPr>
          <w:sz w:val="20"/>
          <w:szCs w:val="20"/>
          <w:color w:val="auto"/>
        </w:rPr>
        <w:tab/>
      </w:r>
      <w:r>
        <w:rPr>
          <w:rFonts w:ascii="Arial" w:cs="Arial" w:eastAsia="Arial" w:hAnsi="Arial"/>
          <w:sz w:val="18"/>
          <w:szCs w:val="18"/>
          <w:color w:val="auto"/>
        </w:rPr>
        <w:t>] [</w:t>
        <w:tab/>
        <w:t>], 20[</w:t>
        <w:tab/>
        <w:t>] is by and among [</w:t>
      </w:r>
      <w:r>
        <w:rPr>
          <w:sz w:val="20"/>
          <w:szCs w:val="20"/>
          <w:color w:val="auto"/>
        </w:rPr>
        <w:tab/>
      </w:r>
      <w:r>
        <w:rPr>
          <w:rFonts w:ascii="Arial" w:cs="Arial" w:eastAsia="Arial" w:hAnsi="Arial"/>
          <w:sz w:val="17"/>
          <w:szCs w:val="17"/>
          <w:color w:val="auto"/>
        </w:rPr>
        <w:t>], a</w:t>
      </w:r>
    </w:p>
    <w:p>
      <w:pPr>
        <w:spacing w:after="0" w:line="23" w:lineRule="exact"/>
        <w:rPr>
          <w:sz w:val="20"/>
          <w:szCs w:val="20"/>
          <w:color w:val="auto"/>
        </w:rPr>
      </w:pPr>
    </w:p>
    <w:p>
      <w:pPr>
        <w:ind w:right="60" w:firstLine="8"/>
        <w:spacing w:after="0" w:line="287" w:lineRule="auto"/>
        <w:tabs>
          <w:tab w:leader="none" w:pos="96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(the “</w:t>
      </w:r>
      <w:r>
        <w:rPr>
          <w:rFonts w:ascii="Arial" w:cs="Arial" w:eastAsia="Arial" w:hAnsi="Arial"/>
          <w:sz w:val="16"/>
          <w:szCs w:val="16"/>
          <w:u w:val="single" w:color="auto"/>
          <w:color w:val="auto"/>
        </w:rPr>
        <w:t>New Subsidiary Loan Party</w:t>
      </w:r>
      <w:r>
        <w:rPr>
          <w:rFonts w:ascii="Arial" w:cs="Arial" w:eastAsia="Arial" w:hAnsi="Arial"/>
          <w:sz w:val="16"/>
          <w:szCs w:val="16"/>
          <w:color w:val="auto"/>
        </w:rPr>
        <w:t>”), AMERICAN AIRLINES,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AMERICAN AIRLINES GROUP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the other Subsidiaries of Parent from time to time party hereto other than the Borrower (the “</w:t>
      </w:r>
      <w:r>
        <w:rPr>
          <w:rFonts w:ascii="Arial" w:cs="Arial" w:eastAsia="Arial" w:hAnsi="Arial"/>
          <w:sz w:val="16"/>
          <w:szCs w:val="16"/>
          <w:u w:val="single" w:color="auto"/>
          <w:color w:val="auto"/>
        </w:rPr>
        <w:t>Guarantors</w:t>
      </w:r>
      <w:r>
        <w:rPr>
          <w:rFonts w:ascii="Arial" w:cs="Arial" w:eastAsia="Arial" w:hAnsi="Arial"/>
          <w:sz w:val="16"/>
          <w:szCs w:val="16"/>
          <w:color w:val="auto"/>
        </w:rPr>
        <w:t>”), BARCLAYS BANK PLC, as administrative agent for the Lenders (together with its permitted successors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for the Secured Parties (together with its permitted successors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that certain Credit and Guaranty Agreement, dated as of April [29], 2016 (as may be amended, restated, amended and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Parent, the Guarantors party thereto from time to time, the Administrative Agent, the Collateral Agent, Barclays Bank PLC, as issuing lender (in such capacity, the “</w:t>
      </w:r>
      <w:r>
        <w:rPr>
          <w:rFonts w:ascii="Arial" w:cs="Arial" w:eastAsia="Arial" w:hAnsi="Arial"/>
          <w:sz w:val="16"/>
          <w:szCs w:val="16"/>
          <w:u w:val="single" w:color="auto"/>
          <w:color w:val="auto"/>
        </w:rPr>
        <w:t>Issuing Lender</w:t>
      </w:r>
      <w:r>
        <w:rPr>
          <w:rFonts w:ascii="Arial" w:cs="Arial" w:eastAsia="Arial" w:hAnsi="Arial"/>
          <w:sz w:val="16"/>
          <w:szCs w:val="16"/>
          <w:color w:val="auto"/>
        </w:rPr>
        <w:t>”), and the Lenders party thereto from time to time. Capitalized terms used herein but not otherwise defined herein shall have the meanings assigned to such terms in the Credit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Subsidiary Loan Party hereby agrees as follows:</w:t>
      </w:r>
    </w:p>
    <w:p>
      <w:pPr>
        <w:spacing w:after="0" w:line="225" w:lineRule="exact"/>
        <w:rPr>
          <w:sz w:val="20"/>
          <w:szCs w:val="20"/>
          <w:color w:val="auto"/>
        </w:rPr>
      </w:pPr>
    </w:p>
    <w:p>
      <w:pPr>
        <w:jc w:val="both"/>
        <w:ind w:right="140" w:firstLine="464"/>
        <w:spacing w:after="0" w:line="259" w:lineRule="auto"/>
        <w:tabs>
          <w:tab w:leader="none" w:pos="63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New Subsidiary Loan Party hereby acknowledges, agrees and confirms that, by its execution of this Agreement, as provided in sections 5.09(a) and (b) of the Credit Agreement, the New Subsidiary Loan Party will be deemed to be a party to the Credit Agreement and a “Guarantor” for all purposes of the Credit Agreement and the Guaranty, and agrees that it is bound by the terms, conditions and obligations set forth therein as if it had been an original signatory thereto.</w:t>
      </w:r>
    </w:p>
    <w:p>
      <w:pPr>
        <w:spacing w:after="0" w:line="186" w:lineRule="exact"/>
        <w:rPr>
          <w:rFonts w:ascii="Arial" w:cs="Arial" w:eastAsia="Arial" w:hAnsi="Arial"/>
          <w:sz w:val="18"/>
          <w:szCs w:val="18"/>
          <w:color w:val="auto"/>
        </w:rPr>
      </w:pPr>
    </w:p>
    <w:p>
      <w:pPr>
        <w:ind w:right="520" w:firstLine="464"/>
        <w:spacing w:after="0" w:line="342" w:lineRule="auto"/>
        <w:tabs>
          <w:tab w:leader="none" w:pos="636"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The New Subsidiary Loan Party acknowledges and confirms that it has received a copy of the Credit Agreement and the schedule and exhibits thereto. The information on Schedule 3.06 to the Credit Agreement is hereby amended to include the information shown on the attached </w:t>
      </w:r>
      <w:r>
        <w:rPr>
          <w:rFonts w:ascii="Arial" w:cs="Arial" w:eastAsia="Arial" w:hAnsi="Arial"/>
          <w:sz w:val="16"/>
          <w:szCs w:val="16"/>
          <w:u w:val="single" w:color="auto"/>
          <w:color w:val="auto"/>
        </w:rPr>
        <w:t>Schedule 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40" w:firstLine="464"/>
        <w:spacing w:after="0" w:line="264" w:lineRule="auto"/>
        <w:tabs>
          <w:tab w:leader="none" w:pos="63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New Subsidiary Loan Party hereby agrees that at any time and from time to time, upon the written request of the Administrative Agent, it will execute and deliver any further documents and perform any further acts as the Administrative Agent may reasonably request in order to effect the purposes of this Agreement.</w:t>
      </w:r>
    </w:p>
    <w:p>
      <w:pPr>
        <w:spacing w:after="0" w:line="181" w:lineRule="exact"/>
        <w:rPr>
          <w:rFonts w:ascii="Arial" w:cs="Arial" w:eastAsia="Arial" w:hAnsi="Arial"/>
          <w:sz w:val="18"/>
          <w:szCs w:val="18"/>
          <w:color w:val="auto"/>
        </w:rPr>
      </w:pPr>
    </w:p>
    <w:p>
      <w:pPr>
        <w:ind w:right="40" w:firstLine="464"/>
        <w:spacing w:after="0" w:line="257" w:lineRule="auto"/>
        <w:tabs>
          <w:tab w:leader="none" w:pos="63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HEREUNDER AND ANY CLAIM OR CONTROVERSY RELATING HERETO SHALL BE GOVERNED BY, AND CONSTRUED AND INTERPRETED IN ACCORDANCE WITH, THE LAWS OF THE STATE OF NEW YORK, WITHOUT GIVING EFFECT TO ITS PRINCIPLES OR RULES OF CONFLICT OF LAWS, TO THE EXTENT SUCH PRINCIPLES OR RULES ARE NOT MANDATORILY APPLICABLE BY STATUTE AND WOULD REQUIRE OR PERMIT THE APPLICATION OF THE LAWS OF ANOTHER JURISDICTION.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3" w:right="239" w:bottom="1440" w:gutter="0" w:footer="0" w:header="0"/>
        </w:sectPr>
      </w:pPr>
    </w:p>
    <w:bookmarkStart w:id="344" w:name="page345"/>
    <w:bookmarkEnd w:id="344"/>
    <w:p>
      <w:pPr>
        <w:ind w:left="-340" w:firstLine="464"/>
        <w:spacing w:after="0" w:line="264" w:lineRule="auto"/>
        <w:tabs>
          <w:tab w:leader="none" w:pos="296" w:val="left"/>
        </w:tabs>
        <w:numPr>
          <w:ilvl w:val="0"/>
          <w:numId w:val="3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(a) may be executed in two or more counterparts, each of which shall constitute an original but all of which when taken together shall constitute one contract and (b) may, upon execution, be delivered by facsimile or electronic mail, which shall be deemed for all purposes to be an original signature.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740"/>
          </w:cols>
          <w:pgMar w:left="580" w:top="274" w:right="57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caused this Agreement to be duly executed by their respective officers.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AMERICAN AIRLINES GROUP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[OTHER 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SUBSIDIARY LOAN PARTY]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219"/>
          </w:cols>
          <w:pgMar w:left="240" w:top="274" w:right="1440"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 as Collateral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219"/>
          </w:cols>
          <w:pgMar w:left="240" w:top="274" w:right="1440" w:bottom="1440" w:gutter="0" w:footer="0" w:header="0"/>
        </w:sectPr>
      </w:pPr>
    </w:p>
    <w:bookmarkStart w:id="347" w:name="page348"/>
    <w:bookmarkEnd w:id="347"/>
    <w:p>
      <w:pPr>
        <w:ind w:left="410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46"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Subsidiaries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9019"/>
          </w:cols>
          <w:pgMar w:left="1440" w:top="273" w:right="1440"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w:t>
      </w:r>
    </w:p>
    <w:p>
      <w:pPr>
        <w:spacing w:after="0" w:line="22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This Assignment and Acceptance (this “</w:t>
      </w:r>
      <w:r>
        <w:rPr>
          <w:rFonts w:ascii="Arial" w:cs="Arial" w:eastAsia="Arial" w:hAnsi="Arial"/>
          <w:sz w:val="16"/>
          <w:szCs w:val="16"/>
          <w:u w:val="single" w:color="auto"/>
          <w:color w:val="auto"/>
        </w:rPr>
        <w:t>Assignment and Acceptance</w:t>
      </w:r>
      <w:r>
        <w:rPr>
          <w:rFonts w:ascii="Arial" w:cs="Arial" w:eastAsia="Arial" w:hAnsi="Arial"/>
          <w:sz w:val="16"/>
          <w:szCs w:val="16"/>
          <w:color w:val="auto"/>
        </w:rPr>
        <w:t>”) is dated as of the Effective Date set forth below and is entered into by and between [the][each]</w:t>
      </w:r>
      <w:r>
        <w:rPr>
          <w:rFonts w:ascii="Arial" w:cs="Arial" w:eastAsia="Arial" w:hAnsi="Arial"/>
          <w:sz w:val="13"/>
          <w:szCs w:val="13"/>
          <w:color w:val="auto"/>
        </w:rPr>
        <w:t>1</w:t>
      </w:r>
      <w:r>
        <w:rPr>
          <w:rFonts w:ascii="Arial" w:cs="Arial" w:eastAsia="Arial" w:hAnsi="Arial"/>
          <w:sz w:val="16"/>
          <w:szCs w:val="16"/>
          <w:color w:val="auto"/>
        </w:rPr>
        <w:t xml:space="preserve"> Assignor identified in item 1 below ([the][each, an] “</w:t>
      </w:r>
      <w:r>
        <w:rPr>
          <w:rFonts w:ascii="Arial" w:cs="Arial" w:eastAsia="Arial" w:hAnsi="Arial"/>
          <w:sz w:val="16"/>
          <w:szCs w:val="16"/>
          <w:u w:val="single" w:color="auto"/>
          <w:color w:val="auto"/>
        </w:rPr>
        <w:t>Assignor</w:t>
      </w:r>
      <w:r>
        <w:rPr>
          <w:rFonts w:ascii="Arial" w:cs="Arial" w:eastAsia="Arial" w:hAnsi="Arial"/>
          <w:sz w:val="16"/>
          <w:szCs w:val="16"/>
          <w:color w:val="auto"/>
        </w:rPr>
        <w:t>”) and [the][each]</w:t>
      </w:r>
      <w:r>
        <w:rPr>
          <w:rFonts w:ascii="Arial" w:cs="Arial" w:eastAsia="Arial" w:hAnsi="Arial"/>
          <w:sz w:val="13"/>
          <w:szCs w:val="13"/>
          <w:color w:val="auto"/>
        </w:rPr>
        <w:t>2</w:t>
      </w:r>
      <w:r>
        <w:rPr>
          <w:rFonts w:ascii="Arial" w:cs="Arial" w:eastAsia="Arial" w:hAnsi="Arial"/>
          <w:sz w:val="16"/>
          <w:szCs w:val="16"/>
          <w:color w:val="auto"/>
        </w:rPr>
        <w:t xml:space="preserve"> Assignee identified in item 2 below ([the][each, an] “</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w:t>
      </w:r>
      <w:r>
        <w:rPr>
          <w:rFonts w:ascii="Arial" w:cs="Arial" w:eastAsia="Arial" w:hAnsi="Arial"/>
          <w:sz w:val="13"/>
          <w:szCs w:val="13"/>
          <w:color w:val="auto"/>
        </w:rPr>
        <w:t>3</w:t>
      </w:r>
      <w:r>
        <w:rPr>
          <w:rFonts w:ascii="Arial" w:cs="Arial" w:eastAsia="Arial" w:hAnsi="Arial"/>
          <w:sz w:val="16"/>
          <w:szCs w:val="16"/>
          <w:color w:val="auto"/>
        </w:rPr>
        <w:t xml:space="preserve"> hereunder are several and not joint.]</w:t>
      </w:r>
      <w:r>
        <w:rPr>
          <w:rFonts w:ascii="Arial" w:cs="Arial" w:eastAsia="Arial" w:hAnsi="Arial"/>
          <w:sz w:val="13"/>
          <w:szCs w:val="13"/>
          <w:color w:val="auto"/>
        </w:rPr>
        <w:t>4</w:t>
      </w:r>
      <w:r>
        <w:rPr>
          <w:rFonts w:ascii="Arial" w:cs="Arial" w:eastAsia="Arial" w:hAnsi="Arial"/>
          <w:sz w:val="16"/>
          <w:szCs w:val="16"/>
          <w:color w:val="auto"/>
        </w:rPr>
        <w:t xml:space="preserve"> Capitalized terms used but not defined herein shall have the meanings assigned to such terms in the Credit Agreement identified below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Acceptance as if set forth herein in full.</w:t>
      </w:r>
    </w:p>
    <w:p>
      <w:pPr>
        <w:spacing w:after="0" w:line="16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 all of [the Assignor’s][the respective Assignors’] rights and obligations in [its capacity as a Lender][their respective capacities as Lenders] under the Credit Agreement and the other Loan Documents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Loan Documents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Acceptance,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right="680" w:hanging="452"/>
        <w:spacing w:after="0" w:line="258" w:lineRule="auto"/>
        <w:tabs>
          <w:tab w:leader="none" w:pos="460" w:val="left"/>
        </w:tabs>
        <w:numPr>
          <w:ilvl w:val="0"/>
          <w:numId w:val="367"/>
        </w:numPr>
        <w:rPr>
          <w:rFonts w:ascii="Arial" w:cs="Arial" w:eastAsia="Arial" w:hAnsi="Arial"/>
          <w:sz w:val="15"/>
          <w:szCs w:val="15"/>
          <w:color w:val="auto"/>
        </w:rPr>
      </w:pPr>
      <w:r>
        <w:rPr>
          <w:rFonts w:ascii="Arial" w:cs="Arial" w:eastAsia="Arial" w:hAnsi="Arial"/>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ind w:left="460" w:hanging="452"/>
        <w:spacing w:after="0"/>
        <w:tabs>
          <w:tab w:leader="none" w:pos="460" w:val="left"/>
        </w:tabs>
        <w:numPr>
          <w:ilvl w:val="0"/>
          <w:numId w:val="368"/>
        </w:numPr>
        <w:rPr>
          <w:rFonts w:ascii="Arial" w:cs="Arial" w:eastAsia="Arial" w:hAnsi="Arial"/>
          <w:sz w:val="14"/>
          <w:szCs w:val="14"/>
          <w:color w:val="auto"/>
        </w:rPr>
      </w:pPr>
      <w:r>
        <w:rPr>
          <w:rFonts w:ascii="Arial" w:cs="Arial" w:eastAsia="Arial" w:hAnsi="Arial"/>
          <w:sz w:val="16"/>
          <w:szCs w:val="16"/>
          <w:color w:val="auto"/>
        </w:rPr>
        <w:t>For bracketed language here and elsewhere in this form relating to the Assignee(s), if the assignment is to a single Assignee, choose the first bracketed</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language. If the assignment is to multiple Assignees, choose the second bracketed language.</w:t>
      </w:r>
    </w:p>
    <w:p>
      <w:pPr>
        <w:spacing w:after="0" w:line="8" w:lineRule="exact"/>
        <w:rPr>
          <w:sz w:val="20"/>
          <w:szCs w:val="20"/>
          <w:color w:val="auto"/>
        </w:rPr>
      </w:pPr>
    </w:p>
    <w:p>
      <w:pPr>
        <w:ind w:left="460" w:hanging="452"/>
        <w:spacing w:after="0"/>
        <w:tabs>
          <w:tab w:leader="none" w:pos="460" w:val="left"/>
        </w:tabs>
        <w:numPr>
          <w:ilvl w:val="0"/>
          <w:numId w:val="369"/>
        </w:numPr>
        <w:rPr>
          <w:rFonts w:ascii="Arial" w:cs="Arial" w:eastAsia="Arial" w:hAnsi="Arial"/>
          <w:sz w:val="15"/>
          <w:szCs w:val="15"/>
          <w:color w:val="auto"/>
        </w:rPr>
      </w:pPr>
      <w:r>
        <w:rPr>
          <w:rFonts w:ascii="Arial" w:cs="Arial" w:eastAsia="Arial" w:hAnsi="Arial"/>
          <w:sz w:val="18"/>
          <w:szCs w:val="18"/>
          <w:color w:val="auto"/>
        </w:rPr>
        <w:t>Select as appropriate.</w:t>
      </w:r>
    </w:p>
    <w:p>
      <w:pPr>
        <w:spacing w:after="0" w:line="9" w:lineRule="exact"/>
        <w:rPr>
          <w:sz w:val="20"/>
          <w:szCs w:val="20"/>
          <w:color w:val="auto"/>
        </w:rPr>
      </w:pPr>
    </w:p>
    <w:p>
      <w:pPr>
        <w:ind w:left="5580" w:right="4640" w:hanging="5572"/>
        <w:spacing w:after="0" w:line="474" w:lineRule="auto"/>
        <w:tabs>
          <w:tab w:leader="none" w:pos="460" w:val="left"/>
        </w:tabs>
        <w:numPr>
          <w:ilvl w:val="0"/>
          <w:numId w:val="370"/>
        </w:numPr>
        <w:rPr>
          <w:rFonts w:ascii="Arial" w:cs="Arial" w:eastAsia="Arial" w:hAnsi="Arial"/>
          <w:sz w:val="14"/>
          <w:szCs w:val="14"/>
          <w:color w:val="auto"/>
        </w:rPr>
      </w:pPr>
      <w:r>
        <w:rPr>
          <w:rFonts w:ascii="Arial" w:cs="Arial" w:eastAsia="Arial" w:hAnsi="Arial"/>
          <w:sz w:val="17"/>
          <w:szCs w:val="17"/>
          <w:color w:val="auto"/>
        </w:rPr>
        <w:t>Include bracketed language if there are either multiple Assignors or multiple Assignees. D-1</w:t>
      </w:r>
    </w:p>
    <w:p>
      <w:pPr>
        <w:sectPr>
          <w:pgSz w:w="11900" w:h="16838" w:orient="portrait"/>
          <w:cols w:equalWidth="0" w:num="1">
            <w:col w:w="11420"/>
          </w:cols>
          <w:pgMar w:left="240" w:top="274" w:right="239" w:bottom="1440" w:gutter="0" w:footer="0" w:header="0"/>
        </w:sectPr>
      </w:pPr>
    </w:p>
    <w:bookmarkStart w:id="349" w:name="page350"/>
    <w:bookmarkEnd w:id="349"/>
    <w:p>
      <w:pPr>
        <w:ind w:left="572" w:hanging="572"/>
        <w:spacing w:after="0"/>
        <w:tabs>
          <w:tab w:leader="none" w:pos="57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Assignor[s]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[Assignor [is] [is not] a Defaulting Lender]</w:t>
      </w:r>
    </w:p>
    <w:p>
      <w:pPr>
        <w:spacing w:after="0" w:line="117" w:lineRule="exact"/>
        <w:rPr>
          <w:rFonts w:ascii="Arial" w:cs="Arial" w:eastAsia="Arial" w:hAnsi="Arial"/>
          <w:sz w:val="18"/>
          <w:szCs w:val="18"/>
          <w:color w:val="auto"/>
        </w:rPr>
      </w:pPr>
    </w:p>
    <w:p>
      <w:pPr>
        <w:ind w:left="572" w:hanging="572"/>
        <w:spacing w:after="0"/>
        <w:tabs>
          <w:tab w:leader="none" w:pos="57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w:t>
      </w:r>
    </w:p>
    <w:p>
      <w:pPr>
        <w:spacing w:after="0" w:line="387" w:lineRule="exact"/>
        <w:rPr>
          <w:rFonts w:ascii="Arial" w:cs="Arial" w:eastAsia="Arial" w:hAnsi="Arial"/>
          <w:sz w:val="18"/>
          <w:szCs w:val="18"/>
          <w:color w:val="auto"/>
        </w:rPr>
      </w:pPr>
    </w:p>
    <w:p>
      <w:pPr>
        <w:ind w:left="572" w:hanging="572"/>
        <w:spacing w:after="0"/>
        <w:tabs>
          <w:tab w:leader="none" w:pos="57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w:t>
      </w:r>
      <w:r>
        <w:rPr>
          <w:rFonts w:ascii="Arial" w:cs="Arial" w:eastAsia="Arial" w:hAnsi="Arial"/>
          <w:sz w:val="17"/>
          <w:szCs w:val="17"/>
          <w:color w:val="auto"/>
        </w:rPr>
        <w:t>AMERICAN AIRLINES,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w:t>
      </w:r>
    </w:p>
    <w:p>
      <w:pPr>
        <w:spacing w:after="0" w:line="117" w:lineRule="exact"/>
        <w:rPr>
          <w:rFonts w:ascii="Arial" w:cs="Arial" w:eastAsia="Arial" w:hAnsi="Arial"/>
          <w:sz w:val="18"/>
          <w:szCs w:val="18"/>
          <w:color w:val="auto"/>
        </w:rPr>
      </w:pPr>
    </w:p>
    <w:p>
      <w:pPr>
        <w:ind w:left="572" w:right="420" w:hanging="572"/>
        <w:spacing w:after="0" w:line="342" w:lineRule="auto"/>
        <w:tabs>
          <w:tab w:leader="none" w:pos="572"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Administrative Agent</w:t>
      </w:r>
      <w:r>
        <w:rPr>
          <w:rFonts w:ascii="Arial" w:cs="Arial" w:eastAsia="Arial" w:hAnsi="Arial"/>
          <w:sz w:val="16"/>
          <w:szCs w:val="16"/>
          <w:color w:val="auto"/>
        </w:rPr>
        <w:t>: Barclays Bank PLC, as administrative agent (together with its permitted successors, in such capacity,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and as collateral agent (together with its permitted successors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the Credit Agreement</w:t>
      </w:r>
    </w:p>
    <w:p>
      <w:pPr>
        <w:spacing w:after="0" w:line="15" w:lineRule="exact"/>
        <w:rPr>
          <w:rFonts w:ascii="Arial" w:cs="Arial" w:eastAsia="Arial" w:hAnsi="Arial"/>
          <w:sz w:val="16"/>
          <w:szCs w:val="16"/>
          <w:color w:val="auto"/>
        </w:rPr>
      </w:pPr>
    </w:p>
    <w:p>
      <w:pPr>
        <w:ind w:left="572" w:hanging="572"/>
        <w:spacing w:after="0" w:line="279" w:lineRule="auto"/>
        <w:tabs>
          <w:tab w:leader="none" w:pos="572"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Credit Agreement</w:t>
      </w:r>
      <w:r>
        <w:rPr>
          <w:rFonts w:ascii="Arial" w:cs="Arial" w:eastAsia="Arial" w:hAnsi="Arial"/>
          <w:sz w:val="17"/>
          <w:szCs w:val="17"/>
          <w:color w:val="auto"/>
        </w:rPr>
        <w:t>: Credit and Guaranty Agreement, dated as April [29], 2016, among the Borrower, American Airlines Group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the other Subsidiaries of Parent from time to time party thereto other than the Borrower (the “</w:t>
      </w:r>
      <w:r>
        <w:rPr>
          <w:rFonts w:ascii="Arial" w:cs="Arial" w:eastAsia="Arial" w:hAnsi="Arial"/>
          <w:sz w:val="17"/>
          <w:szCs w:val="17"/>
          <w:u w:val="single" w:color="auto"/>
          <w:color w:val="auto"/>
        </w:rPr>
        <w:t>Guarantors</w:t>
      </w:r>
      <w:r>
        <w:rPr>
          <w:rFonts w:ascii="Arial" w:cs="Arial" w:eastAsia="Arial" w:hAnsi="Arial"/>
          <w:sz w:val="17"/>
          <w:szCs w:val="17"/>
          <w:color w:val="auto"/>
        </w:rPr>
        <w:t>”), the Administrative Agent, the Collateral Agent, Barclays Bank PLC, as issuing lender (in such capacity, the “</w:t>
      </w:r>
      <w:r>
        <w:rPr>
          <w:rFonts w:ascii="Arial" w:cs="Arial" w:eastAsia="Arial" w:hAnsi="Arial"/>
          <w:sz w:val="17"/>
          <w:szCs w:val="17"/>
          <w:u w:val="single" w:color="auto"/>
          <w:color w:val="auto"/>
        </w:rPr>
        <w:t>Issuing Lender</w:t>
      </w:r>
      <w:r>
        <w:rPr>
          <w:rFonts w:ascii="Arial" w:cs="Arial" w:eastAsia="Arial" w:hAnsi="Arial"/>
          <w:sz w:val="17"/>
          <w:szCs w:val="17"/>
          <w:color w:val="auto"/>
        </w:rPr>
        <w:t>”), and the Lenders party thereto from time to time, as amended, restated, supplemented or otherwise modified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-1870710</wp:posOffset>
            </wp:positionV>
            <wp:extent cx="29673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-1716405</wp:posOffset>
            </wp:positionV>
            <wp:extent cx="296735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-1356360</wp:posOffset>
            </wp:positionV>
            <wp:extent cx="296735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-1202055</wp:posOffset>
            </wp:positionV>
            <wp:extent cx="296735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12"/>
          </w:cols>
          <w:pgMar w:left="248" w:top="274" w:right="23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3000" w:type="dxa"/>
            <w:vAlign w:val="bottom"/>
            <w:gridSpan w:val="3"/>
          </w:tcPr>
          <w:p>
            <w:pPr>
              <w:spacing w:after="0"/>
              <w:rPr>
                <w:sz w:val="20"/>
                <w:szCs w:val="20"/>
                <w:color w:val="auto"/>
              </w:rPr>
            </w:pPr>
            <w:r>
              <w:rPr>
                <w:rFonts w:ascii="Arial" w:cs="Arial" w:eastAsia="Arial" w:hAnsi="Arial"/>
                <w:sz w:val="18"/>
                <w:szCs w:val="18"/>
                <w:color w:val="auto"/>
              </w:rPr>
              <w:t>Assigned Interest[s]:</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4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6"/>
              </w:rPr>
              <w:t>Percentage</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Resulting</w:t>
            </w:r>
          </w:p>
        </w:tc>
        <w:tc>
          <w:tcPr>
            <w:tcW w:w="500" w:type="dxa"/>
            <w:vAlign w:val="bottom"/>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Resulting</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Amount of</w:t>
            </w: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7"/>
              </w:rPr>
              <w:t>Amount of</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of Assignor’s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8"/>
              </w:rPr>
              <w:t>[Term]</w:t>
            </w: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[Term]</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Assignor’s</w:t>
            </w: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3"/>
              </w:rPr>
              <w:t>[Term]</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[Term]</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[Revolving]</w:t>
            </w:r>
          </w:p>
        </w:tc>
        <w:tc>
          <w:tcPr>
            <w:tcW w:w="5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[Revolving]</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8"/>
              </w:rPr>
              <w:t>[Term]</w:t>
            </w: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rPr>
              <w:t>[Revolving]</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[Revolving]</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0"/>
              </w:rPr>
              <w:t>Loans/</w:t>
            </w:r>
          </w:p>
        </w:tc>
        <w:tc>
          <w:tcPr>
            <w:tcW w:w="5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Loans/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8"/>
              </w:rPr>
              <w:t>[Revolving]</w:t>
            </w: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0"/>
              </w:rPr>
              <w:t>Loans/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0"/>
              </w:rPr>
              <w:t>Loans/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[Commitments]</w:t>
            </w:r>
          </w:p>
        </w:tc>
        <w:tc>
          <w:tcPr>
            <w:tcW w:w="5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[Commitments]</w:t>
            </w:r>
          </w:p>
        </w:tc>
        <w:tc>
          <w:tcPr>
            <w:tcW w:w="0" w:type="dxa"/>
            <w:vAlign w:val="bottom"/>
          </w:tcPr>
          <w:p>
            <w:pPr>
              <w:spacing w:after="0"/>
              <w:rPr>
                <w:sz w:val="1"/>
                <w:szCs w:val="1"/>
                <w:color w:val="auto"/>
              </w:rPr>
            </w:pPr>
          </w:p>
        </w:tc>
      </w:tr>
      <w:tr>
        <w:trPr>
          <w:trHeight w:val="149"/>
        </w:trPr>
        <w:tc>
          <w:tcPr>
            <w:tcW w:w="3460" w:type="dxa"/>
            <w:vAlign w:val="bottom"/>
            <w:gridSpan w:val="4"/>
            <w:vMerge w:val="restart"/>
          </w:tcPr>
          <w:p>
            <w:pPr>
              <w:spacing w:after="0"/>
              <w:rPr>
                <w:sz w:val="20"/>
                <w:szCs w:val="20"/>
                <w:color w:val="auto"/>
              </w:rPr>
            </w:pPr>
            <w:r>
              <w:rPr>
                <w:rFonts w:ascii="Arial" w:cs="Arial" w:eastAsia="Arial" w:hAnsi="Arial"/>
                <w:sz w:val="14"/>
                <w:szCs w:val="14"/>
                <w:color w:val="auto"/>
              </w:rPr>
              <w:t>Assignor[s]</w:t>
            </w:r>
            <w:r>
              <w:rPr>
                <w:rFonts w:ascii="Arial" w:cs="Arial" w:eastAsia="Arial" w:hAnsi="Arial"/>
                <w:sz w:val="12"/>
                <w:szCs w:val="12"/>
                <w:color w:val="auto"/>
              </w:rPr>
              <w:t>5</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Loans/</w:t>
            </w: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5"/>
              </w:rPr>
              <w:t>[Commitments]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[Commitments]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Amount for</w:t>
            </w: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Amount for</w:t>
            </w:r>
          </w:p>
        </w:tc>
        <w:tc>
          <w:tcPr>
            <w:tcW w:w="0" w:type="dxa"/>
            <w:vAlign w:val="bottom"/>
          </w:tcPr>
          <w:p>
            <w:pPr>
              <w:spacing w:after="0"/>
              <w:rPr>
                <w:sz w:val="1"/>
                <w:szCs w:val="1"/>
                <w:color w:val="auto"/>
              </w:rPr>
            </w:pPr>
          </w:p>
        </w:tc>
      </w:tr>
      <w:tr>
        <w:trPr>
          <w:trHeight w:val="161"/>
        </w:trPr>
        <w:tc>
          <w:tcPr>
            <w:tcW w:w="3460" w:type="dxa"/>
            <w:vAlign w:val="bottom"/>
            <w:gridSpan w:val="4"/>
            <w:vMerge w:val="continue"/>
          </w:tcPr>
          <w:p>
            <w:pPr>
              <w:spacing w:after="0"/>
              <w:rPr>
                <w:sz w:val="13"/>
                <w:szCs w:val="13"/>
                <w:color w:val="auto"/>
              </w:rPr>
            </w:pPr>
          </w:p>
        </w:tc>
        <w:tc>
          <w:tcPr>
            <w:tcW w:w="1120" w:type="dxa"/>
            <w:vAlign w:val="bottom"/>
            <w:gridSpan w:val="2"/>
          </w:tcPr>
          <w:p>
            <w:pPr>
              <w:spacing w:after="0" w:line="154" w:lineRule="exact"/>
              <w:rPr>
                <w:sz w:val="20"/>
                <w:szCs w:val="20"/>
                <w:color w:val="auto"/>
              </w:rPr>
            </w:pPr>
            <w:r>
              <w:rPr>
                <w:rFonts w:ascii="Arial" w:cs="Arial" w:eastAsia="Arial" w:hAnsi="Arial"/>
                <w:sz w:val="14"/>
                <w:szCs w:val="14"/>
                <w:color w:val="auto"/>
              </w:rPr>
              <w:t>Assignee[s]</w:t>
            </w:r>
            <w:r>
              <w:rPr>
                <w:rFonts w:ascii="Arial" w:cs="Arial" w:eastAsia="Arial" w:hAnsi="Arial"/>
                <w:sz w:val="12"/>
                <w:szCs w:val="12"/>
                <w:color w:val="auto"/>
              </w:rPr>
              <w:t>6</w:t>
            </w:r>
          </w:p>
        </w:tc>
        <w:tc>
          <w:tcPr>
            <w:tcW w:w="1000" w:type="dxa"/>
            <w:vAlign w:val="bottom"/>
          </w:tcPr>
          <w:p>
            <w:pPr>
              <w:jc w:val="center"/>
              <w:spacing w:after="0" w:line="154" w:lineRule="exact"/>
              <w:rPr>
                <w:sz w:val="20"/>
                <w:szCs w:val="20"/>
                <w:color w:val="auto"/>
              </w:rPr>
            </w:pPr>
            <w:r>
              <w:rPr>
                <w:rFonts w:ascii="Arial" w:cs="Arial" w:eastAsia="Arial" w:hAnsi="Arial"/>
                <w:sz w:val="14"/>
                <w:szCs w:val="14"/>
                <w:color w:val="auto"/>
                <w:w w:val="95"/>
              </w:rPr>
              <w:t>[Commitments]</w:t>
            </w:r>
            <w:r>
              <w:rPr>
                <w:rFonts w:ascii="Arial" w:cs="Arial" w:eastAsia="Arial" w:hAnsi="Arial"/>
                <w:sz w:val="12"/>
                <w:szCs w:val="12"/>
                <w:color w:val="auto"/>
                <w:w w:val="95"/>
              </w:rPr>
              <w:t>7</w:t>
            </w:r>
          </w:p>
        </w:tc>
        <w:tc>
          <w:tcPr>
            <w:tcW w:w="500" w:type="dxa"/>
            <w:vAlign w:val="bottom"/>
          </w:tcPr>
          <w:p>
            <w:pPr>
              <w:spacing w:after="0"/>
              <w:rPr>
                <w:sz w:val="13"/>
                <w:szCs w:val="13"/>
                <w:color w:val="auto"/>
              </w:rPr>
            </w:pPr>
          </w:p>
        </w:tc>
        <w:tc>
          <w:tcPr>
            <w:tcW w:w="1400" w:type="dxa"/>
            <w:vAlign w:val="bottom"/>
            <w:gridSpan w:val="2"/>
          </w:tcPr>
          <w:p>
            <w:pPr>
              <w:jc w:val="center"/>
              <w:ind w:right="500"/>
              <w:spacing w:after="0" w:line="154" w:lineRule="exact"/>
              <w:rPr>
                <w:sz w:val="20"/>
                <w:szCs w:val="20"/>
                <w:color w:val="auto"/>
              </w:rPr>
            </w:pPr>
            <w:r>
              <w:rPr>
                <w:rFonts w:ascii="Arial" w:cs="Arial" w:eastAsia="Arial" w:hAnsi="Arial"/>
                <w:sz w:val="14"/>
                <w:szCs w:val="14"/>
                <w:color w:val="auto"/>
                <w:w w:val="93"/>
              </w:rPr>
              <w:t>Assigned</w:t>
            </w:r>
          </w:p>
        </w:tc>
        <w:tc>
          <w:tcPr>
            <w:tcW w:w="920" w:type="dxa"/>
            <w:vAlign w:val="bottom"/>
          </w:tcPr>
          <w:p>
            <w:pPr>
              <w:jc w:val="center"/>
              <w:spacing w:after="0" w:line="154" w:lineRule="exact"/>
              <w:rPr>
                <w:sz w:val="20"/>
                <w:szCs w:val="20"/>
                <w:color w:val="auto"/>
              </w:rPr>
            </w:pPr>
            <w:r>
              <w:rPr>
                <w:rFonts w:ascii="Arial" w:cs="Arial" w:eastAsia="Arial" w:hAnsi="Arial"/>
                <w:sz w:val="14"/>
                <w:szCs w:val="14"/>
                <w:color w:val="auto"/>
                <w:w w:val="90"/>
              </w:rPr>
              <w:t>Assigned</w:t>
            </w:r>
            <w:r>
              <w:rPr>
                <w:rFonts w:ascii="Arial" w:cs="Arial" w:eastAsia="Arial" w:hAnsi="Arial"/>
                <w:sz w:val="12"/>
                <w:szCs w:val="12"/>
                <w:color w:val="auto"/>
                <w:w w:val="90"/>
              </w:rPr>
              <w:t>8</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Arial" w:cs="Arial" w:eastAsia="Arial" w:hAnsi="Arial"/>
                <w:sz w:val="14"/>
                <w:szCs w:val="14"/>
                <w:color w:val="auto"/>
                <w:w w:val="95"/>
              </w:rPr>
              <w:t>Assignor</w:t>
            </w:r>
          </w:p>
        </w:tc>
        <w:tc>
          <w:tcPr>
            <w:tcW w:w="500" w:type="dxa"/>
            <w:vAlign w:val="bottom"/>
          </w:tcPr>
          <w:p>
            <w:pPr>
              <w:spacing w:after="0"/>
              <w:rPr>
                <w:sz w:val="13"/>
                <w:szCs w:val="13"/>
                <w:color w:val="auto"/>
              </w:rPr>
            </w:pPr>
          </w:p>
        </w:tc>
        <w:tc>
          <w:tcPr>
            <w:tcW w:w="102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3"/>
              </w:rPr>
              <w:t>Assignee</w:t>
            </w:r>
          </w:p>
        </w:tc>
        <w:tc>
          <w:tcPr>
            <w:tcW w:w="0" w:type="dxa"/>
            <w:vAlign w:val="bottom"/>
          </w:tcPr>
          <w:p>
            <w:pPr>
              <w:spacing w:after="0"/>
              <w:rPr>
                <w:sz w:val="1"/>
                <w:szCs w:val="1"/>
                <w:color w:val="auto"/>
              </w:rPr>
            </w:pPr>
          </w:p>
        </w:tc>
      </w:tr>
      <w:tr>
        <w:trPr>
          <w:trHeight w:val="203"/>
        </w:trPr>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1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12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82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1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auto"/>
              </w:rPr>
              <w:t>[7.   Trade Date:</w:t>
            </w:r>
          </w:p>
        </w:tc>
        <w:tc>
          <w:tcPr>
            <w:tcW w:w="9100" w:type="dxa"/>
            <w:vAlign w:val="bottom"/>
          </w:tcPr>
          <w:p>
            <w:pPr>
              <w:jc w:val="right"/>
              <w:ind w:right="875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9</w:t>
            </w:r>
          </w:p>
        </w:tc>
      </w:tr>
      <w:tr>
        <w:trPr>
          <w:trHeight w:val="20"/>
        </w:trPr>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Effective Date:</w:t>
            </w:r>
          </w:p>
        </w:tc>
        <w:tc>
          <w:tcPr>
            <w:tcW w:w="9100" w:type="dxa"/>
            <w:vAlign w:val="bottom"/>
          </w:tcPr>
          <w:p>
            <w:pPr>
              <w:jc w:val="right"/>
              <w:spacing w:after="0"/>
              <w:rPr>
                <w:sz w:val="20"/>
                <w:szCs w:val="20"/>
                <w:color w:val="auto"/>
              </w:rPr>
            </w:pPr>
            <w:r>
              <w:rPr>
                <w:rFonts w:ascii="Arial" w:cs="Arial" w:eastAsia="Arial" w:hAnsi="Arial"/>
                <w:sz w:val="18"/>
                <w:szCs w:val="18"/>
                <w:color w:val="auto"/>
              </w:rPr>
              <w:t>, 20   [TO BE INSERTED BY ADMINISTRATIVE AGENT AND WHICH SHALL BE THE EFFECTIVE DATE OF</w:t>
            </w:r>
          </w:p>
        </w:tc>
      </w:tr>
    </w:tbl>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372"/>
        </w:numPr>
        <w:rPr>
          <w:rFonts w:ascii="Arial" w:cs="Arial" w:eastAsia="Arial" w:hAnsi="Arial"/>
          <w:sz w:val="15"/>
          <w:szCs w:val="15"/>
          <w:color w:val="auto"/>
        </w:rPr>
      </w:pPr>
      <w:r>
        <w:rPr>
          <w:rFonts w:ascii="Arial" w:cs="Arial" w:eastAsia="Arial" w:hAnsi="Arial"/>
          <w:sz w:val="18"/>
          <w:szCs w:val="18"/>
          <w:color w:val="auto"/>
        </w:rPr>
        <w:t>List each Assignor, as appropriate.</w:t>
      </w:r>
    </w:p>
    <w:p>
      <w:pPr>
        <w:spacing w:after="0" w:line="22" w:lineRule="exact"/>
        <w:rPr>
          <w:sz w:val="20"/>
          <w:szCs w:val="20"/>
          <w:color w:val="auto"/>
        </w:rPr>
      </w:pPr>
    </w:p>
    <w:p>
      <w:pPr>
        <w:ind w:left="460" w:hanging="452"/>
        <w:spacing w:after="0"/>
        <w:tabs>
          <w:tab w:leader="none" w:pos="460" w:val="left"/>
        </w:tabs>
        <w:numPr>
          <w:ilvl w:val="0"/>
          <w:numId w:val="373"/>
        </w:numPr>
        <w:rPr>
          <w:rFonts w:ascii="Arial" w:cs="Arial" w:eastAsia="Arial" w:hAnsi="Arial"/>
          <w:sz w:val="15"/>
          <w:szCs w:val="15"/>
          <w:color w:val="auto"/>
        </w:rPr>
      </w:pPr>
      <w:r>
        <w:rPr>
          <w:rFonts w:ascii="Arial" w:cs="Arial" w:eastAsia="Arial" w:hAnsi="Arial"/>
          <w:sz w:val="18"/>
          <w:szCs w:val="18"/>
          <w:color w:val="auto"/>
        </w:rPr>
        <w:t>List each Assignee, as appropriate.</w:t>
      </w:r>
    </w:p>
    <w:p>
      <w:pPr>
        <w:spacing w:after="0" w:line="9" w:lineRule="exact"/>
        <w:rPr>
          <w:sz w:val="20"/>
          <w:szCs w:val="20"/>
          <w:color w:val="auto"/>
        </w:rPr>
      </w:pPr>
    </w:p>
    <w:p>
      <w:pPr>
        <w:ind w:left="460" w:hanging="452"/>
        <w:spacing w:after="0"/>
        <w:tabs>
          <w:tab w:leader="none" w:pos="460" w:val="left"/>
        </w:tabs>
        <w:numPr>
          <w:ilvl w:val="0"/>
          <w:numId w:val="374"/>
        </w:numPr>
        <w:rPr>
          <w:rFonts w:ascii="Arial" w:cs="Arial" w:eastAsia="Arial" w:hAnsi="Arial"/>
          <w:sz w:val="14"/>
          <w:szCs w:val="14"/>
          <w:color w:val="auto"/>
        </w:rPr>
      </w:pPr>
      <w:r>
        <w:rPr>
          <w:rFonts w:ascii="Arial" w:cs="Arial" w:eastAsia="Arial" w:hAnsi="Arial"/>
          <w:sz w:val="17"/>
          <w:szCs w:val="17"/>
          <w:color w:val="auto"/>
        </w:rPr>
        <w:t>Amounts in this column and in the column immediately to the right to be adjusted by the counterparties to take into account any payments or</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prepayments made between the Trade Date and the Effective Date.</w:t>
      </w:r>
    </w:p>
    <w:p>
      <w:pPr>
        <w:spacing w:after="0" w:line="8" w:lineRule="exact"/>
        <w:rPr>
          <w:sz w:val="20"/>
          <w:szCs w:val="20"/>
          <w:color w:val="auto"/>
        </w:rPr>
      </w:pPr>
    </w:p>
    <w:p>
      <w:pPr>
        <w:ind w:left="460" w:hanging="452"/>
        <w:spacing w:after="0"/>
        <w:tabs>
          <w:tab w:leader="none" w:pos="460" w:val="left"/>
        </w:tabs>
        <w:numPr>
          <w:ilvl w:val="0"/>
          <w:numId w:val="375"/>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Loans of all Lenders thereunder.</w:t>
      </w:r>
    </w:p>
    <w:p>
      <w:pPr>
        <w:spacing w:after="0" w:line="9" w:lineRule="exact"/>
        <w:rPr>
          <w:sz w:val="20"/>
          <w:szCs w:val="20"/>
          <w:color w:val="auto"/>
        </w:rPr>
      </w:pPr>
    </w:p>
    <w:p>
      <w:pPr>
        <w:ind w:left="5580" w:right="1160" w:hanging="5572"/>
        <w:spacing w:after="0" w:line="434" w:lineRule="auto"/>
        <w:tabs>
          <w:tab w:leader="none" w:pos="460" w:val="left"/>
        </w:tabs>
        <w:numPr>
          <w:ilvl w:val="0"/>
          <w:numId w:val="376"/>
        </w:numPr>
        <w:rPr>
          <w:rFonts w:ascii="Arial" w:cs="Arial" w:eastAsia="Arial" w:hAnsi="Arial"/>
          <w:sz w:val="15"/>
          <w:szCs w:val="15"/>
          <w:color w:val="auto"/>
        </w:rPr>
      </w:pPr>
      <w:r>
        <w:rPr>
          <w:rFonts w:ascii="Arial" w:cs="Arial" w:eastAsia="Arial" w:hAnsi="Arial"/>
          <w:sz w:val="18"/>
          <w:szCs w:val="18"/>
          <w:color w:val="auto"/>
        </w:rPr>
        <w:t>To be completed if the Assignor and the Assignee intend that the minimum assignment amount is to be determined as of the Trade Date. D-3</w:t>
      </w:r>
    </w:p>
    <w:p>
      <w:pPr>
        <w:sectPr>
          <w:pgSz w:w="11900" w:h="16838" w:orient="portrait"/>
          <w:cols w:equalWidth="0" w:num="1">
            <w:col w:w="11420"/>
          </w:cols>
          <w:pgMar w:left="240" w:top="256" w:right="2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set forth in this Assignment and Acceptance are hereby agreed to:</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OF ASSIGNOR]</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OF ASSIGNEE]</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0219"/>
          </w:cols>
          <w:pgMar w:left="240" w:top="274" w:right="1440"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and]</w:t>
      </w:r>
      <w:r>
        <w:rPr>
          <w:rFonts w:ascii="Arial" w:cs="Arial" w:eastAsia="Arial" w:hAnsi="Arial"/>
          <w:sz w:val="15"/>
          <w:szCs w:val="15"/>
          <w:color w:val="auto"/>
        </w:rPr>
        <w:t>10</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377"/>
        </w:numPr>
        <w:rPr>
          <w:rFonts w:ascii="Arial" w:cs="Arial" w:eastAsia="Arial" w:hAnsi="Arial"/>
          <w:sz w:val="14"/>
          <w:szCs w:val="14"/>
          <w:color w:val="auto"/>
        </w:rPr>
      </w:pPr>
      <w:r>
        <w:rPr>
          <w:rFonts w:ascii="Arial" w:cs="Arial" w:eastAsia="Arial" w:hAnsi="Arial"/>
          <w:sz w:val="16"/>
          <w:szCs w:val="16"/>
          <w:color w:val="auto"/>
        </w:rPr>
        <w:t>To the extent required under Section 10.02(b)(i) of the Credit Agreement.</w:t>
      </w:r>
    </w:p>
    <w:p>
      <w:pPr>
        <w:spacing w:after="0" w:line="46" w:lineRule="exact"/>
        <w:rPr>
          <w:rFonts w:ascii="Arial" w:cs="Arial" w:eastAsia="Arial" w:hAnsi="Arial"/>
          <w:sz w:val="14"/>
          <w:szCs w:val="14"/>
          <w:color w:val="auto"/>
        </w:rPr>
      </w:pPr>
    </w:p>
    <w:p>
      <w:pPr>
        <w:ind w:left="460" w:hanging="452"/>
        <w:spacing w:after="0"/>
        <w:tabs>
          <w:tab w:leader="none" w:pos="460" w:val="left"/>
        </w:tabs>
        <w:numPr>
          <w:ilvl w:val="0"/>
          <w:numId w:val="377"/>
        </w:numPr>
        <w:rPr>
          <w:rFonts w:ascii="Arial" w:cs="Arial" w:eastAsia="Arial" w:hAnsi="Arial"/>
          <w:sz w:val="14"/>
          <w:szCs w:val="14"/>
          <w:color w:val="auto"/>
        </w:rPr>
      </w:pPr>
      <w:r>
        <w:rPr>
          <w:rFonts w:ascii="Arial" w:cs="Arial" w:eastAsia="Arial" w:hAnsi="Arial"/>
          <w:sz w:val="16"/>
          <w:szCs w:val="16"/>
          <w:color w:val="auto"/>
        </w:rPr>
        <w:t>To the extent required under Section 10.02(b)(i) of the Credit Agreement.</w:t>
      </w:r>
    </w:p>
    <w:p>
      <w:pPr>
        <w:spacing w:after="0" w:line="166"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0219"/>
          </w:cols>
          <w:pgMar w:left="240" w:top="273" w:right="1440" w:bottom="1440" w:gutter="0" w:footer="0" w:header="0"/>
        </w:sectPr>
      </w:pPr>
    </w:p>
    <w:bookmarkStart w:id="353" w:name="page354"/>
    <w:bookmarkEnd w:id="3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ASSIGNMENT AND ACCEPTANCE</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Reference is made to the Credit and Guaranty Agreement, dated as of April [29], 2016 (as may be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American Airlines,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American Airlines Group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the other Subsidiaries of Parent from time to time party thereto other than the Borrower (the “</w:t>
      </w:r>
      <w:r>
        <w:rPr>
          <w:rFonts w:ascii="Arial" w:cs="Arial" w:eastAsia="Arial" w:hAnsi="Arial"/>
          <w:sz w:val="18"/>
          <w:szCs w:val="18"/>
          <w:u w:val="single" w:color="auto"/>
          <w:color w:val="auto"/>
        </w:rPr>
        <w:t>Guarantors</w:t>
      </w:r>
      <w:r>
        <w:rPr>
          <w:rFonts w:ascii="Arial" w:cs="Arial" w:eastAsia="Arial" w:hAnsi="Arial"/>
          <w:sz w:val="18"/>
          <w:szCs w:val="18"/>
          <w:color w:val="auto"/>
        </w:rPr>
        <w:t>”), Barclays Bank PLC,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collateral agent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and as issuing lender (the “</w:t>
      </w:r>
      <w:r>
        <w:rPr>
          <w:rFonts w:ascii="Arial" w:cs="Arial" w:eastAsia="Arial" w:hAnsi="Arial"/>
          <w:sz w:val="18"/>
          <w:szCs w:val="18"/>
          <w:u w:val="single" w:color="auto"/>
          <w:color w:val="auto"/>
        </w:rPr>
        <w:t>Issuing Lender</w:t>
      </w:r>
      <w:r>
        <w:rPr>
          <w:rFonts w:ascii="Arial" w:cs="Arial" w:eastAsia="Arial" w:hAnsi="Arial"/>
          <w:sz w:val="18"/>
          <w:szCs w:val="18"/>
          <w:color w:val="auto"/>
        </w:rPr>
        <w:t>”), and the Lenders party thereto from time to time.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ASSIGNMENT AND ACCEPTANCE</w:t>
      </w:r>
    </w:p>
    <w:p>
      <w:pPr>
        <w:spacing w:after="0" w:line="211" w:lineRule="exact"/>
        <w:rPr>
          <w:sz w:val="20"/>
          <w:szCs w:val="20"/>
          <w:color w:val="auto"/>
        </w:rPr>
      </w:pPr>
    </w:p>
    <w:p>
      <w:pPr>
        <w:ind w:left="1100" w:hanging="179"/>
        <w:spacing w:after="0"/>
        <w:tabs>
          <w:tab w:leader="none" w:pos="110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Acceptance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Loan Parties or any other person obligated in respect of any Loan Document or (iv) the performance or observance by the Loan Parties or any other person of any of their respective obligations under any Loan Document.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[The][Each] Assignee (a) represents and warrants that (i) it is not a Defaulting Lender, Disqualified Institution or natural person,</w:t>
      </w:r>
    </w:p>
    <w:p>
      <w:pPr>
        <w:spacing w:after="0" w:line="46" w:lineRule="exact"/>
        <w:rPr>
          <w:sz w:val="20"/>
          <w:szCs w:val="20"/>
          <w:color w:val="auto"/>
        </w:rPr>
      </w:pPr>
    </w:p>
    <w:p>
      <w:pPr>
        <w:ind w:right="40" w:firstLine="8"/>
        <w:spacing w:after="0" w:line="281" w:lineRule="auto"/>
        <w:tabs>
          <w:tab w:leader="none" w:pos="26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it has full power and authority, and has taken all action necessary, to execute and deliver this Assignment and Acceptance and to consummate the transactions contemplated hereby and to become a Lender under the Credit Agreement, (iii) it meets all the requirements to be an Assignee under the Credit Agreement (subject to such consents, if any, as may be required under Section 10.02(b) of the Credit Agreement), (iv) from and after the Effective Date, it shall be bound by the provisions of the Credit Agreement and the other Loan Documents as a Lender thereunder and, to the extent of [the][the relevant] Assigned Interest, shall have the obligations of a Lender thereunder, (v) it is sophisticated with respect to decisions to acquire assets of the type represented by [the][such] Assigned Interest and either it, or the person exercising discretion in making its decision to acquire [the][such] Assigned Interest, is experienced in acquiring assets of such type, (vi) it has received a copy of the Credit Agreement, and has received or has been accorded the opportunity to receive copies of the most recent financial statements delivered pursuant to Section 5.04 thereof, as applicable, and such other documents and information as it deems appropriate to make its own credit analysis and decision to enter into this Assignment and Acceptance and to purchase [the][such] Assigned Interest,</w:t>
      </w:r>
    </w:p>
    <w:p>
      <w:pPr>
        <w:spacing w:after="0" w:line="6" w:lineRule="exact"/>
        <w:rPr>
          <w:rFonts w:ascii="Arial" w:cs="Arial" w:eastAsia="Arial" w:hAnsi="Arial"/>
          <w:sz w:val="16"/>
          <w:szCs w:val="16"/>
          <w:color w:val="auto"/>
        </w:rPr>
      </w:pPr>
    </w:p>
    <w:p>
      <w:pPr>
        <w:ind w:left="360" w:hanging="352"/>
        <w:spacing w:after="0"/>
        <w:tabs>
          <w:tab w:leader="none" w:pos="36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it has, independently and without reliance upon any Agent or any other Lender and based on such documents and information as it has deemed</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400"/>
          </w:cols>
          <w:pgMar w:left="240" w:top="270" w:right="259" w:bottom="1440" w:gutter="0" w:footer="0" w:header="0"/>
        </w:sectPr>
      </w:pPr>
    </w:p>
    <w:bookmarkStart w:id="354" w:name="page355"/>
    <w:bookmarkEnd w:id="354"/>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made its own credit analysis and decision to enter into this Assignment and Acceptance and to purchase [the][such] Assigned Interest and (viii) attached hereto is any documentation required to be delivered by it pursuant to the terms of the Credit Agreement (including, without limitation, any such documentation required to be delivered pursuant to Sections 2.16(f) and (g)), duly completed and executed by [the][such] Assignee; and (b) agrees that (i) it will, independently and without reliance upon any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65" w:lineRule="exact"/>
        <w:rPr>
          <w:sz w:val="20"/>
          <w:szCs w:val="20"/>
          <w:color w:val="auto"/>
        </w:rPr>
      </w:pPr>
    </w:p>
    <w:p>
      <w:pPr>
        <w:jc w:val="both"/>
        <w:ind w:right="200" w:firstLine="921"/>
        <w:spacing w:after="0" w:line="286" w:lineRule="auto"/>
        <w:tabs>
          <w:tab w:leader="none" w:pos="1093"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the Administrative Agent shall make all payments in respect of [the][each] Assigned Interest (including payments of principal, interest, fees and other amounts) to [the][the relevant] Assignor for amounts which have accrued up to but excluding the Effective Date and to [the][the relevant] Assignee for amounts which have accrued from and after the Effective Date.</w:t>
      </w:r>
    </w:p>
    <w:p>
      <w:pPr>
        <w:spacing w:after="0" w:line="165" w:lineRule="exact"/>
        <w:rPr>
          <w:rFonts w:ascii="Arial" w:cs="Arial" w:eastAsia="Arial" w:hAnsi="Arial"/>
          <w:sz w:val="17"/>
          <w:szCs w:val="17"/>
          <w:color w:val="auto"/>
        </w:rPr>
      </w:pPr>
    </w:p>
    <w:p>
      <w:pPr>
        <w:ind w:firstLine="921"/>
        <w:spacing w:after="0" w:line="273" w:lineRule="auto"/>
        <w:tabs>
          <w:tab w:leader="none" w:pos="1093"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Acceptance shall be binding upon, and inure to the benefit of, the parties hereto and their respective successors and assigns. This Assignment and Acceptance may be executed in any number of counterparts, which together shall constitute one instrument. Delivery of an executed counterpart of a signature page of this Assignment and Acceptance by telecopy shall be effective as delivery of a manually executed counterpart of this Assignment and Acceptance. This Assignment and Acceptance shall be construed in accordance with and governed by the laws of the State of New York, without giving effect to its principles or rules of conflict of laws to the extent such principles or rules are not mandatorily applicable by statute and would require or permit the application of the laws of another jurisdiction.</w:t>
      </w:r>
    </w:p>
    <w:p>
      <w:pPr>
        <w:spacing w:after="0" w:line="178" w:lineRule="exact"/>
        <w:rPr>
          <w:rFonts w:ascii="Arial" w:cs="Arial" w:eastAsia="Arial" w:hAnsi="Arial"/>
          <w:sz w:val="17"/>
          <w:szCs w:val="17"/>
          <w:color w:val="auto"/>
        </w:rPr>
      </w:pPr>
    </w:p>
    <w:p>
      <w:pPr>
        <w:ind w:left="1100" w:hanging="179"/>
        <w:spacing w:after="0"/>
        <w:tabs>
          <w:tab w:leader="none" w:pos="1100"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This Assignment and Acceptance shall be delivered to the Administrative Agent with a processing and recordation fee of $3,500.00</w:t>
      </w:r>
      <w:r>
        <w:rPr>
          <w:rFonts w:ascii="Arial" w:cs="Arial" w:eastAsia="Arial" w:hAnsi="Arial"/>
          <w:sz w:val="13"/>
          <w:szCs w:val="13"/>
          <w:color w:val="auto"/>
        </w:rPr>
        <w:t>12</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100" w:firstLine="921"/>
        <w:spacing w:after="0" w:line="264" w:lineRule="auto"/>
        <w:tabs>
          <w:tab w:leader="none" w:pos="1093"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If the Assignee is not a Lender, annexed hereto as Exhibit A is a completed administrative questionnaire, in form and substance satisfactory to the Administrative Agent, which requests such information (including, without limitation, credit contact information and wiring instructions) from the Assignee as the Administrative Agent may reasonably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82"/>
        </w:numPr>
        <w:rPr>
          <w:rFonts w:ascii="Arial" w:cs="Arial" w:eastAsia="Arial" w:hAnsi="Arial"/>
          <w:sz w:val="15"/>
          <w:szCs w:val="15"/>
          <w:color w:val="auto"/>
        </w:rPr>
      </w:pPr>
      <w:r>
        <w:rPr>
          <w:rFonts w:ascii="Arial" w:cs="Arial" w:eastAsia="Arial" w:hAnsi="Arial"/>
          <w:sz w:val="18"/>
          <w:szCs w:val="18"/>
          <w:color w:val="auto"/>
        </w:rPr>
        <w:t>To be paid by the Assignor or the Assignee.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320"/>
          </w:cols>
          <w:pgMar w:left="240" w:top="274" w:right="339" w:bottom="1440" w:gutter="0" w:footer="0" w:header="0"/>
        </w:sectPr>
      </w:pPr>
    </w:p>
    <w:bookmarkStart w:id="355" w:name="page356"/>
    <w:bookmarkEnd w:id="355"/>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Administrative Questionnaire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[provided by Administrative Agent]</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9019"/>
          </w:cols>
          <w:pgMar w:left="1440" w:top="273" w:right="1440"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REQUEST</w:t>
      </w:r>
    </w:p>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Reference is made to the Credit and Guaranty Agreement, dated as of April [29], 2016 (as may be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American Airlines,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American Airlines Group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the other Subsidiaries of Parent from time to time party thereto other than the Borrower (the “</w:t>
      </w:r>
      <w:r>
        <w:rPr>
          <w:rFonts w:ascii="Arial" w:cs="Arial" w:eastAsia="Arial" w:hAnsi="Arial"/>
          <w:sz w:val="18"/>
          <w:szCs w:val="18"/>
          <w:u w:val="single" w:color="auto"/>
          <w:color w:val="auto"/>
        </w:rPr>
        <w:t>Guarantors</w:t>
      </w:r>
      <w:r>
        <w:rPr>
          <w:rFonts w:ascii="Arial" w:cs="Arial" w:eastAsia="Arial" w:hAnsi="Arial"/>
          <w:sz w:val="18"/>
          <w:szCs w:val="18"/>
          <w:color w:val="auto"/>
        </w:rPr>
        <w:t>”), Barclays Bank PLC,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collateral agent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and as issuing lender (the “</w:t>
      </w:r>
      <w:r>
        <w:rPr>
          <w:rFonts w:ascii="Arial" w:cs="Arial" w:eastAsia="Arial" w:hAnsi="Arial"/>
          <w:sz w:val="18"/>
          <w:szCs w:val="18"/>
          <w:u w:val="single" w:color="auto"/>
          <w:color w:val="auto"/>
        </w:rPr>
        <w:t>Issuing Lender</w:t>
      </w:r>
      <w:r>
        <w:rPr>
          <w:rFonts w:ascii="Arial" w:cs="Arial" w:eastAsia="Arial" w:hAnsi="Arial"/>
          <w:sz w:val="18"/>
          <w:szCs w:val="18"/>
          <w:color w:val="auto"/>
        </w:rPr>
        <w:t>”), and the Lenders party thereto from time to time. Capitalized terms used herein and not otherwise defined herein have the meanings assigned to such terms in the Credit Agreement.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2.03 of the Credit Agreement, the Borrower desires that the Lenders make the following Loans to the Borrower in accordance with</w:t>
      </w:r>
    </w:p>
    <w:p>
      <w:pPr>
        <w:spacing w:after="0" w:line="46" w:lineRule="exact"/>
        <w:rPr>
          <w:sz w:val="20"/>
          <w:szCs w:val="20"/>
          <w:color w:val="auto"/>
        </w:rPr>
      </w:pPr>
    </w:p>
    <w:p>
      <w:pPr>
        <w:spacing w:after="0"/>
        <w:tabs>
          <w:tab w:leader="none" w:pos="5140" w:val="left"/>
          <w:tab w:leader="none" w:pos="5640" w:val="left"/>
        </w:tabs>
        <w:rPr>
          <w:sz w:val="20"/>
          <w:szCs w:val="20"/>
          <w:color w:val="auto"/>
        </w:rPr>
      </w:pPr>
      <w:r>
        <w:rPr>
          <w:rFonts w:ascii="Arial" w:cs="Arial" w:eastAsia="Arial" w:hAnsi="Arial"/>
          <w:sz w:val="18"/>
          <w:szCs w:val="18"/>
          <w:color w:val="auto"/>
        </w:rPr>
        <w:t>the applicable terms and conditions of the Credit Agreement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xml:space="preserve">(which shall be a Business Day)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Borrowing Date</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16" w:lineRule="exact"/>
        <w:rPr>
          <w:sz w:val="20"/>
          <w:szCs w:val="20"/>
          <w:color w:val="auto"/>
        </w:rPr>
      </w:pPr>
    </w:p>
    <w:p>
      <w:pPr>
        <w:ind w:left="900" w:hanging="446"/>
        <w:spacing w:after="0"/>
        <w:tabs>
          <w:tab w:leader="none" w:pos="9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Revolving Loans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ABR Loans:</w:t>
            </w:r>
          </w:p>
        </w:tc>
        <w:tc>
          <w:tcPr>
            <w:tcW w:w="1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344"/>
        </w:trPr>
        <w:tc>
          <w:tcPr>
            <w:tcW w:w="280" w:type="dxa"/>
            <w:vAlign w:val="bottom"/>
          </w:tcPr>
          <w:p>
            <w:pPr>
              <w:spacing w:after="0"/>
              <w:rPr>
                <w:sz w:val="24"/>
                <w:szCs w:val="24"/>
                <w:color w:val="auto"/>
              </w:rPr>
            </w:pPr>
          </w:p>
        </w:tc>
        <w:tc>
          <w:tcPr>
            <w:tcW w:w="1420" w:type="dxa"/>
            <w:vAlign w:val="bottom"/>
            <w:gridSpan w:val="2"/>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60"/>
              <w:spacing w:after="0"/>
              <w:rPr>
                <w:sz w:val="20"/>
                <w:szCs w:val="20"/>
                <w:color w:val="auto"/>
              </w:rPr>
            </w:pPr>
            <w:r>
              <w:rPr>
                <w:rFonts w:ascii="Arial" w:cs="Arial" w:eastAsia="Arial" w:hAnsi="Arial"/>
                <w:sz w:val="18"/>
                <w:szCs w:val="18"/>
                <w:color w:val="auto"/>
                <w:w w:val="95"/>
              </w:rPr>
              <w:t>Eurodollar Loans, with an initial Interest Period of</w:t>
            </w:r>
          </w:p>
        </w:tc>
        <w:tc>
          <w:tcPr>
            <w:tcW w:w="1680" w:type="dxa"/>
            <w:vAlign w:val="bottom"/>
          </w:tcPr>
          <w:p>
            <w:pPr>
              <w:ind w:left="140"/>
              <w:spacing w:after="0"/>
              <w:rPr>
                <w:sz w:val="20"/>
                <w:szCs w:val="20"/>
                <w:color w:val="auto"/>
              </w:rPr>
            </w:pPr>
            <w:r>
              <w:rPr>
                <w:rFonts w:ascii="Arial" w:cs="Arial" w:eastAsia="Arial" w:hAnsi="Arial"/>
                <w:sz w:val="18"/>
                <w:szCs w:val="18"/>
                <w:color w:val="auto"/>
              </w:rPr>
              <w:t>month(s):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5"/>
                <w:szCs w:val="15"/>
                <w:b w:val="1"/>
                <w:bCs w:val="1"/>
                <w:color w:val="auto"/>
                <w:w w:val="97"/>
              </w:rPr>
              <w:t>2</w:t>
            </w:r>
          </w:p>
        </w:tc>
        <w:tc>
          <w:tcPr>
            <w:tcW w:w="0" w:type="dxa"/>
            <w:vAlign w:val="bottom"/>
          </w:tcPr>
          <w:p>
            <w:pPr>
              <w:spacing w:after="0"/>
              <w:rPr>
                <w:sz w:val="1"/>
                <w:szCs w:val="1"/>
                <w:color w:val="auto"/>
              </w:rPr>
            </w:pPr>
          </w:p>
        </w:tc>
      </w:tr>
      <w:tr>
        <w:trPr>
          <w:trHeight w:val="318"/>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2.</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Term Loans</w:t>
            </w:r>
          </w:p>
        </w:tc>
        <w:tc>
          <w:tcPr>
            <w:tcW w:w="3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10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32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ABR Loans:</w:t>
            </w:r>
          </w:p>
        </w:tc>
        <w:tc>
          <w:tcPr>
            <w:tcW w:w="1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344"/>
        </w:trPr>
        <w:tc>
          <w:tcPr>
            <w:tcW w:w="280" w:type="dxa"/>
            <w:vAlign w:val="bottom"/>
          </w:tcPr>
          <w:p>
            <w:pPr>
              <w:spacing w:after="0"/>
              <w:rPr>
                <w:sz w:val="24"/>
                <w:szCs w:val="24"/>
                <w:color w:val="auto"/>
              </w:rPr>
            </w:pPr>
          </w:p>
        </w:tc>
        <w:tc>
          <w:tcPr>
            <w:tcW w:w="1420" w:type="dxa"/>
            <w:vAlign w:val="bottom"/>
            <w:gridSpan w:val="2"/>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60"/>
              <w:spacing w:after="0"/>
              <w:rPr>
                <w:sz w:val="20"/>
                <w:szCs w:val="20"/>
                <w:color w:val="auto"/>
              </w:rPr>
            </w:pPr>
            <w:r>
              <w:rPr>
                <w:rFonts w:ascii="Arial" w:cs="Arial" w:eastAsia="Arial" w:hAnsi="Arial"/>
                <w:sz w:val="18"/>
                <w:szCs w:val="18"/>
                <w:color w:val="auto"/>
                <w:w w:val="95"/>
              </w:rPr>
              <w:t>Eurodollar Loans, with an initial Interest Period of</w:t>
            </w:r>
          </w:p>
        </w:tc>
        <w:tc>
          <w:tcPr>
            <w:tcW w:w="1680" w:type="dxa"/>
            <w:vAlign w:val="bottom"/>
          </w:tcPr>
          <w:p>
            <w:pPr>
              <w:ind w:left="140"/>
              <w:spacing w:after="0"/>
              <w:rPr>
                <w:sz w:val="20"/>
                <w:szCs w:val="20"/>
                <w:color w:val="auto"/>
              </w:rPr>
            </w:pPr>
            <w:r>
              <w:rPr>
                <w:rFonts w:ascii="Arial" w:cs="Arial" w:eastAsia="Arial" w:hAnsi="Arial"/>
                <w:sz w:val="18"/>
                <w:szCs w:val="18"/>
                <w:color w:val="auto"/>
              </w:rPr>
              <w:t>month(s):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220" w:right="320" w:hanging="212"/>
        <w:spacing w:after="0" w:line="291" w:lineRule="auto"/>
        <w:tabs>
          <w:tab w:leader="none" w:pos="220" w:val="left"/>
        </w:tabs>
        <w:numPr>
          <w:ilvl w:val="0"/>
          <w:numId w:val="384"/>
        </w:numPr>
        <w:rPr>
          <w:rFonts w:ascii="Arial" w:cs="Arial" w:eastAsia="Arial" w:hAnsi="Arial"/>
          <w:sz w:val="14"/>
          <w:szCs w:val="14"/>
          <w:color w:val="auto"/>
        </w:rPr>
      </w:pPr>
      <w:r>
        <w:rPr>
          <w:rFonts w:ascii="Arial" w:cs="Arial" w:eastAsia="Arial" w:hAnsi="Arial"/>
          <w:sz w:val="16"/>
          <w:szCs w:val="16"/>
          <w:color w:val="auto"/>
        </w:rPr>
        <w:t xml:space="preserve">In an aggregate amount that is an integral multiple of $100,000 and not less than $1,000,000;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Borrowing may be in an aggregate amount that is equal to the entire Unused Total Revolving Commitment or that is required to finance the reimbursement of an LC Disbursement as</w:t>
      </w:r>
    </w:p>
    <w:p>
      <w:pPr>
        <w:ind w:left="220"/>
        <w:spacing w:after="0"/>
        <w:rPr>
          <w:sz w:val="20"/>
          <w:szCs w:val="20"/>
          <w:color w:val="auto"/>
        </w:rPr>
      </w:pPr>
      <w:r>
        <w:rPr>
          <w:rFonts w:ascii="Arial" w:cs="Arial" w:eastAsia="Arial" w:hAnsi="Arial"/>
          <w:sz w:val="18"/>
          <w:szCs w:val="18"/>
          <w:color w:val="auto"/>
        </w:rPr>
        <w:t>contemplated by Section 2.02(e) of the Credit Agreement.</w:t>
      </w:r>
    </w:p>
    <w:p>
      <w:pPr>
        <w:spacing w:after="0" w:line="8" w:lineRule="exact"/>
        <w:rPr>
          <w:sz w:val="20"/>
          <w:szCs w:val="20"/>
          <w:color w:val="auto"/>
        </w:rPr>
      </w:pPr>
    </w:p>
    <w:p>
      <w:pPr>
        <w:ind w:left="5580" w:right="4180" w:hanging="5572"/>
        <w:spacing w:after="0" w:line="434" w:lineRule="auto"/>
        <w:tabs>
          <w:tab w:leader="none" w:pos="220" w:val="left"/>
        </w:tabs>
        <w:numPr>
          <w:ilvl w:val="0"/>
          <w:numId w:val="385"/>
        </w:numPr>
        <w:rPr>
          <w:rFonts w:ascii="Arial" w:cs="Arial" w:eastAsia="Arial" w:hAnsi="Arial"/>
          <w:sz w:val="15"/>
          <w:szCs w:val="15"/>
          <w:color w:val="auto"/>
        </w:rPr>
      </w:pPr>
      <w:r>
        <w:rPr>
          <w:rFonts w:ascii="Arial" w:cs="Arial" w:eastAsia="Arial" w:hAnsi="Arial"/>
          <w:sz w:val="18"/>
          <w:szCs w:val="18"/>
          <w:color w:val="auto"/>
        </w:rPr>
        <w:t>In an aggregate amount that is in an integral multiple of $1,000,000 and not less than $1,000,000. E-1</w:t>
      </w:r>
    </w:p>
    <w:p>
      <w:pPr>
        <w:sectPr>
          <w:pgSz w:w="11900" w:h="16838" w:orient="portrait"/>
          <w:cols w:equalWidth="0" w:num="1">
            <w:col w:w="11420"/>
          </w:cols>
          <w:pgMar w:left="240" w:top="274" w:right="239" w:bottom="1440" w:gutter="0" w:footer="0" w:header="0"/>
        </w:sectPr>
      </w:pPr>
    </w:p>
    <w:bookmarkStart w:id="357" w:name="page358"/>
    <w:bookmarkEnd w:id="3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hereby certifies that:</w:t>
      </w:r>
    </w:p>
    <w:p>
      <w:pPr>
        <w:spacing w:after="0" w:line="225" w:lineRule="exact"/>
        <w:rPr>
          <w:sz w:val="20"/>
          <w:szCs w:val="20"/>
          <w:color w:val="auto"/>
        </w:rPr>
      </w:pPr>
    </w:p>
    <w:p>
      <w:pPr>
        <w:ind w:right="700" w:firstLine="921"/>
        <w:spacing w:after="0" w:line="277" w:lineRule="auto"/>
        <w:tabs>
          <w:tab w:leader="none" w:pos="1128"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[As of the Borrowing Date (both before and after giving effect to the Loan hereunder and the application of proceeds therefrom), the aggregate amount of the Unused Total Revolving Commitment shall not be less than zero.]</w:t>
      </w:r>
      <w:r>
        <w:rPr>
          <w:rFonts w:ascii="Arial" w:cs="Arial" w:eastAsia="Arial" w:hAnsi="Arial"/>
          <w:sz w:val="15"/>
          <w:szCs w:val="15"/>
          <w:color w:val="auto"/>
        </w:rPr>
        <w:t>3</w:t>
      </w:r>
    </w:p>
    <w:p>
      <w:pPr>
        <w:spacing w:after="0" w:line="170" w:lineRule="exact"/>
        <w:rPr>
          <w:rFonts w:ascii="Arial" w:cs="Arial" w:eastAsia="Arial" w:hAnsi="Arial"/>
          <w:sz w:val="18"/>
          <w:szCs w:val="18"/>
          <w:color w:val="auto"/>
        </w:rPr>
      </w:pPr>
    </w:p>
    <w:p>
      <w:pPr>
        <w:ind w:firstLine="921"/>
        <w:spacing w:after="0" w:line="254" w:lineRule="auto"/>
        <w:tabs>
          <w:tab w:leader="none" w:pos="1178"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As of the Borrowing Date (both before and after giving effect to the Loan hereunder and the application of proceeds therefrom), all representations and warranties contained in the Credit Agreement and the other Loan Documents (other than the representations and warranties set forth in Sections 3.05(b), 3.06, 3.09(a) and 3.19) shall be true and correct in all material respects on and as of such Borrowing Date with the same effect as if made on and as of such Borrowing Date, except to the extent such representations and warranties expressly relate to an earlier date and in such case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such Loan hereunder.</w:t>
      </w:r>
    </w:p>
    <w:p>
      <w:pPr>
        <w:spacing w:after="0" w:line="192" w:lineRule="exact"/>
        <w:rPr>
          <w:rFonts w:ascii="Arial" w:cs="Arial" w:eastAsia="Arial" w:hAnsi="Arial"/>
          <w:sz w:val="18"/>
          <w:szCs w:val="18"/>
          <w:color w:val="auto"/>
        </w:rPr>
      </w:pPr>
    </w:p>
    <w:p>
      <w:pPr>
        <w:ind w:left="1240" w:hanging="319"/>
        <w:spacing w:after="0"/>
        <w:tabs>
          <w:tab w:leader="none" w:pos="12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On the Borrowing Date, no [Default or Event of Default]</w:t>
      </w:r>
      <w:r>
        <w:rPr>
          <w:rFonts w:ascii="Arial" w:cs="Arial" w:eastAsia="Arial" w:hAnsi="Arial"/>
          <w:sz w:val="15"/>
          <w:szCs w:val="15"/>
          <w:color w:val="auto"/>
        </w:rPr>
        <w:t>4</w:t>
      </w:r>
      <w:r>
        <w:rPr>
          <w:rFonts w:ascii="Arial" w:cs="Arial" w:eastAsia="Arial" w:hAnsi="Arial"/>
          <w:sz w:val="18"/>
          <w:szCs w:val="18"/>
          <w:color w:val="auto"/>
        </w:rPr>
        <w:t xml:space="preserve"> [(x) Default with respect to Section 7.01(b), (e), (f) or (g) or (y) Event of</w:t>
      </w:r>
    </w:p>
    <w:p>
      <w:pPr>
        <w:spacing w:after="0" w:line="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Default]</w:t>
      </w:r>
      <w:r>
        <w:rPr>
          <w:rFonts w:ascii="Arial" w:cs="Arial" w:eastAsia="Arial" w:hAnsi="Arial"/>
          <w:sz w:val="15"/>
          <w:szCs w:val="15"/>
          <w:color w:val="auto"/>
        </w:rPr>
        <w:t>5</w:t>
      </w:r>
      <w:r>
        <w:rPr>
          <w:rFonts w:ascii="Arial" w:cs="Arial" w:eastAsia="Arial" w:hAnsi="Arial"/>
          <w:sz w:val="18"/>
          <w:szCs w:val="18"/>
          <w:color w:val="auto"/>
        </w:rPr>
        <w:t xml:space="preserve"> shall have occurred and be continuing nor shall any [such]</w:t>
      </w:r>
      <w:r>
        <w:rPr>
          <w:rFonts w:ascii="Arial" w:cs="Arial" w:eastAsia="Arial" w:hAnsi="Arial"/>
          <w:sz w:val="15"/>
          <w:szCs w:val="15"/>
          <w:color w:val="auto"/>
        </w:rPr>
        <w:t>6</w:t>
      </w:r>
      <w:r>
        <w:rPr>
          <w:rFonts w:ascii="Arial" w:cs="Arial" w:eastAsia="Arial" w:hAnsi="Arial"/>
          <w:sz w:val="18"/>
          <w:szCs w:val="18"/>
          <w:color w:val="auto"/>
        </w:rPr>
        <w:t xml:space="preserve"> Default or any Event of Default, as the case may be, occur by reason of the making of the requested Borrowing and the application of proceeds thereof.</w:t>
      </w:r>
    </w:p>
    <w:p>
      <w:pPr>
        <w:spacing w:after="0" w:line="183" w:lineRule="exact"/>
        <w:rPr>
          <w:sz w:val="20"/>
          <w:szCs w:val="20"/>
          <w:color w:val="auto"/>
        </w:rPr>
      </w:pPr>
    </w:p>
    <w:p>
      <w:pPr>
        <w:ind w:right="360" w:firstLine="921"/>
        <w:spacing w:after="0" w:line="259" w:lineRule="auto"/>
        <w:tabs>
          <w:tab w:leader="none" w:pos="1218"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As of the Borrowing Date, the opinion of the independent public accountants (after giving effect to any reissuance or revision of such opinion) on the most recent audited consolidated financial statements delivered by Parent pursuant to Section 5.01(a) does not include a “going concern” qualification under GAAP as in effect on the date of the Credit Agreement or, if there is a change in the relevant provisions of GAAP thereafter, any like qualification or exception under GAAP after giving effect to such change.</w:t>
      </w:r>
    </w:p>
    <w:p>
      <w:pPr>
        <w:spacing w:after="0" w:line="187" w:lineRule="exact"/>
        <w:rPr>
          <w:sz w:val="20"/>
          <w:szCs w:val="20"/>
          <w:color w:val="auto"/>
        </w:rPr>
      </w:pPr>
    </w:p>
    <w:p>
      <w:pPr>
        <w:ind w:right="100" w:firstLine="921"/>
        <w:spacing w:after="0" w:line="277" w:lineRule="auto"/>
        <w:tabs>
          <w:tab w:leader="none" w:pos="1218" w:val="left"/>
        </w:tabs>
        <w:numPr>
          <w:ilvl w:val="0"/>
          <w:numId w:val="388"/>
        </w:numPr>
        <w:rPr>
          <w:rFonts w:ascii="Arial" w:cs="Arial" w:eastAsia="Arial" w:hAnsi="Arial"/>
          <w:sz w:val="18"/>
          <w:szCs w:val="18"/>
          <w:color w:val="auto"/>
        </w:rPr>
      </w:pPr>
      <w:r>
        <w:rPr>
          <w:rFonts w:ascii="Arial" w:cs="Arial" w:eastAsia="Arial" w:hAnsi="Arial"/>
          <w:sz w:val="18"/>
          <w:szCs w:val="18"/>
          <w:color w:val="auto"/>
        </w:rPr>
        <w:t>On the Borrowing Date (and after giving pro forma effect to such Loan hereunder and the application of proceeds therefrom), the Collateral Coverage Ratio shall not be less than 1.6 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hanging="212"/>
        <w:spacing w:after="0"/>
        <w:tabs>
          <w:tab w:leader="none" w:pos="220" w:val="left"/>
        </w:tabs>
        <w:numPr>
          <w:ilvl w:val="0"/>
          <w:numId w:val="389"/>
        </w:numPr>
        <w:rPr>
          <w:rFonts w:ascii="Arial" w:cs="Arial" w:eastAsia="Arial" w:hAnsi="Arial"/>
          <w:sz w:val="15"/>
          <w:szCs w:val="15"/>
          <w:color w:val="auto"/>
        </w:rPr>
      </w:pPr>
      <w:r>
        <w:rPr>
          <w:rFonts w:ascii="Arial" w:cs="Arial" w:eastAsia="Arial" w:hAnsi="Arial"/>
          <w:sz w:val="18"/>
          <w:szCs w:val="18"/>
          <w:color w:val="auto"/>
        </w:rPr>
        <w:t>To be inserted in Loan Requests for Revolving Loans only.</w:t>
      </w:r>
    </w:p>
    <w:p>
      <w:pPr>
        <w:spacing w:after="0" w:line="22" w:lineRule="exact"/>
        <w:rPr>
          <w:sz w:val="20"/>
          <w:szCs w:val="20"/>
          <w:color w:val="auto"/>
        </w:rPr>
      </w:pPr>
    </w:p>
    <w:p>
      <w:pPr>
        <w:ind w:left="220" w:hanging="212"/>
        <w:spacing w:after="0"/>
        <w:tabs>
          <w:tab w:leader="none" w:pos="220" w:val="left"/>
        </w:tabs>
        <w:numPr>
          <w:ilvl w:val="0"/>
          <w:numId w:val="390"/>
        </w:numPr>
        <w:rPr>
          <w:rFonts w:ascii="Arial" w:cs="Arial" w:eastAsia="Arial" w:hAnsi="Arial"/>
          <w:sz w:val="15"/>
          <w:szCs w:val="15"/>
          <w:color w:val="auto"/>
        </w:rPr>
      </w:pPr>
      <w:r>
        <w:rPr>
          <w:rFonts w:ascii="Arial" w:cs="Arial" w:eastAsia="Arial" w:hAnsi="Arial"/>
          <w:sz w:val="18"/>
          <w:szCs w:val="18"/>
          <w:color w:val="auto"/>
        </w:rPr>
        <w:t>To be inserted in Loan Requests for Loans to be made on the Closing Date.</w:t>
      </w:r>
    </w:p>
    <w:p>
      <w:pPr>
        <w:spacing w:after="0" w:line="9" w:lineRule="exact"/>
        <w:rPr>
          <w:sz w:val="20"/>
          <w:szCs w:val="20"/>
          <w:color w:val="auto"/>
        </w:rPr>
      </w:pPr>
    </w:p>
    <w:p>
      <w:pPr>
        <w:ind w:left="220" w:hanging="212"/>
        <w:spacing w:after="0"/>
        <w:tabs>
          <w:tab w:leader="none" w:pos="220" w:val="left"/>
        </w:tabs>
        <w:numPr>
          <w:ilvl w:val="0"/>
          <w:numId w:val="391"/>
        </w:numPr>
        <w:rPr>
          <w:rFonts w:ascii="Arial" w:cs="Arial" w:eastAsia="Arial" w:hAnsi="Arial"/>
          <w:sz w:val="15"/>
          <w:szCs w:val="15"/>
          <w:color w:val="auto"/>
        </w:rPr>
      </w:pPr>
      <w:r>
        <w:rPr>
          <w:rFonts w:ascii="Arial" w:cs="Arial" w:eastAsia="Arial" w:hAnsi="Arial"/>
          <w:sz w:val="18"/>
          <w:szCs w:val="18"/>
          <w:color w:val="auto"/>
        </w:rPr>
        <w:t>To be inserted in Loan Requests for Loans to be made after the Closing Date.</w:t>
      </w:r>
    </w:p>
    <w:p>
      <w:pPr>
        <w:spacing w:after="0" w:line="9" w:lineRule="exact"/>
        <w:rPr>
          <w:sz w:val="20"/>
          <w:szCs w:val="20"/>
          <w:color w:val="auto"/>
        </w:rPr>
      </w:pPr>
    </w:p>
    <w:p>
      <w:pPr>
        <w:jc w:val="right"/>
        <w:ind w:left="5580" w:right="5540" w:hanging="5572"/>
        <w:spacing w:after="0" w:line="519" w:lineRule="auto"/>
        <w:tabs>
          <w:tab w:leader="none" w:pos="220" w:val="left"/>
        </w:tabs>
        <w:numPr>
          <w:ilvl w:val="0"/>
          <w:numId w:val="392"/>
        </w:numPr>
        <w:rPr>
          <w:rFonts w:ascii="Arial" w:cs="Arial" w:eastAsia="Arial" w:hAnsi="Arial"/>
          <w:sz w:val="14"/>
          <w:szCs w:val="14"/>
          <w:color w:val="auto"/>
        </w:rPr>
      </w:pPr>
      <w:r>
        <w:rPr>
          <w:rFonts w:ascii="Arial" w:cs="Arial" w:eastAsia="Arial" w:hAnsi="Arial"/>
          <w:sz w:val="16"/>
          <w:szCs w:val="16"/>
          <w:color w:val="auto"/>
        </w:rPr>
        <w:t>To be inserted in Loan Requests for Loans to be made after the Closing Date. E-2</w:t>
      </w:r>
    </w:p>
    <w:p>
      <w:pPr>
        <w:sectPr>
          <w:pgSz w:w="11900" w:h="16838" w:orient="portrait"/>
          <w:cols w:equalWidth="0" w:num="1">
            <w:col w:w="11380"/>
          </w:cols>
          <w:pgMar w:left="240" w:top="274" w:right="279" w:bottom="1440" w:gutter="0" w:footer="0" w:header="0"/>
        </w:sectPr>
      </w:pPr>
    </w:p>
    <w:bookmarkStart w:id="358" w:name="page359"/>
    <w:bookmarkEnd w:id="358"/>
    <w:p>
      <w:pPr>
        <w:spacing w:after="0"/>
        <w:tabs>
          <w:tab w:leader="none" w:pos="960" w:val="left"/>
          <w:tab w:leader="none" w:pos="5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AMERICAN AIRLINES,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0219"/>
          </w:cols>
          <w:pgMar w:left="240" w:top="274" w:right="1440"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CREDIT REQUEST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Credit and Guaranty Agreement, dated as of April [29], 2016 (as may be amended, restated, amended and restated, supplemented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American Airlines,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American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Airlines Group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the other Subsidiaries of Parent from time to time party thereto other than the Borrower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Barclays Bank PLC,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as collateral agent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and as issuing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Issuing Lender</w:t>
      </w:r>
      <w:r>
        <w:rPr>
          <w:rFonts w:ascii="Arial" w:cs="Arial" w:eastAsia="Arial" w:hAnsi="Arial"/>
          <w:sz w:val="16"/>
          <w:szCs w:val="16"/>
          <w:color w:val="auto"/>
        </w:rPr>
        <w:t>”), and the Lenders party thereto from time to time. Capitalized terms used herein and not otherwise defined herein have the meanings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assigned to such terms in the Credit Agreement.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2.02 of the Credit Agreement, the Company desires a Letter of Credit to be [issued] [amended] [renewed] [extended] in accordance</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with the terms and conditions of the Credit Agreement on , 20 (which shall be a Business Day) (the </w:t>
      </w:r>
      <w:r>
        <w:rPr>
          <w:rFonts w:ascii="Arial" w:cs="Arial" w:eastAsia="Arial" w:hAnsi="Arial"/>
          <w:sz w:val="18"/>
          <w:szCs w:val="18"/>
          <w:b w:val="1"/>
          <w:bCs w:val="1"/>
          <w:color w:val="auto"/>
        </w:rPr>
        <w:t>“</w:t>
      </w:r>
      <w:r>
        <w:rPr>
          <w:rFonts w:ascii="Arial" w:cs="Arial" w:eastAsia="Arial" w:hAnsi="Arial"/>
          <w:sz w:val="18"/>
          <w:szCs w:val="18"/>
          <w:u w:val="single" w:color="auto"/>
          <w:color w:val="auto"/>
        </w:rPr>
        <w:t>Borrowing Date</w:t>
      </w:r>
      <w:r>
        <w:rPr>
          <w:rFonts w:ascii="Arial" w:cs="Arial" w:eastAsia="Arial" w:hAnsi="Arial"/>
          <w:sz w:val="18"/>
          <w:szCs w:val="18"/>
          <w:b w:val="1"/>
          <w:bCs w:val="1"/>
          <w:color w:val="auto"/>
        </w:rPr>
        <w:t>”</w:t>
      </w:r>
      <w:r>
        <w:rPr>
          <w:rFonts w:ascii="Arial" w:cs="Arial" w:eastAsia="Arial" w:hAnsi="Arial"/>
          <w:sz w:val="18"/>
          <w:szCs w:val="18"/>
          <w:color w:val="auto"/>
        </w:rPr>
        <w:t>) in an aggregate face amount of $</w:t>
      </w:r>
      <w:r>
        <w:rPr>
          <w:rFonts w:ascii="Arial" w:cs="Arial" w:eastAsia="Arial" w:hAnsi="Arial"/>
          <w:sz w:val="18"/>
          <w:szCs w:val="18"/>
          <w:b w:val="1"/>
          <w:bCs w:val="1"/>
          <w:color w:val="auto"/>
        </w:rPr>
        <w:t>[</w:t>
      </w:r>
      <w:r>
        <w:rPr>
          <w:rFonts w:ascii="Arial" w:cs="Arial" w:eastAsia="Arial" w:hAnsi="Arial"/>
          <w:sz w:val="18"/>
          <w:szCs w:val="18"/>
          <w:color w:val="auto"/>
        </w:rPr>
        <w:t xml:space="preserve"> , ,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Attached hereto for each such Letter of Credit are the following:</w:t>
      </w:r>
    </w:p>
    <w:p>
      <w:pPr>
        <w:spacing w:after="0" w:line="117" w:lineRule="exact"/>
        <w:rPr>
          <w:sz w:val="20"/>
          <w:szCs w:val="20"/>
          <w:color w:val="auto"/>
        </w:rPr>
      </w:pPr>
    </w:p>
    <w:p>
      <w:pPr>
        <w:ind w:left="1080" w:hanging="177"/>
        <w:spacing w:after="0"/>
        <w:tabs>
          <w:tab w:leader="none" w:pos="10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stated amount of such Letter of Credit;</w:t>
      </w:r>
    </w:p>
    <w:p>
      <w:pPr>
        <w:spacing w:after="0" w:line="117" w:lineRule="exact"/>
        <w:rPr>
          <w:rFonts w:ascii="Arial" w:cs="Arial" w:eastAsia="Arial" w:hAnsi="Arial"/>
          <w:sz w:val="18"/>
          <w:szCs w:val="18"/>
          <w:color w:val="auto"/>
        </w:rPr>
      </w:pPr>
    </w:p>
    <w:p>
      <w:pPr>
        <w:ind w:left="1080" w:hanging="177"/>
        <w:spacing w:after="0"/>
        <w:tabs>
          <w:tab w:leader="none" w:pos="10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name and address of the beneficiary; [and]</w:t>
      </w:r>
    </w:p>
    <w:p>
      <w:pPr>
        <w:spacing w:after="0" w:line="117" w:lineRule="exact"/>
        <w:rPr>
          <w:rFonts w:ascii="Arial" w:cs="Arial" w:eastAsia="Arial" w:hAnsi="Arial"/>
          <w:sz w:val="18"/>
          <w:szCs w:val="18"/>
          <w:color w:val="auto"/>
        </w:rPr>
      </w:pPr>
    </w:p>
    <w:p>
      <w:pPr>
        <w:ind w:left="1080" w:hanging="177"/>
        <w:spacing w:after="0"/>
        <w:tabs>
          <w:tab w:leader="none" w:pos="10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expiration date [; and]</w:t>
      </w:r>
    </w:p>
    <w:p>
      <w:pPr>
        <w:spacing w:after="0" w:line="117" w:lineRule="exact"/>
        <w:rPr>
          <w:rFonts w:ascii="Arial" w:cs="Arial" w:eastAsia="Arial" w:hAnsi="Arial"/>
          <w:sz w:val="18"/>
          <w:szCs w:val="18"/>
          <w:color w:val="auto"/>
        </w:rPr>
      </w:pPr>
    </w:p>
    <w:p>
      <w:pPr>
        <w:ind w:left="1080" w:hanging="177"/>
        <w:spacing w:after="0"/>
        <w:tabs>
          <w:tab w:leader="none" w:pos="10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[Insert such other information as may be relevant to prepare, amend, renew or extend the Letter of Credit].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hereby certifies that:</w:t>
      </w:r>
    </w:p>
    <w:p>
      <w:pPr>
        <w:spacing w:after="0" w:line="225" w:lineRule="exact"/>
        <w:rPr>
          <w:sz w:val="20"/>
          <w:szCs w:val="20"/>
          <w:color w:val="auto"/>
        </w:rPr>
      </w:pPr>
    </w:p>
    <w:p>
      <w:pPr>
        <w:ind w:right="240" w:firstLine="921"/>
        <w:spacing w:after="0" w:line="308" w:lineRule="auto"/>
        <w:tabs>
          <w:tab w:leader="none" w:pos="1128"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As of the Borrowing Date (both before and after giving effect to the issuance of such Letter of Credit hereunder), (x) the LC Exposure shall not exceed the LC Commitment and (y) the aggregate amount of the Unused Total Revolving Commitment shall not be less than zero.</w:t>
      </w:r>
    </w:p>
    <w:p>
      <w:pPr>
        <w:spacing w:after="0" w:line="146" w:lineRule="exact"/>
        <w:rPr>
          <w:rFonts w:ascii="Arial" w:cs="Arial" w:eastAsia="Arial" w:hAnsi="Arial"/>
          <w:sz w:val="17"/>
          <w:szCs w:val="17"/>
          <w:color w:val="auto"/>
        </w:rPr>
      </w:pPr>
    </w:p>
    <w:p>
      <w:pPr>
        <w:ind w:right="40" w:firstLine="921"/>
        <w:spacing w:after="0" w:line="254" w:lineRule="auto"/>
        <w:tabs>
          <w:tab w:leader="none" w:pos="117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As of the Borrowing Date (both before and after giving effect to the issuance of such Letter of Credit hereunder), all representations and warranties contained in the Credit Agreement and the other Loan Documents (other than the representations and warranties set forth in Sections 3.05(b), 3.06, 3.09(a) and 3.19) shall be true and correct in all material respects on and as of such Borrowing Date with the same effect as if made on and as of such Borrowing Date, except to the extent such representations and warranties expressly relate to an earlier date and in such case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the issuance of such Letter of Credit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360" w:name="page361"/>
    <w:bookmarkEnd w:id="360"/>
    <w:p>
      <w:pPr>
        <w:ind w:firstLine="921"/>
        <w:spacing w:after="0" w:line="264" w:lineRule="auto"/>
        <w:tabs>
          <w:tab w:leader="none" w:pos="1228" w:val="left"/>
        </w:tabs>
        <w:numPr>
          <w:ilvl w:val="0"/>
          <w:numId w:val="3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Borrowing Date, no [Default or Event of Default]</w:t>
      </w:r>
      <w:r>
        <w:rPr>
          <w:rFonts w:ascii="Arial" w:cs="Arial" w:eastAsia="Arial" w:hAnsi="Arial"/>
          <w:sz w:val="15"/>
          <w:szCs w:val="15"/>
          <w:color w:val="auto"/>
        </w:rPr>
        <w:t>1</w:t>
      </w:r>
      <w:r>
        <w:rPr>
          <w:rFonts w:ascii="Arial" w:cs="Arial" w:eastAsia="Arial" w:hAnsi="Arial"/>
          <w:sz w:val="18"/>
          <w:szCs w:val="18"/>
          <w:color w:val="auto"/>
        </w:rPr>
        <w:t xml:space="preserve"> [(x) Default with respect to Section 7.01(b), (e), (f) or (g) or (y) Event of Default]</w:t>
      </w:r>
      <w:r>
        <w:rPr>
          <w:rFonts w:ascii="Arial" w:cs="Arial" w:eastAsia="Arial" w:hAnsi="Arial"/>
          <w:sz w:val="15"/>
          <w:szCs w:val="15"/>
          <w:color w:val="auto"/>
        </w:rPr>
        <w:t>2</w:t>
      </w:r>
      <w:r>
        <w:rPr>
          <w:rFonts w:ascii="Arial" w:cs="Arial" w:eastAsia="Arial" w:hAnsi="Arial"/>
          <w:sz w:val="18"/>
          <w:szCs w:val="18"/>
          <w:color w:val="auto"/>
        </w:rPr>
        <w:t xml:space="preserve"> shall have occurred and be continuing nor shall any [such]</w:t>
      </w:r>
      <w:r>
        <w:rPr>
          <w:rFonts w:ascii="Arial" w:cs="Arial" w:eastAsia="Arial" w:hAnsi="Arial"/>
          <w:sz w:val="15"/>
          <w:szCs w:val="15"/>
          <w:color w:val="auto"/>
        </w:rPr>
        <w:t>3</w:t>
      </w:r>
      <w:r>
        <w:rPr>
          <w:rFonts w:ascii="Arial" w:cs="Arial" w:eastAsia="Arial" w:hAnsi="Arial"/>
          <w:sz w:val="18"/>
          <w:szCs w:val="18"/>
          <w:color w:val="auto"/>
        </w:rPr>
        <w:t xml:space="preserve"> Default or any Event of Default, as the case may be, occur by reason of the issuance of such Letter of Credit hereunder.</w:t>
      </w:r>
    </w:p>
    <w:p>
      <w:pPr>
        <w:spacing w:after="0" w:line="181" w:lineRule="exact"/>
        <w:rPr>
          <w:rFonts w:ascii="Arial" w:cs="Arial" w:eastAsia="Arial" w:hAnsi="Arial"/>
          <w:sz w:val="18"/>
          <w:szCs w:val="18"/>
          <w:color w:val="auto"/>
        </w:rPr>
      </w:pPr>
    </w:p>
    <w:p>
      <w:pPr>
        <w:ind w:right="20" w:firstLine="921"/>
        <w:spacing w:after="0" w:line="277" w:lineRule="auto"/>
        <w:tabs>
          <w:tab w:leader="none" w:pos="121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On the Borrowing Date (and after giving pro forma effect to the issuance of such Letter of Credit hereunder), the Collateral Coverage Ratio shall not be less than 1.6 to 1.0.</w:t>
      </w:r>
    </w:p>
    <w:p>
      <w:pPr>
        <w:spacing w:after="0" w:line="170" w:lineRule="exact"/>
        <w:rPr>
          <w:rFonts w:ascii="Arial" w:cs="Arial" w:eastAsia="Arial" w:hAnsi="Arial"/>
          <w:sz w:val="18"/>
          <w:szCs w:val="18"/>
          <w:color w:val="auto"/>
        </w:rPr>
      </w:pPr>
    </w:p>
    <w:p>
      <w:pPr>
        <w:ind w:right="280" w:firstLine="921"/>
        <w:spacing w:after="0" w:line="259" w:lineRule="auto"/>
        <w:tabs>
          <w:tab w:leader="none" w:pos="116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As of the Borrowing Date, the opinion of the independent public accountants (after giving effect to any reissuance or revision of such opinion) on the most recent audited consolidated financial statements delivered by Parent pursuant to Section 5.01(a) does not include a “going concern” qualification under GAAP as in effect on the date of the Credit Agreement or, if there is a change in the relevant provisions of GAAP thereafter, any like qualification or exception under GAAP after giving effect to such change.</w:t>
      </w:r>
    </w:p>
    <w:p>
      <w:pPr>
        <w:spacing w:after="0" w:line="214" w:lineRule="exact"/>
        <w:rPr>
          <w:sz w:val="20"/>
          <w:szCs w:val="20"/>
          <w:color w:val="auto"/>
        </w:rPr>
      </w:pPr>
    </w:p>
    <w:p>
      <w:pPr>
        <w:spacing w:after="0"/>
        <w:tabs>
          <w:tab w:leader="none" w:pos="960" w:val="left"/>
          <w:tab w:leader="none" w:pos="5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AMERICAN AIRLINES,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220" w:hanging="212"/>
        <w:spacing w:after="0"/>
        <w:tabs>
          <w:tab w:leader="none" w:pos="220" w:val="left"/>
        </w:tabs>
        <w:numPr>
          <w:ilvl w:val="0"/>
          <w:numId w:val="396"/>
        </w:numPr>
        <w:rPr>
          <w:rFonts w:ascii="Arial" w:cs="Arial" w:eastAsia="Arial" w:hAnsi="Arial"/>
          <w:sz w:val="15"/>
          <w:szCs w:val="15"/>
          <w:color w:val="auto"/>
        </w:rPr>
      </w:pPr>
      <w:r>
        <w:rPr>
          <w:rFonts w:ascii="Arial" w:cs="Arial" w:eastAsia="Arial" w:hAnsi="Arial"/>
          <w:sz w:val="18"/>
          <w:szCs w:val="18"/>
          <w:color w:val="auto"/>
        </w:rPr>
        <w:t>To be inserted in Letter of Credit Requests for Letters of Credit to be issued on the Closing Date.</w:t>
      </w:r>
    </w:p>
    <w:p>
      <w:pPr>
        <w:spacing w:after="0" w:line="22" w:lineRule="exact"/>
        <w:rPr>
          <w:sz w:val="20"/>
          <w:szCs w:val="20"/>
          <w:color w:val="auto"/>
        </w:rPr>
      </w:pPr>
    </w:p>
    <w:p>
      <w:pPr>
        <w:ind w:left="220" w:hanging="212"/>
        <w:spacing w:after="0"/>
        <w:tabs>
          <w:tab w:leader="none" w:pos="220" w:val="left"/>
        </w:tabs>
        <w:numPr>
          <w:ilvl w:val="0"/>
          <w:numId w:val="397"/>
        </w:numPr>
        <w:rPr>
          <w:rFonts w:ascii="Arial" w:cs="Arial" w:eastAsia="Arial" w:hAnsi="Arial"/>
          <w:sz w:val="15"/>
          <w:szCs w:val="15"/>
          <w:color w:val="auto"/>
        </w:rPr>
      </w:pPr>
      <w:r>
        <w:rPr>
          <w:rFonts w:ascii="Arial" w:cs="Arial" w:eastAsia="Arial" w:hAnsi="Arial"/>
          <w:sz w:val="18"/>
          <w:szCs w:val="18"/>
          <w:color w:val="auto"/>
        </w:rPr>
        <w:t>To be inserted in Letter of Credit Requests for Letters of Credit to be issued after the Closing Date.</w:t>
      </w:r>
    </w:p>
    <w:p>
      <w:pPr>
        <w:spacing w:after="0" w:line="9" w:lineRule="exact"/>
        <w:rPr>
          <w:sz w:val="20"/>
          <w:szCs w:val="20"/>
          <w:color w:val="auto"/>
        </w:rPr>
      </w:pPr>
    </w:p>
    <w:p>
      <w:pPr>
        <w:ind w:left="5580" w:right="3960" w:hanging="5572"/>
        <w:spacing w:after="0" w:line="434" w:lineRule="auto"/>
        <w:tabs>
          <w:tab w:leader="none" w:pos="215" w:val="left"/>
        </w:tabs>
        <w:numPr>
          <w:ilvl w:val="0"/>
          <w:numId w:val="398"/>
        </w:numPr>
        <w:rPr>
          <w:rFonts w:ascii="Arial" w:cs="Arial" w:eastAsia="Arial" w:hAnsi="Arial"/>
          <w:sz w:val="15"/>
          <w:szCs w:val="15"/>
          <w:color w:val="auto"/>
        </w:rPr>
      </w:pPr>
      <w:r>
        <w:rPr>
          <w:rFonts w:ascii="Arial" w:cs="Arial" w:eastAsia="Arial" w:hAnsi="Arial"/>
          <w:sz w:val="18"/>
          <w:szCs w:val="18"/>
          <w:color w:val="auto"/>
        </w:rPr>
        <w:t>To be inserted in Letter of Credit Requests for Letters of Credit to be issued after the Closing Date. F-2</w:t>
      </w:r>
    </w:p>
    <w:p>
      <w:pPr>
        <w:sectPr>
          <w:pgSz w:w="11900" w:h="16838" w:orient="portrait"/>
          <w:cols w:equalWidth="0" w:num="1">
            <w:col w:w="11300"/>
          </w:cols>
          <w:pgMar w:left="240" w:top="273" w:right="35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ACCOUNT CONTROL AGREEMENT</w:t>
      </w:r>
    </w:p>
    <w:p>
      <w:pPr>
        <w:spacing w:after="0" w:line="229" w:lineRule="exact"/>
        <w:rPr>
          <w:sz w:val="20"/>
          <w:szCs w:val="20"/>
          <w:color w:val="auto"/>
        </w:rPr>
      </w:pPr>
    </w:p>
    <w:p>
      <w:pPr>
        <w:ind w:left="460"/>
        <w:spacing w:after="0"/>
        <w:tabs>
          <w:tab w:leader="none" w:pos="6020" w:val="left"/>
          <w:tab w:leader="none" w:pos="6500" w:val="left"/>
        </w:tabs>
        <w:rPr>
          <w:sz w:val="20"/>
          <w:szCs w:val="20"/>
          <w:color w:val="auto"/>
        </w:rPr>
      </w:pPr>
      <w:r>
        <w:rPr>
          <w:rFonts w:ascii="Arial" w:cs="Arial" w:eastAsia="Arial" w:hAnsi="Arial"/>
          <w:sz w:val="18"/>
          <w:szCs w:val="18"/>
          <w:color w:val="auto"/>
        </w:rPr>
        <w:t>COLLATERAL ACCOUNT CONTROL AGREEMENT,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(as amended, amended and restated, supplemented or otherwise</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modified from time to time, this “</w:t>
      </w:r>
      <w:r>
        <w:rPr>
          <w:rFonts w:ascii="Arial" w:cs="Arial" w:eastAsia="Arial" w:hAnsi="Arial"/>
          <w:sz w:val="17"/>
          <w:szCs w:val="17"/>
          <w:b w:val="1"/>
          <w:bCs w:val="1"/>
          <w:color w:val="auto"/>
        </w:rPr>
        <w:t>Agreement</w:t>
      </w:r>
      <w:r>
        <w:rPr>
          <w:rFonts w:ascii="Arial" w:cs="Arial" w:eastAsia="Arial" w:hAnsi="Arial"/>
          <w:sz w:val="17"/>
          <w:szCs w:val="17"/>
          <w:color w:val="auto"/>
        </w:rPr>
        <w:t>”) among American Airlines, Inc. (the “</w:t>
      </w:r>
      <w:r>
        <w:rPr>
          <w:rFonts w:ascii="Arial" w:cs="Arial" w:eastAsia="Arial" w:hAnsi="Arial"/>
          <w:sz w:val="17"/>
          <w:szCs w:val="17"/>
          <w:b w:val="1"/>
          <w:bCs w:val="1"/>
          <w:color w:val="auto"/>
        </w:rPr>
        <w:t>Pledgor</w:t>
      </w:r>
      <w:r>
        <w:rPr>
          <w:rFonts w:ascii="Arial" w:cs="Arial" w:eastAsia="Arial" w:hAnsi="Arial"/>
          <w:sz w:val="17"/>
          <w:szCs w:val="17"/>
          <w:color w:val="auto"/>
        </w:rPr>
        <w:t>”), Barclays Bank PLC, as collateral agent (in such capacity, and together with its successors and permitted assigns (including, without limitation, any Senior Priority Representative (as defined in the Intercreditor Agreement)), the “</w:t>
      </w:r>
      <w:r>
        <w:rPr>
          <w:rFonts w:ascii="Arial" w:cs="Arial" w:eastAsia="Arial" w:hAnsi="Arial"/>
          <w:sz w:val="17"/>
          <w:szCs w:val="17"/>
          <w:b w:val="1"/>
          <w:bCs w:val="1"/>
          <w:color w:val="auto"/>
        </w:rPr>
        <w:t>Secured Party</w:t>
      </w:r>
      <w:r>
        <w:rPr>
          <w:rFonts w:ascii="Arial" w:cs="Arial" w:eastAsia="Arial" w:hAnsi="Arial"/>
          <w:sz w:val="17"/>
          <w:szCs w:val="17"/>
          <w:color w:val="auto"/>
        </w:rPr>
        <w:t>”) on behalf of the Secured Parties (as defined in the Credit Agreement defined below) and [ ● ]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Intermediary</w:t>
      </w:r>
      <w:r>
        <w:rPr>
          <w:rFonts w:ascii="Arial" w:cs="Arial" w:eastAsia="Arial" w:hAnsi="Arial"/>
          <w:sz w:val="17"/>
          <w:szCs w:val="17"/>
          <w:color w:val="auto"/>
        </w:rPr>
        <w:t>”). Except as otherwise defined herein, terms used herein and defined in the Credit Agreement shall be used herein as therein defined.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WHEREAS, (i) the Pledgor has agreed to pledge to the Secured Party the Account Collateral (as defined below) in order to secure the repayment of the Obligations under the Credit and Guaranty Agreement dated as of April [29], 2016, (the “</w:t>
      </w:r>
      <w:r>
        <w:rPr>
          <w:rFonts w:ascii="Arial" w:cs="Arial" w:eastAsia="Arial" w:hAnsi="Arial"/>
          <w:sz w:val="18"/>
          <w:szCs w:val="18"/>
          <w:b w:val="1"/>
          <w:bCs w:val="1"/>
          <w:color w:val="auto"/>
        </w:rPr>
        <w:t>Credit Agreement</w:t>
      </w:r>
      <w:r>
        <w:rPr>
          <w:rFonts w:ascii="Arial" w:cs="Arial" w:eastAsia="Arial" w:hAnsi="Arial"/>
          <w:sz w:val="18"/>
          <w:szCs w:val="18"/>
          <w:color w:val="auto"/>
        </w:rPr>
        <w:t>”), by and among Barclays Bank PLC, in its capacity as administrative agent (in such capacity, and together with its successors and permitted assigns,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and Secured Party, the Pledgor, American Airlines Group Inc. (the “</w:t>
      </w:r>
      <w:r>
        <w:rPr>
          <w:rFonts w:ascii="Arial" w:cs="Arial" w:eastAsia="Arial" w:hAnsi="Arial"/>
          <w:sz w:val="18"/>
          <w:szCs w:val="18"/>
          <w:b w:val="1"/>
          <w:bCs w:val="1"/>
          <w:color w:val="auto"/>
        </w:rPr>
        <w:t>Parent</w:t>
      </w:r>
      <w:r>
        <w:rPr>
          <w:rFonts w:ascii="Arial" w:cs="Arial" w:eastAsia="Arial" w:hAnsi="Arial"/>
          <w:sz w:val="18"/>
          <w:szCs w:val="18"/>
          <w:color w:val="auto"/>
        </w:rPr>
        <w:t>”), the Subsidiaries of the Parent from time to time party thereto as Guarantors and the lenders from time to time party thereto;</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the Secured Party and the Pledgor have requested the Securities Intermediary to hold the Account Collateral and to perform certain other functions as more fully described herein;</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WHEREAS, the Securities Intermediary has agreed to act on behalf of the Secured Party, the Pledgor and one or more Additional Secured Parties (as defined below), if any, in respect of the Account Collateral (as defined below) delivered to the Securities Intermediary by the Pledgor for the benefit of the Secured Party and any Additional Secured Party, subject to the terms hereof; and</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WHEREAS, the Secured Party and one or more additional agents may in the future enter into one or more Intercreditor Agreements and/or Other Intercreditor Agreements;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set forth hereafter,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used in this Agreement, the following words shall have the meanings set forth below:</w:t>
      </w:r>
    </w:p>
    <w:p>
      <w:pPr>
        <w:spacing w:after="0" w:line="221" w:lineRule="exact"/>
        <w:rPr>
          <w:sz w:val="20"/>
          <w:szCs w:val="20"/>
          <w:color w:val="auto"/>
        </w:rPr>
      </w:pPr>
    </w:p>
    <w:p>
      <w:pPr>
        <w:ind w:right="180" w:firstLine="464"/>
        <w:spacing w:after="0" w:line="282" w:lineRule="auto"/>
        <w:tabs>
          <w:tab w:leader="none" w:pos="63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shall mean the custodial account established and maintained pursuant to this Agreement in which Account Collateral shall be deposited by the Pledgor and pledged to the Secured Party.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274" w:right="239" w:bottom="1440" w:gutter="0" w:footer="0" w:header="0"/>
        </w:sectPr>
      </w:pPr>
    </w:p>
    <w:bookmarkStart w:id="362" w:name="page363"/>
    <w:bookmarkEnd w:id="362"/>
    <w:p>
      <w:pPr>
        <w:ind w:left="-60" w:right="240" w:firstLine="464"/>
        <w:spacing w:after="0" w:line="282" w:lineRule="auto"/>
        <w:tabs>
          <w:tab w:leader="none" w:pos="576" w:val="left"/>
        </w:tabs>
        <w:numPr>
          <w:ilvl w:val="0"/>
          <w:numId w:val="4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Account Collateral</w:t>
      </w:r>
      <w:r>
        <w:rPr>
          <w:rFonts w:ascii="Arial" w:cs="Arial" w:eastAsia="Arial" w:hAnsi="Arial"/>
          <w:sz w:val="18"/>
          <w:szCs w:val="18"/>
          <w:color w:val="auto"/>
        </w:rPr>
        <w:t>” shall mean each Account and all cash, checks, money orders and other items of value of the Pledgor now or hereafter paid, deposited, credited or held (whether for collection, provisionally or otherwise) in each Account.</w:t>
      </w:r>
    </w:p>
    <w:p>
      <w:pPr>
        <w:spacing w:after="0" w:line="161" w:lineRule="exact"/>
        <w:rPr>
          <w:rFonts w:ascii="Arial" w:cs="Arial" w:eastAsia="Arial" w:hAnsi="Arial"/>
          <w:sz w:val="18"/>
          <w:szCs w:val="18"/>
          <w:color w:val="auto"/>
        </w:rPr>
      </w:pPr>
    </w:p>
    <w:p>
      <w:pPr>
        <w:ind w:left="-60" w:firstLine="464"/>
        <w:spacing w:after="0" w:line="289" w:lineRule="auto"/>
        <w:tabs>
          <w:tab w:leader="none" w:pos="576" w:val="left"/>
        </w:tabs>
        <w:numPr>
          <w:ilvl w:val="0"/>
          <w:numId w:val="4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Agent</w:t>
      </w:r>
      <w:r>
        <w:rPr>
          <w:rFonts w:ascii="Arial" w:cs="Arial" w:eastAsia="Arial" w:hAnsi="Arial"/>
          <w:sz w:val="17"/>
          <w:szCs w:val="17"/>
          <w:color w:val="auto"/>
        </w:rPr>
        <w:t>” shall mean any one or more administrative agents, collateral agents, security agents, trustees or other representatives for or of any one or more Additional Credit Facility Secured Parties (as defined in the Intercreditor Agreement), and shall include any successor thereto, as well as any Person designated as an “Agent” under any Additional Credit Facility (as defined in the Intercreditor Agreement).</w:t>
      </w:r>
    </w:p>
    <w:p>
      <w:pPr>
        <w:spacing w:after="0" w:line="158" w:lineRule="exact"/>
        <w:rPr>
          <w:rFonts w:ascii="Arial" w:cs="Arial" w:eastAsia="Arial" w:hAnsi="Arial"/>
          <w:sz w:val="17"/>
          <w:szCs w:val="17"/>
          <w:color w:val="auto"/>
        </w:rPr>
      </w:pPr>
    </w:p>
    <w:p>
      <w:pPr>
        <w:ind w:left="-60" w:right="40" w:firstLine="464"/>
        <w:spacing w:after="0" w:line="266" w:lineRule="auto"/>
        <w:tabs>
          <w:tab w:leader="none" w:pos="57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Secured Party</w:t>
      </w:r>
      <w:r>
        <w:rPr>
          <w:rFonts w:ascii="Arial" w:cs="Arial" w:eastAsia="Arial" w:hAnsi="Arial"/>
          <w:sz w:val="18"/>
          <w:szCs w:val="18"/>
          <w:color w:val="auto"/>
        </w:rPr>
        <w:t>” shall mean either of (i) the Junior Priority Representative (as defined in the Intercreditor Agreement) or (ii) any trustee appointed pursuant to Section 8.01(d) of the Credit Agreement with respect to the Aircraft Security Agreement, in each case, upon entry by such party of an Additional Secured Party Joinder.</w:t>
      </w:r>
    </w:p>
    <w:p>
      <w:pPr>
        <w:spacing w:after="0" w:line="176" w:lineRule="exact"/>
        <w:rPr>
          <w:rFonts w:ascii="Arial" w:cs="Arial" w:eastAsia="Arial" w:hAnsi="Arial"/>
          <w:sz w:val="18"/>
          <w:szCs w:val="18"/>
          <w:color w:val="auto"/>
        </w:rPr>
      </w:pPr>
    </w:p>
    <w:p>
      <w:pPr>
        <w:ind w:left="-60" w:right="500" w:firstLine="464"/>
        <w:spacing w:after="0" w:line="282" w:lineRule="auto"/>
        <w:tabs>
          <w:tab w:leader="none" w:pos="57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Secured Party Joinder</w:t>
      </w:r>
      <w:r>
        <w:rPr>
          <w:rFonts w:ascii="Arial" w:cs="Arial" w:eastAsia="Arial" w:hAnsi="Arial"/>
          <w:sz w:val="18"/>
          <w:szCs w:val="18"/>
          <w:color w:val="auto"/>
        </w:rPr>
        <w:t>” shall mean the joinder in the form of Exhibit B hereto as may be executed by the parties hereto and any Additional Secured Party.</w:t>
      </w:r>
    </w:p>
    <w:p>
      <w:pPr>
        <w:spacing w:after="0" w:line="161" w:lineRule="exact"/>
        <w:rPr>
          <w:rFonts w:ascii="Arial" w:cs="Arial" w:eastAsia="Arial" w:hAnsi="Arial"/>
          <w:sz w:val="18"/>
          <w:szCs w:val="18"/>
          <w:color w:val="auto"/>
        </w:rPr>
      </w:pPr>
    </w:p>
    <w:p>
      <w:pPr>
        <w:ind w:left="580" w:hanging="176"/>
        <w:spacing w:after="0"/>
        <w:tabs>
          <w:tab w:leader="none" w:pos="5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shall have the meaning assigned to such term in the first recital.</w:t>
      </w:r>
    </w:p>
    <w:p>
      <w:pPr>
        <w:spacing w:after="0" w:line="225" w:lineRule="exact"/>
        <w:rPr>
          <w:rFonts w:ascii="Arial" w:cs="Arial" w:eastAsia="Arial" w:hAnsi="Arial"/>
          <w:sz w:val="18"/>
          <w:szCs w:val="18"/>
          <w:color w:val="auto"/>
        </w:rPr>
      </w:pPr>
    </w:p>
    <w:p>
      <w:pPr>
        <w:ind w:left="580" w:hanging="176"/>
        <w:spacing w:after="0"/>
        <w:tabs>
          <w:tab w:leader="none" w:pos="5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assigned to such term in the preamble.</w:t>
      </w:r>
    </w:p>
    <w:p>
      <w:pPr>
        <w:spacing w:after="0" w:line="225" w:lineRule="exact"/>
        <w:rPr>
          <w:rFonts w:ascii="Arial" w:cs="Arial" w:eastAsia="Arial" w:hAnsi="Arial"/>
          <w:sz w:val="18"/>
          <w:szCs w:val="18"/>
          <w:color w:val="auto"/>
        </w:rPr>
      </w:pPr>
    </w:p>
    <w:p>
      <w:pPr>
        <w:ind w:left="580" w:hanging="176"/>
        <w:spacing w:after="0"/>
        <w:tabs>
          <w:tab w:leader="none" w:pos="5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Security Agreement</w:t>
      </w:r>
      <w:r>
        <w:rPr>
          <w:rFonts w:ascii="Arial" w:cs="Arial" w:eastAsia="Arial" w:hAnsi="Arial"/>
          <w:sz w:val="18"/>
          <w:szCs w:val="18"/>
          <w:color w:val="auto"/>
        </w:rPr>
        <w:t>” shall have the meaning assigned to such term in the Credit Agreement.</w:t>
      </w:r>
    </w:p>
    <w:p>
      <w:pPr>
        <w:spacing w:after="0" w:line="225" w:lineRule="exact"/>
        <w:rPr>
          <w:rFonts w:ascii="Arial" w:cs="Arial" w:eastAsia="Arial" w:hAnsi="Arial"/>
          <w:sz w:val="18"/>
          <w:szCs w:val="18"/>
          <w:color w:val="auto"/>
        </w:rPr>
      </w:pPr>
    </w:p>
    <w:p>
      <w:pPr>
        <w:ind w:left="-60" w:firstLine="464"/>
        <w:spacing w:after="0" w:line="266" w:lineRule="auto"/>
        <w:tabs>
          <w:tab w:leader="none" w:pos="57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Person</w:t>
      </w:r>
      <w:r>
        <w:rPr>
          <w:rFonts w:ascii="Arial" w:cs="Arial" w:eastAsia="Arial" w:hAnsi="Arial"/>
          <w:sz w:val="18"/>
          <w:szCs w:val="18"/>
          <w:color w:val="auto"/>
        </w:rPr>
        <w:t>” shall be any person duly authorized by the Secured Party or the Pledgor, respectively, to give Written Instructions on behalf of the Secured Party or the Pledgor, respectively, such persons to be designated in a Certificate of Authorized Persons which contains a specimen signature of such person.</w:t>
      </w:r>
    </w:p>
    <w:p>
      <w:pPr>
        <w:spacing w:after="0" w:line="176" w:lineRule="exact"/>
        <w:rPr>
          <w:rFonts w:ascii="Arial" w:cs="Arial" w:eastAsia="Arial" w:hAnsi="Arial"/>
          <w:sz w:val="18"/>
          <w:szCs w:val="18"/>
          <w:color w:val="auto"/>
        </w:rPr>
      </w:pPr>
    </w:p>
    <w:p>
      <w:pPr>
        <w:ind w:left="680" w:hanging="276"/>
        <w:spacing w:after="0"/>
        <w:tabs>
          <w:tab w:leader="none" w:pos="6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Authorized Persons</w:t>
      </w:r>
      <w:r>
        <w:rPr>
          <w:rFonts w:ascii="Arial" w:cs="Arial" w:eastAsia="Arial" w:hAnsi="Arial"/>
          <w:sz w:val="18"/>
          <w:szCs w:val="18"/>
          <w:color w:val="auto"/>
        </w:rPr>
        <w:t>” shall mean a certificate in the form of Exhibit A attached hereto.</w:t>
      </w:r>
    </w:p>
    <w:p>
      <w:pPr>
        <w:spacing w:after="0" w:line="225" w:lineRule="exact"/>
        <w:rPr>
          <w:rFonts w:ascii="Arial" w:cs="Arial" w:eastAsia="Arial" w:hAnsi="Arial"/>
          <w:sz w:val="18"/>
          <w:szCs w:val="18"/>
          <w:color w:val="auto"/>
        </w:rPr>
      </w:pPr>
    </w:p>
    <w:p>
      <w:pPr>
        <w:ind w:left="660" w:hanging="256"/>
        <w:spacing w:after="0"/>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shall have the meaning assigned to such term in the first recital.</w:t>
      </w:r>
    </w:p>
    <w:p>
      <w:pPr>
        <w:spacing w:after="0" w:line="225" w:lineRule="exact"/>
        <w:rPr>
          <w:rFonts w:ascii="Arial" w:cs="Arial" w:eastAsia="Arial" w:hAnsi="Arial"/>
          <w:sz w:val="18"/>
          <w:szCs w:val="18"/>
          <w:color w:val="auto"/>
        </w:rPr>
      </w:pPr>
    </w:p>
    <w:p>
      <w:pPr>
        <w:ind w:left="-60" w:right="80" w:firstLine="464"/>
        <w:spacing w:after="0" w:line="266" w:lineRule="auto"/>
        <w:tabs>
          <w:tab w:leader="none" w:pos="66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Depository</w:t>
      </w:r>
      <w:r>
        <w:rPr>
          <w:rFonts w:ascii="Arial" w:cs="Arial" w:eastAsia="Arial" w:hAnsi="Arial"/>
          <w:sz w:val="18"/>
          <w:szCs w:val="18"/>
          <w:color w:val="auto"/>
        </w:rPr>
        <w:t>” shall mean the Treasury/Reserve Automated Debt Entry System maintained at The Federal Reserve Bank of New York for receiving and delivering securities, The Depository Trust Company and any other clearing corporation within the meaning of Section 8-102 of the UCC or otherwise authorized to act as a securities depository or clearing agency, and their respective successors and nominees.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320"/>
          </w:cols>
          <w:pgMar w:left="300" w:top="270" w:right="279" w:bottom="1440" w:gutter="0" w:footer="0" w:header="0"/>
        </w:sectPr>
      </w:pPr>
    </w:p>
    <w:bookmarkStart w:id="363" w:name="page364"/>
    <w:bookmarkEnd w:id="363"/>
    <w:p>
      <w:pPr>
        <w:ind w:left="660" w:hanging="276"/>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 shall have the meaning assigned to such term in the Credit Agreement.</w:t>
      </w:r>
    </w:p>
    <w:p>
      <w:pPr>
        <w:spacing w:after="0" w:line="225" w:lineRule="exact"/>
        <w:rPr>
          <w:rFonts w:ascii="Arial" w:cs="Arial" w:eastAsia="Arial" w:hAnsi="Arial"/>
          <w:sz w:val="18"/>
          <w:szCs w:val="18"/>
          <w:color w:val="auto"/>
        </w:rPr>
      </w:pPr>
    </w:p>
    <w:p>
      <w:pPr>
        <w:ind w:left="660" w:hanging="276"/>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have the meaning assigned to such term in Section 1 in Article IV.</w:t>
      </w:r>
    </w:p>
    <w:p>
      <w:pPr>
        <w:spacing w:after="0" w:line="225" w:lineRule="exact"/>
        <w:rPr>
          <w:rFonts w:ascii="Arial" w:cs="Arial" w:eastAsia="Arial" w:hAnsi="Arial"/>
          <w:sz w:val="18"/>
          <w:szCs w:val="18"/>
          <w:color w:val="auto"/>
        </w:rPr>
      </w:pPr>
    </w:p>
    <w:p>
      <w:pPr>
        <w:ind w:left="-80" w:right="400" w:firstLine="464"/>
        <w:spacing w:after="0" w:line="282" w:lineRule="auto"/>
        <w:tabs>
          <w:tab w:leader="none" w:pos="64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Exclusive Control</w:t>
      </w:r>
      <w:r>
        <w:rPr>
          <w:rFonts w:ascii="Arial" w:cs="Arial" w:eastAsia="Arial" w:hAnsi="Arial"/>
          <w:sz w:val="18"/>
          <w:szCs w:val="18"/>
          <w:color w:val="auto"/>
        </w:rPr>
        <w:t>” shall mean a written notice given by the Secured Party to the Securities Intermediary that the Secured Party is exercising sole and exclusive control of the Account Collateral, in the form of Annex A attached hereto.</w:t>
      </w:r>
    </w:p>
    <w:p>
      <w:pPr>
        <w:spacing w:after="0" w:line="161" w:lineRule="exact"/>
        <w:rPr>
          <w:rFonts w:ascii="Arial" w:cs="Arial" w:eastAsia="Arial" w:hAnsi="Arial"/>
          <w:sz w:val="18"/>
          <w:szCs w:val="18"/>
          <w:color w:val="auto"/>
        </w:rPr>
      </w:pPr>
    </w:p>
    <w:p>
      <w:pPr>
        <w:ind w:left="-80" w:right="640" w:firstLine="464"/>
        <w:spacing w:after="0" w:line="282" w:lineRule="auto"/>
        <w:tabs>
          <w:tab w:leader="none" w:pos="64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Intercreditor Agreement</w:t>
      </w:r>
      <w:r>
        <w:rPr>
          <w:rFonts w:ascii="Arial" w:cs="Arial" w:eastAsia="Arial" w:hAnsi="Arial"/>
          <w:sz w:val="18"/>
          <w:szCs w:val="18"/>
          <w:color w:val="auto"/>
        </w:rPr>
        <w:t>” means an intercreditor agreement in form and substance reasonably satisfactory to the Pledgor and the Administrative Agent.</w:t>
      </w:r>
    </w:p>
    <w:p>
      <w:pPr>
        <w:spacing w:after="0" w:line="161" w:lineRule="exact"/>
        <w:rPr>
          <w:rFonts w:ascii="Arial" w:cs="Arial" w:eastAsia="Arial" w:hAnsi="Arial"/>
          <w:sz w:val="18"/>
          <w:szCs w:val="18"/>
          <w:color w:val="auto"/>
        </w:rPr>
      </w:pPr>
    </w:p>
    <w:p>
      <w:pPr>
        <w:ind w:left="660" w:hanging="276"/>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shall have the meaning assigned to such term in the first recital.</w:t>
      </w:r>
    </w:p>
    <w:p>
      <w:pPr>
        <w:spacing w:after="0" w:line="225" w:lineRule="exact"/>
        <w:rPr>
          <w:rFonts w:ascii="Arial" w:cs="Arial" w:eastAsia="Arial" w:hAnsi="Arial"/>
          <w:sz w:val="18"/>
          <w:szCs w:val="18"/>
          <w:color w:val="auto"/>
        </w:rPr>
      </w:pPr>
    </w:p>
    <w:p>
      <w:pPr>
        <w:ind w:left="660" w:hanging="276"/>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have the meaning assigned to such term in the Credit Agreement.</w:t>
      </w:r>
    </w:p>
    <w:p>
      <w:pPr>
        <w:spacing w:after="0" w:line="225" w:lineRule="exact"/>
        <w:rPr>
          <w:rFonts w:ascii="Arial" w:cs="Arial" w:eastAsia="Arial" w:hAnsi="Arial"/>
          <w:sz w:val="18"/>
          <w:szCs w:val="18"/>
          <w:color w:val="auto"/>
        </w:rPr>
      </w:pPr>
    </w:p>
    <w:p>
      <w:pPr>
        <w:ind w:left="660" w:hanging="276"/>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Pledgor</w:t>
      </w:r>
      <w:r>
        <w:rPr>
          <w:rFonts w:ascii="Arial" w:cs="Arial" w:eastAsia="Arial" w:hAnsi="Arial"/>
          <w:sz w:val="18"/>
          <w:szCs w:val="18"/>
          <w:color w:val="auto"/>
        </w:rPr>
        <w:t>” shall have the meaning assigned to such term in the preamble.</w:t>
      </w:r>
    </w:p>
    <w:p>
      <w:pPr>
        <w:spacing w:after="0" w:line="225" w:lineRule="exact"/>
        <w:rPr>
          <w:rFonts w:ascii="Arial" w:cs="Arial" w:eastAsia="Arial" w:hAnsi="Arial"/>
          <w:sz w:val="18"/>
          <w:szCs w:val="18"/>
          <w:color w:val="auto"/>
        </w:rPr>
      </w:pPr>
    </w:p>
    <w:p>
      <w:pPr>
        <w:ind w:left="-80" w:right="440" w:firstLine="464"/>
        <w:spacing w:after="0" w:line="282" w:lineRule="auto"/>
        <w:tabs>
          <w:tab w:leader="none" w:pos="64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Rescission Notice</w:t>
      </w:r>
      <w:r>
        <w:rPr>
          <w:rFonts w:ascii="Arial" w:cs="Arial" w:eastAsia="Arial" w:hAnsi="Arial"/>
          <w:sz w:val="18"/>
          <w:szCs w:val="18"/>
          <w:color w:val="auto"/>
        </w:rPr>
        <w:t>” shall mean a written notice given by the Secured Party to the Securities Intermediary that the Secured Party is no longer exercising sole and exclusive control of the Account Collateral.</w:t>
      </w:r>
    </w:p>
    <w:p>
      <w:pPr>
        <w:spacing w:after="0" w:line="161" w:lineRule="exact"/>
        <w:rPr>
          <w:rFonts w:ascii="Arial" w:cs="Arial" w:eastAsia="Arial" w:hAnsi="Arial"/>
          <w:sz w:val="18"/>
          <w:szCs w:val="18"/>
          <w:color w:val="auto"/>
        </w:rPr>
      </w:pPr>
    </w:p>
    <w:p>
      <w:pPr>
        <w:ind w:left="-80" w:firstLine="464"/>
        <w:spacing w:after="0" w:line="347" w:lineRule="auto"/>
        <w:tabs>
          <w:tab w:leader="none" w:pos="646" w:val="left"/>
        </w:tabs>
        <w:numPr>
          <w:ilvl w:val="0"/>
          <w:numId w:val="4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Debt Documents</w:t>
      </w:r>
      <w:r>
        <w:rPr>
          <w:rFonts w:ascii="Arial" w:cs="Arial" w:eastAsia="Arial" w:hAnsi="Arial"/>
          <w:sz w:val="16"/>
          <w:szCs w:val="16"/>
          <w:color w:val="auto"/>
        </w:rPr>
        <w:t>” shall mean the Credit Agreement, the Security Agreement, any Aircraft Security Agreement, any Security Agreement (Slots, Foreign Gate Leaseholds and Route Authorities), any Intercreditor Agreement and any Other Intercreditor Agreement, as applicable.</w:t>
      </w:r>
    </w:p>
    <w:p>
      <w:pPr>
        <w:spacing w:after="0" w:line="116" w:lineRule="exact"/>
        <w:rPr>
          <w:rFonts w:ascii="Arial" w:cs="Arial" w:eastAsia="Arial" w:hAnsi="Arial"/>
          <w:sz w:val="16"/>
          <w:szCs w:val="16"/>
          <w:color w:val="auto"/>
        </w:rPr>
      </w:pPr>
    </w:p>
    <w:p>
      <w:pPr>
        <w:ind w:left="660" w:hanging="276"/>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Party</w:t>
      </w:r>
      <w:r>
        <w:rPr>
          <w:rFonts w:ascii="Arial" w:cs="Arial" w:eastAsia="Arial" w:hAnsi="Arial"/>
          <w:sz w:val="18"/>
          <w:szCs w:val="18"/>
          <w:color w:val="auto"/>
        </w:rPr>
        <w:t>” shall have the meaning assigned to such term in the preamble.</w:t>
      </w:r>
    </w:p>
    <w:p>
      <w:pPr>
        <w:spacing w:after="0" w:line="225" w:lineRule="exact"/>
        <w:rPr>
          <w:rFonts w:ascii="Arial" w:cs="Arial" w:eastAsia="Arial" w:hAnsi="Arial"/>
          <w:sz w:val="18"/>
          <w:szCs w:val="18"/>
          <w:color w:val="auto"/>
        </w:rPr>
      </w:pPr>
    </w:p>
    <w:p>
      <w:pPr>
        <w:ind w:left="-80" w:right="300" w:firstLine="464"/>
        <w:spacing w:after="0" w:line="347" w:lineRule="auto"/>
        <w:tabs>
          <w:tab w:leader="none" w:pos="646" w:val="left"/>
        </w:tabs>
        <w:numPr>
          <w:ilvl w:val="0"/>
          <w:numId w:val="4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Party Representative</w:t>
      </w:r>
      <w:r>
        <w:rPr>
          <w:rFonts w:ascii="Arial" w:cs="Arial" w:eastAsia="Arial" w:hAnsi="Arial"/>
          <w:sz w:val="16"/>
          <w:szCs w:val="16"/>
          <w:color w:val="auto"/>
        </w:rPr>
        <w:t>” shall mean the Secured Party until such time as the Secured Party Representative notifies the Securities Intermediary that the Secured Party Representative shall mean any Additional Secured Party as identified in writing by the Secured Party Representative.</w:t>
      </w:r>
    </w:p>
    <w:p>
      <w:pPr>
        <w:spacing w:after="0" w:line="116" w:lineRule="exact"/>
        <w:rPr>
          <w:rFonts w:ascii="Arial" w:cs="Arial" w:eastAsia="Arial" w:hAnsi="Arial"/>
          <w:sz w:val="16"/>
          <w:szCs w:val="16"/>
          <w:color w:val="auto"/>
        </w:rPr>
      </w:pPr>
    </w:p>
    <w:p>
      <w:pPr>
        <w:ind w:left="660" w:hanging="276"/>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Intermediary</w:t>
      </w:r>
      <w:r>
        <w:rPr>
          <w:rFonts w:ascii="Arial" w:cs="Arial" w:eastAsia="Arial" w:hAnsi="Arial"/>
          <w:sz w:val="18"/>
          <w:szCs w:val="18"/>
          <w:color w:val="auto"/>
        </w:rPr>
        <w:t>” shall have the meaning assigned to such term in the preamble.</w:t>
      </w:r>
    </w:p>
    <w:p>
      <w:pPr>
        <w:spacing w:after="0" w:line="225" w:lineRule="exact"/>
        <w:rPr>
          <w:rFonts w:ascii="Arial" w:cs="Arial" w:eastAsia="Arial" w:hAnsi="Arial"/>
          <w:sz w:val="18"/>
          <w:szCs w:val="18"/>
          <w:color w:val="auto"/>
        </w:rPr>
      </w:pPr>
    </w:p>
    <w:p>
      <w:pPr>
        <w:ind w:left="-80" w:right="140" w:firstLine="464"/>
        <w:spacing w:after="0" w:line="282" w:lineRule="auto"/>
        <w:tabs>
          <w:tab w:leader="none" w:pos="64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shall mean that certain Spare Parts Security Agreement, dated as of the date of the Credit Agreement, as the same may be amended or otherwise modified from time to time, between the Pledgor and the Secured Party.</w:t>
      </w:r>
    </w:p>
    <w:p>
      <w:pPr>
        <w:spacing w:after="0" w:line="161" w:lineRule="exact"/>
        <w:rPr>
          <w:rFonts w:ascii="Arial" w:cs="Arial" w:eastAsia="Arial" w:hAnsi="Arial"/>
          <w:sz w:val="18"/>
          <w:szCs w:val="18"/>
          <w:color w:val="auto"/>
        </w:rPr>
      </w:pPr>
    </w:p>
    <w:p>
      <w:pPr>
        <w:ind w:left="660" w:hanging="276"/>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Account Collateral’</w:t>
      </w:r>
      <w:r>
        <w:rPr>
          <w:rFonts w:ascii="Arial" w:cs="Arial" w:eastAsia="Arial" w:hAnsi="Arial"/>
          <w:sz w:val="18"/>
          <w:szCs w:val="18"/>
          <w:color w:val="auto"/>
        </w:rPr>
        <w:t xml:space="preserve"> shall have the meaning assigned to such term in Section 2 in Article III.</w:t>
      </w:r>
    </w:p>
    <w:p>
      <w:pPr>
        <w:spacing w:after="0" w:line="225" w:lineRule="exact"/>
        <w:rPr>
          <w:rFonts w:ascii="Arial" w:cs="Arial" w:eastAsia="Arial" w:hAnsi="Arial"/>
          <w:sz w:val="18"/>
          <w:szCs w:val="18"/>
          <w:color w:val="auto"/>
        </w:rPr>
      </w:pPr>
    </w:p>
    <w:p>
      <w:pPr>
        <w:ind w:left="660" w:hanging="276"/>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in effect in the State of New York.</w:t>
      </w:r>
    </w:p>
    <w:p>
      <w:pPr>
        <w:spacing w:after="0" w:line="225" w:lineRule="exact"/>
        <w:rPr>
          <w:rFonts w:ascii="Arial" w:cs="Arial" w:eastAsia="Arial" w:hAnsi="Arial"/>
          <w:sz w:val="18"/>
          <w:szCs w:val="18"/>
          <w:color w:val="auto"/>
        </w:rPr>
      </w:pPr>
    </w:p>
    <w:p>
      <w:pPr>
        <w:ind w:left="-80" w:right="300" w:firstLine="464"/>
        <w:spacing w:after="0" w:line="266" w:lineRule="auto"/>
        <w:tabs>
          <w:tab w:leader="none" w:pos="64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Instructions</w:t>
      </w:r>
      <w:r>
        <w:rPr>
          <w:rFonts w:ascii="Arial" w:cs="Arial" w:eastAsia="Arial" w:hAnsi="Arial"/>
          <w:sz w:val="18"/>
          <w:szCs w:val="18"/>
          <w:color w:val="auto"/>
        </w:rPr>
        <w:t>” shall mean written communications received by the Securities Intermediary via letter (which shall include electronic transmission in “pdf” or similar format), facsimile transmission or other method or system specified by the Securities Intermediary as available for use in connection with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260"/>
          </w:cols>
          <w:pgMar w:left="320" w:top="270" w:right="319" w:bottom="1440" w:gutter="0" w:footer="0" w:header="0"/>
        </w:sectPr>
      </w:pPr>
    </w:p>
    <w:bookmarkStart w:id="364" w:name="page365"/>
    <w:bookmarkEnd w:id="364"/>
    <w:p>
      <w:pPr>
        <w:ind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w:t>
      </w:r>
      <w:r>
        <w:rPr>
          <w:rFonts w:ascii="Arial" w:cs="Arial" w:eastAsia="Arial" w:hAnsi="Arial"/>
          <w:sz w:val="18"/>
          <w:szCs w:val="18"/>
          <w:b w:val="1"/>
          <w:bCs w:val="1"/>
          <w:color w:val="auto"/>
        </w:rPr>
        <w:t>entitlement holder</w:t>
      </w:r>
      <w:r>
        <w:rPr>
          <w:rFonts w:ascii="Arial" w:cs="Arial" w:eastAsia="Arial" w:hAnsi="Arial"/>
          <w:sz w:val="18"/>
          <w:szCs w:val="18"/>
          <w:color w:val="auto"/>
        </w:rPr>
        <w:t>”, “</w:t>
      </w:r>
      <w:r>
        <w:rPr>
          <w:rFonts w:ascii="Arial" w:cs="Arial" w:eastAsia="Arial" w:hAnsi="Arial"/>
          <w:sz w:val="18"/>
          <w:szCs w:val="18"/>
          <w:b w:val="1"/>
          <w:bCs w:val="1"/>
          <w:color w:val="auto"/>
        </w:rPr>
        <w:t>entitlement order</w:t>
      </w:r>
      <w:r>
        <w:rPr>
          <w:rFonts w:ascii="Arial" w:cs="Arial" w:eastAsia="Arial" w:hAnsi="Arial"/>
          <w:sz w:val="18"/>
          <w:szCs w:val="18"/>
          <w:color w:val="auto"/>
        </w:rPr>
        <w:t>”, “</w:t>
      </w:r>
      <w:r>
        <w:rPr>
          <w:rFonts w:ascii="Arial" w:cs="Arial" w:eastAsia="Arial" w:hAnsi="Arial"/>
          <w:sz w:val="18"/>
          <w:szCs w:val="18"/>
          <w:b w:val="1"/>
          <w:bCs w:val="1"/>
          <w:color w:val="auto"/>
        </w:rPr>
        <w:t>financial asset</w:t>
      </w:r>
      <w:r>
        <w:rPr>
          <w:rFonts w:ascii="Arial" w:cs="Arial" w:eastAsia="Arial" w:hAnsi="Arial"/>
          <w:sz w:val="18"/>
          <w:szCs w:val="18"/>
          <w:color w:val="auto"/>
        </w:rPr>
        <w:t>”, “</w:t>
      </w:r>
      <w:r>
        <w:rPr>
          <w:rFonts w:ascii="Arial" w:cs="Arial" w:eastAsia="Arial" w:hAnsi="Arial"/>
          <w:sz w:val="18"/>
          <w:szCs w:val="18"/>
          <w:b w:val="1"/>
          <w:bCs w:val="1"/>
          <w:color w:val="auto"/>
        </w:rPr>
        <w:t>investment property</w:t>
      </w:r>
      <w:r>
        <w:rPr>
          <w:rFonts w:ascii="Arial" w:cs="Arial" w:eastAsia="Arial" w:hAnsi="Arial"/>
          <w:sz w:val="18"/>
          <w:szCs w:val="18"/>
          <w:color w:val="auto"/>
        </w:rPr>
        <w:t>”, “</w:t>
      </w:r>
      <w:r>
        <w:rPr>
          <w:rFonts w:ascii="Arial" w:cs="Arial" w:eastAsia="Arial" w:hAnsi="Arial"/>
          <w:sz w:val="18"/>
          <w:szCs w:val="18"/>
          <w:b w:val="1"/>
          <w:bCs w:val="1"/>
          <w:color w:val="auto"/>
        </w:rPr>
        <w:t>proceeds</w:t>
      </w:r>
      <w:r>
        <w:rPr>
          <w:rFonts w:ascii="Arial" w:cs="Arial" w:eastAsia="Arial" w:hAnsi="Arial"/>
          <w:sz w:val="18"/>
          <w:szCs w:val="18"/>
          <w:color w:val="auto"/>
        </w:rPr>
        <w:t>”, “</w:t>
      </w:r>
      <w:r>
        <w:rPr>
          <w:rFonts w:ascii="Arial" w:cs="Arial" w:eastAsia="Arial" w:hAnsi="Arial"/>
          <w:sz w:val="18"/>
          <w:szCs w:val="18"/>
          <w:b w:val="1"/>
          <w:bCs w:val="1"/>
          <w:color w:val="auto"/>
        </w:rPr>
        <w:t>security</w:t>
      </w:r>
      <w:r>
        <w:rPr>
          <w:rFonts w:ascii="Arial" w:cs="Arial" w:eastAsia="Arial" w:hAnsi="Arial"/>
          <w:sz w:val="18"/>
          <w:szCs w:val="18"/>
          <w:color w:val="auto"/>
        </w:rPr>
        <w:t>”, “</w:t>
      </w:r>
      <w:r>
        <w:rPr>
          <w:rFonts w:ascii="Arial" w:cs="Arial" w:eastAsia="Arial" w:hAnsi="Arial"/>
          <w:sz w:val="18"/>
          <w:szCs w:val="18"/>
          <w:b w:val="1"/>
          <w:bCs w:val="1"/>
          <w:color w:val="auto"/>
        </w:rPr>
        <w:t>security entitlement</w:t>
      </w:r>
      <w:r>
        <w:rPr>
          <w:rFonts w:ascii="Arial" w:cs="Arial" w:eastAsia="Arial" w:hAnsi="Arial"/>
          <w:sz w:val="18"/>
          <w:szCs w:val="18"/>
          <w:color w:val="auto"/>
        </w:rPr>
        <w:t>” and “</w:t>
      </w:r>
      <w:r>
        <w:rPr>
          <w:rFonts w:ascii="Arial" w:cs="Arial" w:eastAsia="Arial" w:hAnsi="Arial"/>
          <w:sz w:val="18"/>
          <w:szCs w:val="18"/>
          <w:b w:val="1"/>
          <w:bCs w:val="1"/>
          <w:color w:val="auto"/>
        </w:rPr>
        <w:t>securities intermediary</w:t>
      </w:r>
      <w:r>
        <w:rPr>
          <w:rFonts w:ascii="Arial" w:cs="Arial" w:eastAsia="Arial" w:hAnsi="Arial"/>
          <w:sz w:val="18"/>
          <w:szCs w:val="18"/>
          <w:color w:val="auto"/>
        </w:rPr>
        <w:t>” shall have the meanings set forth in Articles 8 and 9 of the UCC. The Deposit Account is a “deposit account” as defined in Article 9 of the UCC and the Securities Account is a “securities account” as defined in Article 8 of the UCC. Each party hereto acknowledges that this Agreement is an “authenticated record” (as such term is defined in the UCC) and that the arrangements established hereunder are intended to constitute “control” (as such term is defined in the UCC) of each Account.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AND STATUS OF SECURITIES INTERMEDIARY; ACCOUNT</w:t>
      </w:r>
    </w:p>
    <w:p>
      <w:pPr>
        <w:spacing w:after="0" w:line="211" w:lineRule="exact"/>
        <w:rPr>
          <w:sz w:val="20"/>
          <w:szCs w:val="20"/>
          <w:color w:val="auto"/>
        </w:rPr>
      </w:pPr>
    </w:p>
    <w:p>
      <w:pPr>
        <w:ind w:right="120" w:firstLine="464"/>
        <w:spacing w:after="0" w:line="293" w:lineRule="auto"/>
        <w:tabs>
          <w:tab w:leader="none" w:pos="636"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Appointment; Identification of Account Collateral</w:t>
      </w:r>
      <w:r>
        <w:rPr>
          <w:rFonts w:ascii="Arial" w:cs="Arial" w:eastAsia="Arial" w:hAnsi="Arial"/>
          <w:sz w:val="16"/>
          <w:szCs w:val="16"/>
          <w:color w:val="auto"/>
        </w:rPr>
        <w:t>. The Secured Party Representative and the Pledgor each hereby appoints the Securities Intermediary to perform its duties as hereinafter set forth and authorizes the Securities Intermediary to hold the Account Collateral in the Account in registered form in its name or the name of its nominees. The Securities Intermediary hereby accepts such appointment and agrees to establish and maintain the Account and appropriate records identifying the Account Collateral in the Account as pledged by the Pledgor to the Secured Party and any Additional Secured Party. The Pledgor hereby authorizes the Securities Intermediary to comply with all Written Instructions, including entitlement orders, originated by the Secured Party Representative with respect to the Account Collateral without further consent or direction from the Pledgor or any other party.</w:t>
      </w:r>
    </w:p>
    <w:p>
      <w:pPr>
        <w:spacing w:after="0" w:line="164" w:lineRule="exact"/>
        <w:rPr>
          <w:rFonts w:ascii="Arial" w:cs="Arial" w:eastAsia="Arial" w:hAnsi="Arial"/>
          <w:sz w:val="16"/>
          <w:szCs w:val="16"/>
          <w:color w:val="auto"/>
        </w:rPr>
      </w:pPr>
    </w:p>
    <w:p>
      <w:pPr>
        <w:ind w:right="100" w:firstLine="464"/>
        <w:spacing w:after="0" w:line="264" w:lineRule="auto"/>
        <w:tabs>
          <w:tab w:leader="none" w:pos="636"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Status of Securities Intermediary</w:t>
      </w:r>
      <w:r>
        <w:rPr>
          <w:rFonts w:ascii="Arial" w:cs="Arial" w:eastAsia="Arial" w:hAnsi="Arial"/>
          <w:sz w:val="18"/>
          <w:szCs w:val="18"/>
          <w:color w:val="auto"/>
        </w:rPr>
        <w:t>. The parties hereby expressly agree and intend that all property at any time held in the Account is to be treated as a “financial asset.” The Securities Intermediary represents and warrants that the Securities Intermediary is a “securities intermediary” with respect to the Account and the “financial assets” credited to the Account.</w:t>
      </w:r>
    </w:p>
    <w:p>
      <w:pPr>
        <w:spacing w:after="0" w:line="181" w:lineRule="exact"/>
        <w:rPr>
          <w:rFonts w:ascii="Arial" w:cs="Arial" w:eastAsia="Arial" w:hAnsi="Arial"/>
          <w:sz w:val="18"/>
          <w:szCs w:val="18"/>
          <w:color w:val="auto"/>
        </w:rPr>
      </w:pPr>
    </w:p>
    <w:p>
      <w:pPr>
        <w:ind w:right="120" w:firstLine="464"/>
        <w:spacing w:after="0" w:line="255" w:lineRule="auto"/>
        <w:tabs>
          <w:tab w:leader="none" w:pos="636"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Use of Depositories</w:t>
      </w:r>
      <w:r>
        <w:rPr>
          <w:rFonts w:ascii="Arial" w:cs="Arial" w:eastAsia="Arial" w:hAnsi="Arial"/>
          <w:sz w:val="18"/>
          <w:szCs w:val="18"/>
          <w:color w:val="auto"/>
        </w:rPr>
        <w:t>. The Secured Party Representative and the Pledgor hereby authorize the Securities Intermediary to utilize Depositories to the extent possible in connection with its performance hereunder. Account Collateral held by the Securities Intermediary in a Depository will be held subject to the rules, terms and conditions of such Depository. Where Account Collateral is held in a Depository, the Securities Intermediary shall identify on its records as belonging to the Pledgor and pledged to the Secured Party or any Additional Secured Party a quantity of securities as part of a fungible bulk of securities held in the Securities Intermediary’s account at such Depository. Securities deposited in a Depository will be represented in accounts which include only assets held by the Securities Intermediary for its customers.</w:t>
      </w:r>
    </w:p>
    <w:p>
      <w:pPr>
        <w:spacing w:after="0" w:line="193" w:lineRule="exact"/>
        <w:rPr>
          <w:rFonts w:ascii="Arial" w:cs="Arial" w:eastAsia="Arial" w:hAnsi="Arial"/>
          <w:sz w:val="18"/>
          <w:szCs w:val="18"/>
          <w:color w:val="auto"/>
        </w:rPr>
      </w:pPr>
    </w:p>
    <w:p>
      <w:pPr>
        <w:ind w:right="280" w:firstLine="464"/>
        <w:spacing w:after="0" w:line="308" w:lineRule="auto"/>
        <w:tabs>
          <w:tab w:leader="none" w:pos="636"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Security Interest</w:t>
      </w:r>
      <w:r>
        <w:rPr>
          <w:rFonts w:ascii="Arial" w:cs="Arial" w:eastAsia="Arial" w:hAnsi="Arial"/>
          <w:sz w:val="17"/>
          <w:szCs w:val="17"/>
          <w:color w:val="auto"/>
        </w:rPr>
        <w:t>. The Securities Intermediary acknowledges that this Agreement constitutes notice of the Secured Party’s security interest in such Account Collateral on behalf of the Secured Parties (as defined in the Credit Agreement) and does hereby consent thereto.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420"/>
          </w:cols>
          <w:pgMar w:left="240" w:top="270" w:right="239" w:bottom="1440" w:gutter="0" w:footer="0" w:header="0"/>
        </w:sectPr>
      </w:pPr>
    </w:p>
    <w:bookmarkStart w:id="365" w:name="page366"/>
    <w:bookmarkEnd w:id="365"/>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Intermediary further acknowledges that the execution of an Additional Secured Party Joinder shall constitute notice of such Additional Secured Party’s interest in the Account Collateral, and upon execution of such Additional Secured Party Joinder the Securities Intermediary hereby consents thereto.</w:t>
      </w:r>
    </w:p>
    <w:p>
      <w:pPr>
        <w:spacing w:after="0" w:line="124" w:lineRule="exact"/>
        <w:rPr>
          <w:sz w:val="20"/>
          <w:szCs w:val="20"/>
          <w:color w:val="auto"/>
        </w:rPr>
      </w:pPr>
    </w:p>
    <w:p>
      <w:pPr>
        <w:ind w:right="60" w:firstLine="464"/>
        <w:spacing w:after="0" w:line="312" w:lineRule="auto"/>
        <w:tabs>
          <w:tab w:leader="none" w:pos="636"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parties hereto acknowledge and agree that: (i) the Account will be treated as a “securities account”, and (ii) the Account Collateral will be treated as “financial assets.” The Securities Intermediary represents and warrants that the “securities intermediary’s jurisdiction” is the State of New York. All terms quoted in this paragraph 5 of Article II shall have the meanings assigned to them by Article 8 of the UCC.</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COLLATERAL SERVICES</w:t>
      </w:r>
    </w:p>
    <w:p>
      <w:pPr>
        <w:spacing w:after="0" w:line="211" w:lineRule="exact"/>
        <w:rPr>
          <w:sz w:val="20"/>
          <w:szCs w:val="20"/>
          <w:color w:val="auto"/>
        </w:rPr>
      </w:pPr>
    </w:p>
    <w:p>
      <w:pPr>
        <w:ind w:firstLine="464"/>
        <w:spacing w:after="0" w:line="269" w:lineRule="auto"/>
        <w:tabs>
          <w:tab w:leader="none" w:pos="636"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Notice of Exclusive Control</w:t>
      </w:r>
      <w:r>
        <w:rPr>
          <w:rFonts w:ascii="Arial" w:cs="Arial" w:eastAsia="Arial" w:hAnsi="Arial"/>
          <w:sz w:val="17"/>
          <w:szCs w:val="17"/>
          <w:color w:val="auto"/>
        </w:rPr>
        <w:t>. Until the Securities Intermediary receives a Notice of Exclusive Control from the Secured Party Representative and after the Securities Intermediary receives a Rescission Notice from the Secured Party Representative, the Securities Intermediary is authorized to act upon any Written Instructions, including entitlement orders, from the Pledgor. The Secured Party Representative may, subject to terms of the Secured Debt Documents, exercise sole and exclusive control of the Account and the Account Collateral held therein at any time by delivering to the Securities Intermediary a Notice of Exclusive Control. Upon receipt of a Notice of Exclusive Control, the Securities Intermediary shall, without inquiry and in reliance upon such Notice of Exclusive Control, within one (1) business day after the receipt of a Notice of Exclusive Control, or, if such Notice of Exclusive Control is received after 12:00 noon New York City time on any business day, within two (2) business days after receipt of such Notice of Exclusive Control, thereafter comply with Written Instructions (including entitlement orders) solely from, and originated by, the Secured Party Representative with respect to the Account without further consent by the Pledgor. The Secured Party Representative may, subject to the terms of this Agreement and the Secured Debt Documents, as applicable, deliver a Rescission Notice to the Securities Intermediary. Upon receipt of a Rescission Notice from the Secured Party Representative, the Securities Intermediary shall, without inquiry and in reliance upon such Notice, thereafter comply with Written Instructions (including entitlement orders) from the Pledgor.</w:t>
      </w:r>
    </w:p>
    <w:p>
      <w:pPr>
        <w:spacing w:after="0" w:line="179" w:lineRule="exact"/>
        <w:rPr>
          <w:rFonts w:ascii="Arial" w:cs="Arial" w:eastAsia="Arial" w:hAnsi="Arial"/>
          <w:sz w:val="17"/>
          <w:szCs w:val="17"/>
          <w:color w:val="auto"/>
        </w:rPr>
      </w:pPr>
    </w:p>
    <w:p>
      <w:pPr>
        <w:ind w:right="120" w:firstLine="464"/>
        <w:spacing w:after="0" w:line="273" w:lineRule="auto"/>
        <w:tabs>
          <w:tab w:leader="none" w:pos="636"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Account Collateral Removal; Substitutions</w:t>
      </w:r>
      <w:r>
        <w:rPr>
          <w:rFonts w:ascii="Arial" w:cs="Arial" w:eastAsia="Arial" w:hAnsi="Arial"/>
          <w:sz w:val="17"/>
          <w:szCs w:val="17"/>
          <w:color w:val="auto"/>
        </w:rPr>
        <w:t>. Until the Securities Intermediary receives a Notice of Exclusive Control as provided herein from the Secured Party Representative and after the Securities Intermediary receives a Rescission Notice from the Secured Party Representative, the Securities Intermediary is authorized to act upon any Written Instructions from the Pledgor to transfer Account Collateral from the Account or substitute other Account Collateral for any Account Collateral then held in the Account (“</w:t>
      </w:r>
      <w:r>
        <w:rPr>
          <w:rFonts w:ascii="Arial" w:cs="Arial" w:eastAsia="Arial" w:hAnsi="Arial"/>
          <w:sz w:val="17"/>
          <w:szCs w:val="17"/>
          <w:b w:val="1"/>
          <w:bCs w:val="1"/>
          <w:color w:val="auto"/>
        </w:rPr>
        <w:t>Substitute Account Collateral</w:t>
      </w:r>
      <w:r>
        <w:rPr>
          <w:rFonts w:ascii="Arial" w:cs="Arial" w:eastAsia="Arial" w:hAnsi="Arial"/>
          <w:sz w:val="17"/>
          <w:szCs w:val="17"/>
          <w:color w:val="auto"/>
        </w:rPr>
        <w:t>”). It shall be the Pledgor’s sole responsibility to ensure that at all times the market value of the Account Collateral in the Account (including Substitute Account Collateral) shall not be less than the amount the Pledgor is required to maintain pursuant to the Secured Debt Documents and related documents.</w:t>
      </w:r>
    </w:p>
    <w:p>
      <w:pPr>
        <w:spacing w:after="0" w:line="178" w:lineRule="exact"/>
        <w:rPr>
          <w:rFonts w:ascii="Arial" w:cs="Arial" w:eastAsia="Arial" w:hAnsi="Arial"/>
          <w:sz w:val="17"/>
          <w:szCs w:val="17"/>
          <w:color w:val="auto"/>
        </w:rPr>
      </w:pPr>
    </w:p>
    <w:p>
      <w:pPr>
        <w:ind w:right="540" w:firstLine="464"/>
        <w:spacing w:after="0" w:line="277" w:lineRule="auto"/>
        <w:tabs>
          <w:tab w:leader="none" w:pos="636"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Payment of Proceeds</w:t>
      </w:r>
      <w:r>
        <w:rPr>
          <w:rFonts w:ascii="Arial" w:cs="Arial" w:eastAsia="Arial" w:hAnsi="Arial"/>
          <w:sz w:val="18"/>
          <w:szCs w:val="18"/>
          <w:color w:val="auto"/>
        </w:rPr>
        <w:t>. Until the Securities Intermediary receives a Notice of Exclusive Control and after the Securities Intermediary receives a Rescission Notice from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420"/>
          </w:cols>
          <w:pgMar w:left="240" w:top="273" w:right="239" w:bottom="1440" w:gutter="0" w:footer="0" w:header="0"/>
        </w:sectPr>
      </w:pPr>
    </w:p>
    <w:bookmarkStart w:id="366" w:name="page367"/>
    <w:bookmarkEnd w:id="366"/>
    <w:p>
      <w:pPr>
        <w:ind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Party Representative, the Securities Intermediary shall transfer to the Pledgor (whether by credit to the Pledgor’s account at the Securities Intermediary or otherwise) all proceeds received by it with respect to the Account Collateral. The Securities Intermediary shall credit to the Account all proceeds received by it with respect to the Account Collateral, except as otherwise provided herein.</w:t>
      </w:r>
    </w:p>
    <w:p>
      <w:pPr>
        <w:spacing w:after="0" w:line="181" w:lineRule="exact"/>
        <w:rPr>
          <w:sz w:val="20"/>
          <w:szCs w:val="20"/>
          <w:color w:val="auto"/>
        </w:rPr>
      </w:pPr>
    </w:p>
    <w:p>
      <w:pPr>
        <w:ind w:right="440" w:firstLine="464"/>
        <w:spacing w:after="0" w:line="279" w:lineRule="auto"/>
        <w:tabs>
          <w:tab w:leader="none" w:pos="636"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Advances by Securities Intermediary</w:t>
      </w:r>
      <w:r>
        <w:rPr>
          <w:rFonts w:ascii="Arial" w:cs="Arial" w:eastAsia="Arial" w:hAnsi="Arial"/>
          <w:sz w:val="17"/>
          <w:szCs w:val="17"/>
          <w:color w:val="auto"/>
        </w:rPr>
        <w:t>. Until the Securities Intermediary receives a Notice of Exclusive Control as provided herein and after the Securities Intermediary receives a Rescission Notice from the Secured Party Representative, the Securities Intermediary is authorized to act upon the Pledgor’s Written Instructions to the Securities Intermediary to settle transactions involving the Account. For the avoidance of doubt, the Securities Intermediary shall be under no obligation to make any advance of funds under any provision of this Agreement.</w:t>
      </w:r>
    </w:p>
    <w:p>
      <w:pPr>
        <w:spacing w:after="0" w:line="171" w:lineRule="exact"/>
        <w:rPr>
          <w:rFonts w:ascii="Arial" w:cs="Arial" w:eastAsia="Arial" w:hAnsi="Arial"/>
          <w:sz w:val="17"/>
          <w:szCs w:val="17"/>
          <w:color w:val="auto"/>
        </w:rPr>
      </w:pPr>
    </w:p>
    <w:p>
      <w:pPr>
        <w:ind w:right="520" w:firstLine="464"/>
        <w:spacing w:after="0" w:line="277" w:lineRule="auto"/>
        <w:tabs>
          <w:tab w:leader="none" w:pos="636"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Statements</w:t>
      </w:r>
      <w:r>
        <w:rPr>
          <w:rFonts w:ascii="Arial" w:cs="Arial" w:eastAsia="Arial" w:hAnsi="Arial"/>
          <w:sz w:val="18"/>
          <w:szCs w:val="18"/>
          <w:color w:val="auto"/>
        </w:rPr>
        <w:t>. The Securities Intermediary shall furnish the Pledgor, the Secured Party and any Additional Secured Party with monthly Account statements.</w:t>
      </w:r>
    </w:p>
    <w:p>
      <w:pPr>
        <w:spacing w:after="0" w:line="170" w:lineRule="exact"/>
        <w:rPr>
          <w:rFonts w:ascii="Arial" w:cs="Arial" w:eastAsia="Arial" w:hAnsi="Arial"/>
          <w:sz w:val="18"/>
          <w:szCs w:val="18"/>
          <w:color w:val="auto"/>
        </w:rPr>
      </w:pPr>
    </w:p>
    <w:p>
      <w:pPr>
        <w:ind w:right="480" w:firstLine="464"/>
        <w:spacing w:after="0" w:line="264" w:lineRule="auto"/>
        <w:tabs>
          <w:tab w:leader="none" w:pos="636"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Notice of Adverse Claims</w:t>
      </w:r>
      <w:r>
        <w:rPr>
          <w:rFonts w:ascii="Arial" w:cs="Arial" w:eastAsia="Arial" w:hAnsi="Arial"/>
          <w:sz w:val="18"/>
          <w:szCs w:val="18"/>
          <w:color w:val="auto"/>
        </w:rPr>
        <w:t>. Upon receipt of written notice of any lien, encumbrance or adverse claim against the Account or any portion of the Account Collateral carried therein, the Securities Intermediary shall use reasonable efforts to notify the Secured Party, the Pledgor and any Additional Secured Party as promptly as practicable under the circumstances.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TERMS AND CONDITIONS</w:t>
      </w:r>
    </w:p>
    <w:p>
      <w:pPr>
        <w:spacing w:after="0" w:line="211" w:lineRule="exact"/>
        <w:rPr>
          <w:sz w:val="20"/>
          <w:szCs w:val="20"/>
          <w:color w:val="auto"/>
        </w:rPr>
      </w:pPr>
    </w:p>
    <w:p>
      <w:pPr>
        <w:ind w:right="40" w:firstLine="464"/>
        <w:spacing w:after="0" w:line="273" w:lineRule="auto"/>
        <w:tabs>
          <w:tab w:leader="none" w:pos="636"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Standard of Care; Indemnification</w:t>
      </w:r>
      <w:r>
        <w:rPr>
          <w:rFonts w:ascii="Arial" w:cs="Arial" w:eastAsia="Arial" w:hAnsi="Arial"/>
          <w:sz w:val="17"/>
          <w:szCs w:val="17"/>
          <w:color w:val="auto"/>
        </w:rPr>
        <w:t>. (a) Except as otherwise expressly provided herein, the Securities Intermediary shall not be liable for any costs, expenses, damages, liabilities or claims, including attorneys’ fees (“</w:t>
      </w:r>
      <w:r>
        <w:rPr>
          <w:rFonts w:ascii="Arial" w:cs="Arial" w:eastAsia="Arial" w:hAnsi="Arial"/>
          <w:sz w:val="17"/>
          <w:szCs w:val="17"/>
          <w:b w:val="1"/>
          <w:bCs w:val="1"/>
          <w:color w:val="auto"/>
        </w:rPr>
        <w:t>Losses</w:t>
      </w:r>
      <w:r>
        <w:rPr>
          <w:rFonts w:ascii="Arial" w:cs="Arial" w:eastAsia="Arial" w:hAnsi="Arial"/>
          <w:sz w:val="17"/>
          <w:szCs w:val="17"/>
          <w:color w:val="auto"/>
        </w:rPr>
        <w:t>”) incurred by or asserted against the Pledgor, the Secured Party or any Additional Secured Party, except those Losses arising out of the gross negligence or willful misconduct of the Securities Intermediary. The Securities Intermediary shall have no liability whatsoever for the action or inaction of any Depository. In no event shall the Securities Intermediary be responsible or liable for special, indirect, punitive or consequential damages or lost profits or loss of business, arising in connection with this Agreement, even if the Securities Intermediary has been advised of the possibility of such damages and regardless of the form of action.</w:t>
      </w:r>
    </w:p>
    <w:p>
      <w:pPr>
        <w:spacing w:after="0" w:line="178" w:lineRule="exact"/>
        <w:rPr>
          <w:sz w:val="20"/>
          <w:szCs w:val="20"/>
          <w:color w:val="auto"/>
        </w:rPr>
      </w:pPr>
    </w:p>
    <w:p>
      <w:pPr>
        <w:ind w:firstLine="464"/>
        <w:spacing w:after="0" w:line="272" w:lineRule="auto"/>
        <w:tabs>
          <w:tab w:leader="none" w:pos="711" w:val="left"/>
        </w:tabs>
        <w:numPr>
          <w:ilvl w:val="0"/>
          <w:numId w:val="407"/>
        </w:numPr>
        <w:rPr>
          <w:rFonts w:ascii="Arial" w:cs="Arial" w:eastAsia="Arial" w:hAnsi="Arial"/>
          <w:sz w:val="17"/>
          <w:szCs w:val="17"/>
          <w:color w:val="auto"/>
        </w:rPr>
      </w:pPr>
      <w:r>
        <w:rPr>
          <w:rFonts w:ascii="Arial" w:cs="Arial" w:eastAsia="Arial" w:hAnsi="Arial"/>
          <w:sz w:val="17"/>
          <w:szCs w:val="17"/>
          <w:color w:val="auto"/>
        </w:rPr>
        <w:t xml:space="preserve">The Secured Party, the Pledgor and any Additional Secured Party agree, jointly and severally, to indemnify the Securities Intermediary and hold the Securities Intermediary harmless from and against any and all Losses sustained or incurred by or asserted against the Securities Intermediary by reason of or as a result of the appointment of the Securities Intermediary hereunder or any action or inaction, or arising out of the Securities Intermediary’s performance hereunder, including reasonable fees and expenses of counsel incurred by the Securities Intermediary in a successful defense of claims by the Pledgor, the Secured Party or any Additional Secured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Pledgor, the Secured Party and any Additional Secured Party shall not indemnify the Securities Intermediary for those Losses arising out of the Securities Intermediary’s gross negligence or willful misconduct; </w:t>
      </w:r>
      <w:r>
        <w:rPr>
          <w:rFonts w:ascii="Arial" w:cs="Arial" w:eastAsia="Arial" w:hAnsi="Arial"/>
          <w:sz w:val="17"/>
          <w:szCs w:val="17"/>
          <w:i w:val="1"/>
          <w:iCs w:val="1"/>
          <w:color w:val="auto"/>
        </w:rPr>
        <w:t>provided further</w:t>
      </w:r>
      <w:r>
        <w:rPr>
          <w:rFonts w:ascii="Arial" w:cs="Arial" w:eastAsia="Arial" w:hAnsi="Arial"/>
          <w:sz w:val="17"/>
          <w:szCs w:val="17"/>
          <w:color w:val="auto"/>
        </w:rPr>
        <w:t>, that any indemnity payable by the Secured Party or any Additional Secured Party hereunder shall be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G-6</w:t>
      </w:r>
    </w:p>
    <w:p>
      <w:pPr>
        <w:sectPr>
          <w:pgSz w:w="11900" w:h="16838" w:orient="portrait"/>
          <w:cols w:equalWidth="0" w:num="1">
            <w:col w:w="11360"/>
          </w:cols>
          <w:pgMar w:left="240" w:top="273" w:right="299" w:bottom="1440" w:gutter="0" w:footer="0" w:header="0"/>
        </w:sectPr>
      </w:pPr>
    </w:p>
    <w:bookmarkStart w:id="367" w:name="page368"/>
    <w:bookmarkEnd w:id="36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payable solely from the amounts held by the Secured Party or any Additional Secured Party and in no case shall Barclays Bank PLC, in its individual capacity, or any other collateral agent or trustee, in each of its individual capacity, be required to satisfy any indemnity obligation hereunder in its individual capacity or from its own assets. This indemnity shall be a continuing obligation of the Pledgor, the Secured Party and any Additional Secured Party, their respective successors and assigns, notwithstanding the termination of this Agreement.</w:t>
      </w:r>
    </w:p>
    <w:p>
      <w:pPr>
        <w:spacing w:after="0" w:line="187" w:lineRule="exact"/>
        <w:rPr>
          <w:sz w:val="20"/>
          <w:szCs w:val="20"/>
          <w:color w:val="auto"/>
        </w:rPr>
      </w:pPr>
    </w:p>
    <w:p>
      <w:pPr>
        <w:ind w:firstLine="464"/>
        <w:spacing w:after="0" w:line="302" w:lineRule="auto"/>
        <w:tabs>
          <w:tab w:leader="none" w:pos="701"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Securities Intermediary shall have only those duties as are specifically provided herein, which shall be deemed purely ministerial in nature, and shall under no circumstance be deemed a fiduciary for any of the parties to this Agreement. The Securities Intermediary shall neither be responsible for, nor chargeable with, knowledge of the terms and conditions of any other agreement, instrument or document between the other parties hereto, in connection herewith. No additional obligations of the Securities Intermediary shall be inferred from the terms of this Agreement or any other agreement.</w:t>
      </w:r>
    </w:p>
    <w:p>
      <w:pPr>
        <w:spacing w:after="0" w:line="154" w:lineRule="exact"/>
        <w:rPr>
          <w:rFonts w:ascii="Arial" w:cs="Arial" w:eastAsia="Arial" w:hAnsi="Arial"/>
          <w:sz w:val="16"/>
          <w:szCs w:val="16"/>
          <w:color w:val="auto"/>
        </w:rPr>
      </w:pPr>
    </w:p>
    <w:p>
      <w:pPr>
        <w:ind w:right="80" w:firstLine="464"/>
        <w:spacing w:after="0" w:line="308" w:lineRule="auto"/>
        <w:tabs>
          <w:tab w:leader="none" w:pos="711"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 Securities Intermediary shall have the right to perform any of its duties hereunder through agents, attorneys, custodians or nominees, and shall not be responsible for the misconduct or negligence of such agents, attorneys, custodians and nominees appointed by it with due care.</w:t>
      </w:r>
    </w:p>
    <w:p>
      <w:pPr>
        <w:spacing w:after="0" w:line="146" w:lineRule="exact"/>
        <w:rPr>
          <w:rFonts w:ascii="Arial" w:cs="Arial" w:eastAsia="Arial" w:hAnsi="Arial"/>
          <w:sz w:val="17"/>
          <w:szCs w:val="17"/>
          <w:color w:val="auto"/>
        </w:rPr>
      </w:pPr>
    </w:p>
    <w:p>
      <w:pPr>
        <w:ind w:firstLine="464"/>
        <w:spacing w:after="0" w:line="276" w:lineRule="auto"/>
        <w:tabs>
          <w:tab w:leader="none" w:pos="701" w:val="left"/>
        </w:tabs>
        <w:numPr>
          <w:ilvl w:val="0"/>
          <w:numId w:val="408"/>
        </w:numPr>
        <w:rPr>
          <w:rFonts w:ascii="Arial" w:cs="Arial" w:eastAsia="Arial" w:hAnsi="Arial"/>
          <w:sz w:val="17"/>
          <w:szCs w:val="17"/>
          <w:color w:val="auto"/>
        </w:rPr>
      </w:pPr>
      <w:r>
        <w:rPr>
          <w:rFonts w:ascii="Arial" w:cs="Arial" w:eastAsia="Arial" w:hAnsi="Arial"/>
          <w:sz w:val="17"/>
          <w:szCs w:val="17"/>
          <w:color w:val="auto"/>
        </w:rPr>
        <w:t>Any banking association or corporation into which the Securities Intermediary may be merged, converted or with which the Securities Intermediary may be consolidated, or any corporation resulting from any merger, conversion or consolidation to which the Securities Intermediary shall be a party, or any banking association or corporation to which all or substantially all of the corporate trust business of the Securities Intermediary shall be transferred, shall succeed to all the Securities Intermediary’s rights, obligations and immunities hereunder without the execution or filing of any paper or any further act on the part of any of the parties hereto, anything herein to the contrary notwithstanding.</w:t>
      </w:r>
    </w:p>
    <w:p>
      <w:pPr>
        <w:spacing w:after="0" w:line="173" w:lineRule="exact"/>
        <w:rPr>
          <w:sz w:val="20"/>
          <w:szCs w:val="20"/>
          <w:color w:val="auto"/>
        </w:rPr>
      </w:pPr>
    </w:p>
    <w:p>
      <w:pPr>
        <w:ind w:right="80" w:firstLine="464"/>
        <w:spacing w:after="0" w:line="259" w:lineRule="auto"/>
        <w:tabs>
          <w:tab w:leader="none" w:pos="636"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No Obligation Regarding Quality of Account Collateral</w:t>
      </w:r>
      <w:r>
        <w:rPr>
          <w:rFonts w:ascii="Arial" w:cs="Arial" w:eastAsia="Arial" w:hAnsi="Arial"/>
          <w:sz w:val="18"/>
          <w:szCs w:val="18"/>
          <w:color w:val="auto"/>
        </w:rPr>
        <w:t>. Without limiting the generality of the foregoing, the Securities Intermediary shall be under no obligation to inquire into, and shall not be liable for, any Losses incurred by the Pledgor, the Secured Party, any Additional Secured Party or any other person as a result of the receipt or acceptance of fraudulent, forged or invalid Account Collateral, or Account Collateral which otherwise is not freely transferable or deliverable without encumbrance in any relevant market.</w:t>
      </w:r>
    </w:p>
    <w:p>
      <w:pPr>
        <w:spacing w:after="0" w:line="186" w:lineRule="exact"/>
        <w:rPr>
          <w:rFonts w:ascii="Arial" w:cs="Arial" w:eastAsia="Arial" w:hAnsi="Arial"/>
          <w:sz w:val="18"/>
          <w:szCs w:val="18"/>
          <w:color w:val="auto"/>
        </w:rPr>
      </w:pPr>
    </w:p>
    <w:p>
      <w:pPr>
        <w:ind w:right="40" w:firstLine="464"/>
        <w:spacing w:after="0" w:line="257" w:lineRule="auto"/>
        <w:tabs>
          <w:tab w:leader="none" w:pos="636"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No Responsibility Concerning Secured Debt Documents</w:t>
      </w:r>
      <w:r>
        <w:rPr>
          <w:rFonts w:ascii="Arial" w:cs="Arial" w:eastAsia="Arial" w:hAnsi="Arial"/>
          <w:sz w:val="18"/>
          <w:szCs w:val="18"/>
          <w:color w:val="auto"/>
        </w:rPr>
        <w:t>. The Pledgor, the Secured Party and any Additional Secured Party hereby agree that, notwithstanding references to the Secured Debt Documents in this Agreement, the Securities Intermediary, in its capacity as such, has no interest in, and no duty, responsibility or obligation with respect to, the Secured Debt Documents (including without limitation, no duty, responsibility or obligation to monitor the Pledgor’s, the Secured Party’s or any Additional Secured Party’s compliance with the Secured Debt Documents or to know the terms of the Secured Debt Documents).</w:t>
      </w:r>
    </w:p>
    <w:p>
      <w:pPr>
        <w:spacing w:after="0" w:line="188" w:lineRule="exact"/>
        <w:rPr>
          <w:rFonts w:ascii="Arial" w:cs="Arial" w:eastAsia="Arial" w:hAnsi="Arial"/>
          <w:sz w:val="18"/>
          <w:szCs w:val="18"/>
          <w:color w:val="auto"/>
        </w:rPr>
      </w:pPr>
    </w:p>
    <w:p>
      <w:pPr>
        <w:ind w:firstLine="464"/>
        <w:spacing w:after="0" w:line="264" w:lineRule="auto"/>
        <w:tabs>
          <w:tab w:leader="none" w:pos="636"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No Duty of Oversight</w:t>
      </w:r>
      <w:r>
        <w:rPr>
          <w:rFonts w:ascii="Arial" w:cs="Arial" w:eastAsia="Arial" w:hAnsi="Arial"/>
          <w:sz w:val="18"/>
          <w:szCs w:val="18"/>
          <w:color w:val="auto"/>
        </w:rPr>
        <w:t>. The Securities Intermediary is not at any time under any duty to monitor the value of any Account Collateral in the Account or whether the Account Collateral is of a type required to be held in the Account, or to supervise the investment of, or to advise or make any recommendation for the purchase, sale, retention or disposition of any Account Collateral.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G-7</w:t>
      </w:r>
    </w:p>
    <w:p>
      <w:pPr>
        <w:sectPr>
          <w:pgSz w:w="11900" w:h="16838" w:orient="portrait"/>
          <w:cols w:equalWidth="0" w:num="1">
            <w:col w:w="11360"/>
          </w:cols>
          <w:pgMar w:left="240" w:top="274" w:right="299" w:bottom="1440" w:gutter="0" w:footer="0" w:header="0"/>
        </w:sectPr>
      </w:pPr>
    </w:p>
    <w:bookmarkStart w:id="368" w:name="page369"/>
    <w:bookmarkEnd w:id="368"/>
    <w:p>
      <w:pPr>
        <w:ind w:left="-20" w:right="520" w:firstLine="464"/>
        <w:spacing w:after="0" w:line="277" w:lineRule="auto"/>
        <w:tabs>
          <w:tab w:leader="none" w:pos="616"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Advice of Counsel</w:t>
      </w:r>
      <w:r>
        <w:rPr>
          <w:rFonts w:ascii="Arial" w:cs="Arial" w:eastAsia="Arial" w:hAnsi="Arial"/>
          <w:sz w:val="18"/>
          <w:szCs w:val="18"/>
          <w:color w:val="auto"/>
        </w:rPr>
        <w:t>. The Securities Intermediary may obtain the advice of counsel and shall be fully protected with respect to anything done or omitted by it in good faith in conformity with such advice.</w:t>
      </w:r>
    </w:p>
    <w:p>
      <w:pPr>
        <w:spacing w:after="0" w:line="170" w:lineRule="exact"/>
        <w:rPr>
          <w:rFonts w:ascii="Arial" w:cs="Arial" w:eastAsia="Arial" w:hAnsi="Arial"/>
          <w:sz w:val="18"/>
          <w:szCs w:val="18"/>
          <w:color w:val="auto"/>
        </w:rPr>
      </w:pPr>
    </w:p>
    <w:p>
      <w:pPr>
        <w:ind w:left="-20" w:right="600" w:firstLine="464"/>
        <w:spacing w:after="0" w:line="277" w:lineRule="auto"/>
        <w:tabs>
          <w:tab w:leader="none" w:pos="616"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No Collection Obligations</w:t>
      </w:r>
      <w:r>
        <w:rPr>
          <w:rFonts w:ascii="Arial" w:cs="Arial" w:eastAsia="Arial" w:hAnsi="Arial"/>
          <w:sz w:val="18"/>
          <w:szCs w:val="18"/>
          <w:color w:val="auto"/>
        </w:rPr>
        <w:t>. The Securities Intermediary shall be under no obligation to take action to collect any amount payable on Account Collateral in default, or if payment is refused after due demand and presentment.</w:t>
      </w:r>
    </w:p>
    <w:p>
      <w:pPr>
        <w:spacing w:after="0" w:line="170" w:lineRule="exact"/>
        <w:rPr>
          <w:rFonts w:ascii="Arial" w:cs="Arial" w:eastAsia="Arial" w:hAnsi="Arial"/>
          <w:sz w:val="18"/>
          <w:szCs w:val="18"/>
          <w:color w:val="auto"/>
        </w:rPr>
      </w:pPr>
    </w:p>
    <w:p>
      <w:pPr>
        <w:ind w:left="-20" w:right="100" w:firstLine="464"/>
        <w:spacing w:after="0" w:line="302" w:lineRule="auto"/>
        <w:tabs>
          <w:tab w:leader="none" w:pos="616"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The Pledgor agrees to pay to the Securities Intermediary the reasonable and customary fees as may be agreed upon from time to time. The Pledgor shall reimburse the Securities Intermediary for all reasonable and customary costs associated with transfers of Account Collateral to the Securities Intermediary and records kept in connection with this Agreement. The Pledgor shall also reimburse the Securities Intermediary for out-of-pocket reasonable and customary expenses, including reasonable fees and expenses of counsel, which are a normal incident of the services provided hereunder.</w:t>
      </w:r>
    </w:p>
    <w:p>
      <w:pPr>
        <w:spacing w:after="0" w:line="154" w:lineRule="exact"/>
        <w:rPr>
          <w:rFonts w:ascii="Arial" w:cs="Arial" w:eastAsia="Arial" w:hAnsi="Arial"/>
          <w:sz w:val="16"/>
          <w:szCs w:val="16"/>
          <w:color w:val="auto"/>
        </w:rPr>
      </w:pPr>
    </w:p>
    <w:p>
      <w:pPr>
        <w:ind w:left="-20" w:firstLine="464"/>
        <w:spacing w:after="0" w:line="264" w:lineRule="auto"/>
        <w:tabs>
          <w:tab w:leader="none" w:pos="616"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Effectiveness of Instructions; Reliance; Risk Acknowledgements; Additional Terms</w:t>
      </w:r>
      <w:r>
        <w:rPr>
          <w:rFonts w:ascii="Arial" w:cs="Arial" w:eastAsia="Arial" w:hAnsi="Arial"/>
          <w:sz w:val="18"/>
          <w:szCs w:val="18"/>
          <w:color w:val="auto"/>
        </w:rPr>
        <w:t>. (a) The Securities Intermediary shall be entitled to rely upon any Written Instructions actually received by the Securities Intermediary from the Pledgor or the Secured Party Representative and reasonably believed by the Securities Intermediary to be duly authorized and delivered.</w:t>
      </w:r>
    </w:p>
    <w:p>
      <w:pPr>
        <w:spacing w:after="0" w:line="181" w:lineRule="exact"/>
        <w:rPr>
          <w:sz w:val="20"/>
          <w:szCs w:val="20"/>
          <w:color w:val="auto"/>
        </w:rPr>
      </w:pPr>
    </w:p>
    <w:p>
      <w:pPr>
        <w:ind w:left="-20" w:right="180" w:firstLine="464"/>
        <w:spacing w:after="0" w:line="272" w:lineRule="auto"/>
        <w:tabs>
          <w:tab w:leader="none" w:pos="691" w:val="left"/>
        </w:tabs>
        <w:numPr>
          <w:ilvl w:val="0"/>
          <w:numId w:val="411"/>
        </w:numPr>
        <w:rPr>
          <w:rFonts w:ascii="Arial" w:cs="Arial" w:eastAsia="Arial" w:hAnsi="Arial"/>
          <w:sz w:val="17"/>
          <w:szCs w:val="17"/>
          <w:color w:val="auto"/>
        </w:rPr>
      </w:pPr>
      <w:r>
        <w:rPr>
          <w:rFonts w:ascii="Arial" w:cs="Arial" w:eastAsia="Arial" w:hAnsi="Arial"/>
          <w:sz w:val="17"/>
          <w:szCs w:val="17"/>
          <w:color w:val="auto"/>
        </w:rPr>
        <w:t>If the Securities Intermediary receives Written Instructions which appear on their face to have been transmitted via (i) computer facsimile, email, the Internet or other insecure electronic method, or (ii) secure electronic transmission containing applicable authorization codes, passwords and/or authentication keys, the Secured Party Representative and the Pledgor each understands and agrees that the Securities Intermediary cannot determine the identity of the actual sender of such Written Instructions and that the Securities Intermediary shall conclusively presume that such Written Instructions have been sent by an Authorized Person. The Secured Party Representative and the Pledgor shall be responsible for ensuring that only its Authorized Persons transmit such Written Instructions to the Securities Intermediary and that all of its Authorized Persons treat applicable user and authorization codes, passwords and/or authentication keys with extreme care.</w:t>
      </w:r>
    </w:p>
    <w:p>
      <w:pPr>
        <w:spacing w:after="0" w:line="177" w:lineRule="exact"/>
        <w:rPr>
          <w:rFonts w:ascii="Arial" w:cs="Arial" w:eastAsia="Arial" w:hAnsi="Arial"/>
          <w:sz w:val="17"/>
          <w:szCs w:val="17"/>
          <w:color w:val="auto"/>
        </w:rPr>
      </w:pPr>
    </w:p>
    <w:p>
      <w:pPr>
        <w:ind w:left="-20" w:right="180" w:firstLine="464"/>
        <w:spacing w:after="0" w:line="257" w:lineRule="auto"/>
        <w:tabs>
          <w:tab w:leader="none" w:pos="681"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Secured Party Representative and the Pledgor each acknowledges and agrees that it is fully informed of the protections and risks associated with the various methods of transmitting Written Instructions to the Securities Intermediary and that there may be more secure methods of transmitting Written Instructions than the method(s) selected by it. The Secured Party Representative and the Pledgor each agrees that the security procedures (if any) to be followed in connection with its transmission of Written Instructions provide to it a commercially reasonable degree of protection in light of its particular needs and circumstances.</w:t>
      </w:r>
    </w:p>
    <w:p>
      <w:pPr>
        <w:spacing w:after="0" w:line="188" w:lineRule="exact"/>
        <w:rPr>
          <w:rFonts w:ascii="Arial" w:cs="Arial" w:eastAsia="Arial" w:hAnsi="Arial"/>
          <w:sz w:val="18"/>
          <w:szCs w:val="18"/>
          <w:color w:val="auto"/>
        </w:rPr>
      </w:pPr>
    </w:p>
    <w:p>
      <w:pPr>
        <w:ind w:left="-20" w:right="120" w:firstLine="464"/>
        <w:spacing w:after="0" w:line="277" w:lineRule="auto"/>
        <w:tabs>
          <w:tab w:leader="none" w:pos="691"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If the Secured Party Representative or the Pledgor elects (with the Securities Intermediary’s prior consent) to transmit Written Instructions through an on-line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G-8</w:t>
      </w:r>
    </w:p>
    <w:p>
      <w:pPr>
        <w:sectPr>
          <w:pgSz w:w="11900" w:h="16838" w:orient="portrait"/>
          <w:cols w:equalWidth="0" w:num="1">
            <w:col w:w="11380"/>
          </w:cols>
          <w:pgMar w:left="260" w:top="274" w:right="259" w:bottom="1440" w:gutter="0" w:footer="0" w:header="0"/>
        </w:sectPr>
      </w:pPr>
    </w:p>
    <w:bookmarkStart w:id="369" w:name="page370"/>
    <w:bookmarkEnd w:id="369"/>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communications service owned or operated by a third party, it agrees that the Securities Intermediary shall not be responsible or liable for the reliability or availability of any such service.</w:t>
      </w:r>
    </w:p>
    <w:p>
      <w:pPr>
        <w:spacing w:after="0" w:line="170" w:lineRule="exact"/>
        <w:rPr>
          <w:sz w:val="20"/>
          <w:szCs w:val="20"/>
          <w:color w:val="auto"/>
        </w:rPr>
      </w:pPr>
    </w:p>
    <w:p>
      <w:pPr>
        <w:jc w:val="both"/>
        <w:ind w:right="140" w:firstLine="464"/>
        <w:spacing w:after="0" w:line="259" w:lineRule="auto"/>
        <w:tabs>
          <w:tab w:leader="none" w:pos="636"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Inspection</w:t>
      </w:r>
      <w:r>
        <w:rPr>
          <w:rFonts w:ascii="Arial" w:cs="Arial" w:eastAsia="Arial" w:hAnsi="Arial"/>
          <w:sz w:val="18"/>
          <w:szCs w:val="18"/>
          <w:color w:val="auto"/>
        </w:rPr>
        <w:t>. Upon reasonable request and provided the Securities Intermediary shall suffer no significant disruption of its normal activities, the Secured Party, the Pledgor or any Additional Secured Party shall have access to the Securities Intermediary’s books and records relating to the Account during the Securities Intermediary’s normal business hours. Upon reasonable request, copies of any such books and records shall be provided to the Secured Party, the Pledgor or any Additional Secured Party at its expense.</w:t>
      </w:r>
    </w:p>
    <w:p>
      <w:pPr>
        <w:spacing w:after="0" w:line="186" w:lineRule="exact"/>
        <w:rPr>
          <w:rFonts w:ascii="Arial" w:cs="Arial" w:eastAsia="Arial" w:hAnsi="Arial"/>
          <w:sz w:val="18"/>
          <w:szCs w:val="18"/>
          <w:color w:val="auto"/>
        </w:rPr>
      </w:pPr>
    </w:p>
    <w:p>
      <w:pPr>
        <w:ind w:right="280" w:firstLine="464"/>
        <w:spacing w:after="0" w:line="277" w:lineRule="auto"/>
        <w:tabs>
          <w:tab w:leader="none" w:pos="726"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Account Disclosure</w:t>
      </w:r>
      <w:r>
        <w:rPr>
          <w:rFonts w:ascii="Arial" w:cs="Arial" w:eastAsia="Arial" w:hAnsi="Arial"/>
          <w:sz w:val="18"/>
          <w:szCs w:val="18"/>
          <w:color w:val="auto"/>
        </w:rPr>
        <w:t>. The Securities Intermediary is authorized to supply any information regarding the Account which is required by any law or governmental regulation now or hereafter in effect.</w:t>
      </w:r>
    </w:p>
    <w:p>
      <w:pPr>
        <w:spacing w:after="0" w:line="170" w:lineRule="exact"/>
        <w:rPr>
          <w:rFonts w:ascii="Arial" w:cs="Arial" w:eastAsia="Arial" w:hAnsi="Arial"/>
          <w:sz w:val="18"/>
          <w:szCs w:val="18"/>
          <w:color w:val="auto"/>
        </w:rPr>
      </w:pPr>
    </w:p>
    <w:p>
      <w:pPr>
        <w:ind w:right="20" w:firstLine="464"/>
        <w:spacing w:after="0" w:line="257" w:lineRule="auto"/>
        <w:tabs>
          <w:tab w:leader="none" w:pos="72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The Securities Intermediary shall not be responsible or liable for any failure or delay in the performance of its obligations under this Agreement arising out of or caused, directly or indirectly, by circumstances beyond its reasonable control, including without limitation, acts of God; earthquakes; fires; floods; wars; civil or military disturbances; sabotage; epidemics; riots; interruptions, loss or malfunctions of utilities, computer (hardware or software) or communications service; accidents; labor disputes; acts of civil or military authority; governmental actions; inability to obtain labor, material, equipment or transportation.</w:t>
      </w:r>
    </w:p>
    <w:p>
      <w:pPr>
        <w:spacing w:after="0" w:line="188" w:lineRule="exact"/>
        <w:rPr>
          <w:rFonts w:ascii="Arial" w:cs="Arial" w:eastAsia="Arial" w:hAnsi="Arial"/>
          <w:sz w:val="18"/>
          <w:szCs w:val="18"/>
          <w:color w:val="auto"/>
        </w:rPr>
      </w:pPr>
    </w:p>
    <w:p>
      <w:pPr>
        <w:ind w:right="20" w:firstLine="464"/>
        <w:spacing w:after="0" w:line="342" w:lineRule="auto"/>
        <w:tabs>
          <w:tab w:leader="none" w:pos="726"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No Implied Duties</w:t>
      </w:r>
      <w:r>
        <w:rPr>
          <w:rFonts w:ascii="Arial" w:cs="Arial" w:eastAsia="Arial" w:hAnsi="Arial"/>
          <w:sz w:val="16"/>
          <w:szCs w:val="16"/>
          <w:color w:val="auto"/>
        </w:rPr>
        <w:t>. The Securities Intermediary shall have no duties or responsibilities whatsoever except such duties and responsibilities as are specifically set forth in this Agreement, and no covenant or obligation shall be implied against the Securities Intermediary in connection with this Agreement.</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464"/>
        <w:spacing w:after="0" w:line="272" w:lineRule="auto"/>
        <w:tabs>
          <w:tab w:leader="none" w:pos="636"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terminate (a) upon the Securities Intermediary’s receipt of Written Instructions from the Secured Party Representative expressly stating that the Secured Party Representative no longer claims any security interest in the Account Collateral and the Securities Intermediary’s subsequent transfer of the Account Collateral from the Account pursuant to the Pledgor’s Written Instructions, (b) upon transfer of the Account Collateral to the Secured Party Representative subsequent to the Securities Intermediary’s receipt of a Notice of Exclusive Control that has not been rescinded at the time of such transfer, or (c) upon delivery by the Securities Intermediary or, with the consent of the Pledgor, the Secured Party Representative of not less than five (5) business days’ prior written notice of termination to the other parties. Except as otherwise provided herein, all obligations of the parties to each other hereunder shall cease upon termination of this Agreement.</w:t>
      </w:r>
    </w:p>
    <w:p>
      <w:pPr>
        <w:spacing w:after="0" w:line="177" w:lineRule="exact"/>
        <w:rPr>
          <w:rFonts w:ascii="Arial" w:cs="Arial" w:eastAsia="Arial" w:hAnsi="Arial"/>
          <w:sz w:val="17"/>
          <w:szCs w:val="17"/>
          <w:color w:val="auto"/>
        </w:rPr>
      </w:pPr>
    </w:p>
    <w:p>
      <w:pPr>
        <w:ind w:right="400" w:firstLine="464"/>
        <w:spacing w:after="0" w:line="312" w:lineRule="auto"/>
        <w:tabs>
          <w:tab w:leader="none" w:pos="636"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Certificates of Authorized Persons</w:t>
      </w:r>
      <w:r>
        <w:rPr>
          <w:rFonts w:ascii="Arial" w:cs="Arial" w:eastAsia="Arial" w:hAnsi="Arial"/>
          <w:sz w:val="16"/>
          <w:szCs w:val="16"/>
          <w:color w:val="auto"/>
        </w:rPr>
        <w:t>. The Secured Party Representative and the Pledgor agree to furnish to the Securities Intermediary a new Certificate of Authorized Persons in the event of any change in the then present Authorized Persons. Until such new Certificate of Authorized Persons is received, the Securities Intermediary shall be fully protected in acting upon the Written Instructions of such present Authorized Persons.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G-9</w:t>
      </w:r>
    </w:p>
    <w:p>
      <w:pPr>
        <w:sectPr>
          <w:pgSz w:w="11900" w:h="16838" w:orient="portrait"/>
          <w:cols w:equalWidth="0" w:num="1">
            <w:col w:w="11400"/>
          </w:cols>
          <w:pgMar w:left="240" w:top="274" w:right="259" w:bottom="1440" w:gutter="0" w:footer="0" w:header="0"/>
        </w:sectPr>
      </w:pPr>
    </w:p>
    <w:bookmarkStart w:id="370" w:name="page371"/>
    <w:bookmarkEnd w:id="370"/>
    <w:p>
      <w:pPr>
        <w:jc w:val="both"/>
        <w:ind w:left="-100" w:right="120" w:firstLine="464"/>
        <w:spacing w:after="0" w:line="264" w:lineRule="auto"/>
        <w:tabs>
          <w:tab w:leader="none" w:pos="536"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color w:val="auto"/>
        </w:rPr>
        <w:t>. (a) Any notice or other instrument in writing, authorized or required by this Agreement to be given to the Securities Intermediary, shall be sufficiently given if addressed to the Securities Intermediary and received by it at its offices at the following address or at such other place as the Securities Intermediary may from time to time designate in writing:</w:t>
      </w:r>
    </w:p>
    <w:p>
      <w:pPr>
        <w:spacing w:after="0" w:line="73" w:lineRule="exact"/>
        <w:rPr>
          <w:sz w:val="20"/>
          <w:szCs w:val="20"/>
          <w:color w:val="auto"/>
        </w:rPr>
      </w:pPr>
    </w:p>
    <w:p>
      <w:pPr>
        <w:ind w:left="360" w:right="9340" w:firstLine="4"/>
        <w:spacing w:after="0" w:line="264" w:lineRule="auto"/>
        <w:tabs>
          <w:tab w:leader="none" w:pos="46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 Telephone: [ ● ] Facsimile: [ ● ] Attn: [ ● ]</w:t>
      </w:r>
    </w:p>
    <w:p>
      <w:pPr>
        <w:spacing w:after="0" w:line="181" w:lineRule="exact"/>
        <w:rPr>
          <w:sz w:val="20"/>
          <w:szCs w:val="20"/>
          <w:color w:val="auto"/>
        </w:rPr>
      </w:pPr>
    </w:p>
    <w:p>
      <w:pPr>
        <w:ind w:left="-100" w:right="160" w:firstLine="464"/>
        <w:spacing w:after="0" w:line="264" w:lineRule="auto"/>
        <w:tabs>
          <w:tab w:leader="none" w:pos="611"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Any notice or other instrument in writing, authorized or required by this Agreement to be given to the Secured Party shall be sufficiently given if addressed to the Secured Party and received by it at its offices at the following address or at such other place as the Secured Party may from time to time designate in writing:</w:t>
      </w:r>
    </w:p>
    <w:p>
      <w:pPr>
        <w:spacing w:after="0" w:line="73" w:lineRule="exact"/>
        <w:rPr>
          <w:sz w:val="20"/>
          <w:szCs w:val="20"/>
          <w:color w:val="auto"/>
        </w:rPr>
      </w:pPr>
    </w:p>
    <w:p>
      <w:pPr>
        <w:ind w:left="360" w:right="9400" w:firstLine="4"/>
        <w:spacing w:after="0" w:line="264" w:lineRule="auto"/>
        <w:tabs>
          <w:tab w:leader="none" w:pos="46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 Attention: [ ● ] Facsimile: [ ● ] Email: [ ● ]</w:t>
      </w:r>
    </w:p>
    <w:p>
      <w:pPr>
        <w:spacing w:after="0" w:line="181" w:lineRule="exact"/>
        <w:rPr>
          <w:sz w:val="20"/>
          <w:szCs w:val="20"/>
          <w:color w:val="auto"/>
        </w:rPr>
      </w:pPr>
    </w:p>
    <w:p>
      <w:pPr>
        <w:ind w:left="-100" w:right="260" w:firstLine="464"/>
        <w:spacing w:after="0" w:line="264" w:lineRule="auto"/>
        <w:tabs>
          <w:tab w:leader="none" w:pos="601"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Any notice or other instrument in writing, authorized or required by this Agreement to be given to the Pledgor shall be sufficiently given if addressed to the Pledgor and received by it at its offices at the following address, or at such other place as the Pledgor may from time to time designate in writing:</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Mail Drop 5662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[American Airlines Spare Parts Credit Agreement]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Telephone: (817) 963-1234</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Facsimile: (817) 967-4318</w:t>
      </w:r>
    </w:p>
    <w:p>
      <w:pPr>
        <w:spacing w:after="0" w:line="211" w:lineRule="exact"/>
        <w:rPr>
          <w:sz w:val="20"/>
          <w:szCs w:val="20"/>
          <w:color w:val="auto"/>
        </w:rPr>
      </w:pPr>
    </w:p>
    <w:p>
      <w:pPr>
        <w:ind w:left="-100" w:firstLine="464"/>
        <w:spacing w:after="0" w:line="279" w:lineRule="auto"/>
        <w:tabs>
          <w:tab w:leader="none" w:pos="536"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Cumulative Rights; No Waiver</w:t>
      </w:r>
      <w:r>
        <w:rPr>
          <w:rFonts w:ascii="Arial" w:cs="Arial" w:eastAsia="Arial" w:hAnsi="Arial"/>
          <w:sz w:val="17"/>
          <w:szCs w:val="17"/>
          <w:color w:val="auto"/>
        </w:rPr>
        <w:t>. Each and every right granted to the Securities Intermediary hereunder or under any other document delivered hereunder or in connection herewith, or allowed it by law or equity, shall be cumulative and may be exercised from time to time. No failure on the part of the Securities Intermediary to exercise, and no delay in exercising, any right will operate as a waiver thereof, nor will any single or partial exercise by the Securities Intermediary of any right preclude any other future exercise thereof or the exercise of any other right.</w:t>
      </w:r>
    </w:p>
    <w:p>
      <w:pPr>
        <w:spacing w:after="0" w:line="171" w:lineRule="exact"/>
        <w:rPr>
          <w:rFonts w:ascii="Arial" w:cs="Arial" w:eastAsia="Arial" w:hAnsi="Arial"/>
          <w:sz w:val="17"/>
          <w:szCs w:val="17"/>
          <w:color w:val="auto"/>
        </w:rPr>
      </w:pPr>
    </w:p>
    <w:p>
      <w:pPr>
        <w:ind w:left="-100" w:right="20" w:firstLine="464"/>
        <w:spacing w:after="0" w:line="264" w:lineRule="auto"/>
        <w:tabs>
          <w:tab w:leader="none" w:pos="536"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Severability Amendments; Assignment</w:t>
      </w:r>
      <w:r>
        <w:rPr>
          <w:rFonts w:ascii="Arial" w:cs="Arial" w:eastAsia="Arial" w:hAnsi="Arial"/>
          <w:sz w:val="18"/>
          <w:szCs w:val="18"/>
          <w:color w:val="auto"/>
        </w:rPr>
        <w:t>. In case any provision in or obligation under this Agreement shall be invalid, illegal or unenforceable in any jurisdiction, the validity, legality and enforceability of the remaining provisions shall not in any way be affected thereby. This Agreement may not be amended or modified in any manner except by a written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G-10</w:t>
      </w:r>
    </w:p>
    <w:p>
      <w:pPr>
        <w:sectPr>
          <w:pgSz w:w="11900" w:h="16838" w:orient="portrait"/>
          <w:cols w:equalWidth="0" w:num="1">
            <w:col w:w="11220"/>
          </w:cols>
          <w:pgMar w:left="340" w:top="273" w:right="339" w:bottom="1440" w:gutter="0" w:footer="0" w:header="0"/>
        </w:sectPr>
      </w:pPr>
    </w:p>
    <w:bookmarkStart w:id="371" w:name="page372"/>
    <w:bookmarkEnd w:id="371"/>
    <w:p>
      <w:pPr>
        <w:ind w:right="5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executed by the parties hereto. This Agreement shall extend to and shall be binding upon the parties hereto, and their respective successors and assigns;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this Agreement shall not be assignable by any party without the written consent of the other parties.</w:t>
      </w:r>
    </w:p>
    <w:p>
      <w:pPr>
        <w:spacing w:after="0" w:line="147" w:lineRule="exact"/>
        <w:rPr>
          <w:sz w:val="20"/>
          <w:szCs w:val="20"/>
          <w:color w:val="auto"/>
        </w:rPr>
      </w:pPr>
    </w:p>
    <w:p>
      <w:pPr>
        <w:ind w:firstLine="464"/>
        <w:spacing w:after="0" w:line="270" w:lineRule="auto"/>
        <w:tabs>
          <w:tab w:leader="none" w:pos="636"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Waiver of Immunity; Jury Trial Waiver</w:t>
      </w:r>
      <w:r>
        <w:rPr>
          <w:rFonts w:ascii="Arial" w:cs="Arial" w:eastAsia="Arial" w:hAnsi="Arial"/>
          <w:sz w:val="17"/>
          <w:szCs w:val="17"/>
          <w:color w:val="auto"/>
        </w:rPr>
        <w:t>. This Agreement and the Account shall be governed by and construed in accordance with the substantive laws of the State of New York, without regard to conflicts of laws principles thereof. The State of New York shall be deemed to be the location of the Securities Intermediary and, notwithstanding any other agreement to the contrary between the Securities Intermediary and the Pledgor, the State of New York is the jurisdiction of the Securities Intermediary for purposes of Part 3 of Article 9 of the UCC and Part 1 of Article 8 of the UCC. The Secured Party, the Pledgor, any Additional Secured Party and the Securities Intermediary hereby consent to the jurisdiction of a state or federal court situated in New York City, New York in connection with any dispute arising hereunder. To the extent that in any jurisdiction the Secured Party, the Pledgor or any Additional Secured Party may now or hereafter be entitled to claim, for itself or its assets, immunity from suit, execution, attachment (before or after judgment) or other legal process, the Secured Party, the Pledgor and any Additional Secured Party each irrevocably agrees not to claim, and hereby waives, such immunity. The Secured Party, the Pledgor, any Additional Secured Party and the Securities Intermediary each hereby irrevocably waives any and all rights to trial by jury in any legal proceeding arising out of or relating to this Agreement.</w:t>
      </w:r>
    </w:p>
    <w:p>
      <w:pPr>
        <w:spacing w:after="0" w:line="177" w:lineRule="exact"/>
        <w:rPr>
          <w:rFonts w:ascii="Arial" w:cs="Arial" w:eastAsia="Arial" w:hAnsi="Arial"/>
          <w:sz w:val="17"/>
          <w:szCs w:val="17"/>
          <w:color w:val="auto"/>
        </w:rPr>
      </w:pPr>
    </w:p>
    <w:p>
      <w:pPr>
        <w:ind w:right="40" w:firstLine="464"/>
        <w:spacing w:after="0" w:line="264" w:lineRule="auto"/>
        <w:tabs>
          <w:tab w:leader="none" w:pos="636"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In performing hereunder, the Securities Intermediary is acting solely on behalf of the Secured Party, the Pledgor and any Additional Secured Party and no contractual or service relationship shall be deemed to be established hereby between the Securities Intermediary and any other person.</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Section headings are included in this Agreement for convenience only and shall have no substantive effect on its interpretation.</w:t>
      </w:r>
    </w:p>
    <w:p>
      <w:pPr>
        <w:spacing w:after="0" w:line="236" w:lineRule="exact"/>
        <w:rPr>
          <w:rFonts w:ascii="Arial" w:cs="Arial" w:eastAsia="Arial" w:hAnsi="Arial"/>
          <w:sz w:val="17"/>
          <w:szCs w:val="17"/>
          <w:color w:val="auto"/>
        </w:rPr>
      </w:pPr>
    </w:p>
    <w:p>
      <w:pPr>
        <w:ind w:right="900" w:firstLine="464"/>
        <w:spacing w:after="0" w:line="277" w:lineRule="auto"/>
        <w:tabs>
          <w:tab w:leader="none" w:pos="636"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such counterparts shall, together, constitute only one instrument.</w:t>
      </w:r>
    </w:p>
    <w:p>
      <w:pPr>
        <w:spacing w:after="0" w:line="170" w:lineRule="exact"/>
        <w:rPr>
          <w:rFonts w:ascii="Arial" w:cs="Arial" w:eastAsia="Arial" w:hAnsi="Arial"/>
          <w:sz w:val="18"/>
          <w:szCs w:val="18"/>
          <w:color w:val="auto"/>
        </w:rPr>
      </w:pPr>
    </w:p>
    <w:p>
      <w:pPr>
        <w:ind w:right="120" w:firstLine="464"/>
        <w:spacing w:after="0" w:line="291" w:lineRule="auto"/>
        <w:tabs>
          <w:tab w:leader="none" w:pos="726" w:val="left"/>
        </w:tabs>
        <w:numPr>
          <w:ilvl w:val="0"/>
          <w:numId w:val="420"/>
        </w:numPr>
        <w:rPr>
          <w:rFonts w:ascii="Arial" w:cs="Arial" w:eastAsia="Arial" w:hAnsi="Arial"/>
          <w:sz w:val="16"/>
          <w:szCs w:val="16"/>
          <w:color w:val="auto"/>
        </w:rPr>
      </w:pPr>
      <w:r>
        <w:rPr>
          <w:rFonts w:ascii="Arial" w:cs="Arial" w:eastAsia="Arial" w:hAnsi="Arial"/>
          <w:sz w:val="16"/>
          <w:szCs w:val="16"/>
          <w:u w:val="single" w:color="auto"/>
          <w:color w:val="auto"/>
        </w:rPr>
        <w:t>USA PATRIOT ACT</w:t>
      </w:r>
      <w:r>
        <w:rPr>
          <w:rFonts w:ascii="Arial" w:cs="Arial" w:eastAsia="Arial" w:hAnsi="Arial"/>
          <w:sz w:val="16"/>
          <w:szCs w:val="16"/>
          <w:color w:val="auto"/>
        </w:rPr>
        <w:t>. The parties hereto acknowledge that in order to help the United States government fight the funding of terrorism and money laundering activities, pursuant to Federal regulations that became effective on October 1, 2003 (Section 326 of the USA PATRIOT Act) requires all financial institutions to obtain, verify, record and update information that identifies each person establishing a relationship or opening an account. The parties to this Agreement agree that they will provide to the United States Securities Intermediary such information as it may request, from time to time, in order for the United States Securities Intermediary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G-11</w:t>
      </w:r>
    </w:p>
    <w:p>
      <w:pPr>
        <w:sectPr>
          <w:pgSz w:w="11900" w:h="16838" w:orient="portrait"/>
          <w:cols w:equalWidth="0" w:num="1">
            <w:col w:w="11420"/>
          </w:cols>
          <w:pgMar w:left="240" w:top="273" w:right="239" w:bottom="1440" w:gutter="0" w:footer="0" w:header="0"/>
        </w:sectPr>
      </w:pPr>
    </w:p>
    <w:bookmarkStart w:id="372" w:name="page373"/>
    <w:bookmarkEnd w:id="372"/>
    <w:p>
      <w:pPr>
        <w:ind w:left="680" w:hanging="256"/>
        <w:spacing w:after="0"/>
        <w:tabs>
          <w:tab w:leader="none" w:pos="68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Solely Between the Pledgor, the Secured Party and any Additional Secured Party</w:t>
      </w:r>
      <w:r>
        <w:rPr>
          <w:rFonts w:ascii="Arial" w:cs="Arial" w:eastAsia="Arial" w:hAnsi="Arial"/>
          <w:sz w:val="18"/>
          <w:szCs w:val="18"/>
          <w:color w:val="auto"/>
        </w:rPr>
        <w:t>.</w:t>
      </w:r>
    </w:p>
    <w:p>
      <w:pPr>
        <w:spacing w:after="0" w:line="225" w:lineRule="exact"/>
        <w:rPr>
          <w:sz w:val="20"/>
          <w:szCs w:val="20"/>
          <w:color w:val="auto"/>
        </w:rPr>
      </w:pPr>
    </w:p>
    <w:p>
      <w:pPr>
        <w:ind w:left="-40" w:right="20" w:firstLine="464"/>
        <w:spacing w:after="0" w:line="259" w:lineRule="auto"/>
        <w:tabs>
          <w:tab w:leader="none" w:pos="661" w:val="left"/>
        </w:tabs>
        <w:numPr>
          <w:ilvl w:val="0"/>
          <w:numId w:val="422"/>
        </w:numPr>
        <w:rPr>
          <w:rFonts w:ascii="Arial" w:cs="Arial" w:eastAsia="Arial" w:hAnsi="Arial"/>
          <w:sz w:val="18"/>
          <w:szCs w:val="18"/>
          <w:color w:val="auto"/>
        </w:rPr>
      </w:pPr>
      <w:r>
        <w:rPr>
          <w:rFonts w:ascii="Arial" w:cs="Arial" w:eastAsia="Arial" w:hAnsi="Arial"/>
          <w:sz w:val="18"/>
          <w:szCs w:val="18"/>
          <w:color w:val="auto"/>
        </w:rPr>
        <w:t>Without limiting the provisions of Section 3 of Article IV and other similar provisions set forth herein, the Securities Intermediary, in its capacity as such, has no interest in, and no duty, responsibility or obligation with respect to, the following provisions of this Section 11 (including without limitation, no duty, responsibility or obligation to monitor the Pledgor’s, the Secured Party’s or any Additional Secured Party’s compliance with the Secured Debt Documents or to know the terms of the Secured Debt Documents).</w:t>
      </w:r>
    </w:p>
    <w:p>
      <w:pPr>
        <w:spacing w:after="0" w:line="186" w:lineRule="exact"/>
        <w:rPr>
          <w:rFonts w:ascii="Arial" w:cs="Arial" w:eastAsia="Arial" w:hAnsi="Arial"/>
          <w:sz w:val="18"/>
          <w:szCs w:val="18"/>
          <w:color w:val="auto"/>
        </w:rPr>
      </w:pPr>
    </w:p>
    <w:p>
      <w:pPr>
        <w:ind w:left="-40" w:right="680" w:firstLine="464"/>
        <w:spacing w:after="0" w:line="277" w:lineRule="auto"/>
        <w:tabs>
          <w:tab w:leader="none" w:pos="671" w:val="left"/>
        </w:tabs>
        <w:numPr>
          <w:ilvl w:val="0"/>
          <w:numId w:val="422"/>
        </w:numPr>
        <w:rPr>
          <w:rFonts w:ascii="Arial" w:cs="Arial" w:eastAsia="Arial" w:hAnsi="Arial"/>
          <w:sz w:val="18"/>
          <w:szCs w:val="18"/>
          <w:color w:val="auto"/>
        </w:rPr>
      </w:pPr>
      <w:r>
        <w:rPr>
          <w:rFonts w:ascii="Arial" w:cs="Arial" w:eastAsia="Arial" w:hAnsi="Arial"/>
          <w:sz w:val="18"/>
          <w:szCs w:val="18"/>
          <w:color w:val="auto"/>
        </w:rPr>
        <w:t>Solely as between the Pledgor and the Secured Party Representative (and without limiting the Security Intermediary’s agreements set forth elsewhere herein, including in Section 1 of Article III hereof):</w:t>
      </w:r>
    </w:p>
    <w:p>
      <w:pPr>
        <w:spacing w:after="0" w:line="62" w:lineRule="exact"/>
        <w:rPr>
          <w:rFonts w:ascii="Arial" w:cs="Arial" w:eastAsia="Arial" w:hAnsi="Arial"/>
          <w:sz w:val="18"/>
          <w:szCs w:val="18"/>
          <w:color w:val="auto"/>
        </w:rPr>
      </w:pPr>
    </w:p>
    <w:p>
      <w:pPr>
        <w:ind w:left="420" w:right="780" w:firstLine="443"/>
        <w:spacing w:after="0" w:line="277" w:lineRule="auto"/>
        <w:tabs>
          <w:tab w:leader="none" w:pos="998"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 Secured Party Representative may not deliver a Notice of Exclusive Control unless an Event of Default (as defined in the Credit Agreement) has occurred and is continuing.</w:t>
      </w:r>
    </w:p>
    <w:p>
      <w:pPr>
        <w:spacing w:after="0" w:line="62" w:lineRule="exact"/>
        <w:rPr>
          <w:rFonts w:ascii="Arial" w:cs="Arial" w:eastAsia="Arial" w:hAnsi="Arial"/>
          <w:sz w:val="18"/>
          <w:szCs w:val="18"/>
          <w:color w:val="auto"/>
        </w:rPr>
      </w:pPr>
    </w:p>
    <w:p>
      <w:pPr>
        <w:ind w:left="420" w:firstLine="443"/>
        <w:spacing w:after="0" w:line="264" w:lineRule="auto"/>
        <w:tabs>
          <w:tab w:leader="none" w:pos="1048" w:val="left"/>
        </w:tabs>
        <w:numPr>
          <w:ilvl w:val="1"/>
          <w:numId w:val="422"/>
        </w:numPr>
        <w:rPr>
          <w:rFonts w:ascii="Arial" w:cs="Arial" w:eastAsia="Arial" w:hAnsi="Arial"/>
          <w:sz w:val="18"/>
          <w:szCs w:val="18"/>
          <w:color w:val="auto"/>
        </w:rPr>
      </w:pPr>
      <w:r>
        <w:rPr>
          <w:rFonts w:ascii="Arial" w:cs="Arial" w:eastAsia="Arial" w:hAnsi="Arial"/>
          <w:sz w:val="18"/>
          <w:szCs w:val="18"/>
          <w:color w:val="auto"/>
        </w:rPr>
        <w:t>Following the delivery of a Notice of Exclusive Control, the Secured Party Representative shall deliver a Rescission Notice if, at any time, (A) the event giving rise to such Notice of Exclusive Control is no longer continuing, and (B) at such time, no Event of Default (as defined in the Credit Agreement) has occurred and is continuing.</w:t>
      </w:r>
    </w:p>
    <w:p>
      <w:pPr>
        <w:spacing w:after="0" w:line="181" w:lineRule="exact"/>
        <w:rPr>
          <w:sz w:val="20"/>
          <w:szCs w:val="20"/>
          <w:color w:val="auto"/>
        </w:rPr>
      </w:pPr>
    </w:p>
    <w:p>
      <w:pPr>
        <w:ind w:left="-40" w:firstLine="464"/>
        <w:spacing w:after="0" w:line="257" w:lineRule="auto"/>
        <w:tabs>
          <w:tab w:leader="none" w:pos="686"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With respect to the Account Collateral, the Pledgor will take, or cause to be taken, such commercially reasonable actions as are necessary to maintain, so long as the Security Agreement is in effect, the perfection of the security interests created by the Security Agreement in the Account Collateral, subject, in each case, to Permitted Liens, or will furnish the Secured Party or any Additional Secured Party timely notice of the necessity of such action, together with such instruments, in execution form, and such other information, as may be required to enable the Secured Party or any Additional Secured Party to take such 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IS LEFT BLANK INTENTIONALLY]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G-12</w:t>
      </w:r>
    </w:p>
    <w:p>
      <w:pPr>
        <w:sectPr>
          <w:pgSz w:w="11900" w:h="16838" w:orient="portrait"/>
          <w:cols w:equalWidth="0" w:num="1">
            <w:col w:w="11340"/>
          </w:cols>
          <w:pgMar w:left="280" w:top="274" w:right="279" w:bottom="1440" w:gutter="0" w:footer="0" w:header="0"/>
        </w:sectPr>
      </w:pPr>
    </w:p>
    <w:bookmarkStart w:id="373" w:name="page374"/>
    <w:bookmarkEnd w:id="37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Secured Party, the Pledgor and the Securities Intermediary have caused this Agreement to be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officers, thereunto duly authorized, as of the day and year first above written.</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Collateral Account Control Agreement</w:t>
      </w:r>
    </w:p>
    <w:p>
      <w:pPr>
        <w:sectPr>
          <w:pgSz w:w="11900" w:h="16838" w:orient="portrait"/>
          <w:cols w:equalWidth="0" w:num="1">
            <w:col w:w="10840"/>
          </w:cols>
          <w:pgMar w:left="240" w:top="270" w:right="819" w:bottom="1440" w:gutter="0" w:footer="0" w:header="0"/>
        </w:sectPr>
      </w:pPr>
    </w:p>
    <w:bookmarkStart w:id="374" w:name="page375"/>
    <w:bookmarkEnd w:id="374"/>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w:t>
      </w:r>
      <w:r>
        <w:rPr>
          <w:rFonts w:ascii="Arial" w:cs="Arial" w:eastAsia="Arial" w:hAnsi="Arial"/>
          <w:sz w:val="17"/>
          <w:szCs w:val="17"/>
          <w:color w:val="auto"/>
        </w:rPr>
        <w:t>, not in its individual capacity, but</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solely as Secured Party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Collateral Account Control Agreement</w:t>
      </w:r>
    </w:p>
    <w:p>
      <w:pPr>
        <w:sectPr>
          <w:pgSz w:w="11900" w:h="16838" w:orient="portrait"/>
          <w:cols w:equalWidth="0" w:num="1">
            <w:col w:w="10160"/>
          </w:cols>
          <w:pgMar w:left="1440" w:top="270" w:right="299" w:bottom="1440" w:gutter="0" w:footer="0" w:header="0"/>
        </w:sectPr>
      </w:pPr>
    </w:p>
    <w:bookmarkStart w:id="375" w:name="page376"/>
    <w:bookmarkEnd w:id="375"/>
    <w:p>
      <w:pPr>
        <w:ind w:left="6620" w:hanging="965"/>
        <w:spacing w:after="0"/>
        <w:tabs>
          <w:tab w:leader="none" w:pos="6620" w:val="left"/>
        </w:tabs>
        <w:numPr>
          <w:ilvl w:val="0"/>
          <w:numId w:val="42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color w:val="auto"/>
        </w:rPr>
        <w:t>, as Securities Intermediary</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Collateral Account Control Agreement</w:t>
      </w:r>
    </w:p>
    <w:p>
      <w:pPr>
        <w:sectPr>
          <w:pgSz w:w="11900" w:h="16838" w:orient="portrait"/>
          <w:cols w:equalWidth="0" w:num="1">
            <w:col w:w="9019"/>
          </w:cols>
          <w:pgMar w:left="1440" w:top="269" w:right="1440"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AUTHORIZED PERSONS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 Written Instructions)</w:t>
      </w:r>
    </w:p>
    <w:p>
      <w:pPr>
        <w:spacing w:after="0" w:line="211" w:lineRule="exact"/>
        <w:rPr>
          <w:sz w:val="20"/>
          <w:szCs w:val="20"/>
          <w:color w:val="auto"/>
        </w:rPr>
      </w:pPr>
    </w:p>
    <w:p>
      <w:pPr>
        <w:ind w:left="460"/>
        <w:spacing w:after="0"/>
        <w:tabs>
          <w:tab w:leader="none" w:pos="6180" w:val="left"/>
        </w:tabs>
        <w:rPr>
          <w:sz w:val="20"/>
          <w:szCs w:val="20"/>
          <w:color w:val="auto"/>
        </w:rPr>
      </w:pPr>
      <w:r>
        <w:rPr>
          <w:rFonts w:ascii="Arial" w:cs="Arial" w:eastAsia="Arial" w:hAnsi="Arial"/>
          <w:sz w:val="18"/>
          <w:szCs w:val="18"/>
          <w:color w:val="auto"/>
        </w:rPr>
        <w:t>The undersigned hereby certifies that he/she is the [duly elected and acting] [</w:t>
      </w:r>
      <w:r>
        <w:rPr>
          <w:sz w:val="20"/>
          <w:szCs w:val="20"/>
          <w:color w:val="auto"/>
        </w:rPr>
        <w:tab/>
      </w:r>
      <w:r>
        <w:rPr>
          <w:rFonts w:ascii="Arial" w:cs="Arial" w:eastAsia="Arial" w:hAnsi="Arial"/>
          <w:sz w:val="16"/>
          <w:szCs w:val="16"/>
          <w:color w:val="auto"/>
        </w:rPr>
        <w:t>] of [American Airlines, Inc., a Delaware corporation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w:t>
      </w:r>
      <w:r>
        <w:rPr>
          <w:rFonts w:ascii="Arial" w:cs="Arial" w:eastAsia="Arial" w:hAnsi="Arial"/>
          <w:sz w:val="16"/>
          <w:szCs w:val="16"/>
          <w:color w:val="auto"/>
        </w:rPr>
        <w:t>”)] [Barclays Bank PLC, as collateral agent (the “</w:t>
      </w:r>
      <w:r>
        <w:rPr>
          <w:rFonts w:ascii="Arial" w:cs="Arial" w:eastAsia="Arial" w:hAnsi="Arial"/>
          <w:sz w:val="16"/>
          <w:szCs w:val="16"/>
          <w:b w:val="1"/>
          <w:bCs w:val="1"/>
          <w:color w:val="auto"/>
        </w:rPr>
        <w:t>Secured Party Representative</w:t>
      </w:r>
      <w:r>
        <w:rPr>
          <w:rFonts w:ascii="Arial" w:cs="Arial" w:eastAsia="Arial" w:hAnsi="Arial"/>
          <w:sz w:val="16"/>
          <w:szCs w:val="16"/>
          <w:color w:val="auto"/>
        </w:rPr>
        <w:t>”)], and further certifies that the officers or employees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[Corporation] [Secured Party Representative] named on Exhibit A hereto have been duly authorized in conformity with the [Corporation] [Secured Party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Certificate of Incorporation, By-Laws or other organizational document to deliver Written Instructions to [Barclays Bank PLC] (the</w:t>
      </w:r>
    </w:p>
    <w:p>
      <w:pPr>
        <w:spacing w:after="0" w:line="21"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Intermediary</w:t>
      </w:r>
      <w:r>
        <w:rPr>
          <w:rFonts w:ascii="Arial" w:cs="Arial" w:eastAsia="Arial" w:hAnsi="Arial"/>
          <w:sz w:val="17"/>
          <w:szCs w:val="17"/>
          <w:color w:val="auto"/>
        </w:rPr>
        <w:t>”) pursuant to the Collateral Account Control Agreement among the [Corporation] [American Airlines, Inc.], [ ] [Secured Party Representative], and the Securities Intermediary, dated as of , 20 (as amended, amended and restated, supplemented or otherwise</w:t>
      </w:r>
    </w:p>
    <w:p>
      <w:pPr>
        <w:spacing w:after="0"/>
        <w:rPr>
          <w:sz w:val="20"/>
          <w:szCs w:val="20"/>
          <w:color w:val="auto"/>
        </w:rPr>
      </w:pPr>
      <w:r>
        <w:rPr>
          <w:rFonts w:ascii="Arial" w:cs="Arial" w:eastAsia="Arial" w:hAnsi="Arial"/>
          <w:sz w:val="18"/>
          <w:szCs w:val="18"/>
          <w:color w:val="auto"/>
        </w:rPr>
        <w:t>modified from time to time, the “</w:t>
      </w:r>
      <w:r>
        <w:rPr>
          <w:rFonts w:ascii="Arial" w:cs="Arial" w:eastAsia="Arial" w:hAnsi="Arial"/>
          <w:sz w:val="18"/>
          <w:szCs w:val="18"/>
          <w:b w:val="1"/>
          <w:bCs w:val="1"/>
          <w:color w:val="auto"/>
        </w:rPr>
        <w:t>Agreement</w:t>
      </w:r>
      <w:r>
        <w:rPr>
          <w:rFonts w:ascii="Arial" w:cs="Arial" w:eastAsia="Arial" w:hAnsi="Arial"/>
          <w:sz w:val="18"/>
          <w:szCs w:val="18"/>
          <w:color w:val="auto"/>
        </w:rPr>
        <w:t>”), and that the signatures appearing opposite their names are true and 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supersedes any certificate of authorized individuals you may currently have on file.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but not defined shall have the meaning assigned to such terms in the Agreement.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[BARCLAYS BANK PLC, not in its individual capacity, but</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solely as Secured Party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6260" w:type="dxa"/>
            <w:vAlign w:val="bottom"/>
            <w:gridSpan w:val="5"/>
          </w:tcPr>
          <w:p>
            <w:pPr>
              <w:ind w:left="440"/>
              <w:spacing w:after="0"/>
              <w:rPr>
                <w:sz w:val="20"/>
                <w:szCs w:val="20"/>
                <w:color w:val="auto"/>
              </w:rPr>
            </w:pPr>
            <w:r>
              <w:rPr>
                <w:rFonts w:ascii="Arial" w:cs="Arial" w:eastAsia="Arial" w:hAnsi="Arial"/>
                <w:sz w:val="18"/>
                <w:szCs w:val="18"/>
                <w:b w:val="1"/>
                <w:bCs w:val="1"/>
                <w:color w:val="auto"/>
              </w:rPr>
              <w:t>EXHIBIT A TO THE CERTIFICATE OF AUTHORIZED PERSONS</w:t>
            </w:r>
          </w:p>
        </w:tc>
        <w:tc>
          <w:tcPr>
            <w:tcW w:w="2580" w:type="dxa"/>
            <w:vAlign w:val="bottom"/>
          </w:tcPr>
          <w:p>
            <w:pPr>
              <w:spacing w:after="0"/>
              <w:rPr>
                <w:sz w:val="20"/>
                <w:szCs w:val="20"/>
                <w:color w:val="auto"/>
              </w:rPr>
            </w:pPr>
          </w:p>
        </w:tc>
      </w:tr>
      <w:tr>
        <w:trPr>
          <w:trHeight w:val="459"/>
        </w:trPr>
        <w:tc>
          <w:tcPr>
            <w:tcW w:w="2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r>
        <w:trPr>
          <w:trHeight w:val="224"/>
        </w:trPr>
        <w:tc>
          <w:tcPr>
            <w:tcW w:w="2580" w:type="dxa"/>
            <w:vAlign w:val="bottom"/>
          </w:tcPr>
          <w:p>
            <w:pPr>
              <w:ind w:left="1720"/>
              <w:spacing w:after="0"/>
              <w:rPr>
                <w:sz w:val="20"/>
                <w:szCs w:val="20"/>
                <w:color w:val="auto"/>
              </w:rPr>
            </w:pPr>
            <w:r>
              <w:rPr>
                <w:rFonts w:ascii="Arial" w:cs="Arial" w:eastAsia="Arial" w:hAnsi="Arial"/>
                <w:sz w:val="18"/>
                <w:szCs w:val="18"/>
                <w:color w:val="auto"/>
              </w:rPr>
              <w:t>Name</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tcPr>
          <w:p>
            <w:pPr>
              <w:ind w:left="146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580" w:type="dxa"/>
            <w:vAlign w:val="bottom"/>
          </w:tcPr>
          <w:p>
            <w:pPr>
              <w:ind w:left="420"/>
              <w:spacing w:after="0"/>
              <w:rPr>
                <w:sz w:val="20"/>
                <w:szCs w:val="20"/>
                <w:color w:val="auto"/>
              </w:rPr>
            </w:pPr>
            <w:r>
              <w:rPr>
                <w:rFonts w:ascii="Arial" w:cs="Arial" w:eastAsia="Arial" w:hAnsi="Arial"/>
                <w:sz w:val="18"/>
                <w:szCs w:val="18"/>
                <w:color w:val="auto"/>
              </w:rPr>
              <w:t>Signature</w:t>
            </w:r>
          </w:p>
        </w:tc>
      </w:tr>
      <w:tr>
        <w:trPr>
          <w:trHeight w:val="431"/>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258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Name</w:t>
            </w:r>
          </w:p>
        </w:tc>
        <w:tc>
          <w:tcPr>
            <w:tcW w:w="1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Signature</w:t>
            </w:r>
          </w:p>
        </w:tc>
      </w:tr>
      <w:tr>
        <w:trPr>
          <w:trHeight w:val="431"/>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258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Name</w:t>
            </w:r>
          </w:p>
        </w:tc>
        <w:tc>
          <w:tcPr>
            <w:tcW w:w="1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Signature</w:t>
            </w:r>
          </w:p>
        </w:tc>
      </w:tr>
      <w:tr>
        <w:trPr>
          <w:trHeight w:val="431"/>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258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Name</w:t>
            </w:r>
          </w:p>
        </w:tc>
        <w:tc>
          <w:tcPr>
            <w:tcW w:w="1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Signature</w:t>
            </w:r>
          </w:p>
        </w:tc>
      </w:tr>
      <w:tr>
        <w:trPr>
          <w:trHeight w:val="431"/>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258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Name</w:t>
            </w:r>
          </w:p>
        </w:tc>
        <w:tc>
          <w:tcPr>
            <w:tcW w:w="1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Signature</w:t>
            </w:r>
          </w:p>
        </w:tc>
      </w:tr>
      <w:tr>
        <w:trPr>
          <w:trHeight w:val="431"/>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258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Name</w:t>
            </w:r>
          </w:p>
        </w:tc>
        <w:tc>
          <w:tcPr>
            <w:tcW w:w="1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Signature</w:t>
            </w:r>
          </w:p>
        </w:tc>
      </w:tr>
      <w:tr>
        <w:trPr>
          <w:trHeight w:val="431"/>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258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Name</w:t>
            </w:r>
          </w:p>
        </w:tc>
        <w:tc>
          <w:tcPr>
            <w:tcW w:w="1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Signature</w:t>
            </w:r>
          </w:p>
        </w:tc>
      </w:tr>
      <w:tr>
        <w:trPr>
          <w:trHeight w:val="431"/>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258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Name</w:t>
            </w:r>
          </w:p>
        </w:tc>
        <w:tc>
          <w:tcPr>
            <w:tcW w:w="1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Signature</w:t>
            </w:r>
          </w:p>
        </w:tc>
      </w:tr>
      <w:tr>
        <w:trPr>
          <w:trHeight w:val="431"/>
        </w:trPr>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258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Name</w:t>
            </w:r>
          </w:p>
        </w:tc>
        <w:tc>
          <w:tcPr>
            <w:tcW w:w="1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Signature</w:t>
            </w:r>
          </w:p>
        </w:tc>
      </w:tr>
    </w:tbl>
    <w:p>
      <w:pPr>
        <w:ind w:left="420"/>
        <w:spacing w:after="0"/>
        <w:rPr>
          <w:sz w:val="20"/>
          <w:szCs w:val="20"/>
          <w:color w:val="auto"/>
        </w:rPr>
        <w:sectPr>
          <w:pgSz w:w="11900" w:h="16838" w:orient="portrait"/>
          <w:cols w:equalWidth="0" w:num="1">
            <w:col w:w="11420"/>
          </w:cols>
          <w:pgMar w:left="240" w:top="26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78" w:name="page379"/>
    <w:bookmarkEnd w:id="37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be placed on Secured Party Representative’s letterhead]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COLLATERAL ACCOUNT CONTROL AGREEMENT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NOTICE OF EXCLUSIVE CONTROL</w:t>
      </w:r>
    </w:p>
    <w:p>
      <w:pPr>
        <w:spacing w:after="0" w:line="211"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ind w:right="9400" w:firstLine="8"/>
        <w:spacing w:after="0" w:line="261" w:lineRule="auto"/>
        <w:tabs>
          <w:tab w:leader="none" w:pos="10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 Phone: [ ● ] Fax: [ ● ] Attn: [ ● ]</w:t>
      </w:r>
    </w:p>
    <w:p>
      <w:pPr>
        <w:spacing w:after="0" w:line="211" w:lineRule="exact"/>
        <w:rPr>
          <w:sz w:val="20"/>
          <w:szCs w:val="20"/>
          <w:color w:val="auto"/>
        </w:rPr>
      </w:pPr>
    </w:p>
    <w:p>
      <w:pPr>
        <w:ind w:left="900" w:right="80" w:hanging="439"/>
        <w:spacing w:after="0" w:line="264" w:lineRule="auto"/>
        <w:tabs>
          <w:tab w:leader="none" w:pos="880" w:val="left"/>
        </w:tabs>
        <w:rPr>
          <w:sz w:val="20"/>
          <w:szCs w:val="20"/>
          <w:color w:val="auto"/>
        </w:rPr>
      </w:pPr>
      <w:r>
        <w:rPr>
          <w:rFonts w:ascii="Arial" w:cs="Arial" w:eastAsia="Arial" w:hAnsi="Arial"/>
          <w:sz w:val="18"/>
          <w:szCs w:val="18"/>
          <w:color w:val="auto"/>
        </w:rPr>
        <w:t>Re:</w:t>
        <w:tab/>
        <w:t>Collateral Account Control Agreement dated as of , 20 (as amended, amended and restated, supplemented or otherwise modified from time to time, the “</w:t>
      </w:r>
      <w:r>
        <w:rPr>
          <w:rFonts w:ascii="Arial" w:cs="Arial" w:eastAsia="Arial" w:hAnsi="Arial"/>
          <w:sz w:val="18"/>
          <w:szCs w:val="18"/>
          <w:b w:val="1"/>
          <w:bCs w:val="1"/>
          <w:color w:val="auto"/>
        </w:rPr>
        <w:t>Agreement</w:t>
      </w:r>
      <w:r>
        <w:rPr>
          <w:rFonts w:ascii="Arial" w:cs="Arial" w:eastAsia="Arial" w:hAnsi="Arial"/>
          <w:sz w:val="18"/>
          <w:szCs w:val="18"/>
          <w:color w:val="auto"/>
        </w:rPr>
        <w:t>”) by and among American Airlines Inc., Barclays Bank PLC, as collateral agent, and [Barclays Bank PLC], in respect of account number [ ●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constitutes a Notice of Exclusive Control as referred to in Article III of the Agreement, a copy of which is attached hereto. Capitalized terms used herein but not defined shall have the meaning assigned to such terms in the Agreement.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[BARCLAYS BANK PLC], not in its individual capacity, but</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solely as Secured Party Representative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220980</wp:posOffset>
            </wp:positionV>
            <wp:extent cx="265874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4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220980</wp:posOffset>
            </wp:positionV>
            <wp:extent cx="265874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4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60"/>
          </w:cols>
          <w:pgMar w:left="240" w:top="274" w:right="299" w:bottom="1440" w:gutter="0" w:footer="0" w:header="0"/>
        </w:sectPr>
      </w:pPr>
    </w:p>
    <w:bookmarkStart w:id="379" w:name="page380"/>
    <w:bookmarkEnd w:id="379"/>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to the Collateral Account Control Agreement</w:t>
      </w:r>
    </w:p>
    <w:p>
      <w:pPr>
        <w:spacing w:after="0" w:line="225" w:lineRule="exact"/>
        <w:rPr>
          <w:sz w:val="20"/>
          <w:szCs w:val="20"/>
          <w:color w:val="auto"/>
        </w:rPr>
      </w:pPr>
    </w:p>
    <w:p>
      <w:pPr>
        <w:ind w:left="460"/>
        <w:spacing w:after="0"/>
        <w:tabs>
          <w:tab w:leader="none" w:pos="3060" w:val="left"/>
        </w:tabs>
        <w:rPr>
          <w:sz w:val="20"/>
          <w:szCs w:val="20"/>
          <w:color w:val="auto"/>
        </w:rPr>
      </w:pPr>
      <w:r>
        <w:rPr>
          <w:rFonts w:ascii="Arial" w:cs="Arial" w:eastAsia="Arial" w:hAnsi="Arial"/>
          <w:sz w:val="18"/>
          <w:szCs w:val="18"/>
          <w:color w:val="auto"/>
        </w:rPr>
        <w:t>JOINDER, dated as of [</w:t>
      </w:r>
      <w:r>
        <w:rPr>
          <w:sz w:val="20"/>
          <w:szCs w:val="20"/>
          <w:color w:val="auto"/>
        </w:rPr>
        <w:tab/>
      </w:r>
      <w:r>
        <w:rPr>
          <w:rFonts w:ascii="Arial" w:cs="Arial" w:eastAsia="Arial" w:hAnsi="Arial"/>
          <w:sz w:val="16"/>
          <w:szCs w:val="16"/>
          <w:color w:val="auto"/>
        </w:rPr>
        <w:t>], by and among American Airlines, Inc. (the “</w:t>
      </w:r>
      <w:r>
        <w:rPr>
          <w:rFonts w:ascii="Arial" w:cs="Arial" w:eastAsia="Arial" w:hAnsi="Arial"/>
          <w:sz w:val="16"/>
          <w:szCs w:val="16"/>
          <w:b w:val="1"/>
          <w:bCs w:val="1"/>
          <w:color w:val="auto"/>
        </w:rPr>
        <w:t>Pledgor</w:t>
      </w:r>
      <w:r>
        <w:rPr>
          <w:rFonts w:ascii="Arial" w:cs="Arial" w:eastAsia="Arial" w:hAnsi="Arial"/>
          <w:sz w:val="16"/>
          <w:szCs w:val="16"/>
          <w:color w:val="auto"/>
        </w:rPr>
        <w:t>”), Barclays Bank PLC, as collateral agent (in such capacity,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and together with its successors and permitted assigns (including, without limitation, any Senior Priority Representative (as defined in the Intercreditor</w:t>
      </w:r>
    </w:p>
    <w:p>
      <w:pPr>
        <w:spacing w:after="0" w:line="39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Agreement)), the “</w:t>
      </w:r>
      <w:r>
        <w:rPr>
          <w:rFonts w:ascii="Arial" w:cs="Arial" w:eastAsia="Arial" w:hAnsi="Arial"/>
          <w:sz w:val="18"/>
          <w:szCs w:val="18"/>
          <w:b w:val="1"/>
          <w:bCs w:val="1"/>
          <w:color w:val="auto"/>
        </w:rPr>
        <w:t>Secured Party</w:t>
      </w:r>
      <w:r>
        <w:rPr>
          <w:rFonts w:ascii="Arial" w:cs="Arial" w:eastAsia="Arial" w:hAnsi="Arial"/>
          <w:sz w:val="18"/>
          <w:szCs w:val="18"/>
          <w:color w:val="auto"/>
        </w:rPr>
        <w:t>”), [Barclays Bank PLC] (the “</w:t>
      </w:r>
      <w:r>
        <w:rPr>
          <w:rFonts w:ascii="Arial" w:cs="Arial" w:eastAsia="Arial" w:hAnsi="Arial"/>
          <w:sz w:val="18"/>
          <w:szCs w:val="18"/>
          <w:b w:val="1"/>
          <w:bCs w:val="1"/>
          <w:color w:val="auto"/>
        </w:rPr>
        <w:t>Securities Intermediary</w:t>
      </w:r>
      <w:r>
        <w:rPr>
          <w:rFonts w:ascii="Arial" w:cs="Arial" w:eastAsia="Arial" w:hAnsi="Arial"/>
          <w:sz w:val="18"/>
          <w:szCs w:val="18"/>
          <w:color w:val="auto"/>
        </w:rPr>
        <w:t>”) and [ ] (the “</w:t>
      </w:r>
      <w:r>
        <w:rPr>
          <w:rFonts w:ascii="Arial" w:cs="Arial" w:eastAsia="Arial" w:hAnsi="Arial"/>
          <w:sz w:val="18"/>
          <w:szCs w:val="18"/>
          <w:b w:val="1"/>
          <w:bCs w:val="1"/>
          <w:color w:val="auto"/>
        </w:rPr>
        <w:t>Additional Secured Party</w:t>
      </w:r>
      <w:r>
        <w:rPr>
          <w:rFonts w:ascii="Arial" w:cs="Arial" w:eastAsia="Arial" w:hAnsi="Arial"/>
          <w:sz w:val="18"/>
          <w:szCs w:val="18"/>
          <w:color w:val="auto"/>
        </w:rPr>
        <w:t>”). Except as otherwise defined herein, terms used herein and defined in the Credit Agreement shall be used herein as therein defined.</w:t>
      </w:r>
    </w:p>
    <w:p>
      <w:pPr>
        <w:sectPr>
          <w:pgSz w:w="11900" w:h="16838" w:orient="portrait"/>
          <w:cols w:equalWidth="0" w:num="1">
            <w:col w:w="11420"/>
          </w:cols>
          <w:pgMar w:left="240" w:top="270" w:right="239" w:bottom="1440"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160" w:hanging="278"/>
        <w:spacing w:after="0" w:line="277" w:lineRule="auto"/>
        <w:rPr>
          <w:sz w:val="20"/>
          <w:szCs w:val="20"/>
          <w:color w:val="auto"/>
        </w:rPr>
      </w:pPr>
      <w:r>
        <w:rPr>
          <w:rFonts w:ascii="Arial" w:cs="Arial" w:eastAsia="Arial" w:hAnsi="Arial"/>
          <w:sz w:val="18"/>
          <w:szCs w:val="18"/>
          <w:color w:val="auto"/>
        </w:rPr>
        <w:t>WHEREAS, the Pledgor, the Securities Intermediary and the Secured Party are a party to that certain Collateral Account Control Agreement, dated as , 20 (the “</w:t>
      </w:r>
      <w:r>
        <w:rPr>
          <w:rFonts w:ascii="Arial" w:cs="Arial" w:eastAsia="Arial" w:hAnsi="Arial"/>
          <w:sz w:val="18"/>
          <w:szCs w:val="18"/>
          <w:b w:val="1"/>
          <w:bCs w:val="1"/>
          <w:color w:val="auto"/>
        </w:rPr>
        <w:t>Account Control Agreement</w:t>
      </w:r>
      <w:r>
        <w:rPr>
          <w:rFonts w:ascii="Arial" w:cs="Arial" w:eastAsia="Arial" w:hAnsi="Arial"/>
          <w:sz w:val="18"/>
          <w:szCs w:val="18"/>
          <w:color w:val="auto"/>
        </w:rPr>
        <w:t>”).</w:t>
      </w:r>
    </w:p>
    <w:p>
      <w:pPr>
        <w:spacing w:after="0" w:line="170" w:lineRule="exact"/>
        <w:rPr>
          <w:sz w:val="20"/>
          <w:szCs w:val="20"/>
          <w:color w:val="auto"/>
        </w:rPr>
      </w:pPr>
    </w:p>
    <w:p>
      <w:pPr>
        <w:sectPr>
          <w:pgSz w:w="11900" w:h="16838" w:orient="portrait"/>
          <w:cols w:equalWidth="0" w:num="2">
            <w:col w:w="160" w:space="580"/>
            <w:col w:w="10680"/>
          </w:cols>
          <w:pgMar w:left="240" w:top="27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NOW, THEREFORE, in consideration of the mutual promises set forth hereafter, the parties hereto agree as follows.</w:t>
      </w:r>
    </w:p>
    <w:p>
      <w:pPr>
        <w:spacing w:after="0" w:line="225" w:lineRule="exact"/>
        <w:rPr>
          <w:sz w:val="20"/>
          <w:szCs w:val="20"/>
          <w:color w:val="auto"/>
        </w:rPr>
      </w:pPr>
    </w:p>
    <w:p>
      <w:pPr>
        <w:ind w:right="360" w:firstLine="464"/>
        <w:spacing w:after="0" w:line="277" w:lineRule="auto"/>
        <w:tabs>
          <w:tab w:leader="none" w:pos="63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Additional Secured Party shall hereby become a party to the Collateral Account Control Agreement as an Additional Secured Party (as such term is used in the Account Control Agreement), with all the rights and responsibilities as provided therein.</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Any notice or other instrument in writing, authorized or required by the Account Control Agreement to be given to the Additional Secured Party shall be sufficiently given if addressed to the Additional Secured Party and received by it at its offices at the following address or at such other place as the Additional Secured Party may from time to time designate in writing:</w:t>
      </w:r>
    </w:p>
    <w:p>
      <w:pPr>
        <w:spacing w:after="0" w:line="181" w:lineRule="exact"/>
        <w:rPr>
          <w:sz w:val="20"/>
          <w:szCs w:val="20"/>
          <w:color w:val="auto"/>
        </w:rPr>
      </w:pPr>
    </w:p>
    <w:p>
      <w:pPr>
        <w:ind w:left="1060" w:hanging="596"/>
        <w:spacing w:after="0"/>
        <w:tabs>
          <w:tab w:leader="none" w:pos="10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480" w:type="dxa"/>
            <w:vAlign w:val="bottom"/>
          </w:tcPr>
          <w:p>
            <w:pPr>
              <w:spacing w:after="0"/>
              <w:rPr>
                <w:sz w:val="17"/>
                <w:szCs w:val="17"/>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480" w:type="dxa"/>
            <w:vAlign w:val="bottom"/>
          </w:tcPr>
          <w:p>
            <w:pPr>
              <w:spacing w:after="0"/>
              <w:rPr>
                <w:sz w:val="18"/>
                <w:szCs w:val="18"/>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Attention: [</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w w:val="99"/>
              </w:rPr>
              <w:t>Telephone: [</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w w:val="96"/>
              </w:rPr>
              <w:t>Email: [</w:t>
            </w:r>
          </w:p>
        </w:tc>
        <w:tc>
          <w:tcPr>
            <w:tcW w:w="420" w:type="dxa"/>
            <w:vAlign w:val="bottom"/>
          </w:tcPr>
          <w:p>
            <w:pPr>
              <w:spacing w:after="0"/>
              <w:rPr>
                <w:sz w:val="20"/>
                <w:szCs w:val="20"/>
                <w:color w:val="auto"/>
              </w:rPr>
            </w:pP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 xml:space="preserve">[ADDITIONAL SECURED PARTY], </w:t>
      </w:r>
      <w:r>
        <w:rPr>
          <w:rFonts w:ascii="Arial" w:cs="Arial" w:eastAsia="Arial" w:hAnsi="Arial"/>
          <w:sz w:val="17"/>
          <w:szCs w:val="17"/>
          <w:color w:val="auto"/>
        </w:rPr>
        <w:t>not in its individual</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but solely as an Additional Secured Party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0" w:right="239" w:bottom="1440" w:gutter="0" w:footer="0" w:header="0"/>
          <w:type w:val="continuous"/>
        </w:sectPr>
      </w:pPr>
    </w:p>
    <w:bookmarkStart w:id="380" w:name="page381"/>
    <w:bookmarkEnd w:id="380"/>
    <w:p>
      <w:pPr>
        <w:spacing w:after="0"/>
        <w:tabs>
          <w:tab w:leader="none" w:pos="2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and Accepted as of [</w:t>
      </w:r>
      <w:r>
        <w:rPr>
          <w:sz w:val="20"/>
          <w:szCs w:val="20"/>
          <w:color w:val="auto"/>
        </w:rPr>
        <w:tab/>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in its individual capacity, but solely as Secured Party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Pr>
          <w:p>
            <w:pPr>
              <w:spacing w:after="0"/>
              <w:rPr>
                <w:sz w:val="18"/>
                <w:szCs w:val="18"/>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80" w:type="dxa"/>
            <w:vAlign w:val="bottom"/>
            <w:tcBorders>
              <w:top w:val="single" w:sz="8" w:color="auto"/>
            </w:tcBorders>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spacing w:after="0"/>
              <w:rPr>
                <w:sz w:val="20"/>
                <w:szCs w:val="20"/>
                <w:color w:val="auto"/>
              </w:rPr>
            </w:pPr>
          </w:p>
        </w:tc>
      </w:tr>
      <w:tr>
        <w:trPr>
          <w:trHeight w:val="418"/>
        </w:trPr>
        <w:tc>
          <w:tcPr>
            <w:tcW w:w="380" w:type="dxa"/>
            <w:vAlign w:val="bottom"/>
          </w:tcPr>
          <w:p>
            <w:pPr>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spacing w:after="0"/>
              <w:rPr>
                <w:sz w:val="24"/>
                <w:szCs w:val="24"/>
                <w:color w:val="auto"/>
              </w:rPr>
            </w:pPr>
          </w:p>
        </w:tc>
        <w:tc>
          <w:tcPr>
            <w:tcW w:w="2680" w:type="dxa"/>
            <w:vAlign w:val="bottom"/>
          </w:tcPr>
          <w:p>
            <w:pPr>
              <w:jc w:val="right"/>
              <w:ind w:right="2470"/>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w:t>
            </w: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w w:val="90"/>
              </w:rPr>
              <w:t>as Securities Intermediary</w:t>
            </w:r>
          </w:p>
        </w:tc>
        <w:tc>
          <w:tcPr>
            <w:tcW w:w="2680" w:type="dxa"/>
            <w:vAlign w:val="bottom"/>
          </w:tcPr>
          <w:p>
            <w:pPr>
              <w:spacing w:after="0"/>
              <w:rPr>
                <w:sz w:val="20"/>
                <w:szCs w:val="20"/>
                <w:color w:val="auto"/>
              </w:rPr>
            </w:pPr>
          </w:p>
        </w:tc>
      </w:tr>
      <w:tr>
        <w:trPr>
          <w:trHeight w:val="446"/>
        </w:trPr>
        <w:tc>
          <w:tcPr>
            <w:tcW w:w="1900" w:type="dxa"/>
            <w:vAlign w:val="bottom"/>
            <w:gridSpan w:val="2"/>
          </w:tcPr>
          <w:p>
            <w:pPr>
              <w:spacing w:after="0"/>
              <w:rPr>
                <w:sz w:val="20"/>
                <w:szCs w:val="20"/>
                <w:color w:val="auto"/>
              </w:rPr>
            </w:pPr>
            <w:r>
              <w:rPr>
                <w:rFonts w:ascii="Arial" w:cs="Arial" w:eastAsia="Arial" w:hAnsi="Arial"/>
                <w:sz w:val="18"/>
                <w:szCs w:val="18"/>
                <w:color w:val="auto"/>
              </w:rPr>
              <w:t>By:</w:t>
            </w:r>
          </w:p>
        </w:tc>
        <w:tc>
          <w:tcPr>
            <w:tcW w:w="268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80" w:type="dxa"/>
            <w:vAlign w:val="bottom"/>
            <w:tcBorders>
              <w:top w:val="single" w:sz="8" w:color="auto"/>
            </w:tcBorders>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spacing w:after="0"/>
              <w:rPr>
                <w:sz w:val="20"/>
                <w:szCs w:val="20"/>
                <w:color w:val="auto"/>
              </w:rPr>
            </w:pPr>
          </w:p>
        </w:tc>
      </w:tr>
    </w:tbl>
    <w:p>
      <w:pPr>
        <w:sectPr>
          <w:pgSz w:w="11900" w:h="16838" w:orient="portrait"/>
          <w:cols w:equalWidth="0" w:num="1">
            <w:col w:w="10219"/>
          </w:cols>
          <w:pgMar w:left="240" w:top="269" w:right="1440"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AIRCRAFT SECURITY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 20[●]</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OF TRUSTEE],</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not in its individual capacity, except as expressly stated herein, but solely</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468630</wp:posOffset>
            </wp:positionV>
            <wp:extent cx="72466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ectPr>
          <w:pgSz w:w="11900" w:h="16838" w:orient="portrait"/>
          <w:cols w:equalWidth="0" w:num="1">
            <w:col w:w="10220"/>
          </w:cols>
          <w:pgMar w:left="1440" w:top="274" w:right="23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984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Table of Contents</w:t>
            </w:r>
          </w:p>
        </w:tc>
        <w:tc>
          <w:tcPr>
            <w:tcW w:w="380" w:type="dxa"/>
            <w:vAlign w:val="bottom"/>
          </w:tcPr>
          <w:p>
            <w:pPr>
              <w:spacing w:after="0"/>
              <w:rPr>
                <w:sz w:val="17"/>
                <w:szCs w:val="17"/>
                <w:color w:val="auto"/>
              </w:rPr>
            </w:pPr>
          </w:p>
        </w:tc>
      </w:tr>
      <w:tr>
        <w:trPr>
          <w:trHeight w:val="426"/>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r>
      <w:tr>
        <w:trPr>
          <w:trHeight w:val="304"/>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60" w:type="dxa"/>
            <w:vAlign w:val="bottom"/>
            <w:gridSpan w:val="2"/>
          </w:tcPr>
          <w:p>
            <w:pPr>
              <w:jc w:val="center"/>
              <w:ind w:right="4680"/>
              <w:spacing w:after="0"/>
              <w:rPr>
                <w:sz w:val="20"/>
                <w:szCs w:val="20"/>
                <w:color w:val="auto"/>
              </w:rPr>
            </w:pPr>
            <w:r>
              <w:rPr>
                <w:rFonts w:ascii="Arial" w:cs="Arial" w:eastAsia="Arial" w:hAnsi="Arial"/>
                <w:sz w:val="18"/>
                <w:szCs w:val="18"/>
                <w:color w:val="auto"/>
                <w:w w:val="99"/>
              </w:rPr>
              <w:t>Article I</w:t>
            </w:r>
          </w:p>
        </w:tc>
        <w:tc>
          <w:tcPr>
            <w:tcW w:w="3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60" w:type="dxa"/>
            <w:vAlign w:val="bottom"/>
            <w:gridSpan w:val="2"/>
          </w:tcPr>
          <w:p>
            <w:pPr>
              <w:jc w:val="center"/>
              <w:ind w:right="4680"/>
              <w:spacing w:after="0"/>
              <w:rPr>
                <w:sz w:val="20"/>
                <w:szCs w:val="20"/>
                <w:color w:val="auto"/>
              </w:rPr>
            </w:pPr>
            <w:r>
              <w:rPr>
                <w:rFonts w:ascii="Arial" w:cs="Arial" w:eastAsia="Arial" w:hAnsi="Arial"/>
                <w:sz w:val="18"/>
                <w:szCs w:val="18"/>
                <w:color w:val="auto"/>
                <w:w w:val="98"/>
              </w:rPr>
              <w:t>DEFINITIONS</w:t>
            </w:r>
          </w:p>
        </w:tc>
        <w:tc>
          <w:tcPr>
            <w:tcW w:w="38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1.01.</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Definitions.</w:t>
            </w:r>
          </w:p>
        </w:tc>
        <w:tc>
          <w:tcPr>
            <w:tcW w:w="380" w:type="dxa"/>
            <w:vAlign w:val="bottom"/>
          </w:tcPr>
          <w:p>
            <w:pPr>
              <w:jc w:val="right"/>
              <w:spacing w:after="0"/>
              <w:rPr>
                <w:sz w:val="20"/>
                <w:szCs w:val="20"/>
                <w:color w:val="auto"/>
              </w:rPr>
            </w:pPr>
            <w:r>
              <w:rPr>
                <w:rFonts w:ascii="Arial" w:cs="Arial" w:eastAsia="Arial" w:hAnsi="Arial"/>
                <w:sz w:val="18"/>
                <w:szCs w:val="18"/>
                <w:color w:val="auto"/>
              </w:rPr>
              <w:t>H-5</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1.02.</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Other Definitional Provisions.</w:t>
            </w:r>
          </w:p>
        </w:tc>
        <w:tc>
          <w:tcPr>
            <w:tcW w:w="380" w:type="dxa"/>
            <w:vAlign w:val="bottom"/>
          </w:tcPr>
          <w:p>
            <w:pPr>
              <w:jc w:val="right"/>
              <w:spacing w:after="0"/>
              <w:rPr>
                <w:sz w:val="20"/>
                <w:szCs w:val="20"/>
                <w:color w:val="auto"/>
              </w:rPr>
            </w:pPr>
            <w:r>
              <w:rPr>
                <w:rFonts w:ascii="Arial" w:cs="Arial" w:eastAsia="Arial" w:hAnsi="Arial"/>
                <w:sz w:val="18"/>
                <w:szCs w:val="18"/>
                <w:color w:val="auto"/>
              </w:rPr>
              <w:t>H-5</w:t>
            </w:r>
          </w:p>
        </w:tc>
      </w:tr>
      <w:tr>
        <w:trPr>
          <w:trHeight w:val="324"/>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60" w:type="dxa"/>
            <w:vAlign w:val="bottom"/>
            <w:gridSpan w:val="2"/>
          </w:tcPr>
          <w:p>
            <w:pPr>
              <w:jc w:val="center"/>
              <w:ind w:right="4700"/>
              <w:spacing w:after="0"/>
              <w:rPr>
                <w:sz w:val="20"/>
                <w:szCs w:val="20"/>
                <w:color w:val="auto"/>
              </w:rPr>
            </w:pPr>
            <w:r>
              <w:rPr>
                <w:rFonts w:ascii="Arial" w:cs="Arial" w:eastAsia="Arial" w:hAnsi="Arial"/>
                <w:sz w:val="18"/>
                <w:szCs w:val="18"/>
                <w:color w:val="auto"/>
              </w:rPr>
              <w:t>Article II</w:t>
            </w:r>
          </w:p>
        </w:tc>
        <w:tc>
          <w:tcPr>
            <w:tcW w:w="3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9840" w:type="dxa"/>
            <w:vAlign w:val="bottom"/>
            <w:gridSpan w:val="3"/>
          </w:tcPr>
          <w:p>
            <w:pPr>
              <w:jc w:val="center"/>
              <w:ind w:right="820"/>
              <w:spacing w:after="0"/>
              <w:rPr>
                <w:sz w:val="20"/>
                <w:szCs w:val="20"/>
                <w:color w:val="auto"/>
              </w:rPr>
            </w:pPr>
            <w:r>
              <w:rPr>
                <w:rFonts w:ascii="Arial" w:cs="Arial" w:eastAsia="Arial" w:hAnsi="Arial"/>
                <w:sz w:val="18"/>
                <w:szCs w:val="18"/>
                <w:color w:val="auto"/>
                <w:w w:val="94"/>
              </w:rPr>
              <w:t>REPRESENTATIONS AND WARRANTIES, ETC.</w:t>
            </w:r>
          </w:p>
        </w:tc>
        <w:tc>
          <w:tcPr>
            <w:tcW w:w="380" w:type="dxa"/>
            <w:vAlign w:val="bottom"/>
          </w:tcPr>
          <w:p>
            <w:pPr>
              <w:spacing w:after="0"/>
              <w:rPr>
                <w:sz w:val="24"/>
                <w:szCs w:val="24"/>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2.01.</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Representations and Warranties of the Grantor.</w:t>
            </w:r>
          </w:p>
        </w:tc>
        <w:tc>
          <w:tcPr>
            <w:tcW w:w="380" w:type="dxa"/>
            <w:vAlign w:val="bottom"/>
          </w:tcPr>
          <w:p>
            <w:pPr>
              <w:jc w:val="right"/>
              <w:spacing w:after="0"/>
              <w:rPr>
                <w:sz w:val="20"/>
                <w:szCs w:val="20"/>
                <w:color w:val="auto"/>
              </w:rPr>
            </w:pPr>
            <w:r>
              <w:rPr>
                <w:rFonts w:ascii="Arial" w:cs="Arial" w:eastAsia="Arial" w:hAnsi="Arial"/>
                <w:sz w:val="18"/>
                <w:szCs w:val="18"/>
                <w:color w:val="auto"/>
              </w:rPr>
              <w:t>H-6</w:t>
            </w:r>
          </w:p>
        </w:tc>
      </w:tr>
      <w:tr>
        <w:trPr>
          <w:trHeight w:val="324"/>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60" w:type="dxa"/>
            <w:vAlign w:val="bottom"/>
            <w:gridSpan w:val="2"/>
          </w:tcPr>
          <w:p>
            <w:pPr>
              <w:jc w:val="center"/>
              <w:ind w:right="4680"/>
              <w:spacing w:after="0"/>
              <w:rPr>
                <w:sz w:val="20"/>
                <w:szCs w:val="20"/>
                <w:color w:val="auto"/>
              </w:rPr>
            </w:pPr>
            <w:r>
              <w:rPr>
                <w:rFonts w:ascii="Arial" w:cs="Arial" w:eastAsia="Arial" w:hAnsi="Arial"/>
                <w:sz w:val="18"/>
                <w:szCs w:val="18"/>
                <w:color w:val="auto"/>
              </w:rPr>
              <w:t>Article III</w:t>
            </w:r>
          </w:p>
        </w:tc>
        <w:tc>
          <w:tcPr>
            <w:tcW w:w="3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9840" w:type="dxa"/>
            <w:vAlign w:val="bottom"/>
            <w:gridSpan w:val="3"/>
          </w:tcPr>
          <w:p>
            <w:pPr>
              <w:jc w:val="center"/>
              <w:ind w:right="820"/>
              <w:spacing w:after="0"/>
              <w:rPr>
                <w:sz w:val="20"/>
                <w:szCs w:val="20"/>
                <w:color w:val="auto"/>
              </w:rPr>
            </w:pPr>
            <w:r>
              <w:rPr>
                <w:rFonts w:ascii="Arial" w:cs="Arial" w:eastAsia="Arial" w:hAnsi="Arial"/>
                <w:sz w:val="18"/>
                <w:szCs w:val="18"/>
                <w:color w:val="auto"/>
                <w:w w:val="95"/>
              </w:rPr>
              <w:t>CERTAIN PAYMENTS</w:t>
            </w:r>
          </w:p>
        </w:tc>
        <w:tc>
          <w:tcPr>
            <w:tcW w:w="380" w:type="dxa"/>
            <w:vAlign w:val="bottom"/>
          </w:tcPr>
          <w:p>
            <w:pPr>
              <w:spacing w:after="0"/>
              <w:rPr>
                <w:sz w:val="24"/>
                <w:szCs w:val="24"/>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3.01.</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Payments After Event of Default.</w:t>
            </w:r>
          </w:p>
        </w:tc>
        <w:tc>
          <w:tcPr>
            <w:tcW w:w="380" w:type="dxa"/>
            <w:vAlign w:val="bottom"/>
          </w:tcPr>
          <w:p>
            <w:pPr>
              <w:jc w:val="right"/>
              <w:spacing w:after="0"/>
              <w:rPr>
                <w:sz w:val="20"/>
                <w:szCs w:val="20"/>
                <w:color w:val="auto"/>
              </w:rPr>
            </w:pPr>
            <w:r>
              <w:rPr>
                <w:rFonts w:ascii="Arial" w:cs="Arial" w:eastAsia="Arial" w:hAnsi="Arial"/>
                <w:sz w:val="18"/>
                <w:szCs w:val="18"/>
                <w:color w:val="auto"/>
              </w:rPr>
              <w:t>H-9</w:t>
            </w:r>
          </w:p>
        </w:tc>
      </w:tr>
      <w:tr>
        <w:trPr>
          <w:trHeight w:val="324"/>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60" w:type="dxa"/>
            <w:vAlign w:val="bottom"/>
            <w:gridSpan w:val="2"/>
          </w:tcPr>
          <w:p>
            <w:pPr>
              <w:jc w:val="center"/>
              <w:ind w:right="4700"/>
              <w:spacing w:after="0"/>
              <w:rPr>
                <w:sz w:val="20"/>
                <w:szCs w:val="20"/>
                <w:color w:val="auto"/>
              </w:rPr>
            </w:pPr>
            <w:r>
              <w:rPr>
                <w:rFonts w:ascii="Arial" w:cs="Arial" w:eastAsia="Arial" w:hAnsi="Arial"/>
                <w:sz w:val="18"/>
                <w:szCs w:val="18"/>
                <w:color w:val="auto"/>
              </w:rPr>
              <w:t>Article IV</w:t>
            </w:r>
          </w:p>
        </w:tc>
        <w:tc>
          <w:tcPr>
            <w:tcW w:w="3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9840" w:type="dxa"/>
            <w:vAlign w:val="bottom"/>
            <w:gridSpan w:val="3"/>
          </w:tcPr>
          <w:p>
            <w:pPr>
              <w:jc w:val="center"/>
              <w:ind w:right="820"/>
              <w:spacing w:after="0"/>
              <w:rPr>
                <w:sz w:val="20"/>
                <w:szCs w:val="20"/>
                <w:color w:val="auto"/>
              </w:rPr>
            </w:pPr>
            <w:r>
              <w:rPr>
                <w:rFonts w:ascii="Arial" w:cs="Arial" w:eastAsia="Arial" w:hAnsi="Arial"/>
                <w:sz w:val="18"/>
                <w:szCs w:val="18"/>
                <w:color w:val="auto"/>
                <w:w w:val="94"/>
              </w:rPr>
              <w:t>REMEDIES OF TRUSTEE</w:t>
            </w:r>
          </w:p>
        </w:tc>
        <w:tc>
          <w:tcPr>
            <w:tcW w:w="38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4.01.</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Remedies.</w:t>
            </w:r>
          </w:p>
        </w:tc>
        <w:tc>
          <w:tcPr>
            <w:tcW w:w="380" w:type="dxa"/>
            <w:vAlign w:val="bottom"/>
          </w:tcPr>
          <w:p>
            <w:pPr>
              <w:jc w:val="right"/>
              <w:spacing w:after="0"/>
              <w:rPr>
                <w:sz w:val="20"/>
                <w:szCs w:val="20"/>
                <w:color w:val="auto"/>
              </w:rPr>
            </w:pPr>
            <w:r>
              <w:rPr>
                <w:rFonts w:ascii="Arial" w:cs="Arial" w:eastAsia="Arial" w:hAnsi="Arial"/>
                <w:sz w:val="18"/>
                <w:szCs w:val="18"/>
                <w:color w:val="auto"/>
              </w:rPr>
              <w:t>H-9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4.02.</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Remedies Cumulative.</w:t>
            </w:r>
          </w:p>
        </w:tc>
        <w:tc>
          <w:tcPr>
            <w:tcW w:w="380" w:type="dxa"/>
            <w:vAlign w:val="bottom"/>
          </w:tcPr>
          <w:p>
            <w:pPr>
              <w:jc w:val="right"/>
              <w:spacing w:after="0"/>
              <w:rPr>
                <w:sz w:val="20"/>
                <w:szCs w:val="20"/>
                <w:color w:val="auto"/>
              </w:rPr>
            </w:pPr>
            <w:r>
              <w:rPr>
                <w:rFonts w:ascii="Arial" w:cs="Arial" w:eastAsia="Arial" w:hAnsi="Arial"/>
                <w:sz w:val="18"/>
                <w:szCs w:val="18"/>
                <w:color w:val="auto"/>
                <w:w w:val="92"/>
              </w:rPr>
              <w:t>H-13</w:t>
            </w:r>
          </w:p>
        </w:tc>
      </w:tr>
      <w:tr>
        <w:trPr>
          <w:trHeight w:val="244"/>
        </w:trPr>
        <w:tc>
          <w:tcPr>
            <w:tcW w:w="1200" w:type="dxa"/>
            <w:vAlign w:val="bottom"/>
          </w:tcPr>
          <w:p>
            <w:pPr>
              <w:spacing w:after="0"/>
              <w:rPr>
                <w:sz w:val="20"/>
                <w:szCs w:val="20"/>
                <w:color w:val="auto"/>
              </w:rPr>
            </w:pPr>
            <w:r>
              <w:rPr>
                <w:rFonts w:ascii="Arial" w:cs="Arial" w:eastAsia="Arial" w:hAnsi="Arial"/>
                <w:sz w:val="18"/>
                <w:szCs w:val="18"/>
                <w:color w:val="auto"/>
              </w:rPr>
              <w:t>Section 4.03.</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Discontinuance of Proceedings.</w:t>
            </w:r>
          </w:p>
        </w:tc>
        <w:tc>
          <w:tcPr>
            <w:tcW w:w="380" w:type="dxa"/>
            <w:vAlign w:val="bottom"/>
          </w:tcPr>
          <w:p>
            <w:pPr>
              <w:jc w:val="right"/>
              <w:spacing w:after="0"/>
              <w:rPr>
                <w:sz w:val="20"/>
                <w:szCs w:val="20"/>
                <w:color w:val="auto"/>
              </w:rPr>
            </w:pPr>
            <w:r>
              <w:rPr>
                <w:rFonts w:ascii="Arial" w:cs="Arial" w:eastAsia="Arial" w:hAnsi="Arial"/>
                <w:sz w:val="18"/>
                <w:szCs w:val="18"/>
                <w:color w:val="auto"/>
                <w:w w:val="92"/>
              </w:rPr>
              <w:t>H-13</w:t>
            </w:r>
          </w:p>
        </w:tc>
      </w:tr>
      <w:tr>
        <w:trPr>
          <w:trHeight w:val="324"/>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60" w:type="dxa"/>
            <w:vAlign w:val="bottom"/>
            <w:gridSpan w:val="2"/>
          </w:tcPr>
          <w:p>
            <w:pPr>
              <w:jc w:val="center"/>
              <w:ind w:right="4680"/>
              <w:spacing w:after="0"/>
              <w:rPr>
                <w:sz w:val="20"/>
                <w:szCs w:val="20"/>
                <w:color w:val="auto"/>
              </w:rPr>
            </w:pPr>
            <w:r>
              <w:rPr>
                <w:rFonts w:ascii="Arial" w:cs="Arial" w:eastAsia="Arial" w:hAnsi="Arial"/>
                <w:sz w:val="18"/>
                <w:szCs w:val="18"/>
                <w:color w:val="auto"/>
              </w:rPr>
              <w:t>Article V</w:t>
            </w:r>
          </w:p>
        </w:tc>
        <w:tc>
          <w:tcPr>
            <w:tcW w:w="3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60" w:type="dxa"/>
            <w:vAlign w:val="bottom"/>
            <w:gridSpan w:val="2"/>
          </w:tcPr>
          <w:p>
            <w:pPr>
              <w:jc w:val="center"/>
              <w:ind w:right="4700"/>
              <w:spacing w:after="0"/>
              <w:rPr>
                <w:sz w:val="20"/>
                <w:szCs w:val="20"/>
                <w:color w:val="auto"/>
              </w:rPr>
            </w:pPr>
            <w:r>
              <w:rPr>
                <w:rFonts w:ascii="Arial" w:cs="Arial" w:eastAsia="Arial" w:hAnsi="Arial"/>
                <w:sz w:val="18"/>
                <w:szCs w:val="18"/>
                <w:color w:val="auto"/>
                <w:w w:val="94"/>
              </w:rPr>
              <w:t>THE TRUSTEE</w:t>
            </w:r>
          </w:p>
        </w:tc>
        <w:tc>
          <w:tcPr>
            <w:tcW w:w="38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5.01.</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Trustee May Perform.</w:t>
            </w:r>
          </w:p>
        </w:tc>
        <w:tc>
          <w:tcPr>
            <w:tcW w:w="380" w:type="dxa"/>
            <w:vAlign w:val="bottom"/>
          </w:tcPr>
          <w:p>
            <w:pPr>
              <w:jc w:val="right"/>
              <w:spacing w:after="0"/>
              <w:rPr>
                <w:sz w:val="20"/>
                <w:szCs w:val="20"/>
                <w:color w:val="auto"/>
              </w:rPr>
            </w:pPr>
            <w:r>
              <w:rPr>
                <w:rFonts w:ascii="Arial" w:cs="Arial" w:eastAsia="Arial" w:hAnsi="Arial"/>
                <w:sz w:val="18"/>
                <w:szCs w:val="18"/>
                <w:color w:val="auto"/>
                <w:w w:val="92"/>
              </w:rPr>
              <w:t>H-13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5.02.</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The Trustee.</w:t>
            </w:r>
          </w:p>
        </w:tc>
        <w:tc>
          <w:tcPr>
            <w:tcW w:w="380" w:type="dxa"/>
            <w:vAlign w:val="bottom"/>
          </w:tcPr>
          <w:p>
            <w:pPr>
              <w:jc w:val="right"/>
              <w:spacing w:after="0"/>
              <w:rPr>
                <w:sz w:val="20"/>
                <w:szCs w:val="20"/>
                <w:color w:val="auto"/>
              </w:rPr>
            </w:pPr>
            <w:r>
              <w:rPr>
                <w:rFonts w:ascii="Arial" w:cs="Arial" w:eastAsia="Arial" w:hAnsi="Arial"/>
                <w:sz w:val="18"/>
                <w:szCs w:val="18"/>
                <w:color w:val="auto"/>
                <w:w w:val="92"/>
              </w:rPr>
              <w:t>H-13</w:t>
            </w:r>
          </w:p>
        </w:tc>
      </w:tr>
      <w:tr>
        <w:trPr>
          <w:trHeight w:val="324"/>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60" w:type="dxa"/>
            <w:vAlign w:val="bottom"/>
            <w:gridSpan w:val="2"/>
          </w:tcPr>
          <w:p>
            <w:pPr>
              <w:jc w:val="center"/>
              <w:ind w:right="4700"/>
              <w:spacing w:after="0"/>
              <w:rPr>
                <w:sz w:val="20"/>
                <w:szCs w:val="20"/>
                <w:color w:val="auto"/>
              </w:rPr>
            </w:pPr>
            <w:r>
              <w:rPr>
                <w:rFonts w:ascii="Arial" w:cs="Arial" w:eastAsia="Arial" w:hAnsi="Arial"/>
                <w:sz w:val="18"/>
                <w:szCs w:val="18"/>
                <w:color w:val="auto"/>
              </w:rPr>
              <w:t>Article VI</w:t>
            </w:r>
          </w:p>
        </w:tc>
        <w:tc>
          <w:tcPr>
            <w:tcW w:w="3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984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OPERATING COVENANTS OF THE GRANTOR</w:t>
            </w:r>
          </w:p>
        </w:tc>
        <w:tc>
          <w:tcPr>
            <w:tcW w:w="38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6.01.</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Possession, Operation and Use, Maintenance and Registration.</w:t>
            </w:r>
          </w:p>
        </w:tc>
        <w:tc>
          <w:tcPr>
            <w:tcW w:w="380" w:type="dxa"/>
            <w:vAlign w:val="bottom"/>
          </w:tcPr>
          <w:p>
            <w:pPr>
              <w:jc w:val="right"/>
              <w:spacing w:after="0"/>
              <w:rPr>
                <w:sz w:val="20"/>
                <w:szCs w:val="20"/>
                <w:color w:val="auto"/>
              </w:rPr>
            </w:pPr>
            <w:r>
              <w:rPr>
                <w:rFonts w:ascii="Arial" w:cs="Arial" w:eastAsia="Arial" w:hAnsi="Arial"/>
                <w:sz w:val="18"/>
                <w:szCs w:val="18"/>
                <w:color w:val="auto"/>
                <w:w w:val="92"/>
              </w:rPr>
              <w:t>H-14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6.02.</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Inspection.</w:t>
            </w:r>
          </w:p>
        </w:tc>
        <w:tc>
          <w:tcPr>
            <w:tcW w:w="380" w:type="dxa"/>
            <w:vAlign w:val="bottom"/>
          </w:tcPr>
          <w:p>
            <w:pPr>
              <w:jc w:val="right"/>
              <w:spacing w:after="0"/>
              <w:rPr>
                <w:sz w:val="20"/>
                <w:szCs w:val="20"/>
                <w:color w:val="auto"/>
              </w:rPr>
            </w:pPr>
            <w:r>
              <w:rPr>
                <w:rFonts w:ascii="Arial" w:cs="Arial" w:eastAsia="Arial" w:hAnsi="Arial"/>
                <w:sz w:val="18"/>
                <w:szCs w:val="18"/>
                <w:color w:val="auto"/>
                <w:w w:val="92"/>
              </w:rPr>
              <w:t>H-21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6.03.</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Replacement and Pooling of Parts; Alterations, Modifications and Additions; Substitution of Engines.</w:t>
            </w:r>
          </w:p>
        </w:tc>
        <w:tc>
          <w:tcPr>
            <w:tcW w:w="380" w:type="dxa"/>
            <w:vAlign w:val="bottom"/>
          </w:tcPr>
          <w:p>
            <w:pPr>
              <w:jc w:val="right"/>
              <w:spacing w:after="0"/>
              <w:rPr>
                <w:sz w:val="20"/>
                <w:szCs w:val="20"/>
                <w:color w:val="auto"/>
              </w:rPr>
            </w:pPr>
            <w:r>
              <w:rPr>
                <w:rFonts w:ascii="Arial" w:cs="Arial" w:eastAsia="Arial" w:hAnsi="Arial"/>
                <w:sz w:val="18"/>
                <w:szCs w:val="18"/>
                <w:color w:val="auto"/>
                <w:w w:val="92"/>
              </w:rPr>
              <w:t>H-22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6.04.</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Loss, Destruction or Requisition.</w:t>
            </w:r>
          </w:p>
        </w:tc>
        <w:tc>
          <w:tcPr>
            <w:tcW w:w="380" w:type="dxa"/>
            <w:vAlign w:val="bottom"/>
          </w:tcPr>
          <w:p>
            <w:pPr>
              <w:jc w:val="right"/>
              <w:spacing w:after="0"/>
              <w:rPr>
                <w:sz w:val="20"/>
                <w:szCs w:val="20"/>
                <w:color w:val="auto"/>
              </w:rPr>
            </w:pPr>
            <w:r>
              <w:rPr>
                <w:rFonts w:ascii="Arial" w:cs="Arial" w:eastAsia="Arial" w:hAnsi="Arial"/>
                <w:sz w:val="18"/>
                <w:szCs w:val="18"/>
                <w:color w:val="auto"/>
                <w:w w:val="92"/>
              </w:rPr>
              <w:t>H-24</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6.05.</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Insurance.</w:t>
            </w:r>
          </w:p>
        </w:tc>
        <w:tc>
          <w:tcPr>
            <w:tcW w:w="380" w:type="dxa"/>
            <w:vAlign w:val="bottom"/>
          </w:tcPr>
          <w:p>
            <w:pPr>
              <w:jc w:val="right"/>
              <w:spacing w:after="0"/>
              <w:rPr>
                <w:sz w:val="20"/>
                <w:szCs w:val="20"/>
                <w:color w:val="auto"/>
              </w:rPr>
            </w:pPr>
            <w:r>
              <w:rPr>
                <w:rFonts w:ascii="Arial" w:cs="Arial" w:eastAsia="Arial" w:hAnsi="Arial"/>
                <w:sz w:val="18"/>
                <w:szCs w:val="18"/>
                <w:color w:val="auto"/>
                <w:w w:val="92"/>
              </w:rPr>
              <w:t>H-29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Aircraft Security Agreement</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56" w:right="23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984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Table of Contents</w:t>
            </w:r>
          </w:p>
        </w:tc>
        <w:tc>
          <w:tcPr>
            <w:tcW w:w="380" w:type="dxa"/>
            <w:vAlign w:val="bottom"/>
          </w:tcPr>
          <w:p>
            <w:pPr>
              <w:spacing w:after="0"/>
              <w:rPr>
                <w:sz w:val="17"/>
                <w:szCs w:val="17"/>
                <w:color w:val="auto"/>
              </w:rPr>
            </w:pPr>
          </w:p>
        </w:tc>
      </w:tr>
      <w:tr>
        <w:trPr>
          <w:trHeight w:val="237"/>
        </w:trPr>
        <w:tc>
          <w:tcPr>
            <w:tcW w:w="1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4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11"/>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r>
      <w:tr>
        <w:trPr>
          <w:trHeight w:val="304"/>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60" w:type="dxa"/>
            <w:vAlign w:val="bottom"/>
            <w:gridSpan w:val="2"/>
          </w:tcPr>
          <w:p>
            <w:pPr>
              <w:jc w:val="center"/>
              <w:ind w:right="4680"/>
              <w:spacing w:after="0"/>
              <w:rPr>
                <w:sz w:val="20"/>
                <w:szCs w:val="20"/>
                <w:color w:val="auto"/>
              </w:rPr>
            </w:pPr>
            <w:r>
              <w:rPr>
                <w:rFonts w:ascii="Arial" w:cs="Arial" w:eastAsia="Arial" w:hAnsi="Arial"/>
                <w:sz w:val="18"/>
                <w:szCs w:val="18"/>
                <w:color w:val="auto"/>
              </w:rPr>
              <w:t>Article VII</w:t>
            </w:r>
          </w:p>
        </w:tc>
        <w:tc>
          <w:tcPr>
            <w:tcW w:w="3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9840" w:type="dxa"/>
            <w:vAlign w:val="bottom"/>
            <w:gridSpan w:val="3"/>
          </w:tcPr>
          <w:p>
            <w:pPr>
              <w:jc w:val="center"/>
              <w:ind w:right="820"/>
              <w:spacing w:after="0"/>
              <w:rPr>
                <w:sz w:val="20"/>
                <w:szCs w:val="20"/>
                <w:color w:val="auto"/>
              </w:rPr>
            </w:pPr>
            <w:r>
              <w:rPr>
                <w:rFonts w:ascii="Arial" w:cs="Arial" w:eastAsia="Arial" w:hAnsi="Arial"/>
                <w:sz w:val="18"/>
                <w:szCs w:val="18"/>
                <w:color w:val="auto"/>
                <w:w w:val="96"/>
              </w:rPr>
              <w:t>CERTAIN COVENANTS</w:t>
            </w:r>
          </w:p>
        </w:tc>
        <w:tc>
          <w:tcPr>
            <w:tcW w:w="38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7.01.</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Certain Covenants of the Grantor.</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H-29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7.02.</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Certain Covenants of the Trustee.</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7.03.</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Subjection of Aircraft to Lien of Aircraft Security Agreement.</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7.04.</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Release of Aircraft from Lien of Aircraft Security Agreement.</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H-32</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7.05.</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Non-Lender Secured Parties.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H-33</w:t>
            </w:r>
          </w:p>
        </w:tc>
      </w:tr>
      <w:tr>
        <w:trPr>
          <w:trHeight w:val="324"/>
        </w:trPr>
        <w:tc>
          <w:tcPr>
            <w:tcW w:w="1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60" w:type="dxa"/>
            <w:vAlign w:val="bottom"/>
            <w:gridSpan w:val="2"/>
          </w:tcPr>
          <w:p>
            <w:pPr>
              <w:jc w:val="center"/>
              <w:ind w:right="4700"/>
              <w:spacing w:after="0"/>
              <w:rPr>
                <w:sz w:val="20"/>
                <w:szCs w:val="20"/>
                <w:color w:val="auto"/>
              </w:rPr>
            </w:pPr>
            <w:r>
              <w:rPr>
                <w:rFonts w:ascii="Arial" w:cs="Arial" w:eastAsia="Arial" w:hAnsi="Arial"/>
                <w:sz w:val="18"/>
                <w:szCs w:val="18"/>
                <w:color w:val="auto"/>
              </w:rPr>
              <w:t>Article VIII</w:t>
            </w:r>
          </w:p>
        </w:tc>
        <w:tc>
          <w:tcPr>
            <w:tcW w:w="3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9840" w:type="dxa"/>
            <w:vAlign w:val="bottom"/>
            <w:gridSpan w:val="3"/>
          </w:tcPr>
          <w:p>
            <w:pPr>
              <w:jc w:val="center"/>
              <w:ind w:right="820"/>
              <w:spacing w:after="0"/>
              <w:rPr>
                <w:sz w:val="20"/>
                <w:szCs w:val="20"/>
                <w:color w:val="auto"/>
              </w:rPr>
            </w:pPr>
            <w:r>
              <w:rPr>
                <w:rFonts w:ascii="Arial" w:cs="Arial" w:eastAsia="Arial" w:hAnsi="Arial"/>
                <w:sz w:val="18"/>
                <w:szCs w:val="18"/>
                <w:color w:val="auto"/>
                <w:w w:val="97"/>
              </w:rPr>
              <w:t>MISCELLANEOUS</w:t>
            </w:r>
          </w:p>
        </w:tc>
        <w:tc>
          <w:tcPr>
            <w:tcW w:w="38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8.01.</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Termination of this Aircraft Security Agreement.</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8.02.</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No Legal Title to Aircraft Collateral in the Secured Parties.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8.03.</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Sale by the Trustee Is Binding.</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w w:val="99"/>
              </w:rPr>
              <w:t>This Aircraft Security Agreement for the Benefit of the Grantor, the Trustee, the Collateral Agent and the Secured Parties.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8.05.</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Notices.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8.06.</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Severability of Provisions.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8.07.</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No Oral Modification or Continuing Waivers.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8.08.</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Successors and Assigns.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8.09.</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Headings.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8.10.</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Normal Commercial Relations.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8.11.</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The Grantor’s Performance and Rights.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8.12.</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Execution in Counterparts.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8.13.</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Governing Law.</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8.14.</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Consent to Jurisdiction and Service of Process.</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H-39</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8.15.</w:t>
            </w:r>
          </w:p>
        </w:tc>
        <w:tc>
          <w:tcPr>
            <w:tcW w:w="9840" w:type="dxa"/>
            <w:vAlign w:val="bottom"/>
            <w:gridSpan w:val="3"/>
          </w:tcPr>
          <w:p>
            <w:pPr>
              <w:ind w:left="260"/>
              <w:spacing w:after="0"/>
              <w:rPr>
                <w:sz w:val="20"/>
                <w:szCs w:val="20"/>
                <w:color w:val="auto"/>
              </w:rPr>
            </w:pPr>
            <w:r>
              <w:rPr>
                <w:rFonts w:ascii="Arial" w:cs="Arial" w:eastAsia="Arial" w:hAnsi="Arial"/>
                <w:sz w:val="18"/>
                <w:szCs w:val="18"/>
                <w:color w:val="auto"/>
              </w:rPr>
              <w:t>Amendments, Etc.</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H-40</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  Form of Aircraft Security Agreement Supplement</w:t>
      </w:r>
    </w:p>
    <w:p>
      <w:pPr>
        <w:spacing w:after="0" w:line="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  List of Permitted Countries</w:t>
      </w:r>
    </w:p>
    <w:p>
      <w:pPr>
        <w:spacing w:after="0" w:line="1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Annex A</w:t>
      </w:r>
      <w:r>
        <w:rPr>
          <w:sz w:val="20"/>
          <w:szCs w:val="20"/>
          <w:color w:val="auto"/>
        </w:rPr>
        <w:tab/>
      </w:r>
      <w:r>
        <w:rPr>
          <w:rFonts w:ascii="Arial" w:cs="Arial" w:eastAsia="Arial" w:hAnsi="Arial"/>
          <w:sz w:val="18"/>
          <w:szCs w:val="18"/>
          <w:color w:val="auto"/>
        </w:rPr>
        <w:t>—  Definitions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57" w:right="239" w:bottom="1440" w:gutter="0" w:footer="0" w:header="0"/>
        </w:sectPr>
      </w:pPr>
    </w:p>
    <w:bookmarkStart w:id="384" w:name="page385"/>
    <w:bookmarkEnd w:id="3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AIRCRAFT SECURITY AGREEMENT</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AIRCRAFT SECURITY AGREEMENT, dated as of [●], 20[●] (as amended, modified or supplemented from time to time, the “</w:t>
      </w:r>
      <w:r>
        <w:rPr>
          <w:rFonts w:ascii="Arial" w:cs="Arial" w:eastAsia="Arial" w:hAnsi="Arial"/>
          <w:sz w:val="16"/>
          <w:szCs w:val="16"/>
          <w:u w:val="single" w:color="auto"/>
          <w:color w:val="auto"/>
        </w:rPr>
        <w:t>Aircraft Security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between [NAME OF GRANTOR], a [Delaware corporation]</w:t>
      </w:r>
      <w:r>
        <w:rPr>
          <w:rFonts w:ascii="Arial" w:cs="Arial" w:eastAsia="Arial" w:hAnsi="Arial"/>
          <w:sz w:val="13"/>
          <w:szCs w:val="13"/>
          <w:color w:val="auto"/>
        </w:rPr>
        <w:t>1</w:t>
      </w:r>
      <w:r>
        <w:rPr>
          <w:rFonts w:ascii="Arial" w:cs="Arial" w:eastAsia="Arial" w:hAnsi="Arial"/>
          <w:sz w:val="16"/>
          <w:szCs w:val="16"/>
          <w:color w:val="auto"/>
        </w:rPr>
        <w:t xml:space="preserve"> (together with its permitted successors and assigns, the “</w:t>
      </w:r>
      <w:r>
        <w:rPr>
          <w:rFonts w:ascii="Arial" w:cs="Arial" w:eastAsia="Arial" w:hAnsi="Arial"/>
          <w:sz w:val="16"/>
          <w:szCs w:val="16"/>
          <w:u w:val="single" w:color="auto"/>
          <w:color w:val="auto"/>
        </w:rPr>
        <w:t>Grantor</w:t>
      </w:r>
      <w:r>
        <w:rPr>
          <w:rFonts w:ascii="Arial" w:cs="Arial" w:eastAsia="Arial" w:hAnsi="Arial"/>
          <w:sz w:val="16"/>
          <w:szCs w:val="16"/>
          <w:color w:val="auto"/>
        </w:rPr>
        <w:t>”) and [NAME OF TRUSTEE], as security trustee (together with its successors and permitted assigns, the “</w:t>
      </w:r>
      <w:r>
        <w:rPr>
          <w:rFonts w:ascii="Arial" w:cs="Arial" w:eastAsia="Arial" w:hAnsi="Arial"/>
          <w:sz w:val="16"/>
          <w:szCs w:val="16"/>
          <w:u w:val="single" w:color="auto"/>
          <w:color w:val="auto"/>
        </w:rPr>
        <w:t>Trustee</w:t>
      </w:r>
      <w:r>
        <w:rPr>
          <w:rFonts w:ascii="Arial" w:cs="Arial" w:eastAsia="Arial" w:hAnsi="Arial"/>
          <w:sz w:val="16"/>
          <w:szCs w:val="16"/>
          <w:color w:val="auto"/>
        </w:rPr>
        <w:t>”), for its benefit and the benefit of the other Secured Parties. Except as otherwise defined herein, terms used herein and defined in the Credit Agreement (as defined below) shall be used herein as therein defined.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WHEREAS, [the Grantor] [American Airlines, Inc. (“</w:t>
      </w:r>
      <w:r>
        <w:rPr>
          <w:rFonts w:ascii="Arial" w:cs="Arial" w:eastAsia="Arial" w:hAnsi="Arial"/>
          <w:sz w:val="16"/>
          <w:szCs w:val="16"/>
          <w:u w:val="single" w:color="auto"/>
          <w:color w:val="auto"/>
        </w:rPr>
        <w:t>American</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and the Collateral Agent are parties to that certain Credit and Guaranty Agreement, dated as of April [29], 2016 (as may be amended, restated, amended and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[the Grantor] [American]</w:t>
      </w:r>
      <w:r>
        <w:rPr>
          <w:rFonts w:ascii="Arial" w:cs="Arial" w:eastAsia="Arial" w:hAnsi="Arial"/>
          <w:sz w:val="13"/>
          <w:szCs w:val="13"/>
          <w:color w:val="auto"/>
        </w:rPr>
        <w:t>3</w:t>
      </w:r>
      <w:r>
        <w:rPr>
          <w:rFonts w:ascii="Arial" w:cs="Arial" w:eastAsia="Arial" w:hAnsi="Arial"/>
          <w:sz w:val="16"/>
          <w:szCs w:val="16"/>
          <w:color w:val="auto"/>
        </w:rPr>
        <w:t>, American Airlines Group Inc. (“</w:t>
      </w:r>
      <w:r>
        <w:rPr>
          <w:rFonts w:ascii="Arial" w:cs="Arial" w:eastAsia="Arial" w:hAnsi="Arial"/>
          <w:sz w:val="16"/>
          <w:szCs w:val="16"/>
          <w:u w:val="single" w:color="auto"/>
          <w:color w:val="auto"/>
        </w:rPr>
        <w:t>Parent</w:t>
      </w:r>
      <w:r>
        <w:rPr>
          <w:rFonts w:ascii="Arial" w:cs="Arial" w:eastAsia="Arial" w:hAnsi="Arial"/>
          <w:sz w:val="16"/>
          <w:szCs w:val="16"/>
          <w:color w:val="auto"/>
        </w:rPr>
        <w:t>”), as guarantor party thereto, the other guarantors from time to time party thereto, the lenders from time to time party thereto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the Collateral Agent, and the Administrative Agent;</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the Grantor has agreed to grant a continuing Lien on the Aircraft Collateral (as defined below) to the Trustee for the benefit of the Secured Parties to secure the Obligations; and</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WHEREAS, the Collateral Agent and one or more Additional Agents may in the future enter into one or more Intercreditor Agreements and/or Other Intercreditor Agreements;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GRANTING CLAUSE</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NOW, THEREFORE, to secure all of the Obligations, and in consideration of the premises, the mutual agreements set forth herein and other good and valuable consideration, the receipt and sufficiency of which are hereby acknowledged, the Grantor hereby pledges, grants and creates a security interest and mortgage in favor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hanging="212"/>
        <w:spacing w:after="0"/>
        <w:tabs>
          <w:tab w:leader="none" w:pos="220" w:val="left"/>
        </w:tabs>
        <w:numPr>
          <w:ilvl w:val="0"/>
          <w:numId w:val="428"/>
        </w:numPr>
        <w:rPr>
          <w:rFonts w:ascii="Arial" w:cs="Arial" w:eastAsia="Arial" w:hAnsi="Arial"/>
          <w:sz w:val="15"/>
          <w:szCs w:val="15"/>
          <w:color w:val="auto"/>
        </w:rPr>
      </w:pPr>
      <w:r>
        <w:rPr>
          <w:rFonts w:ascii="Arial" w:cs="Arial" w:eastAsia="Arial" w:hAnsi="Arial"/>
          <w:sz w:val="18"/>
          <w:szCs w:val="18"/>
          <w:color w:val="auto"/>
        </w:rPr>
        <w:t>Revise bracketed phrase as necessary for the applicable Grantor.</w:t>
      </w:r>
    </w:p>
    <w:p>
      <w:pPr>
        <w:spacing w:after="0" w:line="22" w:lineRule="exact"/>
        <w:rPr>
          <w:sz w:val="20"/>
          <w:szCs w:val="20"/>
          <w:color w:val="auto"/>
        </w:rPr>
      </w:pPr>
    </w:p>
    <w:p>
      <w:pPr>
        <w:ind w:left="220" w:hanging="212"/>
        <w:spacing w:after="0"/>
        <w:tabs>
          <w:tab w:leader="none" w:pos="220" w:val="left"/>
        </w:tabs>
        <w:numPr>
          <w:ilvl w:val="0"/>
          <w:numId w:val="429"/>
        </w:numPr>
        <w:rPr>
          <w:rFonts w:ascii="Arial" w:cs="Arial" w:eastAsia="Arial" w:hAnsi="Arial"/>
          <w:sz w:val="15"/>
          <w:szCs w:val="15"/>
          <w:color w:val="auto"/>
        </w:rPr>
      </w:pPr>
      <w:r>
        <w:rPr>
          <w:rFonts w:ascii="Arial" w:cs="Arial" w:eastAsia="Arial" w:hAnsi="Arial"/>
          <w:sz w:val="18"/>
          <w:szCs w:val="18"/>
          <w:color w:val="auto"/>
        </w:rPr>
        <w:t>Use second alternative if American is not the Grantor</w:t>
      </w:r>
    </w:p>
    <w:p>
      <w:pPr>
        <w:spacing w:after="0" w:line="9" w:lineRule="exact"/>
        <w:rPr>
          <w:sz w:val="20"/>
          <w:szCs w:val="20"/>
          <w:color w:val="auto"/>
        </w:rPr>
      </w:pPr>
    </w:p>
    <w:p>
      <w:pPr>
        <w:ind w:left="220" w:hanging="212"/>
        <w:spacing w:after="0"/>
        <w:tabs>
          <w:tab w:leader="none" w:pos="220" w:val="left"/>
        </w:tabs>
        <w:numPr>
          <w:ilvl w:val="0"/>
          <w:numId w:val="430"/>
        </w:numPr>
        <w:rPr>
          <w:rFonts w:ascii="Arial" w:cs="Arial" w:eastAsia="Arial" w:hAnsi="Arial"/>
          <w:sz w:val="15"/>
          <w:szCs w:val="15"/>
          <w:color w:val="auto"/>
        </w:rPr>
      </w:pPr>
      <w:r>
        <w:rPr>
          <w:rFonts w:ascii="Arial" w:cs="Arial" w:eastAsia="Arial" w:hAnsi="Arial"/>
          <w:sz w:val="18"/>
          <w:szCs w:val="18"/>
          <w:color w:val="auto"/>
        </w:rPr>
        <w:t>Use second alternative if American is not the Grantor</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420"/>
          </w:cols>
          <w:pgMar w:left="240" w:top="270" w:right="239" w:bottom="1440" w:gutter="0" w:footer="0" w:header="0"/>
        </w:sectPr>
      </w:pPr>
    </w:p>
    <w:bookmarkStart w:id="385" w:name="page386"/>
    <w:bookmarkEnd w:id="385"/>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benefit of the Collateral Agent and for the benefit of the other Secured Parties in all estate, right, title and interest of the Grantor in, to and under, all and singular, the following described properties, rights, interests and privileges, whether now owned or hereafter acquired and whether real or personal and whether tangible or intangible (the “</w:t>
      </w:r>
      <w:r>
        <w:rPr>
          <w:rFonts w:ascii="Arial" w:cs="Arial" w:eastAsia="Arial" w:hAnsi="Arial"/>
          <w:sz w:val="18"/>
          <w:szCs w:val="18"/>
          <w:u w:val="single" w:color="auto"/>
          <w:color w:val="auto"/>
        </w:rPr>
        <w:t>Aircraft Collateral</w:t>
      </w:r>
      <w:r>
        <w:rPr>
          <w:rFonts w:ascii="Arial" w:cs="Arial" w:eastAsia="Arial" w:hAnsi="Arial"/>
          <w:sz w:val="18"/>
          <w:szCs w:val="18"/>
          <w:color w:val="auto"/>
        </w:rPr>
        <w:t>”):</w:t>
      </w:r>
    </w:p>
    <w:p>
      <w:pPr>
        <w:spacing w:after="0" w:line="73" w:lineRule="exact"/>
        <w:rPr>
          <w:sz w:val="20"/>
          <w:szCs w:val="20"/>
          <w:color w:val="auto"/>
        </w:rPr>
      </w:pPr>
    </w:p>
    <w:p>
      <w:pPr>
        <w:ind w:left="460" w:right="60" w:firstLine="443"/>
        <w:spacing w:after="0" w:line="288" w:lineRule="auto"/>
        <w:tabs>
          <w:tab w:leader="none" w:pos="1153"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each Aircraft, including the Airframe and the Engines relating thereto, whether or not any such Engine may from time to time be installed on the related Airframe, any other Airframe or any other airframe or any other aircraft, and any and all Parts relating thereto, and, to the extent provided herein, all substitutions and replacements of, and additions, improvements, accessions and accumulations to, each such Aircraft, including the Airframe, the Engines and any and all Parts (in each case other than any substitutions, replacements, additions, improvements, accessions and accumulations that constitute items excluded from the definition of Parts by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thereof) relating thereto (each such Airframe and Engines as more particularly described in the applicable Aircraft Security Agreement Supplement executed and delivered with respect to the applicable Aircraft on the applicable Aircraft Closing Date for such Aircraft or with respect to any substitutions or replacements therefor), and together with all flight records, logs, manuals, maintenance data and inspection, modification and overhaul records at any time required to be maintained with respect to such Aircraft in accordance with the rules and regulations of the FAA if such Aircraft is registered under the laws of the United States or the rules and regulations of the government of the country of registry if such Aircraft is registered under the laws of a jurisdiction other than the United States;</w:t>
      </w:r>
    </w:p>
    <w:p>
      <w:pPr>
        <w:spacing w:after="0" w:line="61" w:lineRule="exact"/>
        <w:rPr>
          <w:rFonts w:ascii="Arial" w:cs="Arial" w:eastAsia="Arial" w:hAnsi="Arial"/>
          <w:sz w:val="16"/>
          <w:szCs w:val="16"/>
          <w:color w:val="auto"/>
        </w:rPr>
      </w:pPr>
    </w:p>
    <w:p>
      <w:pPr>
        <w:ind w:left="1160" w:hanging="257"/>
        <w:spacing w:after="0"/>
        <w:tabs>
          <w:tab w:leader="none" w:pos="116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the Warranty Rights relating to each Aircraft, together with all rights, powers, privileges, options and other benefits of the Grantor under the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same;</w:t>
      </w:r>
    </w:p>
    <w:p>
      <w:pPr>
        <w:spacing w:after="0" w:line="102" w:lineRule="exact"/>
        <w:rPr>
          <w:rFonts w:ascii="Arial" w:cs="Arial" w:eastAsia="Arial" w:hAnsi="Arial"/>
          <w:sz w:val="16"/>
          <w:szCs w:val="16"/>
          <w:color w:val="auto"/>
        </w:rPr>
      </w:pPr>
    </w:p>
    <w:p>
      <w:pPr>
        <w:ind w:left="460" w:right="40" w:firstLine="443"/>
        <w:spacing w:after="0" w:line="264" w:lineRule="auto"/>
        <w:tabs>
          <w:tab w:leader="none" w:pos="115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all rents, revenues and other proceeds collected by the Trustee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all moneys and securities from time to time paid or deposited or required to be paid or deposited to or with the Trustee by or for the account of the Grantor pursuant to any term of this Aircraft Security Agreement and held or required to be held by the Trustee hereunder;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all proceeds of the foregoing;</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PROVIDED, HOWEVER, that notwithstanding any of the foregoing provisions, so long as no Event of Default shall have occurred and be continuing, the Grantor shall have the right, to the exclusion of the Trustee, (</w:t>
      </w:r>
      <w:r>
        <w:rPr>
          <w:rFonts w:ascii="Arial" w:cs="Arial" w:eastAsia="Arial" w:hAnsi="Arial"/>
          <w:sz w:val="17"/>
          <w:szCs w:val="17"/>
          <w:u w:val="single" w:color="auto"/>
          <w:color w:val="auto"/>
        </w:rPr>
        <w:t>i</w:t>
      </w:r>
      <w:r>
        <w:rPr>
          <w:rFonts w:ascii="Arial" w:cs="Arial" w:eastAsia="Arial" w:hAnsi="Arial"/>
          <w:sz w:val="17"/>
          <w:szCs w:val="17"/>
          <w:color w:val="auto"/>
        </w:rPr>
        <w:t>) to quiet enjoyment of each Aircraft, Airframe, Part and Engine, and to possess, use, retain and control each Aircraft, Airframe, Part and Engine and all revenues, income and profits derived therefrom and</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1420"/>
          </w:cols>
          <w:pgMar w:left="240" w:top="273" w:right="239" w:bottom="1440" w:gutter="0" w:footer="0" w:header="0"/>
        </w:sectPr>
      </w:pPr>
    </w:p>
    <w:bookmarkStart w:id="386" w:name="page387"/>
    <w:bookmarkEnd w:id="386"/>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with respect to any Warranty Rights relating to any Aircraft, to exercise in the Grantor’s name all rights and powers of the Grantor with respect to such Warranty Rights and to retain any recovery or benefit resulting from the enforcement of any warranty or indemnity or other obligation under such Warranty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occurrence and continuation of an Event of Default, the Trustee shall not enter into any amendment or modification of any aircraft purchase or other agreement relating to the Warranty Rights that would alter the rights, benefits or obligations of the Grantor thereunder;</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TO HAVE AND TO HOLD all and singular the aforesaid property unto the Trustee, and its successors and permitted assigns, in trust for its benefit and the benefit of the other Secured Parties, except as otherwise provided in this Aircraft Security Agreement, and for the uses and purposes and in all cases and as to all property specified in </w:t>
      </w:r>
      <w:r>
        <w:rPr>
          <w:rFonts w:ascii="Arial" w:cs="Arial" w:eastAsia="Arial" w:hAnsi="Arial"/>
          <w:sz w:val="16"/>
          <w:szCs w:val="16"/>
          <w:u w:val="single" w:color="auto"/>
          <w:color w:val="auto"/>
        </w:rPr>
        <w:t>paragraphs (1)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(4)</w:t>
      </w:r>
      <w:r>
        <w:rPr>
          <w:rFonts w:ascii="Arial" w:cs="Arial" w:eastAsia="Arial" w:hAnsi="Arial"/>
          <w:sz w:val="16"/>
          <w:szCs w:val="16"/>
          <w:color w:val="auto"/>
        </w:rPr>
        <w:t xml:space="preserve"> inclusive above, subject to the terms and provisions set forth in this Aircraft Security Agreement.</w:t>
      </w:r>
    </w:p>
    <w:p>
      <w:pPr>
        <w:spacing w:after="0" w:line="14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It is expressly agreed that notwithstanding anything herein to the contrary, the Grantor shall remain liable under each aircraft purchase or other agreement in respect of any Warranty Rights to perform all of its obligations thereunder, and, except to the extent expressly provided in this Aircraft Security Agreement, the Trustee shall not be required or obligated in any manner to perform or fulfill any obligations of the Grantor under or pursuant to this Aircraft Security Agreement, or to have any obligation or liability under any aircraft purchase or other agreement in respect of any Warranty Rights by reason of or arising out of the assignment hereunder, or to make any inquiry as to the nature or sufficiency of any payment received by it, or present or file any claim or take any action to collect or enforce the payment of any amount that may have been assigned to it or to which it may be entitled at any time or times.</w:t>
      </w:r>
    </w:p>
    <w:p>
      <w:pPr>
        <w:spacing w:after="0" w:line="16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Notwithstanding anything herein to the contrary (but without in any way releasing the Grantor from any of its duties or obligations under any aircraft purchase or other agreement in respect of Warranty Rights), the Trustee confirms for the benefit of each manufacturer of any Aircraft that in exercising any rights under the Warranty Rights relating to such Aircraft, or in making any claim with respect to any such Aircraft or other goods and services delivered or to be delivered pursuant to the related aircraft purchase or other agreement for such Aircraft, the terms and conditions of such aircraft purchase or other agreement relating to such Warranty Rights, including, without limitation, any warranty disclaimer provisions for the benefit of such manufacturer, shall apply to and be binding upon the Trustee to the same extent as the Grantor. Subject to any Intercreditor Agreement and any Other Intercreditor Agreement, the Grantor hereby directs each manufacturer of any Aircraft, so long as an Event of Default shall have occurred and be continuing, to pay all amounts, if any, payable to the Grantor pursuant to the Warranty Rights relating to such Aircraft directly to the Trustee to be held and applied as provided herein. Nothing contained herein shall subject any manufacturer of</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1420"/>
          </w:cols>
          <w:pgMar w:left="240" w:top="274" w:right="239" w:bottom="1440" w:gutter="0" w:footer="0" w:header="0"/>
        </w:sectPr>
      </w:pPr>
    </w:p>
    <w:bookmarkStart w:id="387" w:name="page388"/>
    <w:bookmarkEnd w:id="387"/>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Aircraft to any liability to which it would not otherwise be subject under any aircraft purchase or other agreement relating thereto or modify in any respect the contract rights of such manufacturer thereunder.</w:t>
      </w:r>
    </w:p>
    <w:p>
      <w:pPr>
        <w:spacing w:after="0" w:line="170"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Notwithstanding anything herein to the contrary, it is the understanding of the parties hereto that the Liens granted pursuant to this Aircraft Security Agreement shall, prior to the Discharge of Additional Obligations that are Senior Priority Obligations, be pari passu and equal in priority to the Liens granted to any Additional Agent for the benefit of the holders of the applicable Additional Obligations that are Senior Priority Obligations to secure such Additional Obligations that are Senior Priority Obligations pursuant to the applicable Additional Collateral Documents (except as may be separately otherwise agreed between the Trustee, on behalf of itself and the Secured Parties, and any Additional Agent, on behalf of itself and the Additional Credit Facility Secured Parties represented thereby). The Trustee acknowledges and agrees that the relative priority of the Liens granted to the Trustee, the Collateral Agent, the Administrative Agent and any Additional Agent shall be determined solely (as between the parties to such Intercreditor Agreement or Other Intercreditor Agreement and except as otherwise provided therein) pursuant to the applicable Intercreditor Agreements and Other Intercreditor Agreements, and not by priority as a matter of law or otherwise. Notwithstanding anything herein to the contrary, the Liens granted to the Trustee pursuant to this Aircraft Security Agreement and the exercise of any right or remedy by the Trustee hereunder are subject to the provisions of the applicable Intercreditor Agreements and Other Intercreditor Agreements. In the event of any conflict between the terms of any Intercreditor Agreement or any Other Intercreditor Agreement and this Aircraft Security Agreement, the terms of such Intercreditor Agreement or Other Intercreditor Agreement, as applicable, shall govern and control as among (</w:t>
      </w:r>
      <w:r>
        <w:rPr>
          <w:rFonts w:ascii="Arial" w:cs="Arial" w:eastAsia="Arial" w:hAnsi="Arial"/>
          <w:sz w:val="17"/>
          <w:szCs w:val="17"/>
          <w:u w:val="single" w:color="auto"/>
          <w:color w:val="auto"/>
        </w:rPr>
        <w:t>i</w:t>
      </w:r>
      <w:r>
        <w:rPr>
          <w:rFonts w:ascii="Arial" w:cs="Arial" w:eastAsia="Arial" w:hAnsi="Arial"/>
          <w:sz w:val="17"/>
          <w:szCs w:val="17"/>
          <w:color w:val="auto"/>
        </w:rPr>
        <w:t>) the Trustee, the Collateral Agent and any Additional Agent, in the case of the Intercreditor Agreement, and (</w:t>
      </w:r>
      <w:r>
        <w:rPr>
          <w:rFonts w:ascii="Arial" w:cs="Arial" w:eastAsia="Arial" w:hAnsi="Arial"/>
          <w:sz w:val="17"/>
          <w:szCs w:val="17"/>
          <w:u w:val="single" w:color="auto"/>
          <w:color w:val="auto"/>
        </w:rPr>
        <w:t>ii</w:t>
      </w:r>
      <w:r>
        <w:rPr>
          <w:rFonts w:ascii="Arial" w:cs="Arial" w:eastAsia="Arial" w:hAnsi="Arial"/>
          <w:sz w:val="17"/>
          <w:szCs w:val="17"/>
          <w:color w:val="auto"/>
        </w:rPr>
        <w:t>) the Trustee, the Collateral Agent and any other secured creditor (or agent therefor) party thereto, in the case of any Other Intercreditor Agreement. In the event of any such conflict, the Grantor may act (or omit to act) in accordance with such Intercreditor Agreement or such Other Intercreditor Agreement, as applicable, and shall not be in breach, violation or default of its obligations hereunder by reason of doing so. Notwithstanding any other provision hereof, for so long as any Additional Obligations that are Senior Priority Obligations remain outstanding, any obligation hereunder to deliver, transfer or assign to the Collateral Agent any Collateral shall be satisfied by causing such Collateral to be delivered, transferred or assigned to the applicable Senior Priority Representative to be held in accordance with the Intercreditor Agreement.</w:t>
      </w:r>
    </w:p>
    <w:p>
      <w:pPr>
        <w:spacing w:after="0" w:line="19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Subject to the terms and conditions hereof, the Grantor does hereby irrevocably constitute the Trustee, on behalf of the Collateral Agent and the other Secured Parties, the true and lawful attorney of the Grantor (which appointment is coupled with an interest) with full power (in the name of the Grantor or otherwise) to ask for, require, demand and receive any and all monies and claims for monies (in each case including insurance and</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H-4</w:t>
      </w:r>
    </w:p>
    <w:p>
      <w:pPr>
        <w:sectPr>
          <w:pgSz w:w="11900" w:h="16838" w:orient="portrait"/>
          <w:cols w:equalWidth="0" w:num="1">
            <w:col w:w="11420"/>
          </w:cols>
          <w:pgMar w:left="240" w:top="273" w:right="239" w:bottom="1440" w:gutter="0" w:footer="0" w:header="0"/>
        </w:sectPr>
      </w:pPr>
    </w:p>
    <w:bookmarkStart w:id="388" w:name="page389"/>
    <w:bookmarkEnd w:id="388"/>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requisition proceeds) due and to become due to the Grantor under or arising out of any aircraft purchase or other agreement (to the extent assigned hereby as part of the Warranty Rights), and all other property which now or hereafter constitutes part of the Aircraft Collateral, to endorse any checks or other instruments or orders in connection therewith and to file any claims or to take any action or to institute any proceedings which the Trustee may deem to be necessary or advisable in the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shall not exercise any such rights except (</w:t>
      </w:r>
      <w:r>
        <w:rPr>
          <w:rFonts w:ascii="Arial" w:cs="Arial" w:eastAsia="Arial" w:hAnsi="Arial"/>
          <w:sz w:val="17"/>
          <w:szCs w:val="17"/>
          <w:u w:val="single" w:color="auto"/>
          <w:color w:val="auto"/>
        </w:rPr>
        <w:t>i</w:t>
      </w:r>
      <w:r>
        <w:rPr>
          <w:rFonts w:ascii="Arial" w:cs="Arial" w:eastAsia="Arial" w:hAnsi="Arial"/>
          <w:sz w:val="17"/>
          <w:szCs w:val="17"/>
          <w:color w:val="auto"/>
        </w:rPr>
        <w:t>) as permitted by each applicable Intercreditor Agreement and Other Intercreditor Agreement and (</w:t>
      </w:r>
      <w:r>
        <w:rPr>
          <w:rFonts w:ascii="Arial" w:cs="Arial" w:eastAsia="Arial" w:hAnsi="Arial"/>
          <w:sz w:val="17"/>
          <w:szCs w:val="17"/>
          <w:u w:val="single" w:color="auto"/>
          <w:color w:val="auto"/>
        </w:rPr>
        <w:t>ii</w:t>
      </w:r>
      <w:r>
        <w:rPr>
          <w:rFonts w:ascii="Arial" w:cs="Arial" w:eastAsia="Arial" w:hAnsi="Arial"/>
          <w:sz w:val="17"/>
          <w:szCs w:val="17"/>
          <w:color w:val="auto"/>
        </w:rPr>
        <w:t>) during the continuance of an Event of Default.</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Grantor does hereby warrant and represent that it has not sold, assigned or pledged, and hereby covenants and agrees that it will not sell, assign or pledge, so long as this Aircraft Security Agreement shall remain in effect and the Lien hereof shall not have been released pursuant to the provisions hereof, any of its estate, right, title or interest hereby assigned, to any Person other than the Trustee, except as otherwise provided in or permitted by the Credit Agreement, any Intercreditor Agreement and any Other Intercreditor Agreement.</w:t>
      </w:r>
    </w:p>
    <w:p>
      <w:pPr>
        <w:spacing w:after="0" w:line="18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 xml:space="preserve">The Grantor agrees that at any time and from time to time, upon the written request of the Trustee, the Grantor shall promptly and duly execute and deliver or cause to be duly executed and delivered any and all such further instruments and documents as the Trustee may reasonably deem necessary to perfect, preserve or protect the mortgage, security interests and assignments created or intended to be created hereby or to obtain for the Trustee the full benefit of the assignment hereunder and of the rights and powers herein granted;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instrument or other document so executed by the Grantor will not expand any obligations or limit any rights of the Grantor in respect of the transactions contemplated by this Aircraft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HEREBY COVENANTED AND AGREED by and between the parties hereto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all purposes of this Aircraft Security Agreement, unless the context otherwise requires, capitalized terms used but not defined herein have the respective meanings set forth or incorporated by reference in </w:t>
      </w:r>
      <w:r>
        <w:rPr>
          <w:rFonts w:ascii="Arial" w:cs="Arial" w:eastAsia="Arial" w:hAnsi="Arial"/>
          <w:sz w:val="18"/>
          <w:szCs w:val="18"/>
          <w:b w:val="1"/>
          <w:bCs w:val="1"/>
          <w:color w:val="auto"/>
        </w:rPr>
        <w:t>Annex A</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221" w:lineRule="exact"/>
        <w:rPr>
          <w:sz w:val="20"/>
          <w:szCs w:val="20"/>
          <w:color w:val="auto"/>
        </w:rPr>
      </w:pPr>
    </w:p>
    <w:p>
      <w:pPr>
        <w:ind w:left="9380" w:hanging="8916"/>
        <w:spacing w:after="0" w:line="478" w:lineRule="auto"/>
        <w:tabs>
          <w:tab w:leader="none" w:pos="718"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Singular and Plural</w:t>
      </w:r>
      <w:r>
        <w:rPr>
          <w:rFonts w:ascii="Arial" w:cs="Arial" w:eastAsia="Arial" w:hAnsi="Arial"/>
          <w:sz w:val="16"/>
          <w:szCs w:val="16"/>
          <w:color w:val="auto"/>
        </w:rPr>
        <w:t xml:space="preserve">. The definitions stated herein and in </w:t>
      </w:r>
      <w:r>
        <w:rPr>
          <w:rFonts w:ascii="Arial" w:cs="Arial" w:eastAsia="Arial" w:hAnsi="Arial"/>
          <w:sz w:val="16"/>
          <w:szCs w:val="16"/>
          <w:b w:val="1"/>
          <w:bCs w:val="1"/>
          <w:color w:val="auto"/>
        </w:rPr>
        <w:t>Annex A</w:t>
      </w:r>
      <w:r>
        <w:rPr>
          <w:rFonts w:ascii="Arial" w:cs="Arial" w:eastAsia="Arial" w:hAnsi="Arial"/>
          <w:sz w:val="16"/>
          <w:szCs w:val="16"/>
          <w:color w:val="auto"/>
        </w:rPr>
        <w:t xml:space="preserve"> apply equally to both the singular and the plural forms of the terms defined. Aircraft Security Agreement</w:t>
      </w:r>
    </w:p>
    <w:p>
      <w:pPr>
        <w:jc w:val="center"/>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420"/>
          </w:cols>
          <w:pgMar w:left="240" w:top="274" w:right="239" w:bottom="1440" w:gutter="0" w:footer="0" w:header="0"/>
        </w:sectPr>
      </w:pPr>
    </w:p>
    <w:bookmarkStart w:id="389" w:name="page390"/>
    <w:bookmarkEnd w:id="389"/>
    <w:p>
      <w:pPr>
        <w:ind w:firstLine="464"/>
        <w:spacing w:after="0" w:line="264" w:lineRule="auto"/>
        <w:tabs>
          <w:tab w:leader="none" w:pos="711"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References to Parts</w:t>
      </w:r>
      <w:r>
        <w:rPr>
          <w:rFonts w:ascii="Arial" w:cs="Arial" w:eastAsia="Arial" w:hAnsi="Arial"/>
          <w:sz w:val="18"/>
          <w:szCs w:val="18"/>
          <w:color w:val="auto"/>
        </w:rPr>
        <w:t>. All references in this Aircraft Security Agreement to designated “Articles”, “Sections”, “Subsections”, “Schedules”, “Exhibits”, “Annexes” and other subdivisions are to the designated Article, Section, Subsection, Schedule, Exhibit, Annex or other subdivision of this Aircraft Security Agreement, unless otherwise specifically stated.</w:t>
      </w:r>
    </w:p>
    <w:p>
      <w:pPr>
        <w:spacing w:after="0" w:line="181" w:lineRule="exact"/>
        <w:rPr>
          <w:rFonts w:ascii="Arial" w:cs="Arial" w:eastAsia="Arial" w:hAnsi="Arial"/>
          <w:sz w:val="18"/>
          <w:szCs w:val="18"/>
          <w:color w:val="auto"/>
        </w:rPr>
      </w:pPr>
    </w:p>
    <w:p>
      <w:pPr>
        <w:ind w:right="120" w:firstLine="464"/>
        <w:spacing w:after="0" w:line="277" w:lineRule="auto"/>
        <w:tabs>
          <w:tab w:leader="none" w:pos="701"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Reference to the Whole</w:t>
      </w:r>
      <w:r>
        <w:rPr>
          <w:rFonts w:ascii="Arial" w:cs="Arial" w:eastAsia="Arial" w:hAnsi="Arial"/>
          <w:sz w:val="18"/>
          <w:szCs w:val="18"/>
          <w:color w:val="auto"/>
        </w:rPr>
        <w:t>. The words “herein”, “hereof” and “hereunder” and other words of similar import refer to this Aircraft Security Agreement as a whole and not to any particular Article, Section, Subsection, Schedule, Exhibit, Annex or other subdivision.</w:t>
      </w:r>
    </w:p>
    <w:p>
      <w:pPr>
        <w:spacing w:after="0" w:line="170" w:lineRule="exact"/>
        <w:rPr>
          <w:rFonts w:ascii="Arial" w:cs="Arial" w:eastAsia="Arial" w:hAnsi="Arial"/>
          <w:sz w:val="18"/>
          <w:szCs w:val="18"/>
          <w:color w:val="auto"/>
        </w:rPr>
      </w:pPr>
    </w:p>
    <w:p>
      <w:pPr>
        <w:ind w:firstLine="464"/>
        <w:spacing w:after="0" w:line="277" w:lineRule="auto"/>
        <w:tabs>
          <w:tab w:leader="none" w:pos="711"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Including Without Limitation</w:t>
      </w:r>
      <w:r>
        <w:rPr>
          <w:rFonts w:ascii="Arial" w:cs="Arial" w:eastAsia="Arial" w:hAnsi="Arial"/>
          <w:sz w:val="18"/>
          <w:szCs w:val="18"/>
          <w:color w:val="auto"/>
        </w:rPr>
        <w:t>. Unless the context otherwise, requires, whenever the words “including”, “include” or “includes” are used herein, they shall be deemed to be followed by the phrase “without limitation”.</w:t>
      </w:r>
    </w:p>
    <w:p>
      <w:pPr>
        <w:spacing w:after="0" w:line="170"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Reference to Government</w:t>
      </w:r>
      <w:r>
        <w:rPr>
          <w:rFonts w:ascii="Arial" w:cs="Arial" w:eastAsia="Arial" w:hAnsi="Arial"/>
          <w:sz w:val="18"/>
          <w:szCs w:val="18"/>
          <w:color w:val="auto"/>
        </w:rPr>
        <w:t>. All references in this Aircraft Security Agreement to a “government” are to such government and any instrumentality or agency thereof.</w:t>
      </w:r>
    </w:p>
    <w:p>
      <w:pPr>
        <w:spacing w:after="0" w:line="170" w:lineRule="exact"/>
        <w:rPr>
          <w:sz w:val="20"/>
          <w:szCs w:val="20"/>
          <w:color w:val="auto"/>
        </w:rPr>
      </w:pPr>
    </w:p>
    <w:p>
      <w:pPr>
        <w:ind w:left="700" w:hanging="236"/>
        <w:spacing w:after="0"/>
        <w:tabs>
          <w:tab w:leader="none" w:pos="700" w:val="left"/>
        </w:tabs>
        <w:numPr>
          <w:ilvl w:val="0"/>
          <w:numId w:val="434"/>
        </w:numPr>
        <w:rPr>
          <w:rFonts w:ascii="Arial" w:cs="Arial" w:eastAsia="Arial" w:hAnsi="Arial"/>
          <w:sz w:val="16"/>
          <w:szCs w:val="16"/>
          <w:color w:val="auto"/>
        </w:rPr>
      </w:pPr>
      <w:r>
        <w:rPr>
          <w:rFonts w:ascii="Arial" w:cs="Arial" w:eastAsia="Arial" w:hAnsi="Arial"/>
          <w:sz w:val="16"/>
          <w:szCs w:val="16"/>
          <w:u w:val="single" w:color="auto"/>
          <w:color w:val="auto"/>
        </w:rPr>
        <w:t>Reference to Persons</w:t>
      </w:r>
      <w:r>
        <w:rPr>
          <w:rFonts w:ascii="Arial" w:cs="Arial" w:eastAsia="Arial" w:hAnsi="Arial"/>
          <w:sz w:val="16"/>
          <w:szCs w:val="16"/>
          <w:color w:val="auto"/>
        </w:rPr>
        <w:t>. All references in this Aircraft Security Agreement to a Person shall include successors and permitted assigns of such Person.</w:t>
      </w:r>
    </w:p>
    <w:p>
      <w:pPr>
        <w:spacing w:after="0" w:line="248" w:lineRule="exact"/>
        <w:rPr>
          <w:rFonts w:ascii="Arial" w:cs="Arial" w:eastAsia="Arial" w:hAnsi="Arial"/>
          <w:sz w:val="16"/>
          <w:szCs w:val="16"/>
          <w:color w:val="auto"/>
        </w:rPr>
      </w:pPr>
    </w:p>
    <w:p>
      <w:pPr>
        <w:ind w:right="120" w:firstLine="464"/>
        <w:spacing w:after="0" w:line="308" w:lineRule="auto"/>
        <w:tabs>
          <w:tab w:leader="none" w:pos="681"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Rules of Interpretation in Credit Agreement</w:t>
      </w:r>
      <w:r>
        <w:rPr>
          <w:rFonts w:ascii="Arial" w:cs="Arial" w:eastAsia="Arial" w:hAnsi="Arial"/>
          <w:sz w:val="17"/>
          <w:szCs w:val="17"/>
          <w:color w:val="auto"/>
        </w:rPr>
        <w:t xml:space="preserve">. The parties to this Aircraft Security Agreement agree that the Rules of Interpretation set out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of the Credit Agreement shall apply to this Aircraft Security Agreement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as if set out in this Aircraft Security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ETC.</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Representations and Warranties of the Grantor</w:t>
      </w:r>
      <w:r>
        <w:rPr>
          <w:rFonts w:ascii="Arial" w:cs="Arial" w:eastAsia="Arial" w:hAnsi="Arial"/>
          <w:sz w:val="18"/>
          <w:szCs w:val="18"/>
          <w:color w:val="auto"/>
        </w:rPr>
        <w:t>. As of the date hereof, with respect to each Aircraft subjected to the Lien of this Aircraft Security Agreement on such date, the Grantor represents and warrants that:</w:t>
      </w:r>
    </w:p>
    <w:p>
      <w:pPr>
        <w:spacing w:after="0" w:line="62" w:lineRule="exact"/>
        <w:rPr>
          <w:sz w:val="20"/>
          <w:szCs w:val="20"/>
          <w:color w:val="auto"/>
        </w:rPr>
      </w:pPr>
    </w:p>
    <w:p>
      <w:pPr>
        <w:ind w:left="460" w:right="280" w:firstLine="443"/>
        <w:spacing w:after="0" w:line="279" w:lineRule="auto"/>
        <w:tabs>
          <w:tab w:leader="none" w:pos="1143" w:val="left"/>
        </w:tabs>
        <w:numPr>
          <w:ilvl w:val="0"/>
          <w:numId w:val="435"/>
        </w:numPr>
        <w:rPr>
          <w:rFonts w:ascii="Arial" w:cs="Arial" w:eastAsia="Arial" w:hAnsi="Arial"/>
          <w:sz w:val="17"/>
          <w:szCs w:val="17"/>
          <w:color w:val="auto"/>
        </w:rPr>
      </w:pPr>
      <w:r>
        <w:rPr>
          <w:rFonts w:ascii="Arial" w:cs="Arial" w:eastAsia="Arial" w:hAnsi="Arial"/>
          <w:sz w:val="17"/>
          <w:szCs w:val="17"/>
          <w:u w:val="single" w:color="auto"/>
          <w:color w:val="auto"/>
        </w:rPr>
        <w:t>Organization; Authority; Qualification</w:t>
      </w:r>
      <w:r>
        <w:rPr>
          <w:rFonts w:ascii="Arial" w:cs="Arial" w:eastAsia="Arial" w:hAnsi="Arial"/>
          <w:sz w:val="17"/>
          <w:szCs w:val="17"/>
          <w:color w:val="auto"/>
        </w:rPr>
        <w:t>. The Grantor is a [corporation] duly [incorporated] and validly existing in good standing under the laws of [the State of Delaware]</w:t>
      </w:r>
      <w:r>
        <w:rPr>
          <w:rFonts w:ascii="Arial" w:cs="Arial" w:eastAsia="Arial" w:hAnsi="Arial"/>
          <w:sz w:val="14"/>
          <w:szCs w:val="14"/>
          <w:color w:val="auto"/>
        </w:rPr>
        <w:t>4</w:t>
      </w:r>
      <w:r>
        <w:rPr>
          <w:rFonts w:ascii="Arial" w:cs="Arial" w:eastAsia="Arial" w:hAnsi="Arial"/>
          <w:sz w:val="17"/>
          <w:szCs w:val="17"/>
          <w:color w:val="auto"/>
        </w:rPr>
        <w:t>, is a Certificated Air Carrier, is a Citizen of the United States, has the corporate power and authority to own or hold under lease its properties and to enter into and perform its obligations under this Aircraft Security Agreement and the Aircraft Security Agreement Supplement describing such Aircraft and is duly qualified to do business as a foreign corporation in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89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ind w:left="220" w:hanging="212"/>
        <w:spacing w:after="0"/>
        <w:tabs>
          <w:tab w:leader="none" w:pos="220" w:val="left"/>
        </w:tabs>
        <w:numPr>
          <w:ilvl w:val="0"/>
          <w:numId w:val="436"/>
        </w:numPr>
        <w:rPr>
          <w:rFonts w:ascii="Arial" w:cs="Arial" w:eastAsia="Arial" w:hAnsi="Arial"/>
          <w:sz w:val="15"/>
          <w:szCs w:val="15"/>
          <w:color w:val="auto"/>
        </w:rPr>
      </w:pPr>
      <w:r>
        <w:rPr>
          <w:rFonts w:ascii="Arial" w:cs="Arial" w:eastAsia="Arial" w:hAnsi="Arial"/>
          <w:sz w:val="18"/>
          <w:szCs w:val="18"/>
          <w:color w:val="auto"/>
        </w:rPr>
        <w:t>Revise bracketed phrases in Section 2.01 as necessary for applicable Grantor.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H-6</w:t>
      </w:r>
    </w:p>
    <w:p>
      <w:pPr>
        <w:sectPr>
          <w:pgSz w:w="11900" w:h="16838" w:orient="portrait"/>
          <w:cols w:equalWidth="0" w:num="1">
            <w:col w:w="11420"/>
          </w:cols>
          <w:pgMar w:left="240" w:top="274" w:right="239" w:bottom="1440" w:gutter="0" w:footer="0" w:header="0"/>
        </w:sectPr>
      </w:pPr>
    </w:p>
    <w:bookmarkStart w:id="390" w:name="page391"/>
    <w:bookmarkEnd w:id="390"/>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standing in each other jurisdiction in which the failure to so qualify would have a material adverse effect on the consolidated financial condition of the Grantor and its subsidiaries, considered as a whole, and its jurisdiction of organization (as such term is used in Article 9 of the Uniform Commercial Code as in effect in the state of [Delaware]) is [Delaware].</w:t>
      </w:r>
    </w:p>
    <w:p>
      <w:pPr>
        <w:spacing w:after="0" w:line="73" w:lineRule="exact"/>
        <w:rPr>
          <w:sz w:val="20"/>
          <w:szCs w:val="20"/>
          <w:color w:val="auto"/>
        </w:rPr>
      </w:pPr>
    </w:p>
    <w:p>
      <w:pPr>
        <w:ind w:right="100" w:firstLine="443"/>
        <w:spacing w:after="0" w:line="290" w:lineRule="auto"/>
        <w:tabs>
          <w:tab w:leader="none" w:pos="693" w:val="left"/>
        </w:tabs>
        <w:numPr>
          <w:ilvl w:val="0"/>
          <w:numId w:val="4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Action and Authorization; No Violations</w:t>
      </w:r>
      <w:r>
        <w:rPr>
          <w:rFonts w:ascii="Arial" w:cs="Arial" w:eastAsia="Arial" w:hAnsi="Arial"/>
          <w:sz w:val="16"/>
          <w:szCs w:val="16"/>
          <w:color w:val="auto"/>
        </w:rPr>
        <w:t>. The execution, delivery and performance by the Grantor of this Aircraft Security Agreement and the Aircraft Security Agreement Supplement describing such Aircraft have been duly authorized by all necessary [corporate] action on the part of the Grantor, do not require any [stockholder] approval or approval or consent of any trustee or holder of any indebtedness or obligations of the Grantor, except such as have been duly obtained and are in full force and effect, and do not contravene any law, governmental rule, regulation, judgment or order binding on the Grantor or the [certificate of incorporation or by-laws] of the Grantor or contravene or result in a breach of, or constitute a default under, or result in the creation of any Lien (other than as permitted under this Aircraft Security Agreement, the Credit Agreement, any Intercreditor Agreement or Other Intercreditor Agreement) upon the property of the Grantor under, any material indenture, mortgage, contract or other agreement to which the Grantor is a party or by which it or any of its properties may be bound or affected.</w:t>
      </w:r>
    </w:p>
    <w:p>
      <w:pPr>
        <w:spacing w:after="0" w:line="58" w:lineRule="exact"/>
        <w:rPr>
          <w:rFonts w:ascii="Arial" w:cs="Arial" w:eastAsia="Arial" w:hAnsi="Arial"/>
          <w:sz w:val="16"/>
          <w:szCs w:val="16"/>
          <w:color w:val="auto"/>
        </w:rPr>
      </w:pPr>
    </w:p>
    <w:p>
      <w:pPr>
        <w:ind w:right="80" w:firstLine="443"/>
        <w:spacing w:after="0" w:line="253" w:lineRule="auto"/>
        <w:tabs>
          <w:tab w:leader="none" w:pos="683"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Neither the execution and delivery by the Grantor of this Aircraft Security Agreement or the Aircraft Security Agreement Supplement describing such Aircraft, nor the consummation by the Grantor of any of the transactions contemplated hereby or thereby, requires the authorization, consent or approval of, the giving of notice to, the filing or registration with or the taking of any other action in respect of, the Department of Transportation, the FAA or any other federal or state governmental authority or agency, or the International Registry, except for (</w:t>
      </w:r>
      <w:r>
        <w:rPr>
          <w:rFonts w:ascii="Arial" w:cs="Arial" w:eastAsia="Arial" w:hAnsi="Arial"/>
          <w:sz w:val="18"/>
          <w:szCs w:val="18"/>
          <w:u w:val="single" w:color="auto"/>
          <w:color w:val="auto"/>
        </w:rPr>
        <w:t>i</w:t>
      </w:r>
      <w:r>
        <w:rPr>
          <w:rFonts w:ascii="Arial" w:cs="Arial" w:eastAsia="Arial" w:hAnsi="Arial"/>
          <w:sz w:val="18"/>
          <w:szCs w:val="18"/>
          <w:color w:val="auto"/>
        </w:rPr>
        <w:t>) the orders, permits, waivers, exemptions, authorizations and approvals of the regulatory authorities having jurisdiction over the Grantor’s ownership or use of such Aircraft required to be obtained on or prior to such date, which orders, permits, waivers, exemptions, authorizations and approvals have been duly obtained and are, or on such date will be, in full force and effect,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filings referred to in </w:t>
      </w:r>
      <w:r>
        <w:rPr>
          <w:rFonts w:ascii="Arial" w:cs="Arial" w:eastAsia="Arial" w:hAnsi="Arial"/>
          <w:sz w:val="18"/>
          <w:szCs w:val="18"/>
          <w:u w:val="single" w:color="auto"/>
          <w:color w:val="auto"/>
        </w:rPr>
        <w:t>Section 2.01(e)</w:t>
      </w:r>
      <w:r>
        <w:rPr>
          <w:rFonts w:ascii="Arial" w:cs="Arial" w:eastAsia="Arial" w:hAnsi="Arial"/>
          <w:sz w:val="18"/>
          <w:szCs w:val="18"/>
          <w:color w:val="auto"/>
        </w:rPr>
        <w:t>, (</w:t>
      </w:r>
      <w:r>
        <w:rPr>
          <w:rFonts w:ascii="Arial" w:cs="Arial" w:eastAsia="Arial" w:hAnsi="Arial"/>
          <w:sz w:val="18"/>
          <w:szCs w:val="18"/>
          <w:u w:val="single" w:color="auto"/>
          <w:color w:val="auto"/>
        </w:rPr>
        <w:t>iii</w:t>
      </w:r>
      <w:r>
        <w:rPr>
          <w:rFonts w:ascii="Arial" w:cs="Arial" w:eastAsia="Arial" w:hAnsi="Arial"/>
          <w:sz w:val="18"/>
          <w:szCs w:val="18"/>
          <w:color w:val="auto"/>
        </w:rPr>
        <w:t>) authorizations, consents, approvals, notices and filings required to be obtained, taken, given or made under securities or Blue Sky or similar laws of the various states and foreign jurisdictions, and (</w:t>
      </w:r>
      <w:r>
        <w:rPr>
          <w:rFonts w:ascii="Arial" w:cs="Arial" w:eastAsia="Arial" w:hAnsi="Arial"/>
          <w:sz w:val="18"/>
          <w:szCs w:val="18"/>
          <w:u w:val="single" w:color="auto"/>
          <w:color w:val="auto"/>
        </w:rPr>
        <w:t>iv</w:t>
      </w:r>
      <w:r>
        <w:rPr>
          <w:rFonts w:ascii="Arial" w:cs="Arial" w:eastAsia="Arial" w:hAnsi="Arial"/>
          <w:sz w:val="18"/>
          <w:szCs w:val="18"/>
          <w:color w:val="auto"/>
        </w:rPr>
        <w:t>) consents, approvals, notices, registrations and other actions required to be obtained, given, made or taken only after such date.</w:t>
      </w:r>
    </w:p>
    <w:p>
      <w:pPr>
        <w:spacing w:after="0" w:line="86" w:lineRule="exact"/>
        <w:rPr>
          <w:rFonts w:ascii="Arial" w:cs="Arial" w:eastAsia="Arial" w:hAnsi="Arial"/>
          <w:sz w:val="18"/>
          <w:szCs w:val="18"/>
          <w:color w:val="auto"/>
        </w:rPr>
      </w:pPr>
    </w:p>
    <w:p>
      <w:pPr>
        <w:ind w:left="700" w:hanging="257"/>
        <w:spacing w:after="0"/>
        <w:tabs>
          <w:tab w:leader="none" w:pos="700" w:val="left"/>
        </w:tabs>
        <w:numPr>
          <w:ilvl w:val="0"/>
          <w:numId w:val="437"/>
        </w:numPr>
        <w:rPr>
          <w:rFonts w:ascii="Arial" w:cs="Arial" w:eastAsia="Arial" w:hAnsi="Arial"/>
          <w:sz w:val="16"/>
          <w:szCs w:val="16"/>
          <w:color w:val="auto"/>
        </w:rPr>
      </w:pPr>
      <w:r>
        <w:rPr>
          <w:rFonts w:ascii="Arial" w:cs="Arial" w:eastAsia="Arial" w:hAnsi="Arial"/>
          <w:sz w:val="16"/>
          <w:szCs w:val="16"/>
          <w:u w:val="single" w:color="auto"/>
          <w:color w:val="auto"/>
        </w:rPr>
        <w:t>Valid and Binding Agreements</w:t>
      </w:r>
      <w:r>
        <w:rPr>
          <w:rFonts w:ascii="Arial" w:cs="Arial" w:eastAsia="Arial" w:hAnsi="Arial"/>
          <w:sz w:val="16"/>
          <w:szCs w:val="16"/>
          <w:color w:val="auto"/>
        </w:rPr>
        <w:t>. This Aircraft Security Agreement and the Aircraft Security Agreement Supplement describing such Aircraft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have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0960"/>
          </w:cols>
          <w:pgMar w:left="700" w:top="274" w:right="239" w:bottom="1440" w:gutter="0" w:footer="0" w:header="0"/>
        </w:sectPr>
      </w:pPr>
    </w:p>
    <w:bookmarkStart w:id="391" w:name="page392"/>
    <w:bookmarkEnd w:id="39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duly executed and delivered by the Grantor and constitute the legal, valid and binding obligations of the Grantor enforceable against the Grantor in accordance with their terms, except as the same may be limited by bankruptcy, insolvency, reorganization, moratorium or other similar laws affecting the rights of creditors generally and by general principles of equity and except as limited by applicable laws that may affect the remedies provided in this Aircraft Security Agreement, which laws, however, do not make the remedies provided in this Aircraft Security Agreement inadequate for the practical realization of the rights and benefits intended to be provided thereby.</w:t>
      </w:r>
    </w:p>
    <w:p>
      <w:pPr>
        <w:spacing w:after="0" w:line="80" w:lineRule="exact"/>
        <w:rPr>
          <w:sz w:val="20"/>
          <w:szCs w:val="20"/>
          <w:color w:val="auto"/>
        </w:rPr>
      </w:pPr>
    </w:p>
    <w:p>
      <w:pPr>
        <w:ind w:right="40" w:firstLine="443"/>
        <w:spacing w:after="0" w:line="270" w:lineRule="auto"/>
        <w:tabs>
          <w:tab w:leader="none" w:pos="683" w:val="left"/>
        </w:tabs>
        <w:numPr>
          <w:ilvl w:val="0"/>
          <w:numId w:val="438"/>
        </w:numPr>
        <w:rPr>
          <w:rFonts w:ascii="Arial" w:cs="Arial" w:eastAsia="Arial" w:hAnsi="Arial"/>
          <w:sz w:val="17"/>
          <w:szCs w:val="17"/>
          <w:color w:val="auto"/>
        </w:rPr>
      </w:pPr>
      <w:r>
        <w:rPr>
          <w:rFonts w:ascii="Arial" w:cs="Arial" w:eastAsia="Arial" w:hAnsi="Arial"/>
          <w:sz w:val="17"/>
          <w:szCs w:val="17"/>
          <w:u w:val="single" w:color="auto"/>
          <w:color w:val="auto"/>
        </w:rPr>
        <w:t>Filings and Recordation</w:t>
      </w:r>
      <w:r>
        <w:rPr>
          <w:rFonts w:ascii="Arial" w:cs="Arial" w:eastAsia="Arial" w:hAnsi="Arial"/>
          <w:sz w:val="17"/>
          <w:szCs w:val="17"/>
          <w:color w:val="auto"/>
        </w:rPr>
        <w:t>. Except for (</w:t>
      </w:r>
      <w:r>
        <w:rPr>
          <w:rFonts w:ascii="Arial" w:cs="Arial" w:eastAsia="Arial" w:hAnsi="Arial"/>
          <w:sz w:val="17"/>
          <w:szCs w:val="17"/>
          <w:u w:val="single" w:color="auto"/>
          <w:color w:val="auto"/>
        </w:rPr>
        <w:t>i</w:t>
      </w:r>
      <w:r>
        <w:rPr>
          <w:rFonts w:ascii="Arial" w:cs="Arial" w:eastAsia="Arial" w:hAnsi="Arial"/>
          <w:sz w:val="17"/>
          <w:szCs w:val="17"/>
          <w:color w:val="auto"/>
        </w:rPr>
        <w:t>) the registration of the Aircraft in the name of the Grantor (and renewals of such registration at periodic intervals), (</w:t>
      </w:r>
      <w:r>
        <w:rPr>
          <w:rFonts w:ascii="Arial" w:cs="Arial" w:eastAsia="Arial" w:hAnsi="Arial"/>
          <w:sz w:val="17"/>
          <w:szCs w:val="17"/>
          <w:u w:val="single" w:color="auto"/>
          <w:color w:val="auto"/>
        </w:rPr>
        <w:t>ii</w:t>
      </w:r>
      <w:r>
        <w:rPr>
          <w:rFonts w:ascii="Arial" w:cs="Arial" w:eastAsia="Arial" w:hAnsi="Arial"/>
          <w:sz w:val="17"/>
          <w:szCs w:val="17"/>
          <w:color w:val="auto"/>
        </w:rPr>
        <w:t>) the filing for recordation pursuant to the Transportation Code of this Aircraft Security Agreement (with the Aircraft Security Agreement Supplement describing such Aircraft attached), (</w:t>
      </w:r>
      <w:r>
        <w:rPr>
          <w:rFonts w:ascii="Arial" w:cs="Arial" w:eastAsia="Arial" w:hAnsi="Arial"/>
          <w:sz w:val="17"/>
          <w:szCs w:val="17"/>
          <w:u w:val="single" w:color="auto"/>
          <w:color w:val="auto"/>
        </w:rPr>
        <w:t>iii</w:t>
      </w:r>
      <w:r>
        <w:rPr>
          <w:rFonts w:ascii="Arial" w:cs="Arial" w:eastAsia="Arial" w:hAnsi="Arial"/>
          <w:sz w:val="17"/>
          <w:szCs w:val="17"/>
          <w:color w:val="auto"/>
        </w:rPr>
        <w:t>) with respect to the security interests created by this Aircraft Security Agreement, together with the Aircraft Security Agreement Supplement describing such Aircraft, the filing of financing statements (and continuation statements at periodic intervals) under the Uniform Commercial Code of [the State of Delaware], and (</w:t>
      </w:r>
      <w:r>
        <w:rPr>
          <w:rFonts w:ascii="Arial" w:cs="Arial" w:eastAsia="Arial" w:hAnsi="Arial"/>
          <w:sz w:val="17"/>
          <w:szCs w:val="17"/>
          <w:u w:val="single" w:color="auto"/>
          <w:color w:val="auto"/>
        </w:rPr>
        <w:t>iv</w:t>
      </w:r>
      <w:r>
        <w:rPr>
          <w:rFonts w:ascii="Arial" w:cs="Arial" w:eastAsia="Arial" w:hAnsi="Arial"/>
          <w:sz w:val="17"/>
          <w:szCs w:val="17"/>
          <w:color w:val="auto"/>
        </w:rPr>
        <w:t>) the registration on the International Registry of the International Interests (or Prospective International Interests) created under this Aircraft Security Agreement (as supplemented by the Aircraft Security Supplement describing such Aircraft), no further filing or recording of any document is necessary or advisable under the laws of the United States or any state thereof as of such date in order to establish and perfect the security interest in such Aircraft created under this Aircraft Security Agreement in favor of the Trustee as against the Grantor and any third parties in any applicable jurisdiction in the United States.</w:t>
      </w:r>
    </w:p>
    <w:p>
      <w:pPr>
        <w:spacing w:after="0" w:line="73" w:lineRule="exact"/>
        <w:rPr>
          <w:rFonts w:ascii="Arial" w:cs="Arial" w:eastAsia="Arial" w:hAnsi="Arial"/>
          <w:sz w:val="17"/>
          <w:szCs w:val="17"/>
          <w:color w:val="auto"/>
        </w:rPr>
      </w:pPr>
    </w:p>
    <w:p>
      <w:pPr>
        <w:ind w:right="60" w:firstLine="443"/>
        <w:spacing w:after="0" w:line="302" w:lineRule="auto"/>
        <w:tabs>
          <w:tab w:leader="none" w:pos="663"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Title</w:t>
      </w:r>
      <w:r>
        <w:rPr>
          <w:rFonts w:ascii="Arial" w:cs="Arial" w:eastAsia="Arial" w:hAnsi="Arial"/>
          <w:sz w:val="16"/>
          <w:szCs w:val="16"/>
          <w:color w:val="auto"/>
        </w:rPr>
        <w:t>. The Grantor has good title to such Aircraft, free and clear of Liens other than Permitted Liens. Such Aircraft has been duly certified by the FAA as to type and airworthiness in accordance with the terms of the Aircraft Security Agreement. This Aircraft Security Agreement (with the Aircraft Security Agreement Supplement describing such Aircraft attached) has been duly filed for recordation (or shall be in the process of being so duly filed for recordation) with the FAA pursuant to the Transportation Code. Such Aircraft is duly registered with the FAA in the name of the Grantor.</w:t>
      </w:r>
    </w:p>
    <w:p>
      <w:pPr>
        <w:spacing w:after="0" w:line="46" w:lineRule="exact"/>
        <w:rPr>
          <w:rFonts w:ascii="Arial" w:cs="Arial" w:eastAsia="Arial" w:hAnsi="Arial"/>
          <w:sz w:val="16"/>
          <w:szCs w:val="16"/>
          <w:color w:val="auto"/>
        </w:rPr>
      </w:pPr>
    </w:p>
    <w:p>
      <w:pPr>
        <w:jc w:val="both"/>
        <w:ind w:right="80" w:firstLine="443"/>
        <w:spacing w:after="0" w:line="259" w:lineRule="auto"/>
        <w:tabs>
          <w:tab w:leader="none" w:pos="693"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Subject to any Intercreditor Agreement and any Other Intercreditor Agreement, this Aircraft Security Agreement creates in favor of the Trustee, for its benefit and the benefit of the other Secured Parties, a valid and perfected Lien on such Aircraft, subject to no Lien, except Permitted Liens. There are no Liens of record with the FAA on such Aircraft on the date hereof other than the Lien of this Aircraft Security Agreement and any Permitted Liens.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0960"/>
          </w:cols>
          <w:pgMar w:left="700" w:top="274" w:right="239" w:bottom="1440" w:gutter="0" w:footer="0" w:header="0"/>
        </w:sectPr>
      </w:pPr>
    </w:p>
    <w:bookmarkStart w:id="392" w:name="page393"/>
    <w:bookmarkEnd w:id="392"/>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w:t>
      </w:r>
      <w:r>
        <w:rPr>
          <w:rFonts w:ascii="Arial" w:cs="Arial" w:eastAsia="Arial" w:hAnsi="Arial"/>
          <w:sz w:val="18"/>
          <w:szCs w:val="18"/>
          <w:u w:val="single" w:color="auto"/>
          <w:color w:val="auto"/>
        </w:rPr>
        <w:t>x</w:t>
      </w:r>
      <w:r>
        <w:rPr>
          <w:rFonts w:ascii="Arial" w:cs="Arial" w:eastAsia="Arial" w:hAnsi="Arial"/>
          <w:sz w:val="18"/>
          <w:szCs w:val="18"/>
          <w:color w:val="auto"/>
        </w:rPr>
        <w:t>) the International Interests (or Prospective International Interests) created under this Aircraft Security Agreement (as supplemented by the Aircraft Security Agreement Supplement describing such Aircraft), (</w:t>
      </w:r>
      <w:r>
        <w:rPr>
          <w:rFonts w:ascii="Arial" w:cs="Arial" w:eastAsia="Arial" w:hAnsi="Arial"/>
          <w:sz w:val="18"/>
          <w:szCs w:val="18"/>
          <w:u w:val="single" w:color="auto"/>
          <w:color w:val="auto"/>
        </w:rPr>
        <w:t>y</w:t>
      </w:r>
      <w:r>
        <w:rPr>
          <w:rFonts w:ascii="Arial" w:cs="Arial" w:eastAsia="Arial" w:hAnsi="Arial"/>
          <w:sz w:val="18"/>
          <w:szCs w:val="18"/>
          <w:color w:val="auto"/>
        </w:rPr>
        <w:t>) any International Interests (or Prospective International Interests) that appear on the International Registry as having been discharged and (</w:t>
      </w:r>
      <w:r>
        <w:rPr>
          <w:rFonts w:ascii="Arial" w:cs="Arial" w:eastAsia="Arial" w:hAnsi="Arial"/>
          <w:sz w:val="18"/>
          <w:szCs w:val="18"/>
          <w:u w:val="single" w:color="auto"/>
          <w:color w:val="auto"/>
        </w:rPr>
        <w:t>z</w:t>
      </w:r>
      <w:r>
        <w:rPr>
          <w:rFonts w:ascii="Arial" w:cs="Arial" w:eastAsia="Arial" w:hAnsi="Arial"/>
          <w:sz w:val="18"/>
          <w:szCs w:val="18"/>
          <w:color w:val="auto"/>
        </w:rPr>
        <w:t>) any Permitted Liens, no International Interests with respect to such Aircraft have been registered on the International Registry as of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PAYMENTS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Payments After Event of Default</w:t>
      </w:r>
      <w:r>
        <w:rPr>
          <w:rFonts w:ascii="Arial" w:cs="Arial" w:eastAsia="Arial" w:hAnsi="Arial"/>
          <w:sz w:val="18"/>
          <w:szCs w:val="18"/>
          <w:color w:val="auto"/>
        </w:rPr>
        <w:t>.</w:t>
      </w:r>
    </w:p>
    <w:p>
      <w:pPr>
        <w:spacing w:after="0" w:line="225" w:lineRule="exact"/>
        <w:rPr>
          <w:sz w:val="20"/>
          <w:szCs w:val="20"/>
          <w:color w:val="auto"/>
        </w:rPr>
      </w:pPr>
    </w:p>
    <w:p>
      <w:pPr>
        <w:ind w:right="140" w:firstLine="464"/>
        <w:spacing w:after="0" w:line="291" w:lineRule="auto"/>
        <w:tabs>
          <w:tab w:leader="none" w:pos="701"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Any cash held by the Trustee as Aircraft Collateral and all cash proceeds received by the Trustee in respect of any sale of, collection from, or other realization upon all or any part of the Aircraft Collateral pursuant to the exercise by the Trustee of its remedies as a secured creditor as provided in </w:t>
      </w:r>
      <w:r>
        <w:rPr>
          <w:rFonts w:ascii="Arial" w:cs="Arial" w:eastAsia="Arial" w:hAnsi="Arial"/>
          <w:sz w:val="16"/>
          <w:szCs w:val="16"/>
          <w:u w:val="single" w:color="auto"/>
          <w:color w:val="auto"/>
        </w:rPr>
        <w:t>Section</w:t>
      </w:r>
    </w:p>
    <w:p>
      <w:pPr>
        <w:ind w:right="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4.01</w:t>
      </w:r>
      <w:r>
        <w:rPr>
          <w:rFonts w:ascii="Arial" w:cs="Arial" w:eastAsia="Arial" w:hAnsi="Arial"/>
          <w:sz w:val="18"/>
          <w:szCs w:val="18"/>
          <w:color w:val="auto"/>
        </w:rPr>
        <w:t xml:space="preserve"> of this Aircraft Security Agreement shall, subject to any Intercreditor Agreement and any Other Intercreditor Agreement, be applied from time to time by the Trustee in accordance with the terms of the Credit Agreement.</w:t>
      </w:r>
    </w:p>
    <w:p>
      <w:pPr>
        <w:spacing w:after="0" w:line="183" w:lineRule="exact"/>
        <w:rPr>
          <w:rFonts w:ascii="Arial" w:cs="Arial" w:eastAsia="Arial" w:hAnsi="Arial"/>
          <w:sz w:val="16"/>
          <w:szCs w:val="16"/>
          <w:color w:val="auto"/>
        </w:rPr>
      </w:pPr>
    </w:p>
    <w:p>
      <w:pPr>
        <w:ind w:right="40" w:firstLine="464"/>
        <w:spacing w:after="0" w:line="277" w:lineRule="auto"/>
        <w:tabs>
          <w:tab w:leader="none" w:pos="711"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It is understood that, to the extent permitted by applicable law, the Grantor shall remain liable to the extent of any deficiency between the amount of the proceeds of the Aircraft Collateral and the aggregate amount of the outstanding Obligations.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REMEDIES OF TRUSTEE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55" w:lineRule="auto"/>
        <w:tabs>
          <w:tab w:leader="none" w:pos="701"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an Event of Default shall have occurred and be continuing and so long as the same shall continue unremedied, then and in every such case the Trustee may do one or more of the following to the extent permitted by, and subject to compliance with the requirements of, (</w:t>
      </w:r>
      <w:r>
        <w:rPr>
          <w:rFonts w:ascii="Arial" w:cs="Arial" w:eastAsia="Arial" w:hAnsi="Arial"/>
          <w:sz w:val="18"/>
          <w:szCs w:val="18"/>
          <w:u w:val="single" w:color="auto"/>
          <w:color w:val="auto"/>
        </w:rPr>
        <w:t>i</w:t>
      </w:r>
      <w:r>
        <w:rPr>
          <w:rFonts w:ascii="Arial" w:cs="Arial" w:eastAsia="Arial" w:hAnsi="Arial"/>
          <w:sz w:val="18"/>
          <w:szCs w:val="18"/>
          <w:color w:val="auto"/>
        </w:rPr>
        <w:t>) any Intercreditor Agreement and any Other Intercreditor Agreement and (</w:t>
      </w:r>
      <w:r>
        <w:rPr>
          <w:rFonts w:ascii="Arial" w:cs="Arial" w:eastAsia="Arial" w:hAnsi="Arial"/>
          <w:sz w:val="18"/>
          <w:szCs w:val="18"/>
          <w:u w:val="single" w:color="auto"/>
          <w:color w:val="auto"/>
        </w:rPr>
        <w:t>ii</w:t>
      </w:r>
      <w:r>
        <w:rPr>
          <w:rFonts w:ascii="Arial" w:cs="Arial" w:eastAsia="Arial" w:hAnsi="Arial"/>
          <w:sz w:val="18"/>
          <w:szCs w:val="18"/>
          <w:color w:val="auto"/>
        </w:rPr>
        <w:t>) applicable law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period any Airframe or any Engine is subject to the CRAF Program and is in possession of or being operated under the direction of the United States government or an agency or instrumentality of the United States, the Trustee shall not, on account of any Event of Default, be entitled to exercise or pursue any of the powers, rights or remedies described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in such manner as to limit the Grantor’s control under this Aircraft Security Agreement (or any Permitted Lessee’s control under any Lease) of such</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H-9</w:t>
      </w:r>
    </w:p>
    <w:p>
      <w:pPr>
        <w:sectPr>
          <w:pgSz w:w="11900" w:h="16838" w:orient="portrait"/>
          <w:cols w:equalWidth="0" w:num="1">
            <w:col w:w="11420"/>
          </w:cols>
          <w:pgMar w:left="240" w:top="273" w:right="239" w:bottom="1440" w:gutter="0" w:footer="0" w:header="0"/>
        </w:sectPr>
      </w:pPr>
    </w:p>
    <w:bookmarkStart w:id="393" w:name="page394"/>
    <w:bookmarkEnd w:id="393"/>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Airframe, any Engines installed thereon or any such Engine, unless at least 60 days’ (or such lesser period as may then be applicable under the CRAF Program of the United States government) prior written notice of default hereunder shall have been given by the Trustee by registered or certified mail to the Grantor (and any such Permitted Lessee) with a copy addressed to the Contracting Office Representative or other appropriate person for the Air Mobility Command of the United States Air Force under any contract with the Grantor or such Permitted Lessee relating to the applicable Aircraft):</w:t>
      </w:r>
    </w:p>
    <w:p>
      <w:pPr>
        <w:spacing w:after="0" w:line="46" w:lineRule="exact"/>
        <w:rPr>
          <w:sz w:val="20"/>
          <w:szCs w:val="20"/>
          <w:color w:val="auto"/>
        </w:rPr>
      </w:pPr>
    </w:p>
    <w:p>
      <w:pPr>
        <w:ind w:left="460" w:right="40" w:firstLine="443"/>
        <w:spacing w:after="0" w:line="270" w:lineRule="auto"/>
        <w:tabs>
          <w:tab w:leader="none" w:pos="111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cause the Grantor, upon the written demand of the Trustee, at the Grantor’s expense, to deliver promptly, and the Grantor shall deliver promptly, all or such part of any Airframe or any Engine as the Trustee may so demand to the Trustee or its order, or, if the Grantor shall have failed to so deliver any such Airframe or any such Engine after such demand, the Trustee, at its option, may enter upon the premises where all or any part of any such Airframe or any such Engine are located and take immediate possession of and remove the same together with any engine which is not an Engine but which is installed on such Airframe, subject to all of the rights of the owner, lessor, lienor or secured party of such engine;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Airframe with an engine (which is not an Engine) installed thereon may be flown or returned only to a location within the continental United States, and such engine shall be held at the expense of the Grantor for the account of any such owner, lessor, lienor, secured party or, if such engine is owned by the Grantor, may at the option of the Grantor with the consent of the Trustee (which will not be unreasonably withheld) or at the option of the Trustee with the consent of the Grantor (which will not be unreasonably withheld), be exchanged with the Grantor for an Engine in accordance with the provisions of </w:t>
      </w:r>
      <w:r>
        <w:rPr>
          <w:rFonts w:ascii="Arial" w:cs="Arial" w:eastAsia="Arial" w:hAnsi="Arial"/>
          <w:sz w:val="17"/>
          <w:szCs w:val="17"/>
          <w:u w:val="single" w:color="auto"/>
          <w:color w:val="auto"/>
        </w:rPr>
        <w:t>Section 6.04(b)</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60" w:right="140" w:firstLine="443"/>
        <w:spacing w:after="0" w:line="257" w:lineRule="auto"/>
        <w:tabs>
          <w:tab w:leader="none" w:pos="116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sell all or any part of any Airframe and any Engine at public or private sale, whether or not the Trustee shall at the time have possession thereof, as the Trustee may determine, or otherwise dispose of, hold, use, operate, lease to others (including the Grantor) or keep idle all or any part of any such Airframe or any such Engine as the Trustee, in its sole discretion, determines, all free and clear of any rights or claims of the Grantor, and, subject to any Intercreditor Agreement and any Other Intercreditor Agreement, the proceeds of such sale or disposition shall be distributed as set forth in the Credit Agreement; or</w:t>
      </w:r>
    </w:p>
    <w:p>
      <w:pPr>
        <w:spacing w:after="0" w:line="80" w:lineRule="exact"/>
        <w:rPr>
          <w:rFonts w:ascii="Arial" w:cs="Arial" w:eastAsia="Arial" w:hAnsi="Arial"/>
          <w:sz w:val="18"/>
          <w:szCs w:val="18"/>
          <w:color w:val="auto"/>
        </w:rPr>
      </w:pPr>
    </w:p>
    <w:p>
      <w:pPr>
        <w:ind w:left="460" w:right="160" w:firstLine="443"/>
        <w:spacing w:after="0" w:line="277" w:lineRule="auto"/>
        <w:tabs>
          <w:tab w:leader="none" w:pos="121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exercise any other remedy of a secured party under the Uniform Commercial Code of the State of New York (whether or not in effect in the jurisdiction in which enforcement is sought);</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set forth herein or in any other Loan Document, (</w:t>
      </w:r>
      <w:r>
        <w:rPr>
          <w:rFonts w:ascii="Arial" w:cs="Arial" w:eastAsia="Arial" w:hAnsi="Arial"/>
          <w:sz w:val="18"/>
          <w:szCs w:val="18"/>
          <w:u w:val="single" w:color="auto"/>
          <w:color w:val="auto"/>
        </w:rPr>
        <w:t>i</w:t>
      </w:r>
      <w:r>
        <w:rPr>
          <w:rFonts w:ascii="Arial" w:cs="Arial" w:eastAsia="Arial" w:hAnsi="Arial"/>
          <w:sz w:val="18"/>
          <w:szCs w:val="18"/>
          <w:color w:val="auto"/>
        </w:rPr>
        <w:t>) as permitted by Article 15 of the Cape Town Convention, the provisions of Chapter III of the Cape Town Convention are hereby excluded and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H-10</w:t>
      </w:r>
    </w:p>
    <w:p>
      <w:pPr>
        <w:sectPr>
          <w:pgSz w:w="11900" w:h="16838" w:orient="portrait"/>
          <w:cols w:equalWidth="0" w:num="1">
            <w:col w:w="11420"/>
          </w:cols>
          <w:pgMar w:left="240" w:top="274" w:right="239" w:bottom="1440" w:gutter="0" w:footer="0" w:header="0"/>
        </w:sectPr>
      </w:pPr>
    </w:p>
    <w:bookmarkStart w:id="394" w:name="page395"/>
    <w:bookmarkEnd w:id="394"/>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inapplicable to this Aircraft Security Agreement and the other Loan Documents, except for those provisions of such Chapter III that cannot be derogated from; and (</w:t>
      </w:r>
      <w:r>
        <w:rPr>
          <w:rFonts w:ascii="Arial" w:cs="Arial" w:eastAsia="Arial" w:hAnsi="Arial"/>
          <w:sz w:val="16"/>
          <w:szCs w:val="16"/>
          <w:u w:val="single" w:color="auto"/>
          <w:color w:val="auto"/>
        </w:rPr>
        <w:t>ii</w:t>
      </w:r>
      <w:r>
        <w:rPr>
          <w:rFonts w:ascii="Arial" w:cs="Arial" w:eastAsia="Arial" w:hAnsi="Arial"/>
          <w:sz w:val="16"/>
          <w:szCs w:val="16"/>
          <w:color w:val="auto"/>
        </w:rPr>
        <w:t>) as permitted by Article IV(3) of the Aircraft Protocol, the provisions of Chapter II of the Aircraft Protocol are hereby excluded and made inapplicable to this Aircraft Security Agreement and the other Loan Documents, except for (</w:t>
      </w:r>
      <w:r>
        <w:rPr>
          <w:rFonts w:ascii="Arial" w:cs="Arial" w:eastAsia="Arial" w:hAnsi="Arial"/>
          <w:sz w:val="16"/>
          <w:szCs w:val="16"/>
          <w:u w:val="single" w:color="auto"/>
          <w:color w:val="auto"/>
        </w:rPr>
        <w:t>x</w:t>
      </w:r>
      <w:r>
        <w:rPr>
          <w:rFonts w:ascii="Arial" w:cs="Arial" w:eastAsia="Arial" w:hAnsi="Arial"/>
          <w:sz w:val="16"/>
          <w:szCs w:val="16"/>
          <w:color w:val="auto"/>
        </w:rPr>
        <w:t>) Article XVI of the Aircraft Protocol and (</w:t>
      </w:r>
      <w:r>
        <w:rPr>
          <w:rFonts w:ascii="Arial" w:cs="Arial" w:eastAsia="Arial" w:hAnsi="Arial"/>
          <w:sz w:val="16"/>
          <w:szCs w:val="16"/>
          <w:u w:val="single" w:color="auto"/>
          <w:color w:val="auto"/>
        </w:rPr>
        <w:t>y</w:t>
      </w:r>
      <w:r>
        <w:rPr>
          <w:rFonts w:ascii="Arial" w:cs="Arial" w:eastAsia="Arial" w:hAnsi="Arial"/>
          <w:sz w:val="16"/>
          <w:szCs w:val="16"/>
          <w:color w:val="auto"/>
        </w:rPr>
        <w:t>) those provisions of such Chapter II that cannot be derogated from. In furtherance of the foregoing, the parties hereto agree that the exercise of remedies hereunder and under the other Loan Documents is subject to other applicable law, including without limitation, the Uniform Commercial Code (as in effect in the State of New York) and the Bankruptcy Code, and that nothing herein derogates from the rights of the Grantor or the Trustee under or pursuant to such other applicable law, including without limitation, the Uniform Commercial Code (as in effect in the State of New York) or the Bankruptcy Code.</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Upon every such taking of possession of any of the Aircraft Collateral under this </w:t>
      </w:r>
      <w:r>
        <w:rPr>
          <w:rFonts w:ascii="Arial" w:cs="Arial" w:eastAsia="Arial" w:hAnsi="Arial"/>
          <w:sz w:val="16"/>
          <w:szCs w:val="16"/>
          <w:u w:val="single" w:color="auto"/>
          <w:color w:val="auto"/>
        </w:rPr>
        <w:t>Section 4.01</w:t>
      </w:r>
      <w:r>
        <w:rPr>
          <w:rFonts w:ascii="Arial" w:cs="Arial" w:eastAsia="Arial" w:hAnsi="Arial"/>
          <w:sz w:val="16"/>
          <w:szCs w:val="16"/>
          <w:color w:val="auto"/>
        </w:rPr>
        <w:t>, the Trustee may, from time to time, at the expense of the Aircraft Collateral, make all such expenditures for maintenance, insurance, repairs, alterations, additions and improvements to and of the Aircraft Collateral as it deems necessary to cause the Aircraft Collateral to be in such condition as required by the provisions of this Aircraft Security Agreement. In each such case, subject to any Intercreditor Agreement and any Other Intercreditor Agreement, the Trustee may maintain, use, operate, store, insure, lease, control, manage or dispose of the Aircraft Collateral and may exercise all rights and powers of the Grantor relating to the Aircraft Collateral as the Trustee reasonably deems best, including the right to enter into any and all such agreements with respect to the maintenance, use, operation, storage, insurance, leasing, control, management or disposition of the Aircraft Collateral or any part thereof as the Trustee may reasonably determine; and the Trustee shall be entitled to collect and receive directly all tolls, rents, revenues, issues, income, products and profits of the Aircraft Collateral and every part thereof, without prejudice, however, to the rights of the Trustee under any provision of this Aircraft Security Agreement to collect and receive all cash held by, or required to be deposited with, the Trustee hereunder. Subject to any Intercreditor Agreement and any Other Intercreditor Agreement, such tolls, rents, revenues, issues, income, products and profits shall be applied to pay the expenses of the use, operation, storage, insurance, leasing, control, management or disposition of the Aircraft Collateral, and of all maintenance, repairs, replacements, alterations, additions and improvements, and to make all payments that the Trustee is required or elects to make, if any, for Taxes, insurance or other proper charges assessed against or otherwise imposed upon the Aircraft Collateral or any part thereof, and all other payments which the Trustee is required or expressly authorized to make under any provision of this Aircraft Security Agreement, as well as just and reasonable compensation for the services of the Trustee, and shall otherwise be distributed as set forth in the Credit Agreement.</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H-11</w:t>
      </w:r>
    </w:p>
    <w:p>
      <w:pPr>
        <w:sectPr>
          <w:pgSz w:w="11900" w:h="16838" w:orient="portrait"/>
          <w:cols w:equalWidth="0" w:num="1">
            <w:col w:w="11420"/>
          </w:cols>
          <w:pgMar w:left="240" w:top="274" w:right="239" w:bottom="1440" w:gutter="0" w:footer="0" w:header="0"/>
        </w:sectPr>
      </w:pPr>
    </w:p>
    <w:bookmarkStart w:id="395" w:name="page396"/>
    <w:bookmarkEnd w:id="395"/>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any Intercreditor Agreement and any Other Intercreditor Agreement, if an Event of Default shall have occurred and be continuing and the Trustee shall be entitled to exercise rights hereunder, at the request of the Trustee, the Grantor shall promptly execute and deliver to the Trustee such instruments of title and other documents as the Trustee reasonably deems necessary or advisable to enable the Trustee or a sub-agent or representative designated by the Trustee, at such time or times and place or places as the Trustee may specify, to obtain possession of all or any part of the Aircraft Collateral to which the Trustee shall at the time be entitled hereunder. If the Grantor shall for any reason fail to execute and deliver such instruments and documents after such request by the Trustee, subject to any Intercreditor Agreement and any Other Intercreditor Agreement, the Trustee may seek a judgment conferring on the Trustee the right to immediate possession and requiring the Grantor to execute and deliver such instruments and documents to the Trustee, to the entry of which judgment the Grantor hereby specifically consents to the fullest extent it may lawfully do so. All actual and reasonable expenses of obtaining such judgment or of pursuing, searching for and taking such property shall, until paid, be secured by the Lien of this Aircraft Security Agreement.</w:t>
      </w:r>
    </w:p>
    <w:p>
      <w:pPr>
        <w:spacing w:after="0" w:line="167" w:lineRule="exact"/>
        <w:rPr>
          <w:sz w:val="20"/>
          <w:szCs w:val="20"/>
          <w:color w:val="auto"/>
        </w:rPr>
      </w:pPr>
    </w:p>
    <w:p>
      <w:pPr>
        <w:ind w:right="20" w:firstLine="464"/>
        <w:spacing w:after="0" w:line="291" w:lineRule="auto"/>
        <w:tabs>
          <w:tab w:leader="none" w:pos="711" w:val="left"/>
        </w:tabs>
        <w:numPr>
          <w:ilvl w:val="0"/>
          <w:numId w:val="442"/>
        </w:numPr>
        <w:rPr>
          <w:rFonts w:ascii="Arial" w:cs="Arial" w:eastAsia="Arial" w:hAnsi="Arial"/>
          <w:sz w:val="16"/>
          <w:szCs w:val="16"/>
          <w:color w:val="auto"/>
        </w:rPr>
      </w:pPr>
      <w:r>
        <w:rPr>
          <w:rFonts w:ascii="Arial" w:cs="Arial" w:eastAsia="Arial" w:hAnsi="Arial"/>
          <w:sz w:val="16"/>
          <w:szCs w:val="16"/>
          <w:u w:val="single" w:color="auto"/>
          <w:color w:val="auto"/>
        </w:rPr>
        <w:t>Notice of Sale; Bids; Etc</w:t>
      </w:r>
      <w:r>
        <w:rPr>
          <w:rFonts w:ascii="Arial" w:cs="Arial" w:eastAsia="Arial" w:hAnsi="Arial"/>
          <w:sz w:val="16"/>
          <w:szCs w:val="16"/>
          <w:color w:val="auto"/>
        </w:rPr>
        <w:t xml:space="preserve">. The Trustee shall give the Grantor at least 30 days’ prior written notice of any public sale or of the date on or after which any private sale will be held, which notice the Grantor hereby agrees to the extent permitted by applicable law is reasonable notice. The Trustee or any other Secured Party shall be entitled to bid for and become the purchaser of any Aircraft Collateral offered for sale pursuant to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and to credit against the purchase price bid at such sale by such Secured Parties all or any part of the Obligations owed to such Person. The Trustee may exercise such right without possession or production of the instruments evidencing Obligations or proof of ownership thereof, and as a representative of the Secured Parties may exercise such right without notice to the Secured Parties as party to any suit or proceeding relating to the foreclosure of any Aircraft Collateral. The Grantor shall also be entitled to bid for and become the purchaser of any Aircraft Collateral offered for sale pursuant to this </w:t>
      </w:r>
      <w:r>
        <w:rPr>
          <w:rFonts w:ascii="Arial" w:cs="Arial" w:eastAsia="Arial" w:hAnsi="Arial"/>
          <w:sz w:val="16"/>
          <w:szCs w:val="16"/>
          <w:u w:val="single" w:color="auto"/>
          <w:color w:val="auto"/>
        </w:rPr>
        <w:t>Section 4.01</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right="60" w:firstLine="464"/>
        <w:spacing w:after="0" w:line="255" w:lineRule="auto"/>
        <w:tabs>
          <w:tab w:leader="none" w:pos="701"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Power of Attorney, Etc</w:t>
      </w:r>
      <w:r>
        <w:rPr>
          <w:rFonts w:ascii="Arial" w:cs="Arial" w:eastAsia="Arial" w:hAnsi="Arial"/>
          <w:sz w:val="18"/>
          <w:szCs w:val="18"/>
          <w:color w:val="auto"/>
        </w:rPr>
        <w:t>. To the extent permitted by applicable law and subject to any Intercreditor Agreement and any Other Intercreditor Agreement, the Grantor irrevocably appoints, while an Event of Default has occurred and is continuing, the Trustee, on behalf of the Collateral Agent and the other Secured Parties, the true and lawful attorney-in-fact of the Grantor (which appointment is coupled with an interest) in its name and stead and on its behalf, for the purpose of effectuating any sale, assignment, transfer or delivery for the enforcement of the Lien of this Aircraft Security Agreement, whether pursuant to foreclosure or power of sale, or otherwise, to execute and deliver all such bills of sale, assignments and other instruments as may be necessary or appropriate, with full power of substitution, the Grantor hereby ratifying and confirming all that such attorney or any substitute shall do by virtue hereof in accordance with applicable law;</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H-12</w:t>
      </w:r>
    </w:p>
    <w:p>
      <w:pPr>
        <w:sectPr>
          <w:pgSz w:w="11900" w:h="16838" w:orient="portrait"/>
          <w:cols w:equalWidth="0" w:num="1">
            <w:col w:w="11420"/>
          </w:cols>
          <w:pgMar w:left="240" w:top="274" w:right="239" w:bottom="1440" w:gutter="0" w:footer="0" w:header="0"/>
        </w:sectPr>
      </w:pPr>
    </w:p>
    <w:bookmarkStart w:id="396" w:name="page397"/>
    <w:bookmarkEnd w:id="396"/>
    <w:p>
      <w:pPr>
        <w:jc w:val="both"/>
        <w:ind w:right="20"/>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that if so requested by the Trustee or any purchaser, the Grantor shall ratify and confirm any such sale, assignment, transfer or delivery, by executing and delivering to the Trustee or such purchaser all bills of sale, assignments, releases and other proper instruments to effect such ratification and confirmation as may reasonably be designated in any such request.</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To the extent permitted under applicable law, each and every right, power and remedy specifically given to the Trustee herein or otherwise in this Aircraft Security Agreement shall be cumulative and shall be in addition to every other right, power and remedy specifically given herein or now or hereafter existing at law, in equity or by statute, and each and every right, power and remedy whether specifically given herein or otherwise existing may be exercised from time to time and as often and in such order as may be deemed expedient by the Trustee, and the exercise or the beginning of the exercise of any power or remedy shall not be construed to be a waiver of the right to exercise at the same time or thereafter any other right, power or remedy. No delay or omission by the Trustee in the exercise of any right, remedy or power or in the pursuance of any remedy shall, to the extent permitted by applicable law, impair any such right, power or remedy or be construed to be a waiver of any default on the part of the Grantor or to be an acquiescence therein.</w:t>
      </w:r>
    </w:p>
    <w:p>
      <w:pPr>
        <w:spacing w:after="0" w:line="192"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Discontinuance of Proceedings</w:t>
      </w:r>
      <w:r>
        <w:rPr>
          <w:rFonts w:ascii="Arial" w:cs="Arial" w:eastAsia="Arial" w:hAnsi="Arial"/>
          <w:sz w:val="17"/>
          <w:szCs w:val="17"/>
          <w:color w:val="auto"/>
        </w:rPr>
        <w:t>. In case the Trustee shall have instituted any proceedings to enforce any right, power or remedy under this Aircraft Security Agreement by foreclosure, entry or otherwise, and such proceedings shall have been discontinued or abandoned for any reason or shall have been determined adversely to the Trustee, then and in every such case the Grantor and the Trustee shall, subject to any determination in such proceedings, be restored to their former positions and rights hereunder with respect to the Aircraft Collateral, and all rights, remedies and powers of the Trustee shall continue as if no such proceedings had been undertaken (but otherwise without prejudice).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TRUSTEE</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Trustee May Perform</w:t>
      </w:r>
      <w:r>
        <w:rPr>
          <w:rFonts w:ascii="Arial" w:cs="Arial" w:eastAsia="Arial" w:hAnsi="Arial"/>
          <w:sz w:val="16"/>
          <w:szCs w:val="16"/>
          <w:color w:val="auto"/>
        </w:rPr>
        <w:t xml:space="preserve">. If the Grantor fails to perform any agreement contained herein within a reasonable time after receipt of a written request to do so from the Trustee, upon two Business Days’ prior written notice the Trustee may itself perform, or cause performance of, such agreement, and the reasonable expenses of the Trustee, including, without limitation, the reasonable fees and out-of-pocket expenses of its counsel, incurred in connection therewith, shall be payable by the Grantor in accordance with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of the Credit Agreement and shall constitute Obligations.</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The Trustee</w:t>
      </w:r>
      <w:r>
        <w:rPr>
          <w:rFonts w:ascii="Arial" w:cs="Arial" w:eastAsia="Arial" w:hAnsi="Arial"/>
          <w:sz w:val="18"/>
          <w:szCs w:val="18"/>
          <w:color w:val="auto"/>
        </w:rPr>
        <w:t>. It is expressly understood and agreed by the parties hereto, and each Secured Party, by accepting the benefits of this Aircraft Security Agreement, acknowledges and agrees, that the obligations of the Trustee as holder of the Aircraft Collateral and interests therein and with respect to the disposition thereof, and otherwise under this Aircraft Security Agreement, are only those expressly set forth in this Aircraft Security Agreement and the Credit Agreement.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H-13</w:t>
      </w:r>
    </w:p>
    <w:p>
      <w:pPr>
        <w:sectPr>
          <w:pgSz w:w="11900" w:h="16838" w:orient="portrait"/>
          <w:cols w:equalWidth="0" w:num="1">
            <w:col w:w="11420"/>
          </w:cols>
          <w:pgMar w:left="240" w:top="274" w:right="23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COVENANTS OF THE GRANTOR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Grantor will comply with the following covenants with respect to each Aircraft or the related Airframe or any related Engine, as applicable: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Possession, Operation and Use, Maintenance and Registration</w:t>
      </w:r>
      <w:r>
        <w:rPr>
          <w:rFonts w:ascii="Arial" w:cs="Arial" w:eastAsia="Arial" w:hAnsi="Arial"/>
          <w:sz w:val="18"/>
          <w:szCs w:val="18"/>
          <w:color w:val="auto"/>
        </w:rPr>
        <w:t>.</w:t>
      </w:r>
    </w:p>
    <w:p>
      <w:pPr>
        <w:spacing w:after="0" w:line="225" w:lineRule="exact"/>
        <w:rPr>
          <w:sz w:val="20"/>
          <w:szCs w:val="20"/>
          <w:color w:val="auto"/>
        </w:rPr>
      </w:pPr>
    </w:p>
    <w:p>
      <w:pPr>
        <w:ind w:right="140" w:firstLine="464"/>
        <w:spacing w:after="0" w:line="259" w:lineRule="auto"/>
        <w:tabs>
          <w:tab w:leader="none" w:pos="701"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Possession</w:t>
      </w:r>
      <w:r>
        <w:rPr>
          <w:rFonts w:ascii="Arial" w:cs="Arial" w:eastAsia="Arial" w:hAnsi="Arial"/>
          <w:sz w:val="18"/>
          <w:szCs w:val="18"/>
          <w:color w:val="auto"/>
        </w:rPr>
        <w:t xml:space="preserve">. The Grantor shall not, without the prior written consent of the Trustee, lease or otherwise in any manner deliver, transfer or relinquish possession of such Aircraft, such Airframe or any such Engine or install any such Engine, or permit any such Engine to be installed, on any airframe other than another Airframe;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the Grantor shall comply with the provisions of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with respect to such Aircraft, such Airframe or such Engine, the Grantor may, without the prior written consent of the Trustee:</w:t>
      </w:r>
    </w:p>
    <w:p>
      <w:pPr>
        <w:spacing w:after="0" w:line="78" w:lineRule="exact"/>
        <w:rPr>
          <w:rFonts w:ascii="Arial" w:cs="Arial" w:eastAsia="Arial" w:hAnsi="Arial"/>
          <w:sz w:val="18"/>
          <w:szCs w:val="18"/>
          <w:color w:val="auto"/>
        </w:rPr>
      </w:pPr>
    </w:p>
    <w:p>
      <w:pPr>
        <w:ind w:left="460" w:right="20" w:firstLine="443"/>
        <w:spacing w:after="0" w:line="257" w:lineRule="auto"/>
        <w:tabs>
          <w:tab w:leader="none" w:pos="1113"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xml:space="preserve">subject such Airframe to interchange agreements or subject any such Engine to interchange or pooling agreements or arrangements, in each case customary in the airline industry and entered into by the Grantor in the ordinary course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A</w:t>
      </w:r>
      <w:r>
        <w:rPr>
          <w:rFonts w:ascii="Arial" w:cs="Arial" w:eastAsia="Arial" w:hAnsi="Arial"/>
          <w:sz w:val="18"/>
          <w:szCs w:val="18"/>
          <w:color w:val="auto"/>
        </w:rPr>
        <w:t>) no such agreement or arrangement contemplates or requires the transfer of title to such Airframe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if the Grantor’s title to any such Engine shall be divested under any such agreement or arrangement, such divestiture shall be deemed to be an Event of Loss with respect to such Engine, and the Grantor shall comply with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in respect thereof;</w:t>
      </w:r>
    </w:p>
    <w:p>
      <w:pPr>
        <w:spacing w:after="0" w:line="80" w:lineRule="exact"/>
        <w:rPr>
          <w:rFonts w:ascii="Arial" w:cs="Arial" w:eastAsia="Arial" w:hAnsi="Arial"/>
          <w:sz w:val="18"/>
          <w:szCs w:val="18"/>
          <w:color w:val="auto"/>
        </w:rPr>
      </w:pPr>
    </w:p>
    <w:p>
      <w:pPr>
        <w:ind w:left="460" w:right="220" w:firstLine="443"/>
        <w:spacing w:after="0" w:line="264" w:lineRule="auto"/>
        <w:tabs>
          <w:tab w:leader="none" w:pos="1163" w:val="left"/>
        </w:tabs>
        <w:numPr>
          <w:ilvl w:val="1"/>
          <w:numId w:val="443"/>
        </w:numPr>
        <w:rPr>
          <w:rFonts w:ascii="Arial" w:cs="Arial" w:eastAsia="Arial" w:hAnsi="Arial"/>
          <w:sz w:val="18"/>
          <w:szCs w:val="18"/>
          <w:color w:val="auto"/>
        </w:rPr>
      </w:pPr>
      <w:r>
        <w:rPr>
          <w:rFonts w:ascii="Arial" w:cs="Arial" w:eastAsia="Arial" w:hAnsi="Arial"/>
          <w:sz w:val="18"/>
          <w:szCs w:val="18"/>
          <w:color w:val="auto"/>
        </w:rPr>
        <w:t>deliver possession of such Airframe or any such Engine to any Person for testing, service, repair, reconditioning, restoration, storage, maintenance, overhaul work or other similar purposes or for alterations, modifications or additions to such Airframe or any such Engine to the extent required or permitted by the terms hereof;</w:t>
      </w:r>
    </w:p>
    <w:p>
      <w:pPr>
        <w:spacing w:after="0" w:line="73" w:lineRule="exact"/>
        <w:rPr>
          <w:rFonts w:ascii="Arial" w:cs="Arial" w:eastAsia="Arial" w:hAnsi="Arial"/>
          <w:sz w:val="18"/>
          <w:szCs w:val="18"/>
          <w:color w:val="auto"/>
        </w:rPr>
      </w:pPr>
    </w:p>
    <w:p>
      <w:pPr>
        <w:ind w:left="460" w:right="280" w:firstLine="443"/>
        <w:spacing w:after="0" w:line="277" w:lineRule="auto"/>
        <w:tabs>
          <w:tab w:leader="none" w:pos="1213"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transfer or permit the transfer of possession of such Airframe or any such Engine to any Government pursuant to a lease, contract or other instrument;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H-14</w:t>
      </w:r>
    </w:p>
    <w:p>
      <w:pPr>
        <w:sectPr>
          <w:pgSz w:w="11900" w:h="16838" w:orient="portrait"/>
          <w:cols w:equalWidth="0" w:num="1">
            <w:col w:w="11420"/>
          </w:cols>
          <w:pgMar w:left="240" w:top="273" w:right="239" w:bottom="1440" w:gutter="0" w:footer="0" w:header="0"/>
        </w:sectPr>
      </w:pPr>
    </w:p>
    <w:bookmarkStart w:id="398" w:name="page399"/>
    <w:bookmarkEnd w:id="398"/>
    <w:p>
      <w:pPr>
        <w:ind w:right="100" w:firstLine="443"/>
        <w:spacing w:after="0" w:line="293" w:lineRule="auto"/>
        <w:tabs>
          <w:tab w:leader="none" w:pos="743" w:val="left"/>
        </w:tabs>
        <w:numPr>
          <w:ilvl w:val="0"/>
          <w:numId w:val="4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such Airframe or any such Engine to the CRAF Program or transfer possession of such Airframe or any such Engine to the United States government in accordance with applicable laws, rulings, regulations or orders (including, without limitation, any transfer of possession pursuant to the CRAF Program); </w:t>
      </w:r>
      <w:r>
        <w:rPr>
          <w:rFonts w:ascii="Arial" w:cs="Arial" w:eastAsia="Arial" w:hAnsi="Arial"/>
          <w:sz w:val="16"/>
          <w:szCs w:val="16"/>
          <w:u w:val="single" w:color="auto"/>
          <w:color w:val="auto"/>
        </w:rPr>
        <w:t>provided</w:t>
      </w:r>
      <w:r>
        <w:rPr>
          <w:rFonts w:ascii="Arial" w:cs="Arial" w:eastAsia="Arial" w:hAnsi="Arial"/>
          <w:sz w:val="16"/>
          <w:szCs w:val="16"/>
          <w:color w:val="auto"/>
        </w:rPr>
        <w:t>, that the Grantor (</w:t>
      </w:r>
      <w:r>
        <w:rPr>
          <w:rFonts w:ascii="Arial" w:cs="Arial" w:eastAsia="Arial" w:hAnsi="Arial"/>
          <w:sz w:val="16"/>
          <w:szCs w:val="16"/>
          <w:u w:val="single" w:color="auto"/>
          <w:color w:val="auto"/>
        </w:rPr>
        <w:t>A</w:t>
      </w:r>
      <w:r>
        <w:rPr>
          <w:rFonts w:ascii="Arial" w:cs="Arial" w:eastAsia="Arial" w:hAnsi="Arial"/>
          <w:sz w:val="16"/>
          <w:szCs w:val="16"/>
          <w:color w:val="auto"/>
        </w:rPr>
        <w:t xml:space="preserve">) shall promptly notify the Trustee upon transferring possession of such Airframe or any such Engine pursuant to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in the case of a transfer of possession pursuant to the CRAF Program, shall notify the Trustee of the name and address of the responsible Contracting Office Representative for the Air Mobility Command of the United States Air Force or other appropriate Person to whom notices must be given and to whom requests or claims must be made to the extent applicable under the CRAF Program;</w:t>
      </w:r>
    </w:p>
    <w:p>
      <w:pPr>
        <w:spacing w:after="0" w:line="56" w:lineRule="exact"/>
        <w:rPr>
          <w:rFonts w:ascii="Arial" w:cs="Arial" w:eastAsia="Arial" w:hAnsi="Arial"/>
          <w:sz w:val="16"/>
          <w:szCs w:val="16"/>
          <w:color w:val="auto"/>
        </w:rPr>
      </w:pPr>
    </w:p>
    <w:p>
      <w:pPr>
        <w:ind w:right="40" w:firstLine="443"/>
        <w:spacing w:after="0" w:line="279" w:lineRule="auto"/>
        <w:tabs>
          <w:tab w:leader="none" w:pos="693" w:val="left"/>
        </w:tabs>
        <w:numPr>
          <w:ilvl w:val="0"/>
          <w:numId w:val="444"/>
        </w:numPr>
        <w:rPr>
          <w:rFonts w:ascii="Arial" w:cs="Arial" w:eastAsia="Arial" w:hAnsi="Arial"/>
          <w:sz w:val="17"/>
          <w:szCs w:val="17"/>
          <w:color w:val="auto"/>
        </w:rPr>
      </w:pPr>
      <w:r>
        <w:rPr>
          <w:rFonts w:ascii="Arial" w:cs="Arial" w:eastAsia="Arial" w:hAnsi="Arial"/>
          <w:sz w:val="17"/>
          <w:szCs w:val="17"/>
          <w:color w:val="auto"/>
        </w:rPr>
        <w:t>install any such Engine on an airframe owned by the Grantor (or any Permitted Lessee) free and clear of all Liens, except (</w:t>
      </w:r>
      <w:r>
        <w:rPr>
          <w:rFonts w:ascii="Arial" w:cs="Arial" w:eastAsia="Arial" w:hAnsi="Arial"/>
          <w:sz w:val="17"/>
          <w:szCs w:val="17"/>
          <w:u w:val="single" w:color="auto"/>
          <w:color w:val="auto"/>
        </w:rPr>
        <w:t>A</w:t>
      </w:r>
      <w:r>
        <w:rPr>
          <w:rFonts w:ascii="Arial" w:cs="Arial" w:eastAsia="Arial" w:hAnsi="Arial"/>
          <w:sz w:val="17"/>
          <w:szCs w:val="17"/>
          <w:color w:val="auto"/>
        </w:rPr>
        <w:t>) Permitted Liens and Liens that apply only to the engines (other than Engines), appliances, parts, instruments, appurtenances, accessories, furnishings and other equipment (other than Parts) installed on such airframe (but not to such airframe as an entirety)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rights of third parties under interchange agreements or pooling or similar arrangements that would be permitted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w:t>
      </w:r>
    </w:p>
    <w:p>
      <w:pPr>
        <w:spacing w:after="0" w:line="63" w:lineRule="exact"/>
        <w:rPr>
          <w:rFonts w:ascii="Arial" w:cs="Arial" w:eastAsia="Arial" w:hAnsi="Arial"/>
          <w:sz w:val="17"/>
          <w:szCs w:val="17"/>
          <w:color w:val="auto"/>
        </w:rPr>
      </w:pPr>
    </w:p>
    <w:p>
      <w:pPr>
        <w:ind w:right="80" w:firstLine="443"/>
        <w:spacing w:after="0" w:line="287" w:lineRule="auto"/>
        <w:tabs>
          <w:tab w:leader="none" w:pos="743"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install any such Engine on an airframe leased, purchased or owned by the Grantor (or any Permitted Lessee) subject to a lease, conditional sale and/or other security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A</w:t>
      </w:r>
      <w:r>
        <w:rPr>
          <w:rFonts w:ascii="Arial" w:cs="Arial" w:eastAsia="Arial" w:hAnsi="Arial"/>
          <w:sz w:val="16"/>
          <w:szCs w:val="16"/>
          <w:color w:val="auto"/>
        </w:rPr>
        <w:t>) such airframe is free and clear of all Liens except (</w:t>
      </w:r>
      <w:r>
        <w:rPr>
          <w:rFonts w:ascii="Arial" w:cs="Arial" w:eastAsia="Arial" w:hAnsi="Arial"/>
          <w:sz w:val="16"/>
          <w:szCs w:val="16"/>
          <w:u w:val="single" w:color="auto"/>
          <w:color w:val="auto"/>
        </w:rPr>
        <w:t>1</w:t>
      </w:r>
      <w:r>
        <w:rPr>
          <w:rFonts w:ascii="Arial" w:cs="Arial" w:eastAsia="Arial" w:hAnsi="Arial"/>
          <w:sz w:val="16"/>
          <w:szCs w:val="16"/>
          <w:color w:val="auto"/>
        </w:rPr>
        <w:t>) the rights of the parties to the lease or any conditional sale or security agreement covering such airframe, or their successors and assigns,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Liens of the type permitted by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either (</w:t>
      </w:r>
      <w:r>
        <w:rPr>
          <w:rFonts w:ascii="Arial" w:cs="Arial" w:eastAsia="Arial" w:hAnsi="Arial"/>
          <w:sz w:val="16"/>
          <w:szCs w:val="16"/>
          <w:u w:val="single" w:color="auto"/>
          <w:color w:val="auto"/>
        </w:rPr>
        <w:t>1</w:t>
      </w:r>
      <w:r>
        <w:rPr>
          <w:rFonts w:ascii="Arial" w:cs="Arial" w:eastAsia="Arial" w:hAnsi="Arial"/>
          <w:sz w:val="16"/>
          <w:szCs w:val="16"/>
          <w:color w:val="auto"/>
        </w:rPr>
        <w:t xml:space="preserve">) the Grantor shall have obtained from the lessor, conditional vendor or secured party of such airframe a written agreement (which may be the lease, conditional sale or other security agreement covering such airframe), in form and substance satisfactory to the Trustee (it being understood that an agreement from such lessor, conditional vendor or secured party substantially in the form of the penultimate paragraph of this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shall be deemed to be satisfactory to the Trustee), whereby such lessor, conditional vendor or secured party expressly agrees that neither it nor its successors or assigns will acquire or claim any right, title or interest in any such Engine by reason of such Engine being installed on such airframe at any time while such Engine is subject to the Lien of this Aircraft Security Agreement or (</w:t>
      </w:r>
      <w:r>
        <w:rPr>
          <w:rFonts w:ascii="Arial" w:cs="Arial" w:eastAsia="Arial" w:hAnsi="Arial"/>
          <w:sz w:val="16"/>
          <w:szCs w:val="16"/>
          <w:u w:val="single" w:color="auto"/>
          <w:color w:val="auto"/>
        </w:rPr>
        <w:t>2</w:t>
      </w:r>
      <w:r>
        <w:rPr>
          <w:rFonts w:ascii="Arial" w:cs="Arial" w:eastAsia="Arial" w:hAnsi="Arial"/>
          <w:sz w:val="16"/>
          <w:szCs w:val="16"/>
          <w:color w:val="auto"/>
        </w:rPr>
        <w:t>) such lease, conditional sale or other security agreement provides that any such Engine shall not become subject to the Lien of such lease, conditional sale or other security agreement at any time while such Engine is subject to the Lien of this Aircraft Security Agreement, notwithstanding the installation thereof on such airframe;</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H-15</w:t>
      </w:r>
    </w:p>
    <w:p>
      <w:pPr>
        <w:sectPr>
          <w:pgSz w:w="11900" w:h="16838" w:orient="portrait"/>
          <w:cols w:equalWidth="0" w:num="1">
            <w:col w:w="10960"/>
          </w:cols>
          <w:pgMar w:left="700" w:top="273" w:right="239" w:bottom="1440" w:gutter="0" w:footer="0" w:header="0"/>
        </w:sectPr>
      </w:pPr>
    </w:p>
    <w:bookmarkStart w:id="399" w:name="page400"/>
    <w:bookmarkEnd w:id="399"/>
    <w:p>
      <w:pPr>
        <w:ind w:right="120" w:firstLine="443"/>
        <w:spacing w:after="0" w:line="291" w:lineRule="auto"/>
        <w:tabs>
          <w:tab w:leader="none" w:pos="793" w:val="left"/>
        </w:tabs>
        <w:numPr>
          <w:ilvl w:val="1"/>
          <w:numId w:val="4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install any such Engine on an airframe owned by the Grantor (or any Permitted Lessee), leased to the Grantor (or any Permitted Lessee) or purchased by the Grantor (or any Permitted Lessee) subject to a conditional sale or other security agreement under circumstances where neither </w:t>
      </w:r>
      <w:r>
        <w:rPr>
          <w:rFonts w:ascii="Arial" w:cs="Arial" w:eastAsia="Arial" w:hAnsi="Arial"/>
          <w:sz w:val="16"/>
          <w:szCs w:val="16"/>
          <w:u w:val="single" w:color="auto"/>
          <w:color w:val="auto"/>
        </w:rPr>
        <w:t>clause</w:t>
      </w:r>
    </w:p>
    <w:p>
      <w:pPr>
        <w:ind w:right="40" w:firstLine="4"/>
        <w:spacing w:after="0" w:line="254" w:lineRule="auto"/>
        <w:tabs>
          <w:tab w:leader="none" w:pos="255" w:val="left"/>
        </w:tabs>
        <w:numPr>
          <w:ilvl w:val="0"/>
          <w:numId w:val="446"/>
        </w:numPr>
        <w:rPr>
          <w:rFonts w:ascii="Arial" w:cs="Arial" w:eastAsia="Arial" w:hAnsi="Arial"/>
          <w:sz w:val="18"/>
          <w:szCs w:val="18"/>
          <w:u w:val="single" w:color="auto"/>
          <w:color w:val="auto"/>
        </w:rPr>
      </w:pPr>
      <w:r>
        <w:rPr>
          <w:rFonts w:ascii="Arial" w:cs="Arial" w:eastAsia="Arial" w:hAnsi="Arial"/>
          <w:sz w:val="18"/>
          <w:szCs w:val="18"/>
          <w:color w:val="auto"/>
        </w:rPr>
        <w:t xml:space="preserve">nor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is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installation shall be deemed an Event of Loss with respect to such Engine, and the Grantor shall comply with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in respect thereof, if such installation shall adversely affect the Trustee’s security interest in any such Engine, the Trustee not intending hereby to waive any right or interest it may have to or in such Engine under applicable law until compliance by the Grantor with </w:t>
      </w:r>
      <w:r>
        <w:rPr>
          <w:rFonts w:ascii="Arial" w:cs="Arial" w:eastAsia="Arial" w:hAnsi="Arial"/>
          <w:sz w:val="18"/>
          <w:szCs w:val="18"/>
          <w:u w:val="single" w:color="auto"/>
          <w:color w:val="auto"/>
        </w:rPr>
        <w:t>Section 6.04(b)</w:t>
      </w:r>
      <w:r>
        <w:rPr>
          <w:rFonts w:ascii="Arial" w:cs="Arial" w:eastAsia="Arial" w:hAnsi="Arial"/>
          <w:sz w:val="18"/>
          <w:szCs w:val="18"/>
          <w:color w:val="auto"/>
        </w:rPr>
        <w:t>;</w:t>
      </w:r>
    </w:p>
    <w:p>
      <w:pPr>
        <w:spacing w:after="0" w:line="81" w:lineRule="exact"/>
        <w:rPr>
          <w:rFonts w:ascii="Arial" w:cs="Arial" w:eastAsia="Arial" w:hAnsi="Arial"/>
          <w:sz w:val="18"/>
          <w:szCs w:val="18"/>
          <w:u w:val="single" w:color="auto"/>
          <w:color w:val="auto"/>
        </w:rPr>
      </w:pPr>
    </w:p>
    <w:p>
      <w:pPr>
        <w:jc w:val="both"/>
        <w:ind w:right="40" w:firstLine="443"/>
        <w:spacing w:after="0" w:line="302" w:lineRule="auto"/>
        <w:tabs>
          <w:tab w:leader="none" w:pos="843" w:val="left"/>
        </w:tabs>
        <w:numPr>
          <w:ilvl w:val="1"/>
          <w:numId w:val="446"/>
        </w:numPr>
        <w:rPr>
          <w:rFonts w:ascii="Arial" w:cs="Arial" w:eastAsia="Arial" w:hAnsi="Arial"/>
          <w:sz w:val="16"/>
          <w:szCs w:val="16"/>
          <w:color w:val="auto"/>
        </w:rPr>
      </w:pPr>
      <w:r>
        <w:rPr>
          <w:rFonts w:ascii="Arial" w:cs="Arial" w:eastAsia="Arial" w:hAnsi="Arial"/>
          <w:sz w:val="16"/>
          <w:szCs w:val="16"/>
          <w:color w:val="auto"/>
        </w:rPr>
        <w:t xml:space="preserve">lease any such Engine or such Airframe and any such Engine to any United States air carrier as to which there is in force a certificate issued pursuant to the Transportation Code (49 U.S.C. §§41101-41112) or successor provision that gives like authority, or to any manufacturer of airframes or engines (or an Affiliate thereof acting under an unconditional guarantee of such manufacturer), so long as such manufacturer and, if applicable, such Affiliate is domiciled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exist at the time any such lease is entered into; and</w:t>
      </w:r>
    </w:p>
    <w:p>
      <w:pPr>
        <w:spacing w:after="0" w:line="46" w:lineRule="exact"/>
        <w:rPr>
          <w:rFonts w:ascii="Arial" w:cs="Arial" w:eastAsia="Arial" w:hAnsi="Arial"/>
          <w:sz w:val="16"/>
          <w:szCs w:val="16"/>
          <w:color w:val="auto"/>
        </w:rPr>
      </w:pPr>
    </w:p>
    <w:p>
      <w:pPr>
        <w:ind w:right="20" w:firstLine="443"/>
        <w:spacing w:after="0" w:line="287" w:lineRule="auto"/>
        <w:tabs>
          <w:tab w:leader="none" w:pos="743" w:val="left"/>
        </w:tabs>
        <w:numPr>
          <w:ilvl w:val="1"/>
          <w:numId w:val="446"/>
        </w:numPr>
        <w:rPr>
          <w:rFonts w:ascii="Arial" w:cs="Arial" w:eastAsia="Arial" w:hAnsi="Arial"/>
          <w:sz w:val="16"/>
          <w:szCs w:val="16"/>
          <w:color w:val="auto"/>
        </w:rPr>
      </w:pPr>
      <w:r>
        <w:rPr>
          <w:rFonts w:ascii="Arial" w:cs="Arial" w:eastAsia="Arial" w:hAnsi="Arial"/>
          <w:sz w:val="16"/>
          <w:szCs w:val="16"/>
          <w:color w:val="auto"/>
        </w:rPr>
        <w:t>lease any such Engine or such Airframe and any such Engine to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any foreign air carrier other than those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any foreign air carrier that is at the inception of the lease based in and a domiciliary of a country listed in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any foreign manufacturer of airframes or engines (or a foreign Affiliate of a United States or foreign manufacturer of airframes or engines acting under an unconditional guarantee of such manufacturer), so long as such foreign manufacturer or (if applicable) foreign Affiliate is domiciled in a country indicated with an asterisk on </w:t>
      </w:r>
      <w:r>
        <w:rPr>
          <w:rFonts w:ascii="Arial" w:cs="Arial" w:eastAsia="Arial" w:hAnsi="Arial"/>
          <w:sz w:val="16"/>
          <w:szCs w:val="16"/>
          <w:b w:val="1"/>
          <w:bCs w:val="1"/>
          <w:color w:val="auto"/>
        </w:rPr>
        <w:t xml:space="preserve">Exhibit B </w:t>
      </w:r>
      <w:r>
        <w:rPr>
          <w:rFonts w:ascii="Arial" w:cs="Arial" w:eastAsia="Arial" w:hAnsi="Arial"/>
          <w:sz w:val="16"/>
          <w:szCs w:val="16"/>
          <w:color w:val="auto"/>
        </w:rPr>
        <w:t>hereto, or (</w:t>
      </w:r>
      <w:r>
        <w:rPr>
          <w:rFonts w:ascii="Arial" w:cs="Arial" w:eastAsia="Arial" w:hAnsi="Arial"/>
          <w:sz w:val="16"/>
          <w:szCs w:val="16"/>
          <w:u w:val="single" w:color="auto"/>
          <w:color w:val="auto"/>
        </w:rPr>
        <w:t>D</w:t>
      </w:r>
      <w:r>
        <w:rPr>
          <w:rFonts w:ascii="Arial" w:cs="Arial" w:eastAsia="Arial" w:hAnsi="Arial"/>
          <w:sz w:val="16"/>
          <w:szCs w:val="16"/>
          <w:color w:val="auto"/>
        </w:rPr>
        <w:t>) any foreign air carrier consented to in writing by the Trustee with the consent of the Collateral Agent;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w:t>
      </w:r>
      <w:r>
        <w:rPr>
          <w:rFonts w:ascii="Arial" w:cs="Arial" w:eastAsia="Arial" w:hAnsi="Arial"/>
          <w:sz w:val="16"/>
          <w:szCs w:val="16"/>
          <w:u w:val="single" w:color="auto"/>
          <w:color w:val="auto"/>
        </w:rPr>
        <w:t>w</w:t>
      </w:r>
      <w:r>
        <w:rPr>
          <w:rFonts w:ascii="Arial" w:cs="Arial" w:eastAsia="Arial" w:hAnsi="Arial"/>
          <w:sz w:val="16"/>
          <w:szCs w:val="16"/>
          <w:color w:val="auto"/>
        </w:rPr>
        <w: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case of a lease to, or guarantee by, any entity pursuant to this </w:t>
      </w:r>
      <w:r>
        <w:rPr>
          <w:rFonts w:ascii="Arial" w:cs="Arial" w:eastAsia="Arial" w:hAnsi="Arial"/>
          <w:sz w:val="16"/>
          <w:szCs w:val="16"/>
          <w:u w:val="single" w:color="auto"/>
          <w:color w:val="auto"/>
        </w:rPr>
        <w:t>Section 6.01(a)(ix)</w:t>
      </w:r>
      <w:r>
        <w:rPr>
          <w:rFonts w:ascii="Arial" w:cs="Arial" w:eastAsia="Arial" w:hAnsi="Arial"/>
          <w:sz w:val="16"/>
          <w:szCs w:val="16"/>
          <w:color w:val="auto"/>
        </w:rPr>
        <w:t>, (</w:t>
      </w:r>
      <w:r>
        <w:rPr>
          <w:rFonts w:ascii="Arial" w:cs="Arial" w:eastAsia="Arial" w:hAnsi="Arial"/>
          <w:sz w:val="16"/>
          <w:szCs w:val="16"/>
          <w:u w:val="single" w:color="auto"/>
          <w:color w:val="auto"/>
        </w:rPr>
        <w:t>1</w:t>
      </w:r>
      <w:r>
        <w:rPr>
          <w:rFonts w:ascii="Arial" w:cs="Arial" w:eastAsia="Arial" w:hAnsi="Arial"/>
          <w:sz w:val="16"/>
          <w:szCs w:val="16"/>
          <w:color w:val="auto"/>
        </w:rPr>
        <w:t>) other than a foreign carrier principally based in Taiwan, the United States maintains diplomatic relations with the country in which such entity is based and domiciled at the time such lease is entered into, (</w:t>
      </w:r>
      <w:r>
        <w:rPr>
          <w:rFonts w:ascii="Arial" w:cs="Arial" w:eastAsia="Arial" w:hAnsi="Arial"/>
          <w:sz w:val="16"/>
          <w:szCs w:val="16"/>
          <w:u w:val="single" w:color="auto"/>
          <w:color w:val="auto"/>
        </w:rPr>
        <w:t>2</w:t>
      </w:r>
      <w:r>
        <w:rPr>
          <w:rFonts w:ascii="Arial" w:cs="Arial" w:eastAsia="Arial" w:hAnsi="Arial"/>
          <w:sz w:val="16"/>
          <w:szCs w:val="16"/>
          <w:color w:val="auto"/>
        </w:rPr>
        <w:t>) no Event of Default exists at the time such lease is entered into and (</w:t>
      </w:r>
      <w:r>
        <w:rPr>
          <w:rFonts w:ascii="Arial" w:cs="Arial" w:eastAsia="Arial" w:hAnsi="Arial"/>
          <w:sz w:val="16"/>
          <w:szCs w:val="16"/>
          <w:u w:val="single" w:color="auto"/>
          <w:color w:val="auto"/>
        </w:rPr>
        <w:t>3</w:t>
      </w:r>
      <w:r>
        <w:rPr>
          <w:rFonts w:ascii="Arial" w:cs="Arial" w:eastAsia="Arial" w:hAnsi="Arial"/>
          <w:sz w:val="16"/>
          <w:szCs w:val="16"/>
          <w:color w:val="auto"/>
        </w:rPr>
        <w:t>) such entity is not then subject to any bankruptcy, insolvency, liquidation, reorganization, dissolution or similar proceeding and shall not have substantially all of its property in the possession of any liquidator, trustee, receiver or similar person, (</w:t>
      </w:r>
      <w:r>
        <w:rPr>
          <w:rFonts w:ascii="Arial" w:cs="Arial" w:eastAsia="Arial" w:hAnsi="Arial"/>
          <w:sz w:val="16"/>
          <w:szCs w:val="16"/>
          <w:u w:val="single" w:color="auto"/>
          <w:color w:val="auto"/>
        </w:rPr>
        <w:t>x</w:t>
      </w:r>
      <w:r>
        <w:rPr>
          <w:rFonts w:ascii="Arial" w:cs="Arial" w:eastAsia="Arial" w:hAnsi="Arial"/>
          <w:sz w:val="16"/>
          <w:szCs w:val="16"/>
          <w:color w:val="auto"/>
        </w:rPr>
        <w:t xml:space="preserve">) in the case of a lease to a foreign air carrier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Trustee receives at the time of such lease an opinion of counsel to the Grantor (such counsel to be reasonably satisfactory to the Trustee) to the effect that there exist no possessory rights in favor of the lessee under the laws of such lessee’s country which would, upon bankruptcy or insolvency of or other default by the Grantor and assuming at such time such</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H-16</w:t>
      </w:r>
    </w:p>
    <w:p>
      <w:pPr>
        <w:sectPr>
          <w:pgSz w:w="11900" w:h="16838" w:orient="portrait"/>
          <w:cols w:equalWidth="0" w:num="1">
            <w:col w:w="10960"/>
          </w:cols>
          <w:pgMar w:left="700" w:top="274" w:right="239" w:bottom="1440" w:gutter="0" w:footer="0" w:header="0"/>
        </w:sectPr>
      </w:pPr>
    </w:p>
    <w:bookmarkStart w:id="400" w:name="page401"/>
    <w:bookmarkEnd w:id="400"/>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lessee is not insolvent or bankrupt, prevent the taking of possession of any such Engine or such Airframe and any such Engine by the Trustee in accordance with and when permitted by the terms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upon the exercise by the Trustee of its remedies under </w:t>
      </w:r>
      <w:r>
        <w:rPr>
          <w:rFonts w:ascii="Arial" w:cs="Arial" w:eastAsia="Arial" w:hAnsi="Arial"/>
          <w:sz w:val="18"/>
          <w:szCs w:val="18"/>
          <w:u w:val="single" w:color="auto"/>
          <w:color w:val="auto"/>
        </w:rPr>
        <w:t>Section 4.01</w:t>
      </w:r>
      <w:r>
        <w:rPr>
          <w:rFonts w:ascii="Arial" w:cs="Arial" w:eastAsia="Arial" w:hAnsi="Arial"/>
          <w:sz w:val="18"/>
          <w:szCs w:val="18"/>
          <w:color w:val="auto"/>
        </w:rPr>
        <w:t>,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in the case of a lease to any foreign manufacturer or foreign Affiliate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the re-registration conditions set forth in </w:t>
      </w:r>
      <w:r>
        <w:rPr>
          <w:rFonts w:ascii="Arial" w:cs="Arial" w:eastAsia="Arial" w:hAnsi="Arial"/>
          <w:sz w:val="18"/>
          <w:szCs w:val="18"/>
          <w:u w:val="single" w:color="auto"/>
          <w:color w:val="auto"/>
        </w:rPr>
        <w:t>Section 6.01(e)</w:t>
      </w:r>
      <w:r>
        <w:rPr>
          <w:rFonts w:ascii="Arial" w:cs="Arial" w:eastAsia="Arial" w:hAnsi="Arial"/>
          <w:sz w:val="18"/>
          <w:szCs w:val="18"/>
          <w:color w:val="auto"/>
        </w:rPr>
        <w:t xml:space="preserve"> shall be satisfied notwithstanding anything to the contrary in such </w:t>
      </w:r>
      <w:r>
        <w:rPr>
          <w:rFonts w:ascii="Arial" w:cs="Arial" w:eastAsia="Arial" w:hAnsi="Arial"/>
          <w:sz w:val="18"/>
          <w:szCs w:val="18"/>
          <w:u w:val="single" w:color="auto"/>
          <w:color w:val="auto"/>
        </w:rPr>
        <w:t>clause (C)</w:t>
      </w:r>
      <w:r>
        <w:rPr>
          <w:rFonts w:ascii="Arial" w:cs="Arial" w:eastAsia="Arial" w:hAnsi="Arial"/>
          <w:sz w:val="18"/>
          <w:szCs w:val="18"/>
          <w:color w:val="auto"/>
        </w:rPr>
        <w:t>;</w:t>
      </w:r>
    </w:p>
    <w:p>
      <w:pPr>
        <w:spacing w:after="0" w:line="1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rights of any lessee or other transferee who receives possession of such Aircraft, such Airframe or any such Engine by reason of a transfer permitted by this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(other than the transfer of any such Engine which is deemed an Event of Loss) shall be subject and subordinate to, and any permitted lease shall be made expressly subject and subordinate to, all the terms of this Aircraft Security Agreement, including the Trustee’s rights to repossess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to avoid such lease upon such repossession, and the Grantor shall remain primarily liable hereunder for the performance and observance of all of the terms and conditions of this Aircraft Security Agreement to the same extent as if such lease or transfer had not occurred, any such lease shall include appropriate provisions for the maintenance and insurance of such Aircraft, Airframe or Engine, and no lease or transfer or possession otherwise in compliance with this Section shall (</w:t>
      </w:r>
      <w:r>
        <w:rPr>
          <w:rFonts w:ascii="Arial" w:cs="Arial" w:eastAsia="Arial" w:hAnsi="Arial"/>
          <w:sz w:val="17"/>
          <w:szCs w:val="17"/>
          <w:u w:val="single" w:color="auto"/>
          <w:color w:val="auto"/>
        </w:rPr>
        <w:t>x</w:t>
      </w:r>
      <w:r>
        <w:rPr>
          <w:rFonts w:ascii="Arial" w:cs="Arial" w:eastAsia="Arial" w:hAnsi="Arial"/>
          <w:sz w:val="17"/>
          <w:szCs w:val="17"/>
          <w:color w:val="auto"/>
        </w:rPr>
        <w:t xml:space="preserve">) result in any registration or re-registration of such Aircraft except to the extent permitted in </w:t>
      </w:r>
      <w:r>
        <w:rPr>
          <w:rFonts w:ascii="Arial" w:cs="Arial" w:eastAsia="Arial" w:hAnsi="Arial"/>
          <w:sz w:val="17"/>
          <w:szCs w:val="17"/>
          <w:u w:val="single" w:color="auto"/>
          <w:color w:val="auto"/>
        </w:rPr>
        <w:t>Section 6.01(e)</w:t>
      </w:r>
      <w:r>
        <w:rPr>
          <w:rFonts w:ascii="Arial" w:cs="Arial" w:eastAsia="Arial" w:hAnsi="Arial"/>
          <w:sz w:val="17"/>
          <w:szCs w:val="17"/>
          <w:color w:val="auto"/>
        </w:rPr>
        <w:t xml:space="preserve"> or the maintenance, operation or use thereof that does not comply with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6.01(c)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y</w:t>
      </w:r>
      <w:r>
        <w:rPr>
          <w:rFonts w:ascii="Arial" w:cs="Arial" w:eastAsia="Arial" w:hAnsi="Arial"/>
          <w:sz w:val="17"/>
          <w:szCs w:val="17"/>
          <w:color w:val="auto"/>
        </w:rPr>
        <w:t>) permit any action not permitted to be taken by the Grantor with respect to such Aircraft hereunder. The Grantor shall promptly notify the Trustee of the existence of any such lease with a term in excess of one year.</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of the Trustee and the Collateral Agent agrees, and each other Secured Party by acceptance of any instrument evidencing Obligations is deemed to have agreed, for the benefit of the Grantor (and any Permitted Lessee) and for the benefit of the lessor, conditional vendor or secured party of such Airframe or engine leased to the Grantor (or any Permitted Lessee) or leased to or purchased or owned by the Grantor (or any Permitted Lessee) subject to a conditional sale or other security agreement, that the Trustee, the Collateral Agent and the other Secured Parties will not acquire or claim, as against the Grantor (or any Permitted Lessee) or such lessor, conditional vendor or secured party, any right, title or interest in (</w:t>
      </w:r>
      <w:r>
        <w:rPr>
          <w:rFonts w:ascii="Arial" w:cs="Arial" w:eastAsia="Arial" w:hAnsi="Arial"/>
          <w:sz w:val="16"/>
          <w:szCs w:val="16"/>
          <w:u w:val="single" w:color="auto"/>
          <w:color w:val="auto"/>
        </w:rPr>
        <w:t>A</w:t>
      </w:r>
      <w:r>
        <w:rPr>
          <w:rFonts w:ascii="Arial" w:cs="Arial" w:eastAsia="Arial" w:hAnsi="Arial"/>
          <w:sz w:val="16"/>
          <w:szCs w:val="16"/>
          <w:color w:val="auto"/>
        </w:rPr>
        <w:t>) any engine or engines owned by the Grantor (or any Permitted Lessee) or the lessor under such lease or subject to a security interest in favor of the secured party under any conditional sale or other security agreement as the result of such engine or engines being installed on such Airframe at any time while such engine or engines are subject to such lease or conditional sale or other security agreement or (</w:t>
      </w:r>
      <w:r>
        <w:rPr>
          <w:rFonts w:ascii="Arial" w:cs="Arial" w:eastAsia="Arial" w:hAnsi="Arial"/>
          <w:sz w:val="16"/>
          <w:szCs w:val="16"/>
          <w:u w:val="single" w:color="auto"/>
          <w:color w:val="auto"/>
        </w:rPr>
        <w:t>B</w:t>
      </w:r>
      <w:r>
        <w:rPr>
          <w:rFonts w:ascii="Arial" w:cs="Arial" w:eastAsia="Arial" w:hAnsi="Arial"/>
          <w:sz w:val="16"/>
          <w:szCs w:val="16"/>
          <w:color w:val="auto"/>
        </w:rPr>
        <w:t>) any airframe owned by the Grantor (or any Permitted Lessee) or the lessor under such lease or subject to a security interest in favor of the secured party under any conditional sale or other security agreement as the result of any such Engine being installed on such airframe at any time while such airframe is subject to such lease or conditional sale or other security agreement.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H-17</w:t>
      </w:r>
    </w:p>
    <w:p>
      <w:pPr>
        <w:sectPr>
          <w:pgSz w:w="11900" w:h="16838" w:orient="portrait"/>
          <w:cols w:equalWidth="0" w:num="1">
            <w:col w:w="11420"/>
          </w:cols>
          <w:pgMar w:left="240" w:top="274" w:right="239" w:bottom="1440" w:gutter="0" w:footer="0" w:header="0"/>
        </w:sectPr>
      </w:pPr>
    </w:p>
    <w:bookmarkStart w:id="401" w:name="page402"/>
    <w:bookmarkEnd w:id="401"/>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Trustee acknowledges that any “wet lease” or other similar arrangement under which the Grantor maintains operational control of an Aircraft shall not constitute a delivery, transfer or relinquishment of possession for purposes of this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170" w:lineRule="exact"/>
        <w:rPr>
          <w:sz w:val="20"/>
          <w:szCs w:val="20"/>
          <w:color w:val="auto"/>
        </w:rPr>
      </w:pPr>
    </w:p>
    <w:p>
      <w:pPr>
        <w:ind w:firstLine="464"/>
        <w:spacing w:after="0" w:line="268" w:lineRule="auto"/>
        <w:tabs>
          <w:tab w:leader="none" w:pos="711"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Operation and Use</w:t>
      </w:r>
      <w:r>
        <w:rPr>
          <w:rFonts w:ascii="Arial" w:cs="Arial" w:eastAsia="Arial" w:hAnsi="Arial"/>
          <w:sz w:val="17"/>
          <w:szCs w:val="17"/>
          <w:color w:val="auto"/>
        </w:rPr>
        <w:t xml:space="preserve">. The Grantor agrees that such Aircraft will not be maintained, used, serviced, repaired, overhauled or operated in violation of any law, rule or regulation of any government of any country having jurisdiction over such Aircraft or in violation of any airworthiness certificate, license or registration relating to such Aircraft issued by any such government, except to the extent the Grantor is contesting in good faith the validity or application of any such law, rule or regulation or airworthiness certificate, license or registration in any manner that does not involve any material risk of sale, forfeiture or loss of such Aircraft or impair the Lien of this Aircraft Security Agreement; and </w:t>
      </w:r>
      <w:r>
        <w:rPr>
          <w:rFonts w:ascii="Arial" w:cs="Arial" w:eastAsia="Arial" w:hAnsi="Arial"/>
          <w:sz w:val="17"/>
          <w:szCs w:val="17"/>
          <w:u w:val="single" w:color="auto"/>
          <w:color w:val="auto"/>
        </w:rPr>
        <w:t>provided</w:t>
      </w:r>
      <w:r>
        <w:rPr>
          <w:rFonts w:ascii="Arial" w:cs="Arial" w:eastAsia="Arial" w:hAnsi="Arial"/>
          <w:sz w:val="17"/>
          <w:szCs w:val="17"/>
          <w:color w:val="auto"/>
        </w:rPr>
        <w:t>, that the Grantor shall not be in default under, or required to take any action set forth in, this sentence if it is not possible for it to comply with the laws of a jurisdiction other than the United States (or other than any jurisdiction in which such Aircraft is then registered) because of a conflict with the applicable laws of the United States (or such jurisdiction in which such Aircraft is then registered). The Grantor will not operate such Aircraft, or permit such Aircraft to be operated or located,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in any area excluded from coverage by any insurance required by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in any war zone or recognized or, in the Grantor’s judgment, threatened areas of hostilities unless covered by war risk insurance, to the extent war risk insurance is required pursuant to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unless in the case of either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w:t>
      </w:r>
      <w:r>
        <w:rPr>
          <w:rFonts w:ascii="Arial" w:cs="Arial" w:eastAsia="Arial" w:hAnsi="Arial"/>
          <w:sz w:val="17"/>
          <w:szCs w:val="17"/>
          <w:u w:val="single" w:color="auto"/>
          <w:color w:val="auto"/>
        </w:rPr>
        <w:t>x</w:t>
      </w:r>
      <w:r>
        <w:rPr>
          <w:rFonts w:ascii="Arial" w:cs="Arial" w:eastAsia="Arial" w:hAnsi="Arial"/>
          <w:sz w:val="17"/>
          <w:szCs w:val="17"/>
          <w:color w:val="auto"/>
        </w:rPr>
        <w:t xml:space="preserve">) governmental indemnification in the amount of any insurance that would otherwise be required pursuant to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has been provided or (</w:t>
      </w:r>
      <w:r>
        <w:rPr>
          <w:rFonts w:ascii="Arial" w:cs="Arial" w:eastAsia="Arial" w:hAnsi="Arial"/>
          <w:sz w:val="17"/>
          <w:szCs w:val="17"/>
          <w:u w:val="single" w:color="auto"/>
          <w:color w:val="auto"/>
        </w:rPr>
        <w:t>y</w:t>
      </w:r>
      <w:r>
        <w:rPr>
          <w:rFonts w:ascii="Arial" w:cs="Arial" w:eastAsia="Arial" w:hAnsi="Arial"/>
          <w:sz w:val="17"/>
          <w:szCs w:val="17"/>
          <w:color w:val="auto"/>
        </w:rPr>
        <w:t>) such Aircraft is only temporarily located in such area as a result of an isolated occurrence or isolated series of occurrences attributable to a hijacking, medical emergency, equipment malfunction, weather conditions, navigational error or other similar unforeseen circumstances and the Grantor is using its good faith efforts to remove such Aircraft from such area as promptly as practicable.</w:t>
      </w:r>
    </w:p>
    <w:p>
      <w:pPr>
        <w:spacing w:after="0" w:line="185" w:lineRule="exact"/>
        <w:rPr>
          <w:rFonts w:ascii="Arial" w:cs="Arial" w:eastAsia="Arial" w:hAnsi="Arial"/>
          <w:sz w:val="17"/>
          <w:szCs w:val="17"/>
          <w:color w:val="auto"/>
        </w:rPr>
      </w:pPr>
    </w:p>
    <w:p>
      <w:pPr>
        <w:ind w:right="80" w:firstLine="464"/>
        <w:spacing w:after="0" w:line="255" w:lineRule="auto"/>
        <w:tabs>
          <w:tab w:leader="none" w:pos="701"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Maintenance</w:t>
      </w:r>
      <w:r>
        <w:rPr>
          <w:rFonts w:ascii="Arial" w:cs="Arial" w:eastAsia="Arial" w:hAnsi="Arial"/>
          <w:sz w:val="18"/>
          <w:szCs w:val="18"/>
          <w:color w:val="auto"/>
        </w:rPr>
        <w:t>. The Grantor shall maintain, service, repair and overhaul such Aircraft (or cause the same to be done) (</w:t>
      </w:r>
      <w:r>
        <w:rPr>
          <w:rFonts w:ascii="Arial" w:cs="Arial" w:eastAsia="Arial" w:hAnsi="Arial"/>
          <w:sz w:val="18"/>
          <w:szCs w:val="18"/>
          <w:u w:val="single" w:color="auto"/>
          <w:color w:val="auto"/>
        </w:rPr>
        <w:t>i</w:t>
      </w:r>
      <w:r>
        <w:rPr>
          <w:rFonts w:ascii="Arial" w:cs="Arial" w:eastAsia="Arial" w:hAnsi="Arial"/>
          <w:sz w:val="18"/>
          <w:szCs w:val="18"/>
          <w:color w:val="auto"/>
        </w:rPr>
        <w:t>) so as to keep such Aircraft in as good operating condition as on the applicable Aircraft Closing Date for such Aircraft, ordinary wear and tear excepted, and in such condition as may be necessary to enable the airworthiness certification of such Aircraft to be maintained in good standing at all times (other than during temporary periods of storage, during maintenance or modification permitted hereunder, or during periods of grounding by applicable governmental authorities) under the Transportation Code, during such periods in which such Aircraft is registered under the laws of the United States, or, if such Aircraft is registered under the laws of any other jurisdiction, the applicable laws of such jurisdiction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using the same standards as the Grantor or, in the case of a lease permitted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H-18</w:t>
      </w:r>
    </w:p>
    <w:p>
      <w:pPr>
        <w:sectPr>
          <w:pgSz w:w="11900" w:h="16838" w:orient="portrait"/>
          <w:cols w:equalWidth="0" w:num="1">
            <w:col w:w="11420"/>
          </w:cols>
          <w:pgMar w:left="240" w:top="274" w:right="239" w:bottom="1440" w:gutter="0" w:footer="0" w:header="0"/>
        </w:sectPr>
      </w:pPr>
    </w:p>
    <w:bookmarkStart w:id="402" w:name="page403"/>
    <w:bookmarkEnd w:id="40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applicable Permitted Lessee uses with respect to similar aircraft operated by the Grantor or such Permitted Lessee, as the case may be, in similar circumstances (in any case, without limitation of the Grantor’s obligations under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In any case such Aircraft will be maintained in accordance with a maintenance program for such model of Aircraft, approved by the FAA or, if such Aircraft is not registered in the United States, (</w:t>
      </w:r>
      <w:r>
        <w:rPr>
          <w:rFonts w:ascii="Arial" w:cs="Arial" w:eastAsia="Arial" w:hAnsi="Arial"/>
          <w:sz w:val="18"/>
          <w:szCs w:val="18"/>
          <w:u w:val="single" w:color="auto"/>
          <w:color w:val="auto"/>
        </w:rPr>
        <w:t>i</w:t>
      </w:r>
      <w:r>
        <w:rPr>
          <w:rFonts w:ascii="Arial" w:cs="Arial" w:eastAsia="Arial" w:hAnsi="Arial"/>
          <w:sz w:val="18"/>
          <w:szCs w:val="18"/>
          <w:color w:val="auto"/>
        </w:rPr>
        <w:t>) the EASA or the JAA, (</w:t>
      </w:r>
      <w:r>
        <w:rPr>
          <w:rFonts w:ascii="Arial" w:cs="Arial" w:eastAsia="Arial" w:hAnsi="Arial"/>
          <w:sz w:val="18"/>
          <w:szCs w:val="18"/>
          <w:u w:val="single" w:color="auto"/>
          <w:color w:val="auto"/>
        </w:rPr>
        <w:t>ii</w:t>
      </w:r>
      <w:r>
        <w:rPr>
          <w:rFonts w:ascii="Arial" w:cs="Arial" w:eastAsia="Arial" w:hAnsi="Arial"/>
          <w:sz w:val="18"/>
          <w:szCs w:val="18"/>
          <w:color w:val="auto"/>
        </w:rPr>
        <w:t>) the central aviation authority of Australia, Canada, Japan or New Zealand, or (</w:t>
      </w:r>
      <w:r>
        <w:rPr>
          <w:rFonts w:ascii="Arial" w:cs="Arial" w:eastAsia="Arial" w:hAnsi="Arial"/>
          <w:sz w:val="18"/>
          <w:szCs w:val="18"/>
          <w:u w:val="single" w:color="auto"/>
          <w:color w:val="auto"/>
        </w:rPr>
        <w:t>iii</w:t>
      </w:r>
      <w:r>
        <w:rPr>
          <w:rFonts w:ascii="Arial" w:cs="Arial" w:eastAsia="Arial" w:hAnsi="Arial"/>
          <w:sz w:val="18"/>
          <w:szCs w:val="18"/>
          <w:color w:val="auto"/>
        </w:rPr>
        <w:t>) the central aviation authority of any country with aircraft maintenance standards that are substantially similar to those of the United States or any of the foregoing authorities or countries. The Grantor shall maintain or cause to be maintained all records, logs and other documents required to be maintained in respect of such Aircraft by appropriate authorities in the jurisdiction in which such Aircraft is registered.</w:t>
      </w:r>
    </w:p>
    <w:p>
      <w:pPr>
        <w:spacing w:after="0" w:line="189" w:lineRule="exact"/>
        <w:rPr>
          <w:sz w:val="20"/>
          <w:szCs w:val="20"/>
          <w:color w:val="auto"/>
        </w:rPr>
      </w:pPr>
    </w:p>
    <w:p>
      <w:pPr>
        <w:ind w:firstLine="464"/>
        <w:spacing w:after="0" w:line="276" w:lineRule="auto"/>
        <w:tabs>
          <w:tab w:leader="none" w:pos="711" w:val="left"/>
        </w:tabs>
        <w:numPr>
          <w:ilvl w:val="0"/>
          <w:numId w:val="448"/>
        </w:numPr>
        <w:rPr>
          <w:rFonts w:ascii="Arial" w:cs="Arial" w:eastAsia="Arial" w:hAnsi="Arial"/>
          <w:sz w:val="17"/>
          <w:szCs w:val="17"/>
          <w:color w:val="auto"/>
        </w:rPr>
      </w:pPr>
      <w:r>
        <w:rPr>
          <w:rFonts w:ascii="Arial" w:cs="Arial" w:eastAsia="Arial" w:hAnsi="Arial"/>
          <w:sz w:val="17"/>
          <w:szCs w:val="17"/>
          <w:u w:val="single" w:color="auto"/>
          <w:color w:val="auto"/>
        </w:rPr>
        <w:t>Identification of Trustee’s Interest</w:t>
      </w:r>
      <w:r>
        <w:rPr>
          <w:rFonts w:ascii="Arial" w:cs="Arial" w:eastAsia="Arial" w:hAnsi="Arial"/>
          <w:sz w:val="17"/>
          <w:szCs w:val="17"/>
          <w:color w:val="auto"/>
        </w:rPr>
        <w:t>. The Grantor agrees to affix as promptly as practicable after the applicable Aircraft Closing Date for such Aircraft and thereafter to maintain in the cockpit of such Aircraft, in a clearly visible location, and (if not prevented by applicable law or regulations or by any government) on each such Engine, a nameplate bearing the inscription “MORTGAGED TO [NAME OF TRUSTEE], AS TRUSTEE” (such nameplate to be replaced, if necessary, with a nameplate reflecting the name of any successor Trustee). If any such nameplate is damaged beyond repair or becomes illegible, the Grantor shall promptly replace it with a nameplate complying with the requirements of this Section.</w:t>
      </w:r>
    </w:p>
    <w:p>
      <w:pPr>
        <w:spacing w:after="0" w:line="172" w:lineRule="exact"/>
        <w:rPr>
          <w:rFonts w:ascii="Arial" w:cs="Arial" w:eastAsia="Arial" w:hAnsi="Arial"/>
          <w:sz w:val="17"/>
          <w:szCs w:val="17"/>
          <w:color w:val="auto"/>
        </w:rPr>
      </w:pPr>
    </w:p>
    <w:p>
      <w:pPr>
        <w:ind w:right="20" w:firstLine="464"/>
        <w:spacing w:after="0" w:line="269" w:lineRule="auto"/>
        <w:tabs>
          <w:tab w:leader="none" w:pos="701" w:val="left"/>
        </w:tabs>
        <w:numPr>
          <w:ilvl w:val="0"/>
          <w:numId w:val="448"/>
        </w:numPr>
        <w:rPr>
          <w:rFonts w:ascii="Arial" w:cs="Arial" w:eastAsia="Arial" w:hAnsi="Arial"/>
          <w:sz w:val="17"/>
          <w:szCs w:val="17"/>
          <w:color w:val="auto"/>
        </w:rPr>
      </w:pP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The Grantor shall cause such Aircraft to remain duly registered, under the laws of the United States, in the name of the Grantor except as otherwise required by the Transportation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shall, at the Grantor’s expense, execute and deliver all such documents as the Grantor may reasonably request for the purpose of continuing such registration. Notwithstanding the preceding sentence, the Grantor, at its own expense, may cause or allow such Aircraft to be duly registered under the laws of any foreign jurisdiction in which a Permitted Lessee could be principally based, in the name of the Grantor or of any nominee of the Grantor, or, if required by applicable law, in the name of any other Person (and, following any such foreign registration, may cause such Aircraft to be re-registered under the laws of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jurisdictions other than those approved by the Trustee,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if such jurisdiction is at the time of registration listed on </w:t>
      </w:r>
      <w:r>
        <w:rPr>
          <w:rFonts w:ascii="Arial" w:cs="Arial" w:eastAsia="Arial" w:hAnsi="Arial"/>
          <w:sz w:val="17"/>
          <w:szCs w:val="17"/>
          <w:b w:val="1"/>
          <w:bCs w:val="1"/>
          <w:color w:val="auto"/>
        </w:rPr>
        <w:t>Exhibit B</w:t>
      </w:r>
      <w:r>
        <w:rPr>
          <w:rFonts w:ascii="Arial" w:cs="Arial" w:eastAsia="Arial" w:hAnsi="Arial"/>
          <w:sz w:val="17"/>
          <w:szCs w:val="17"/>
          <w:color w:val="auto"/>
        </w:rPr>
        <w:t>, the Trustee shall have received at the time of such registration an opinion of counsel to the Grantor to the effect that (</w:t>
      </w:r>
      <w:r>
        <w:rPr>
          <w:rFonts w:ascii="Arial" w:cs="Arial" w:eastAsia="Arial" w:hAnsi="Arial"/>
          <w:sz w:val="17"/>
          <w:szCs w:val="17"/>
          <w:u w:val="single" w:color="auto"/>
          <w:color w:val="auto"/>
        </w:rPr>
        <w:t>A</w:t>
      </w:r>
      <w:r>
        <w:rPr>
          <w:rFonts w:ascii="Arial" w:cs="Arial" w:eastAsia="Arial" w:hAnsi="Arial"/>
          <w:sz w:val="17"/>
          <w:szCs w:val="17"/>
          <w:color w:val="auto"/>
        </w:rPr>
        <w:t>) this Aircraft Security Agreement and the Trustee’s right to repossession hereunder is valid and enforceable under the laws of such country, (</w:t>
      </w:r>
      <w:r>
        <w:rPr>
          <w:rFonts w:ascii="Arial" w:cs="Arial" w:eastAsia="Arial" w:hAnsi="Arial"/>
          <w:sz w:val="17"/>
          <w:szCs w:val="17"/>
          <w:u w:val="single" w:color="auto"/>
          <w:color w:val="auto"/>
        </w:rPr>
        <w:t>B</w:t>
      </w:r>
      <w:r>
        <w:rPr>
          <w:rFonts w:ascii="Arial" w:cs="Arial" w:eastAsia="Arial" w:hAnsi="Arial"/>
          <w:sz w:val="17"/>
          <w:szCs w:val="17"/>
          <w:color w:val="auto"/>
        </w:rPr>
        <w:t>) after giving effect to such change in registration, the Lien of this Aircraft Security Agreement shall continue as a valid Lien and shall be duly perfected in the new jurisdiction of registration and that all filing, recording or other action necessary to perfect and protect the Lien of this Aircraft Security Agreement has been accomplished (or if such opinion cannot be given at such time, (</w:t>
      </w:r>
      <w:r>
        <w:rPr>
          <w:rFonts w:ascii="Arial" w:cs="Arial" w:eastAsia="Arial" w:hAnsi="Arial"/>
          <w:sz w:val="17"/>
          <w:szCs w:val="17"/>
          <w:u w:val="single" w:color="auto"/>
          <w:color w:val="auto"/>
        </w:rPr>
        <w:t>x</w:t>
      </w:r>
      <w:r>
        <w:rPr>
          <w:rFonts w:ascii="Arial" w:cs="Arial" w:eastAsia="Arial" w:hAnsi="Arial"/>
          <w:sz w:val="17"/>
          <w:szCs w:val="17"/>
          <w:color w:val="auto"/>
        </w:rPr>
        <w:t>) the opinion shall detail what filing, recording or other</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H-19</w:t>
      </w:r>
    </w:p>
    <w:p>
      <w:pPr>
        <w:sectPr>
          <w:pgSz w:w="11900" w:h="16838" w:orient="portrait"/>
          <w:cols w:equalWidth="0" w:num="1">
            <w:col w:w="11420"/>
          </w:cols>
          <w:pgMar w:left="240" w:top="273" w:right="239" w:bottom="1440" w:gutter="0" w:footer="0" w:header="0"/>
        </w:sectPr>
      </w:pPr>
    </w:p>
    <w:bookmarkStart w:id="403" w:name="page404"/>
    <w:bookmarkEnd w:id="403"/>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 is necessary and (</w:t>
      </w:r>
      <w:r>
        <w:rPr>
          <w:rFonts w:ascii="Arial" w:cs="Arial" w:eastAsia="Arial" w:hAnsi="Arial"/>
          <w:sz w:val="16"/>
          <w:szCs w:val="16"/>
          <w:u w:val="single" w:color="auto"/>
          <w:color w:val="auto"/>
        </w:rPr>
        <w:t>y</w:t>
      </w:r>
      <w:r>
        <w:rPr>
          <w:rFonts w:ascii="Arial" w:cs="Arial" w:eastAsia="Arial" w:hAnsi="Arial"/>
          <w:sz w:val="16"/>
          <w:szCs w:val="16"/>
          <w:color w:val="auto"/>
        </w:rPr>
        <w:t>) the Trustee shall have received a certificate from a Responsible Officer that all possible preparations to accomplish such filing, recording and other action shall have been done, and such filing, recording and other action shall be accomplished and a supplemental opinion to that effect shall be promptly delivered to the Trustee subsequent to the effective date of such change in registration), (</w:t>
      </w:r>
      <w:r>
        <w:rPr>
          <w:rFonts w:ascii="Arial" w:cs="Arial" w:eastAsia="Arial" w:hAnsi="Arial"/>
          <w:sz w:val="16"/>
          <w:szCs w:val="16"/>
          <w:u w:val="single" w:color="auto"/>
          <w:color w:val="auto"/>
        </w:rPr>
        <w:t>C</w:t>
      </w:r>
      <w:r>
        <w:rPr>
          <w:rFonts w:ascii="Arial" w:cs="Arial" w:eastAsia="Arial" w:hAnsi="Arial"/>
          <w:sz w:val="16"/>
          <w:szCs w:val="16"/>
          <w:color w:val="auto"/>
        </w:rPr>
        <w:t>) the obligations of the Grantor under this Aircraft Security Agreement shall remain valid, binding and (subject to customary bankruptcy and equitable remedies exceptions and to other exceptions customary in foreign opinions generally) enforceable under the laws of such jurisdiction (or the laws of the jurisdiction to which the laws of such jurisdiction would refer as the applicable governing law) and (</w:t>
      </w:r>
      <w:r>
        <w:rPr>
          <w:rFonts w:ascii="Arial" w:cs="Arial" w:eastAsia="Arial" w:hAnsi="Arial"/>
          <w:sz w:val="16"/>
          <w:szCs w:val="16"/>
          <w:u w:val="single" w:color="auto"/>
          <w:color w:val="auto"/>
        </w:rPr>
        <w:t>D</w:t>
      </w:r>
      <w:r>
        <w:rPr>
          <w:rFonts w:ascii="Arial" w:cs="Arial" w:eastAsia="Arial" w:hAnsi="Arial"/>
          <w:sz w:val="16"/>
          <w:szCs w:val="16"/>
          <w:color w:val="auto"/>
        </w:rPr>
        <w:t>) all approvals or consents of any government in such jurisdiction having jurisdiction required for such change in registration shall have been duly obtained and shall be in full force and effect,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if such jurisdiction is at the time of registration not listed on </w:t>
      </w:r>
      <w:r>
        <w:rPr>
          <w:rFonts w:ascii="Arial" w:cs="Arial" w:eastAsia="Arial" w:hAnsi="Arial"/>
          <w:sz w:val="16"/>
          <w:szCs w:val="16"/>
          <w:b w:val="1"/>
          <w:bCs w:val="1"/>
          <w:color w:val="auto"/>
        </w:rPr>
        <w:t>Exhibit B</w:t>
      </w:r>
      <w:r>
        <w:rPr>
          <w:rFonts w:ascii="Arial" w:cs="Arial" w:eastAsia="Arial" w:hAnsi="Arial"/>
          <w:sz w:val="16"/>
          <w:szCs w:val="16"/>
          <w:color w:val="auto"/>
        </w:rPr>
        <w:t>, the Trustee shall have received (in addition to the opinions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clause (i)</w:t>
      </w:r>
      <w:r>
        <w:rPr>
          <w:rFonts w:ascii="Arial" w:cs="Arial" w:eastAsia="Arial" w:hAnsi="Arial"/>
          <w:sz w:val="16"/>
          <w:szCs w:val="16"/>
          <w:b w:val="1"/>
          <w:bCs w:val="1"/>
          <w:color w:val="auto"/>
        </w:rPr>
        <w:t xml:space="preserve"> </w:t>
      </w:r>
      <w:r>
        <w:rPr>
          <w:rFonts w:ascii="Arial" w:cs="Arial" w:eastAsia="Arial" w:hAnsi="Arial"/>
          <w:sz w:val="16"/>
          <w:szCs w:val="16"/>
          <w:color w:val="auto"/>
        </w:rPr>
        <w:t>above) at the time of such registration an opinion of counsel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Grantor to the effect that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terms of this Aircraft Security Agreement are legal, valid, binding and enforceable in such jurisdiction (subject to exceptions customary in such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bankruptcy, insolvency, reorganization, moratorium or similar laws affecting the rights of creditors generally, and to general principles of equity, any applicable laws limiting the remedies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do not in the opinion of such counsel make the remedies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inadequate for the practical realization of the rights and benefits provided thereby), (</w:t>
      </w:r>
      <w:r>
        <w:rPr>
          <w:rFonts w:ascii="Arial" w:cs="Arial" w:eastAsia="Arial" w:hAnsi="Arial"/>
          <w:sz w:val="16"/>
          <w:szCs w:val="16"/>
          <w:u w:val="single" w:color="auto"/>
          <w:color w:val="auto"/>
        </w:rPr>
        <w:t>B</w:t>
      </w:r>
      <w:r>
        <w:rPr>
          <w:rFonts w:ascii="Arial" w:cs="Arial" w:eastAsia="Arial" w:hAnsi="Arial"/>
          <w:sz w:val="16"/>
          <w:szCs w:val="16"/>
          <w:color w:val="auto"/>
        </w:rPr>
        <w:t>) that it is not necessary for the Trustee to register or qualify to do business in such jurisdiction, (</w:t>
      </w:r>
      <w:r>
        <w:rPr>
          <w:rFonts w:ascii="Arial" w:cs="Arial" w:eastAsia="Arial" w:hAnsi="Arial"/>
          <w:sz w:val="16"/>
          <w:szCs w:val="16"/>
          <w:u w:val="single" w:color="auto"/>
          <w:color w:val="auto"/>
        </w:rPr>
        <w:t>C</w:t>
      </w:r>
      <w:r>
        <w:rPr>
          <w:rFonts w:ascii="Arial" w:cs="Arial" w:eastAsia="Arial" w:hAnsi="Arial"/>
          <w:sz w:val="16"/>
          <w:szCs w:val="16"/>
          <w:color w:val="auto"/>
        </w:rPr>
        <w:t>) that there is no tort liability of the lender of an aircraft not in possession thereof under the laws of such jurisdiction other than tort liability that might have been imposed on such lender under the laws of the United States or any state thereof (it being understood that such opinion shall be waived if insurance reasonably satisfactory to the Trustee is provided, at the Grantor’s expense, to cover such risk)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(unless the Grantor shall have agreed to provide insurance covering the risk of requisition of use or title of such Aircraft by the government of such jurisdiction so long as such Aircraft is registered under the laws of such jurisdiction) that the laws of such jurisdiction require fair compensation by the government of such jurisdiction payable in currency freely convertible into Dollars for the loss of use or title of such Aircraft in the event of requisition by such government of such use or title. The Trustee will cooperate with the Grantor in effecting such foreign registration. Notwithstanding the foregoing, prior to any such change in the country of registry of such Aircraft, the following conditions shall be met (or waived as provided in </w:t>
      </w:r>
      <w:r>
        <w:rPr>
          <w:rFonts w:ascii="Arial" w:cs="Arial" w:eastAsia="Arial" w:hAnsi="Arial"/>
          <w:sz w:val="16"/>
          <w:szCs w:val="16"/>
          <w:u w:val="single" w:color="auto"/>
          <w:color w:val="auto"/>
        </w:rPr>
        <w:t>Section 8.15</w:t>
      </w:r>
      <w:r>
        <w:rPr>
          <w:rFonts w:ascii="Arial" w:cs="Arial" w:eastAsia="Arial" w:hAnsi="Arial"/>
          <w:sz w:val="16"/>
          <w:szCs w:val="16"/>
          <w:color w:val="auto"/>
        </w:rPr>
        <w:t>):</w:t>
      </w:r>
    </w:p>
    <w:p>
      <w:pPr>
        <w:spacing w:after="0" w:line="60" w:lineRule="exact"/>
        <w:rPr>
          <w:sz w:val="20"/>
          <w:szCs w:val="20"/>
          <w:color w:val="auto"/>
        </w:rPr>
      </w:pPr>
    </w:p>
    <w:p>
      <w:pPr>
        <w:ind w:left="460" w:right="140" w:firstLine="443"/>
        <w:spacing w:after="0" w:line="264" w:lineRule="auto"/>
        <w:tabs>
          <w:tab w:leader="none" w:pos="1113"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no Event of Default shall have occurred and be continuing at the effective date of the change in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that it shall not be necessary to comply with this condition if the change in registration results in the registration of such Aircraft under the laws of the United States or if the Trustee consents to such change in registration;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H-20</w:t>
      </w:r>
    </w:p>
    <w:p>
      <w:pPr>
        <w:sectPr>
          <w:pgSz w:w="11900" w:h="16838" w:orient="portrait"/>
          <w:cols w:equalWidth="0" w:num="1">
            <w:col w:w="11420"/>
          </w:cols>
          <w:pgMar w:left="240" w:top="273" w:right="239" w:bottom="1440" w:gutter="0" w:footer="0" w:header="0"/>
        </w:sectPr>
      </w:pPr>
    </w:p>
    <w:bookmarkStart w:id="404" w:name="page405"/>
    <w:bookmarkEnd w:id="404"/>
    <w:p>
      <w:pPr>
        <w:ind w:left="460" w:right="40" w:firstLine="443"/>
        <w:spacing w:after="0" w:line="308" w:lineRule="auto"/>
        <w:tabs>
          <w:tab w:leader="none" w:pos="1163" w:val="left"/>
        </w:tabs>
        <w:numPr>
          <w:ilvl w:val="0"/>
          <w:numId w:val="4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Trustee shall have received evidence of compliance with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with respect to such Aircraft (which may be an Officer’s Certificate to the effect that the Grantor has determined that the insurance maintained with respect to such Aircraft so complies); and</w:t>
      </w:r>
    </w:p>
    <w:p>
      <w:pPr>
        <w:spacing w:after="0" w:line="38" w:lineRule="exact"/>
        <w:rPr>
          <w:rFonts w:ascii="Arial" w:cs="Arial" w:eastAsia="Arial" w:hAnsi="Arial"/>
          <w:sz w:val="17"/>
          <w:szCs w:val="17"/>
          <w:color w:val="auto"/>
        </w:rPr>
      </w:pPr>
    </w:p>
    <w:p>
      <w:pPr>
        <w:ind w:left="460" w:right="280" w:firstLine="443"/>
        <w:spacing w:after="0" w:line="277" w:lineRule="auto"/>
        <w:tabs>
          <w:tab w:leader="none" w:pos="1213"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Grantor shall have paid or made provision reasonably satisfactory to the Trustee for the payment of all reasonable expenses (including reasonable attorneys’ fees) of the Trustee in connection with such change in registration.</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Grantor shall (</w:t>
      </w:r>
      <w:r>
        <w:rPr>
          <w:rFonts w:ascii="Arial" w:cs="Arial" w:eastAsia="Arial" w:hAnsi="Arial"/>
          <w:sz w:val="17"/>
          <w:szCs w:val="17"/>
          <w:u w:val="single" w:color="auto"/>
          <w:color w:val="auto"/>
        </w:rPr>
        <w:t>i</w:t>
      </w:r>
      <w:r>
        <w:rPr>
          <w:rFonts w:ascii="Arial" w:cs="Arial" w:eastAsia="Arial" w:hAnsi="Arial"/>
          <w:sz w:val="17"/>
          <w:szCs w:val="17"/>
          <w:color w:val="auto"/>
        </w:rPr>
        <w:t>) take such actions as may be required to be taken by the Grantor so that any International Interest arising in relation to this Aircraft Security Agreement, such Aircraft, any Replacement Aircraft therefor, any such Engine or any Replacement Engine therefor may be duly registered (and any such registration may be assigned, amended, extended or discharged) at the International Registry, and (</w:t>
      </w:r>
      <w:r>
        <w:rPr>
          <w:rFonts w:ascii="Arial" w:cs="Arial" w:eastAsia="Arial" w:hAnsi="Arial"/>
          <w:sz w:val="17"/>
          <w:szCs w:val="17"/>
          <w:u w:val="single" w:color="auto"/>
          <w:color w:val="auto"/>
        </w:rPr>
        <w:t>ii</w:t>
      </w:r>
      <w:r>
        <w:rPr>
          <w:rFonts w:ascii="Arial" w:cs="Arial" w:eastAsia="Arial" w:hAnsi="Arial"/>
          <w:sz w:val="17"/>
          <w:szCs w:val="17"/>
          <w:color w:val="auto"/>
        </w:rPr>
        <w:t>) obtain from the International Registry all approvals as may be required duly and timely to perform the Grantor’s obligations under this Aircraft Security Agreement with respect to the registration of any such International Interest. The Trustee shall take all actions necessary with respect to the International Registry to consent to the Grantor’s initiation of any registrations required under this Aircraft Security Agreement to enable the Grantor to complete such registrations, including, without limitation, registering on the International Registry as a “transacting user entity” (as defined in the Cape Town Treaty), if not already so registered, and appointing Daugherty, Fowler, Peregrin, Haught &amp; Jenson, a Professional Corporation, as its “professional user entity” (as defined in the Cape Town Treaty) to consent to any registrations on the International Registry with respect to such Airframe or any such Engine.</w:t>
      </w:r>
    </w:p>
    <w:p>
      <w:pPr>
        <w:spacing w:after="0" w:line="18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At all reasonable times, but upon at least 15 Business Days’ prior written notice to the Grantor, the Trustee or its authorized representative may, subject to the other conditions of this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inspect such Aircraft and may inspect the books and records of the Grantor required to be maintained by the FAA or the government of another jurisdiction in which such Aircraft is then registered relating to the maintenance of such Aircraft;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i</w:t>
      </w:r>
      <w:r>
        <w:rPr>
          <w:rFonts w:ascii="Arial" w:cs="Arial" w:eastAsia="Arial" w:hAnsi="Arial"/>
          <w:sz w:val="16"/>
          <w:szCs w:val="16"/>
          <w:color w:val="auto"/>
        </w:rPr>
        <w:t>) the Trustee or its representative shall be fully insured at no cost to the Grantor in a manner satisfactory to the Grantor with respect to any risks incurred in connection with any such inspection or shall provide to the Grantor a written release satisfactory to the Grantor with respect to such risks, (</w:t>
      </w:r>
      <w:r>
        <w:rPr>
          <w:rFonts w:ascii="Arial" w:cs="Arial" w:eastAsia="Arial" w:hAnsi="Arial"/>
          <w:sz w:val="16"/>
          <w:szCs w:val="16"/>
          <w:u w:val="single" w:color="auto"/>
          <w:color w:val="auto"/>
        </w:rPr>
        <w:t>ii</w:t>
      </w:r>
      <w:r>
        <w:rPr>
          <w:rFonts w:ascii="Arial" w:cs="Arial" w:eastAsia="Arial" w:hAnsi="Arial"/>
          <w:sz w:val="16"/>
          <w:szCs w:val="16"/>
          <w:color w:val="auto"/>
        </w:rPr>
        <w:t>) any such inspection shall be subject to the safety, security and workplace rules applicable at the location where such inspection is conducted and any applicable governmental rules or regulations, (</w:t>
      </w:r>
      <w:r>
        <w:rPr>
          <w:rFonts w:ascii="Arial" w:cs="Arial" w:eastAsia="Arial" w:hAnsi="Arial"/>
          <w:sz w:val="16"/>
          <w:szCs w:val="16"/>
          <w:u w:val="single" w:color="auto"/>
          <w:color w:val="auto"/>
        </w:rPr>
        <w:t>iii</w:t>
      </w:r>
      <w:r>
        <w:rPr>
          <w:rFonts w:ascii="Arial" w:cs="Arial" w:eastAsia="Arial" w:hAnsi="Arial"/>
          <w:sz w:val="16"/>
          <w:szCs w:val="16"/>
          <w:color w:val="auto"/>
        </w:rPr>
        <w:t>) any such inspection of such Aircraft shall be a visual, walk-around inspection of the interior and exterior of such Aircraft and shall not include opening any panels, bays or the like without the Grantor’s express consent, which consent the Grantor may in its sole discretion withhold, and (</w:t>
      </w:r>
      <w:r>
        <w:rPr>
          <w:rFonts w:ascii="Arial" w:cs="Arial" w:eastAsia="Arial" w:hAnsi="Arial"/>
          <w:sz w:val="16"/>
          <w:szCs w:val="16"/>
          <w:u w:val="single" w:color="auto"/>
          <w:color w:val="auto"/>
        </w:rPr>
        <w:t>iv</w:t>
      </w:r>
      <w:r>
        <w:rPr>
          <w:rFonts w:ascii="Arial" w:cs="Arial" w:eastAsia="Arial" w:hAnsi="Arial"/>
          <w:sz w:val="16"/>
          <w:szCs w:val="16"/>
          <w:color w:val="auto"/>
        </w:rPr>
        <w:t>) no exercise of such inspection right shall interfere with the use, operation or maintenance of such Aircraft by, or the business of,</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H-21</w:t>
      </w:r>
    </w:p>
    <w:p>
      <w:pPr>
        <w:sectPr>
          <w:pgSz w:w="11900" w:h="16838" w:orient="portrait"/>
          <w:cols w:equalWidth="0" w:num="1">
            <w:col w:w="11420"/>
          </w:cols>
          <w:pgMar w:left="240" w:top="274" w:right="239" w:bottom="1440" w:gutter="0" w:footer="0" w:header="0"/>
        </w:sectPr>
      </w:pPr>
    </w:p>
    <w:bookmarkStart w:id="405" w:name="page406"/>
    <w:bookmarkEnd w:id="405"/>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Grantor and the Grantor shall not be required to undertake or incur any additional liabilities in connection therewith. All information obtained in connection with any such inspection of such Aircraft and of such books and records shall be held confidential by the Trustee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 Any inspection pursuant to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shall be at the sole risk (including, without limitation, any risk of personal injury or death) and expense of the Trustee (or its representative), as the case may be, making such inspection. Except during the continuance of an Event of Default, all inspections by the Trustee and its representatives provided for under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shall be limited to one inspection of any kind contemplated by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for all such Aircraft during any calendar year.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Replacement and Pooling of Parts; Alterations, Modifications and Additions; Substitution of Engines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86" w:lineRule="auto"/>
        <w:tabs>
          <w:tab w:leader="none" w:pos="701"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Replacement of Parts</w:t>
      </w:r>
      <w:r>
        <w:rPr>
          <w:rFonts w:ascii="Arial" w:cs="Arial" w:eastAsia="Arial" w:hAnsi="Arial"/>
          <w:sz w:val="16"/>
          <w:szCs w:val="16"/>
          <w:color w:val="auto"/>
        </w:rPr>
        <w:t xml:space="preserve">. The Grantor, at its own expense, shall promptly replace all Parts that may from time to time be incorporated or installed in or attached to such Airframe or any such Engine and that may from time to time become worn out, lost, stolen, destroyed, seized, confiscated, damaged beyond repair or rendered permanently unfit for use for any reason whatsoever, except as otherwise provided in </w:t>
      </w:r>
      <w:r>
        <w:rPr>
          <w:rFonts w:ascii="Arial" w:cs="Arial" w:eastAsia="Arial" w:hAnsi="Arial"/>
          <w:sz w:val="16"/>
          <w:szCs w:val="16"/>
          <w:u w:val="single" w:color="auto"/>
          <w:color w:val="auto"/>
        </w:rPr>
        <w:t>Section 6.03(c)</w:t>
      </w:r>
      <w:r>
        <w:rPr>
          <w:rFonts w:ascii="Arial" w:cs="Arial" w:eastAsia="Arial" w:hAnsi="Arial"/>
          <w:sz w:val="16"/>
          <w:szCs w:val="16"/>
          <w:color w:val="auto"/>
        </w:rPr>
        <w:t xml:space="preserve"> or if such Airframe or any such Engine to which a Part relates has suffered an Event of Loss. In addition, the Grantor, at its own expense, may remove in the ordinary course of maintenance, service, repair, overhaul or testing, any Parts, whether or not worn out, lost, stolen, destroyed, seized, confiscated, damaged beyond repair or rendered permanently unfit for use;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Grantor, except as otherwise provided in </w:t>
      </w:r>
      <w:r>
        <w:rPr>
          <w:rFonts w:ascii="Arial" w:cs="Arial" w:eastAsia="Arial" w:hAnsi="Arial"/>
          <w:sz w:val="16"/>
          <w:szCs w:val="16"/>
          <w:u w:val="single" w:color="auto"/>
          <w:color w:val="auto"/>
        </w:rPr>
        <w:t>Section 6.03(c)</w:t>
      </w:r>
      <w:r>
        <w:rPr>
          <w:rFonts w:ascii="Arial" w:cs="Arial" w:eastAsia="Arial" w:hAnsi="Arial"/>
          <w:sz w:val="16"/>
          <w:szCs w:val="16"/>
          <w:color w:val="auto"/>
        </w:rPr>
        <w:t xml:space="preserve">, at its own expense, will replace such Parts as promptly as practicable. All replacement Parts shall be free and clear of all Liens (except for Permitted Liens and except in the case of replacement property temporarily installed on an emergency basis) and shall have a value and utility at least equal to the Parts replaced, assuming such replaced Parts were in the condition and repair required to be maintained by the terms hereof. Except as otherwise provided in </w:t>
      </w:r>
      <w:r>
        <w:rPr>
          <w:rFonts w:ascii="Arial" w:cs="Arial" w:eastAsia="Arial" w:hAnsi="Arial"/>
          <w:sz w:val="16"/>
          <w:szCs w:val="16"/>
          <w:u w:val="single" w:color="auto"/>
          <w:color w:val="auto"/>
        </w:rPr>
        <w:t>Section 6.03(c)</w:t>
      </w:r>
      <w:r>
        <w:rPr>
          <w:rFonts w:ascii="Arial" w:cs="Arial" w:eastAsia="Arial" w:hAnsi="Arial"/>
          <w:sz w:val="16"/>
          <w:szCs w:val="16"/>
          <w:color w:val="auto"/>
        </w:rPr>
        <w:t>, all Parts at any time removed from such Airframe or any such Engine shall remain subject to the Lien of this Aircraft Security Agreement no matter where located until such time as such Parts shall be replaced by parts that have been incorporated or installed in or attached to such Airframe or such Engine and that meet the requirements for replacement Parts specified above. Immediately upon any replacement Part becoming incorporated or installed in or attached to such Airframe or any such Engine as above provided (except in the case of replacement property temporarily installed on an emergency basis), without further act, (</w:t>
      </w:r>
      <w:r>
        <w:rPr>
          <w:rFonts w:ascii="Arial" w:cs="Arial" w:eastAsia="Arial" w:hAnsi="Arial"/>
          <w:sz w:val="16"/>
          <w:szCs w:val="16"/>
          <w:u w:val="single" w:color="auto"/>
          <w:color w:val="auto"/>
        </w:rPr>
        <w:t>i</w:t>
      </w:r>
      <w:r>
        <w:rPr>
          <w:rFonts w:ascii="Arial" w:cs="Arial" w:eastAsia="Arial" w:hAnsi="Arial"/>
          <w:sz w:val="16"/>
          <w:szCs w:val="16"/>
          <w:color w:val="auto"/>
        </w:rPr>
        <w:t>) the replaced Part shall thereupon be free and clear of the Lien of this Aircraft Security Agreement and of all rights and interests of the Trustee (and the other beneficiaries hereof) and shall no longer be deemed a Part hereunder and (</w:t>
      </w:r>
      <w:r>
        <w:rPr>
          <w:rFonts w:ascii="Arial" w:cs="Arial" w:eastAsia="Arial" w:hAnsi="Arial"/>
          <w:sz w:val="16"/>
          <w:szCs w:val="16"/>
          <w:u w:val="single" w:color="auto"/>
          <w:color w:val="auto"/>
        </w:rPr>
        <w:t>ii</w:t>
      </w:r>
      <w:r>
        <w:rPr>
          <w:rFonts w:ascii="Arial" w:cs="Arial" w:eastAsia="Arial" w:hAnsi="Arial"/>
          <w:sz w:val="16"/>
          <w:szCs w:val="16"/>
          <w:color w:val="auto"/>
        </w:rPr>
        <w:t>) such replacement Part shall become subject to</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H-22</w:t>
      </w:r>
    </w:p>
    <w:p>
      <w:pPr>
        <w:sectPr>
          <w:pgSz w:w="11900" w:h="16838" w:orient="portrait"/>
          <w:cols w:equalWidth="0" w:num="1">
            <w:col w:w="11420"/>
          </w:cols>
          <w:pgMar w:left="240" w:top="274" w:right="239" w:bottom="1440" w:gutter="0" w:footer="0" w:header="0"/>
        </w:sectPr>
      </w:pPr>
    </w:p>
    <w:bookmarkStart w:id="406" w:name="page407"/>
    <w:bookmarkEnd w:id="406"/>
    <w:p>
      <w:pPr>
        <w:jc w:val="both"/>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Lien of this Aircraft Security Agreement and be deemed a Part of such Airframe or such Engine for all purposes to the same extent as the Parts originally incorporated or installed in or attached to such Airframe or such Engine. Upon request of the Grantor from time to time, the Trustee shall execute and deliver to the Grantor an appropriate instrument confirming the release of any such replaced Part from the Lien of this Aircraft Security Agreement.</w:t>
      </w:r>
    </w:p>
    <w:p>
      <w:pPr>
        <w:spacing w:after="0" w:line="147" w:lineRule="exact"/>
        <w:rPr>
          <w:sz w:val="20"/>
          <w:szCs w:val="20"/>
          <w:color w:val="auto"/>
        </w:rPr>
      </w:pPr>
    </w:p>
    <w:p>
      <w:pPr>
        <w:ind w:right="220" w:firstLine="464"/>
        <w:spacing w:after="0" w:line="271" w:lineRule="auto"/>
        <w:tabs>
          <w:tab w:leader="none" w:pos="711" w:val="left"/>
        </w:tabs>
        <w:numPr>
          <w:ilvl w:val="0"/>
          <w:numId w:val="452"/>
        </w:numPr>
        <w:rPr>
          <w:rFonts w:ascii="Arial" w:cs="Arial" w:eastAsia="Arial" w:hAnsi="Arial"/>
          <w:sz w:val="17"/>
          <w:szCs w:val="17"/>
          <w:color w:val="auto"/>
        </w:rPr>
      </w:pPr>
      <w:r>
        <w:rPr>
          <w:rFonts w:ascii="Arial" w:cs="Arial" w:eastAsia="Arial" w:hAnsi="Arial"/>
          <w:sz w:val="17"/>
          <w:szCs w:val="17"/>
          <w:u w:val="single" w:color="auto"/>
          <w:color w:val="auto"/>
        </w:rPr>
        <w:t>Pooling of Parts</w:t>
      </w:r>
      <w:r>
        <w:rPr>
          <w:rFonts w:ascii="Arial" w:cs="Arial" w:eastAsia="Arial" w:hAnsi="Arial"/>
          <w:sz w:val="17"/>
          <w:szCs w:val="17"/>
          <w:color w:val="auto"/>
        </w:rPr>
        <w:t xml:space="preserve">. Any Part removed from such Airframe or any such Engine as provided in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may be subjected by the Grantor or a Person permitted to be in possession of such Aircraft to a pooling arrangement customary in the airline industry entered into in the ordinary course of the Grantor’s or such Person’s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 replacing such removed Part shall be incorporated or installed in or attached to such Airframe or such Engine in accordance with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as promptly as practicable after the removal of such removed Part. In addition, any replacement Part when incorporated or installed in or attached to such Airframe or any such Engine may be owned by any third party subject to such a pooling arrangement;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Grantor, at its expense, as promptly thereafter as practicable, either (</w:t>
      </w:r>
      <w:r>
        <w:rPr>
          <w:rFonts w:ascii="Arial" w:cs="Arial" w:eastAsia="Arial" w:hAnsi="Arial"/>
          <w:sz w:val="17"/>
          <w:szCs w:val="17"/>
          <w:u w:val="single" w:color="auto"/>
          <w:color w:val="auto"/>
        </w:rPr>
        <w:t>i</w:t>
      </w:r>
      <w:r>
        <w:rPr>
          <w:rFonts w:ascii="Arial" w:cs="Arial" w:eastAsia="Arial" w:hAnsi="Arial"/>
          <w:sz w:val="17"/>
          <w:szCs w:val="17"/>
          <w:color w:val="auto"/>
        </w:rPr>
        <w:t>) causes title to such replacement Part to vest in the Grantor free and clear of all Liens (except Permitted Liens),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replaces such replacement Part by incorporating or installing in or attaching to such Airframe or such Engine a further replacement Part in the manner contemplated by </w:t>
      </w:r>
      <w:r>
        <w:rPr>
          <w:rFonts w:ascii="Arial" w:cs="Arial" w:eastAsia="Arial" w:hAnsi="Arial"/>
          <w:sz w:val="17"/>
          <w:szCs w:val="17"/>
          <w:u w:val="single" w:color="auto"/>
          <w:color w:val="auto"/>
        </w:rPr>
        <w:t>Section 6.03(a)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60" w:firstLine="464"/>
        <w:spacing w:after="0" w:line="287" w:lineRule="auto"/>
        <w:tabs>
          <w:tab w:leader="none" w:pos="701" w:val="left"/>
        </w:tabs>
        <w:numPr>
          <w:ilvl w:val="0"/>
          <w:numId w:val="452"/>
        </w:numPr>
        <w:rPr>
          <w:rFonts w:ascii="Arial" w:cs="Arial" w:eastAsia="Arial" w:hAnsi="Arial"/>
          <w:sz w:val="16"/>
          <w:szCs w:val="16"/>
          <w:color w:val="auto"/>
        </w:rPr>
      </w:pPr>
      <w:r>
        <w:rPr>
          <w:rFonts w:ascii="Arial" w:cs="Arial" w:eastAsia="Arial" w:hAnsi="Arial"/>
          <w:sz w:val="16"/>
          <w:szCs w:val="16"/>
          <w:u w:val="single" w:color="auto"/>
          <w:color w:val="auto"/>
        </w:rPr>
        <w:t>Alterations, Modifications and Additions</w:t>
      </w:r>
      <w:r>
        <w:rPr>
          <w:rFonts w:ascii="Arial" w:cs="Arial" w:eastAsia="Arial" w:hAnsi="Arial"/>
          <w:sz w:val="16"/>
          <w:szCs w:val="16"/>
          <w:color w:val="auto"/>
        </w:rPr>
        <w:t xml:space="preserve">. The Grantor will make (or cause to be made) such alterations and modifications in and additions to such Airframe and each such Engine as may be required from time to time to meet the applicable requirements of the FAA or any applicable government of any other jurisdiction in which such Aircraft may then be registered;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Grantor may, in good faith, contest the validity or application of any such requirement in any manner that does not involve any material risk of sale, loss or forfeiture of such Aircraft and does not adversely affect the Trustee’s interest in the Aircraft Collateral. In addition, the Grantor (or any Permitted Lessee), at its own expense, may from time to time add further parts or accessories and make or cause to be made such alterations and modifications in and additions to such Airframe or any such Engine as the Grantor may deem desirable in the proper conduct of its business, including, without limitation, removal (without replacement) of Parts,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alteration, modification or addition shall materially diminish the value or utility of such Airframe or such Engine below its value or utility, immediately prior to such alteration, modification or addition, assuming that such Airframe or such Engine was then in the condition required to be maintained by the terms of this Aircraft Security Agreement, except that the value (but not the utility) of such Airframe or such Engine may be reduced by the value of any such Parts that shall have been removed that the Grantor deems obsolete or no longer suitable or appropriate for use on such Airframe or such Engine. All Parts incorporated or installed in or attached or added to such Airframe or any such Engine as the result of such alteration,</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H-23</w:t>
      </w:r>
    </w:p>
    <w:p>
      <w:pPr>
        <w:sectPr>
          <w:pgSz w:w="11900" w:h="16838" w:orient="portrait"/>
          <w:cols w:equalWidth="0" w:num="1">
            <w:col w:w="11420"/>
          </w:cols>
          <w:pgMar w:left="240" w:top="274" w:right="239" w:bottom="1440" w:gutter="0" w:footer="0" w:header="0"/>
        </w:sectPr>
      </w:pPr>
    </w:p>
    <w:bookmarkStart w:id="407" w:name="page408"/>
    <w:bookmarkEnd w:id="40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or addition shall be free and clear of any Liens, other than Permitted Liens, and shall, without further act, be subject to the Lien of this Aircraft Security Agreement. Notwithstanding the foregoing, the Grantor (or any Permitted Lessee) may, at any time, remove any Part from such Airframe or any such Engine if such Part: (</w:t>
      </w:r>
      <w:r>
        <w:rPr>
          <w:rFonts w:ascii="Arial" w:cs="Arial" w:eastAsia="Arial" w:hAnsi="Arial"/>
          <w:sz w:val="17"/>
          <w:szCs w:val="17"/>
          <w:u w:val="single" w:color="auto"/>
          <w:color w:val="auto"/>
        </w:rPr>
        <w:t>i</w:t>
      </w:r>
      <w:r>
        <w:rPr>
          <w:rFonts w:ascii="Arial" w:cs="Arial" w:eastAsia="Arial" w:hAnsi="Arial"/>
          <w:sz w:val="17"/>
          <w:szCs w:val="17"/>
          <w:color w:val="auto"/>
        </w:rPr>
        <w:t>) is in addition to, and not in replacement of or substitution for, any Part originally incorporated or installed in or attached to such Airframe or such Engine at the time of delivery thereof to the Grantor or any Part in replacement of, or substitution for, any such Part,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is not required to be incorporated or installed in or attached or added to such Airframe or such Engine pursuant to the first sentence of this </w:t>
      </w:r>
      <w:r>
        <w:rPr>
          <w:rFonts w:ascii="Arial" w:cs="Arial" w:eastAsia="Arial" w:hAnsi="Arial"/>
          <w:sz w:val="17"/>
          <w:szCs w:val="17"/>
          <w:u w:val="single" w:color="auto"/>
          <w:color w:val="auto"/>
        </w:rPr>
        <w:t>Section 6.03(c)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can be removed from such Airframe or such Engine without materially diminishing the value or utility required to be maintained by the terms of this Aircraft Security Agreement that such Airframe or such Engine would have had had such Part never been installed on such Airframe or such Engine. Upon the removal by the Grantor of any Part as permitted by this </w:t>
      </w:r>
      <w:r>
        <w:rPr>
          <w:rFonts w:ascii="Arial" w:cs="Arial" w:eastAsia="Arial" w:hAnsi="Arial"/>
          <w:sz w:val="17"/>
          <w:szCs w:val="17"/>
          <w:u w:val="single" w:color="auto"/>
          <w:color w:val="auto"/>
        </w:rPr>
        <w:t>Section 6.03(c)</w:t>
      </w:r>
      <w:r>
        <w:rPr>
          <w:rFonts w:ascii="Arial" w:cs="Arial" w:eastAsia="Arial" w:hAnsi="Arial"/>
          <w:sz w:val="17"/>
          <w:szCs w:val="17"/>
          <w:color w:val="auto"/>
        </w:rPr>
        <w:t>, such removed Part shall, without further act, be free and clear of the Lien of this Aircraft Security Agreement and of all rights and interests of the Trustee (and the other beneficiaries hereof) and shall no longer be deemed a Part hereunder. Upon request of the Grantor from time to time, the Trustee shall execute and deliver to the Grantor an appropriate instrument confirming the release of any such removed Part from the Lien of this Aircraft Security Agreement.</w:t>
      </w:r>
    </w:p>
    <w:p>
      <w:pPr>
        <w:spacing w:after="0" w:line="183" w:lineRule="exact"/>
        <w:rPr>
          <w:sz w:val="20"/>
          <w:szCs w:val="20"/>
          <w:color w:val="auto"/>
        </w:rPr>
      </w:pPr>
    </w:p>
    <w:p>
      <w:pPr>
        <w:jc w:val="both"/>
        <w:ind w:right="700" w:firstLine="464"/>
        <w:spacing w:after="0" w:line="312" w:lineRule="auto"/>
        <w:tabs>
          <w:tab w:leader="none" w:pos="711" w:val="left"/>
        </w:tabs>
        <w:numPr>
          <w:ilvl w:val="0"/>
          <w:numId w:val="453"/>
        </w:numPr>
        <w:rPr>
          <w:rFonts w:ascii="Arial" w:cs="Arial" w:eastAsia="Arial" w:hAnsi="Arial"/>
          <w:sz w:val="16"/>
          <w:szCs w:val="16"/>
          <w:color w:val="auto"/>
        </w:rPr>
      </w:pPr>
      <w:r>
        <w:rPr>
          <w:rFonts w:ascii="Arial" w:cs="Arial" w:eastAsia="Arial" w:hAnsi="Arial"/>
          <w:sz w:val="16"/>
          <w:szCs w:val="16"/>
          <w:u w:val="single" w:color="auto"/>
          <w:color w:val="auto"/>
        </w:rPr>
        <w:t>Substitution of Engines</w:t>
      </w:r>
      <w:r>
        <w:rPr>
          <w:rFonts w:ascii="Arial" w:cs="Arial" w:eastAsia="Arial" w:hAnsi="Arial"/>
          <w:sz w:val="16"/>
          <w:szCs w:val="16"/>
          <w:color w:val="auto"/>
        </w:rPr>
        <w:t xml:space="preserve">. The Grantor shall have the right at its option at any time, on at least 30 days’ prior written notice to the Trustee, to substitute a Replacement Engine for any such Engine. In such event, and prior to the date of such substitution, the Grantor shall replace such Engine hereunder by complying with the terms of </w:t>
      </w:r>
      <w:r>
        <w:rPr>
          <w:rFonts w:ascii="Arial" w:cs="Arial" w:eastAsia="Arial" w:hAnsi="Arial"/>
          <w:sz w:val="16"/>
          <w:szCs w:val="16"/>
          <w:u w:val="single" w:color="auto"/>
          <w:color w:val="auto"/>
        </w:rPr>
        <w:t>Section 6.04(b)</w:t>
      </w:r>
      <w:r>
        <w:rPr>
          <w:rFonts w:ascii="Arial" w:cs="Arial" w:eastAsia="Arial" w:hAnsi="Arial"/>
          <w:sz w:val="16"/>
          <w:szCs w:val="16"/>
          <w:color w:val="auto"/>
        </w:rPr>
        <w:t xml:space="preserve"> to the same extent as if an Event of Loss had occurred with respect to such Engine.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Loss, Destruction or Requisition</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1" w:lineRule="auto"/>
        <w:tabs>
          <w:tab w:leader="none" w:pos="701"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Event of Loss with Respect to Such Airframe</w:t>
      </w:r>
      <w:r>
        <w:rPr>
          <w:rFonts w:ascii="Arial" w:cs="Arial" w:eastAsia="Arial" w:hAnsi="Arial"/>
          <w:sz w:val="17"/>
          <w:szCs w:val="17"/>
          <w:color w:val="auto"/>
        </w:rPr>
        <w:t>. Upon the occurrence of an Event of Loss with respect to such Airframe or such Airframe and any such Engine then installed thereon, the Grantor shall as promptly as practicable (and, in any event, within 15 days after such occurrence) give the Trustee written notice of such Event of Loss, and, within 90 days after such Event of Loss, the Grantor may give the Trustee written notice (an “</w:t>
      </w:r>
      <w:r>
        <w:rPr>
          <w:rFonts w:ascii="Arial" w:cs="Arial" w:eastAsia="Arial" w:hAnsi="Arial"/>
          <w:sz w:val="17"/>
          <w:szCs w:val="17"/>
          <w:u w:val="single" w:color="auto"/>
          <w:color w:val="auto"/>
        </w:rPr>
        <w:t>Election Notice</w:t>
      </w:r>
      <w:r>
        <w:rPr>
          <w:rFonts w:ascii="Arial" w:cs="Arial" w:eastAsia="Arial" w:hAnsi="Arial"/>
          <w:sz w:val="17"/>
          <w:szCs w:val="17"/>
          <w:color w:val="auto"/>
        </w:rPr>
        <w:t xml:space="preserve">”) of its election to substitute, on or before the applicable Substitution Date (as defined below), as replacement for such Airframe and its related Engines (whether or not such Engines were affected by such Event of Loss), a Replacement Airframe and Replacement Engines, such Replacement Airframe and Replacement Engines to be owned by the Grantor free and clear of all Liens (other than Permitted Liens);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i</w:t>
      </w:r>
      <w:r>
        <w:rPr>
          <w:rFonts w:ascii="Arial" w:cs="Arial" w:eastAsia="Arial" w:hAnsi="Arial"/>
          <w:sz w:val="17"/>
          <w:szCs w:val="17"/>
          <w:color w:val="auto"/>
        </w:rPr>
        <w:t>) the Appraised Value of the Replacement Aircraft (of which such Replacement Airframe and Replacement Engines are part) shall be greater than or equal to the Appraised Value of the Aircraft (of which such Airframe and its related Engines are part); and (</w:t>
      </w:r>
      <w:r>
        <w:rPr>
          <w:rFonts w:ascii="Arial" w:cs="Arial" w:eastAsia="Arial" w:hAnsi="Arial"/>
          <w:sz w:val="17"/>
          <w:szCs w:val="17"/>
          <w:u w:val="single" w:color="auto"/>
          <w:color w:val="auto"/>
        </w:rPr>
        <w:t>ii</w:t>
      </w:r>
      <w:r>
        <w:rPr>
          <w:rFonts w:ascii="Arial" w:cs="Arial" w:eastAsia="Arial" w:hAnsi="Arial"/>
          <w:sz w:val="17"/>
          <w:szCs w:val="17"/>
          <w:color w:val="auto"/>
        </w:rPr>
        <w:t>) the Appraisal used to calculate the Appraised Value of</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H-24</w:t>
      </w:r>
    </w:p>
    <w:p>
      <w:pPr>
        <w:sectPr>
          <w:pgSz w:w="11900" w:h="16838" w:orient="portrait"/>
          <w:cols w:equalWidth="0" w:num="1">
            <w:col w:w="11420"/>
          </w:cols>
          <w:pgMar w:left="240" w:top="273" w:right="239" w:bottom="1440" w:gutter="0" w:footer="0" w:header="0"/>
        </w:sectPr>
      </w:pPr>
    </w:p>
    <w:bookmarkStart w:id="408" w:name="page409"/>
    <w:bookmarkEnd w:id="408"/>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Replacement Aircraft shall have been performed by the applicable appraiser no earlier than 45 days prior to the date of such Election Notice. If the Grantor shall not deliver such Election Notice within the time period for such Election Notice specified in the first sentence of this </w:t>
      </w:r>
      <w:r>
        <w:rPr>
          <w:rFonts w:ascii="Arial" w:cs="Arial" w:eastAsia="Arial" w:hAnsi="Arial"/>
          <w:sz w:val="17"/>
          <w:szCs w:val="17"/>
          <w:u w:val="single" w:color="auto"/>
          <w:color w:val="auto"/>
        </w:rPr>
        <w:t>Section 6.04(a)</w:t>
      </w:r>
      <w:r>
        <w:rPr>
          <w:rFonts w:ascii="Arial" w:cs="Arial" w:eastAsia="Arial" w:hAnsi="Arial"/>
          <w:sz w:val="17"/>
          <w:szCs w:val="17"/>
          <w:color w:val="auto"/>
        </w:rPr>
        <w:t xml:space="preserve"> or shall not perform its obligation to effect such substitution on or prior to such Substitution Date, then at such time such Event of Loss shall constitute a Disposition of Aircraft Collateral that is not a Permitted Disposition for purposes of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of the Credit Agreement.</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Substitution Date</w:t>
      </w:r>
      <w:r>
        <w:rPr>
          <w:rFonts w:ascii="Arial" w:cs="Arial" w:eastAsia="Arial" w:hAnsi="Arial"/>
          <w:sz w:val="18"/>
          <w:szCs w:val="18"/>
          <w:color w:val="auto"/>
        </w:rPr>
        <w:t>,” with respect to an Event of Loss, means the Business Day next succeeding the 120</w:t>
      </w:r>
      <w:r>
        <w:rPr>
          <w:rFonts w:ascii="Arial" w:cs="Arial" w:eastAsia="Arial" w:hAnsi="Arial"/>
          <w:sz w:val="15"/>
          <w:szCs w:val="15"/>
          <w:color w:val="auto"/>
        </w:rPr>
        <w:t>th</w:t>
      </w:r>
      <w:r>
        <w:rPr>
          <w:rFonts w:ascii="Arial" w:cs="Arial" w:eastAsia="Arial" w:hAnsi="Arial"/>
          <w:sz w:val="18"/>
          <w:szCs w:val="18"/>
          <w:color w:val="auto"/>
        </w:rPr>
        <w:t xml:space="preserve"> day following the date of occurrence of such Event of Loss.</w:t>
      </w:r>
    </w:p>
    <w:p>
      <w:pPr>
        <w:spacing w:after="0" w:line="17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If the Grantor elects to substitute a Replacement Airframe (or a Replacement Airframe and one or more Replacement Engines, as the case may be) pursuant to this </w:t>
      </w:r>
      <w:r>
        <w:rPr>
          <w:rFonts w:ascii="Arial" w:cs="Arial" w:eastAsia="Arial" w:hAnsi="Arial"/>
          <w:sz w:val="16"/>
          <w:szCs w:val="16"/>
          <w:u w:val="single" w:color="auto"/>
          <w:color w:val="auto"/>
        </w:rPr>
        <w:t>Section 6.04(a)</w:t>
      </w:r>
      <w:r>
        <w:rPr>
          <w:rFonts w:ascii="Arial" w:cs="Arial" w:eastAsia="Arial" w:hAnsi="Arial"/>
          <w:sz w:val="16"/>
          <w:szCs w:val="16"/>
          <w:color w:val="auto"/>
        </w:rPr>
        <w:t>, the Grantor shall, at its sole expense, not later than the applicable Substitution Date, (</w:t>
      </w:r>
      <w:r>
        <w:rPr>
          <w:rFonts w:ascii="Arial" w:cs="Arial" w:eastAsia="Arial" w:hAnsi="Arial"/>
          <w:sz w:val="16"/>
          <w:szCs w:val="16"/>
          <w:u w:val="single" w:color="auto"/>
          <w:color w:val="auto"/>
        </w:rPr>
        <w:t>A</w:t>
      </w:r>
      <w:r>
        <w:rPr>
          <w:rFonts w:ascii="Arial" w:cs="Arial" w:eastAsia="Arial" w:hAnsi="Arial"/>
          <w:sz w:val="16"/>
          <w:szCs w:val="16"/>
          <w:color w:val="auto"/>
        </w:rPr>
        <w:t>) cause an Aircraft Security Agreement Supplement for such Replacement Airframe and Replacement Engines, if any, to be delivered to the Trustee for execution and, upon such execution, to be filed for recordation pursuant to the Transportation Code or the applicable laws of such other jurisdiction in which the applicable Aircraft may then be registered,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cause the sale of such Replacement Airframe and Replacement Engines, if any, to the Grantor (if occurring after February 28, 2006 and if the seller of such Replacement Airframe and Replacement Engines, if any, is “situated in” a country that has ratified the Cape Town Convention) and the International Interest created pursuant to such Aircraft Security Agreement Supplement in favor of the Trustee with respect to such Replacement Airframe and Replacement Engines, if any, each to be registered on the International Registry as a sale or an International Interest,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seller of such Replacement Airframe and Replacement Engines, if any, is not situated in a country that has ratified the Cape Town Convention, the Grantor will use its reasonable efforts to cause the seller to register the contract of sale on the International Registry, (</w:t>
      </w:r>
      <w:r>
        <w:rPr>
          <w:rFonts w:ascii="Arial" w:cs="Arial" w:eastAsia="Arial" w:hAnsi="Arial"/>
          <w:sz w:val="16"/>
          <w:szCs w:val="16"/>
          <w:u w:val="single" w:color="auto"/>
          <w:color w:val="auto"/>
        </w:rPr>
        <w:t>C</w:t>
      </w:r>
      <w:r>
        <w:rPr>
          <w:rFonts w:ascii="Arial" w:cs="Arial" w:eastAsia="Arial" w:hAnsi="Arial"/>
          <w:sz w:val="16"/>
          <w:szCs w:val="16"/>
          <w:color w:val="auto"/>
        </w:rPr>
        <w:t>) cause a financing statement or statements with respect to such Replacement Airframe and Replacement Engines, if any, or other requisite documents or instruments to be filed in such place or places as necessary in order to perfect the Trustee’s interest therein in the United States, or in any other jurisdiction in which the applicable Aircraft may then be registered,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furnish the Trustee with an opinion of the Grantor’s counsel (which may be the Grantor’s General Counsel or such other internal counsel of the Grantor as shall be reasonably satisfactory to the Trustee) addressed to the Trustee to the effect that upon such replacement, such Replacement Airframe and Replacement Engines, if any, will be subject to the Lien of this Aircraft Security Agreement and addressing the matters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w:t>
      </w:r>
    </w:p>
    <w:p>
      <w:pPr>
        <w:spacing w:after="0" w:line="1" w:lineRule="exact"/>
        <w:rPr>
          <w:sz w:val="20"/>
          <w:szCs w:val="20"/>
          <w:color w:val="auto"/>
        </w:rPr>
      </w:pPr>
    </w:p>
    <w:p>
      <w:pPr>
        <w:ind w:right="160" w:firstLine="8"/>
        <w:spacing w:after="0" w:line="255" w:lineRule="auto"/>
        <w:tabs>
          <w:tab w:leader="none" w:pos="285" w:val="left"/>
        </w:tabs>
        <w:numPr>
          <w:ilvl w:val="0"/>
          <w:numId w:val="455"/>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(C)</w:t>
      </w:r>
      <w:r>
        <w:rPr>
          <w:rFonts w:ascii="Arial" w:cs="Arial" w:eastAsia="Arial" w:hAnsi="Arial"/>
          <w:sz w:val="18"/>
          <w:szCs w:val="18"/>
          <w:color w:val="auto"/>
        </w:rPr>
        <w:t>, (</w:t>
      </w:r>
      <w:r>
        <w:rPr>
          <w:rFonts w:ascii="Arial" w:cs="Arial" w:eastAsia="Arial" w:hAnsi="Arial"/>
          <w:sz w:val="18"/>
          <w:szCs w:val="18"/>
          <w:u w:val="single" w:color="auto"/>
          <w:color w:val="auto"/>
        </w:rPr>
        <w:t>E</w:t>
      </w:r>
      <w:r>
        <w:rPr>
          <w:rFonts w:ascii="Arial" w:cs="Arial" w:eastAsia="Arial" w:hAnsi="Arial"/>
          <w:sz w:val="18"/>
          <w:szCs w:val="18"/>
          <w:color w:val="auto"/>
        </w:rPr>
        <w:t xml:space="preserve">) furnish the Trustee with evidence of compliance with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with respect to such Replacement Airframe and Replacement Engines, if any (which may be an Officer’s Certificate to the effect that the Grantor has determined that the insurance maintained with respect to such Replacement Airframe and Replacement Engines, if any,</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H-25</w:t>
      </w:r>
    </w:p>
    <w:p>
      <w:pPr>
        <w:sectPr>
          <w:pgSz w:w="11900" w:h="16838" w:orient="portrait"/>
          <w:cols w:equalWidth="0" w:num="1">
            <w:col w:w="11420"/>
          </w:cols>
          <w:pgMar w:left="240" w:top="273" w:right="239" w:bottom="1440" w:gutter="0" w:footer="0" w:header="0"/>
        </w:sectPr>
      </w:pPr>
    </w:p>
    <w:bookmarkStart w:id="409" w:name="page410"/>
    <w:bookmarkEnd w:id="409"/>
    <w:p>
      <w:pPr>
        <w:jc w:val="both"/>
        <w:ind w:right="6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complies); and (</w:t>
      </w:r>
      <w:r>
        <w:rPr>
          <w:rFonts w:ascii="Arial" w:cs="Arial" w:eastAsia="Arial" w:hAnsi="Arial"/>
          <w:sz w:val="18"/>
          <w:szCs w:val="18"/>
          <w:u w:val="single" w:color="auto"/>
          <w:color w:val="auto"/>
        </w:rPr>
        <w:t>F</w:t>
      </w:r>
      <w:r>
        <w:rPr>
          <w:rFonts w:ascii="Arial" w:cs="Arial" w:eastAsia="Arial" w:hAnsi="Arial"/>
          <w:sz w:val="18"/>
          <w:szCs w:val="18"/>
          <w:color w:val="auto"/>
        </w:rPr>
        <w:t>) furnish the Trustee with a copy of the original bill(s) of sale or, if the bill(s) of sale are unavailable, other evidence of ownership reasonably satisfactory to the Trustee (which may be a copy of an invoice or purchase order) respecting such Replacement Airframe and Replacement Engines, if any.</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In the case of each Replacement Airframe or Replacement Airframe and one or more Replacement Engines subjected to the Lien of this Aircraft Security Agreement under this </w:t>
      </w:r>
      <w:r>
        <w:rPr>
          <w:rFonts w:ascii="Arial" w:cs="Arial" w:eastAsia="Arial" w:hAnsi="Arial"/>
          <w:sz w:val="17"/>
          <w:szCs w:val="17"/>
          <w:u w:val="single" w:color="auto"/>
          <w:color w:val="auto"/>
        </w:rPr>
        <w:t>Section 6.04(a)</w:t>
      </w:r>
      <w:r>
        <w:rPr>
          <w:rFonts w:ascii="Arial" w:cs="Arial" w:eastAsia="Arial" w:hAnsi="Arial"/>
          <w:sz w:val="17"/>
          <w:szCs w:val="17"/>
          <w:color w:val="auto"/>
        </w:rPr>
        <w:t>, promptly upon the recordation of an Aircraft Security Agreement Supplement covering such Replacement Airframe and Replacement Engines, if any, pursuant to the Transportation Code (or pursuant to the applicable law of such other jurisdiction in which such Replacement Airframe and Replacement Engines, if any, are registered), the Grantor will cause to be delivered to the Trustee a favorable opinion of the Grantor’s counsel (which may be the Grantor’s General Counsel or such other internal counsel to the Grantor as shall be reasonably satisfactory to the Trustee) addressed to the Trustee as to the due registration of such Replacement Aircraft and the due recordation of such Aircraft Security Agreement Supplement or such other requisite documents or instruments, the registration with the International Registry of the sale of such Replacement Airframe and Replacement Engines, if any, to the Grantor (if occurring after February 28, 2006 and if the seller of such Replacement Airframe and Replacement Engines, if any, is “situated in” a country that has ratified the Cape Town Convention) and of the International Interests created pursuant to such Aircraft Security Agreement Supplement with respect to such Replacement Airframe and Replacement Engines, if any, and the validity and perfection of the security interest in the applicable Replacement Aircraft granted to the Trustee under this Aircraft Security Agreement.</w:t>
      </w:r>
    </w:p>
    <w:p>
      <w:pPr>
        <w:spacing w:after="0" w:line="183"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For all purposes hereof, upon the attachment of the Lien of this Aircraft Security Agreement thereto, such Replacement Airframe and Replacement Engine, if any, shall become part of the Aircraft Collateral, such Replacement Airframe shall be deemed an “Airframe” as defined herein, and each such Replacement Engine shall be deemed an “Engine” as defined herein.</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the event that, after an Event of Loss, (</w:t>
      </w:r>
      <w:r>
        <w:rPr>
          <w:rFonts w:ascii="Arial" w:cs="Arial" w:eastAsia="Arial" w:hAnsi="Arial"/>
          <w:sz w:val="17"/>
          <w:szCs w:val="17"/>
          <w:u w:val="single" w:color="auto"/>
          <w:color w:val="auto"/>
        </w:rPr>
        <w:t>x</w:t>
      </w:r>
      <w:r>
        <w:rPr>
          <w:rFonts w:ascii="Arial" w:cs="Arial" w:eastAsia="Arial" w:hAnsi="Arial"/>
          <w:sz w:val="17"/>
          <w:szCs w:val="17"/>
          <w:color w:val="auto"/>
        </w:rPr>
        <w:t xml:space="preserve">) the Grantor complies with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of the Credit Agreement (if such Event of Loss constitutes a Disposition of Aircraft Collateral that is not a Permitted Disposition as provided above) 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if applicable, the Grantor performs the option set forth in the first sentence of this </w:t>
      </w:r>
      <w:r>
        <w:rPr>
          <w:rFonts w:ascii="Arial" w:cs="Arial" w:eastAsia="Arial" w:hAnsi="Arial"/>
          <w:sz w:val="17"/>
          <w:szCs w:val="17"/>
          <w:u w:val="single" w:color="auto"/>
          <w:color w:val="auto"/>
        </w:rPr>
        <w:t>Section 6.04(a)</w:t>
      </w:r>
      <w:r>
        <w:rPr>
          <w:rFonts w:ascii="Arial" w:cs="Arial" w:eastAsia="Arial" w:hAnsi="Arial"/>
          <w:sz w:val="17"/>
          <w:szCs w:val="17"/>
          <w:color w:val="auto"/>
        </w:rPr>
        <w:t xml:space="preserve">, upon compliance with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of the second preceding paragraph, (</w:t>
      </w:r>
      <w:r>
        <w:rPr>
          <w:rFonts w:ascii="Arial" w:cs="Arial" w:eastAsia="Arial" w:hAnsi="Arial"/>
          <w:sz w:val="17"/>
          <w:szCs w:val="17"/>
          <w:u w:val="single" w:color="auto"/>
          <w:color w:val="auto"/>
        </w:rPr>
        <w:t>i</w:t>
      </w:r>
      <w:r>
        <w:rPr>
          <w:rFonts w:ascii="Arial" w:cs="Arial" w:eastAsia="Arial" w:hAnsi="Arial"/>
          <w:sz w:val="17"/>
          <w:szCs w:val="17"/>
          <w:color w:val="auto"/>
        </w:rPr>
        <w:t>) the Aircraft that suffered such Event of Loss, all proceeds, the Warranty Rights in respect of such Aircraft and all rights relating to the foregoing shall be free and clear of the Lien of this Aircraft Security Agreement and of all rights and interests of the Trustee (and the other beneficiaries hereof), (</w:t>
      </w:r>
      <w:r>
        <w:rPr>
          <w:rFonts w:ascii="Arial" w:cs="Arial" w:eastAsia="Arial" w:hAnsi="Arial"/>
          <w:sz w:val="17"/>
          <w:szCs w:val="17"/>
          <w:u w:val="single" w:color="auto"/>
          <w:color w:val="auto"/>
        </w:rPr>
        <w:t>ii</w:t>
      </w:r>
      <w:r>
        <w:rPr>
          <w:rFonts w:ascii="Arial" w:cs="Arial" w:eastAsia="Arial" w:hAnsi="Arial"/>
          <w:sz w:val="17"/>
          <w:szCs w:val="17"/>
          <w:color w:val="auto"/>
        </w:rPr>
        <w:t>) the Trustee shall execute and deliver to the Grantor an appropriate instrument releasing such properties, rights, interests and privileges from the Lien of this Aircraft Security Agreement and assigning to the Grantor all claims against third Persons for damage to or loss of such Aircraft arising from such Event of Loss, and</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H-26</w:t>
      </w:r>
    </w:p>
    <w:p>
      <w:pPr>
        <w:sectPr>
          <w:pgSz w:w="11900" w:h="16838" w:orient="portrait"/>
          <w:cols w:equalWidth="0" w:num="1">
            <w:col w:w="11420"/>
          </w:cols>
          <w:pgMar w:left="240" w:top="274" w:right="239" w:bottom="1440" w:gutter="0" w:footer="0" w:header="0"/>
        </w:sectPr>
      </w:pPr>
    </w:p>
    <w:bookmarkStart w:id="410" w:name="page411"/>
    <w:bookmarkEnd w:id="410"/>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iii</w:t>
      </w:r>
      <w:r>
        <w:rPr>
          <w:rFonts w:ascii="Arial" w:cs="Arial" w:eastAsia="Arial" w:hAnsi="Arial"/>
          <w:sz w:val="18"/>
          <w:szCs w:val="18"/>
          <w:color w:val="auto"/>
        </w:rPr>
        <w:t>) the Trustee will take such actions as may be required to be taken by the Trustee to cancel or release any International Interest of the Trustee registered with the International Registry in relation to such Aircraft with respect to which such Event of Loss occurred.</w:t>
      </w:r>
    </w:p>
    <w:p>
      <w:pPr>
        <w:spacing w:after="0" w:line="170" w:lineRule="exact"/>
        <w:rPr>
          <w:sz w:val="20"/>
          <w:szCs w:val="20"/>
          <w:color w:val="auto"/>
        </w:rPr>
      </w:pPr>
    </w:p>
    <w:p>
      <w:pPr>
        <w:ind w:right="60" w:firstLine="464"/>
        <w:spacing w:after="0" w:line="276" w:lineRule="auto"/>
        <w:tabs>
          <w:tab w:leader="none" w:pos="711" w:val="left"/>
        </w:tabs>
        <w:numPr>
          <w:ilvl w:val="0"/>
          <w:numId w:val="456"/>
        </w:numPr>
        <w:rPr>
          <w:rFonts w:ascii="Arial" w:cs="Arial" w:eastAsia="Arial" w:hAnsi="Arial"/>
          <w:sz w:val="17"/>
          <w:szCs w:val="17"/>
          <w:color w:val="auto"/>
        </w:rPr>
      </w:pPr>
      <w:r>
        <w:rPr>
          <w:rFonts w:ascii="Arial" w:cs="Arial" w:eastAsia="Arial" w:hAnsi="Arial"/>
          <w:sz w:val="17"/>
          <w:szCs w:val="17"/>
          <w:u w:val="single" w:color="auto"/>
          <w:color w:val="auto"/>
        </w:rPr>
        <w:t>Event of Loss with Respect to any such Engine</w:t>
      </w:r>
      <w:r>
        <w:rPr>
          <w:rFonts w:ascii="Arial" w:cs="Arial" w:eastAsia="Arial" w:hAnsi="Arial"/>
          <w:sz w:val="17"/>
          <w:szCs w:val="17"/>
          <w:color w:val="auto"/>
        </w:rPr>
        <w:t>. Upon the occurrence of an Event of Loss with respect to any such Engine under circumstances in which there has not occurred an Event of Loss with respect to such Airframe, the Grantor shall give the Trustee prompt written notice thereof within 15 days after the Grantor has determined that an Event of Loss has occurred with respect to such Engine and shall, within 120 days after the occurrence of such Event of Loss, cause to be subjected to the Lien of this Aircraft Security Agreement, as replacement for the Engine with respect to which such Event of Loss occurred, a Replacement Engine free and clear of all Liens (other than Permitted Liens).</w:t>
      </w:r>
    </w:p>
    <w:p>
      <w:pPr>
        <w:spacing w:after="0" w:line="173"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 xml:space="preserve">Prior to or at the time of any replacement under this </w:t>
      </w:r>
      <w:r>
        <w:rPr>
          <w:rFonts w:ascii="Arial" w:cs="Arial" w:eastAsia="Arial" w:hAnsi="Arial"/>
          <w:sz w:val="17"/>
          <w:szCs w:val="17"/>
          <w:u w:val="single" w:color="auto"/>
          <w:color w:val="auto"/>
        </w:rPr>
        <w:t>Section 6.04(b)</w:t>
      </w:r>
      <w:r>
        <w:rPr>
          <w:rFonts w:ascii="Arial" w:cs="Arial" w:eastAsia="Arial" w:hAnsi="Arial"/>
          <w:sz w:val="17"/>
          <w:szCs w:val="17"/>
          <w:color w:val="auto"/>
        </w:rPr>
        <w:t>, the Grantor will (</w:t>
      </w:r>
      <w:r>
        <w:rPr>
          <w:rFonts w:ascii="Arial" w:cs="Arial" w:eastAsia="Arial" w:hAnsi="Arial"/>
          <w:sz w:val="17"/>
          <w:szCs w:val="17"/>
          <w:u w:val="single" w:color="auto"/>
          <w:color w:val="auto"/>
        </w:rPr>
        <w:t>i</w:t>
      </w:r>
      <w:r>
        <w:rPr>
          <w:rFonts w:ascii="Arial" w:cs="Arial" w:eastAsia="Arial" w:hAnsi="Arial"/>
          <w:sz w:val="17"/>
          <w:szCs w:val="17"/>
          <w:color w:val="auto"/>
        </w:rPr>
        <w:t>) cause an Aircraft Security Agreement Supplement covering such Replacement Engine to be delivered to the Trustee for execution and, upon such execution, to be filed for recordation pursuant to the Transportation Code or the applicable laws of any other jurisdiction in which such Aircraft may be registered, (</w:t>
      </w:r>
      <w:r>
        <w:rPr>
          <w:rFonts w:ascii="Arial" w:cs="Arial" w:eastAsia="Arial" w:hAnsi="Arial"/>
          <w:sz w:val="17"/>
          <w:szCs w:val="17"/>
          <w:u w:val="single" w:color="auto"/>
          <w:color w:val="auto"/>
        </w:rPr>
        <w:t>ii</w:t>
      </w:r>
      <w:r>
        <w:rPr>
          <w:rFonts w:ascii="Arial" w:cs="Arial" w:eastAsia="Arial" w:hAnsi="Arial"/>
          <w:sz w:val="17"/>
          <w:szCs w:val="17"/>
          <w:color w:val="auto"/>
        </w:rPr>
        <w:t>) furnish the Trustee with a copy of the original bill of sale or, if the bill of sale is unavailable, other evidence of ownership reasonably satisfactory to the Trustee (which may be a copy of an invoice or purchase order) respecting such Replacement Engine,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cause the sale of such Replacement Engine to the Grantor (if occurring after February 28, 2006 and if the seller of such Replacement Engine is “situated in” a country that has ratified the Cape Town Convention) and the International Interest created pursuant to such Aircraft Security Agreement Supplement in favor of the Trustee with respect to such Replacement Engine, to be registered on the International Registry as a sale or an International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seller of such Replacement Engine is not situated in a country that has ratified the Cape Town Convention, the Grantor will use its reasonable efforts to cause the seller to register the contract of sale on the International Registry, (</w:t>
      </w:r>
      <w:r>
        <w:rPr>
          <w:rFonts w:ascii="Arial" w:cs="Arial" w:eastAsia="Arial" w:hAnsi="Arial"/>
          <w:sz w:val="17"/>
          <w:szCs w:val="17"/>
          <w:u w:val="single" w:color="auto"/>
          <w:color w:val="auto"/>
        </w:rPr>
        <w:t>iv</w:t>
      </w:r>
      <w:r>
        <w:rPr>
          <w:rFonts w:ascii="Arial" w:cs="Arial" w:eastAsia="Arial" w:hAnsi="Arial"/>
          <w:sz w:val="17"/>
          <w:szCs w:val="17"/>
          <w:color w:val="auto"/>
        </w:rPr>
        <w:t>) cause a financing statement or statements with respect to such Replacement Engine or other requisite documents or instruments to be filed in such place or places as necessary in order to perfect the Trustee’s interest therein in the United States, or in such other jurisdiction in which such Engine may then be registered, (</w:t>
      </w:r>
      <w:r>
        <w:rPr>
          <w:rFonts w:ascii="Arial" w:cs="Arial" w:eastAsia="Arial" w:hAnsi="Arial"/>
          <w:sz w:val="17"/>
          <w:szCs w:val="17"/>
          <w:u w:val="single" w:color="auto"/>
          <w:color w:val="auto"/>
        </w:rPr>
        <w:t>v</w:t>
      </w:r>
      <w:r>
        <w:rPr>
          <w:rFonts w:ascii="Arial" w:cs="Arial" w:eastAsia="Arial" w:hAnsi="Arial"/>
          <w:sz w:val="17"/>
          <w:szCs w:val="17"/>
          <w:color w:val="auto"/>
        </w:rPr>
        <w:t>) furnish the Trustee with an opinion of the Grantor’s counsel (which may be the Grantor’s General Counsel or such other internal counsel to the Grantor as shall be reasonably satisfactory to the Trustee) addressed to the Trustee to the effect that, upon such replacement, such Replacement Engine will be subject to the Lien of this Aircraft Security Agreement, (</w:t>
      </w:r>
      <w:r>
        <w:rPr>
          <w:rFonts w:ascii="Arial" w:cs="Arial" w:eastAsia="Arial" w:hAnsi="Arial"/>
          <w:sz w:val="17"/>
          <w:szCs w:val="17"/>
          <w:u w:val="single" w:color="auto"/>
          <w:color w:val="auto"/>
        </w:rPr>
        <w:t>vi</w:t>
      </w:r>
      <w:r>
        <w:rPr>
          <w:rFonts w:ascii="Arial" w:cs="Arial" w:eastAsia="Arial" w:hAnsi="Arial"/>
          <w:sz w:val="17"/>
          <w:szCs w:val="17"/>
          <w:color w:val="auto"/>
        </w:rPr>
        <w:t>) furnish the Trustee with a certificate of an aircraft engineer or appraiser (who may be an employee of the Grantor) certifying that such Replacement Engine has a value and utility (without regard to hours or cycles) at least equal to the Engine so replaced assuming such Engine was in the condition and repair required by the terms hereof immediately prior to the occurrence of such Event of Loss, and (</w:t>
      </w:r>
      <w:r>
        <w:rPr>
          <w:rFonts w:ascii="Arial" w:cs="Arial" w:eastAsia="Arial" w:hAnsi="Arial"/>
          <w:sz w:val="17"/>
          <w:szCs w:val="17"/>
          <w:u w:val="single" w:color="auto"/>
          <w:color w:val="auto"/>
        </w:rPr>
        <w:t>vii</w:t>
      </w:r>
      <w:r>
        <w:rPr>
          <w:rFonts w:ascii="Arial" w:cs="Arial" w:eastAsia="Arial" w:hAnsi="Arial"/>
          <w:sz w:val="17"/>
          <w:szCs w:val="17"/>
          <w:color w:val="auto"/>
        </w:rPr>
        <w:t>) furnish the Trustee with evidence of</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H-27</w:t>
      </w:r>
    </w:p>
    <w:p>
      <w:pPr>
        <w:sectPr>
          <w:pgSz w:w="11900" w:h="16838" w:orient="portrait"/>
          <w:cols w:equalWidth="0" w:num="1">
            <w:col w:w="11420"/>
          </w:cols>
          <w:pgMar w:left="240" w:top="274" w:right="239" w:bottom="1440" w:gutter="0" w:footer="0" w:header="0"/>
        </w:sectPr>
      </w:pPr>
    </w:p>
    <w:bookmarkStart w:id="411" w:name="page412"/>
    <w:bookmarkEnd w:id="411"/>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with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with respect to such Replacement Engine (which may be an Officer’s Certificate to the effect that the Grantor has determined that the insurance maintained with respect to such Replacement Engine so complies). In the case of each Replacement Engine subjected to the Lien of this Aircraft Security Agreement under this </w:t>
      </w:r>
      <w:r>
        <w:rPr>
          <w:rFonts w:ascii="Arial" w:cs="Arial" w:eastAsia="Arial" w:hAnsi="Arial"/>
          <w:sz w:val="16"/>
          <w:szCs w:val="16"/>
          <w:u w:val="single" w:color="auto"/>
          <w:color w:val="auto"/>
        </w:rPr>
        <w:t>Section 6.04(b)</w:t>
      </w:r>
      <w:r>
        <w:rPr>
          <w:rFonts w:ascii="Arial" w:cs="Arial" w:eastAsia="Arial" w:hAnsi="Arial"/>
          <w:sz w:val="16"/>
          <w:szCs w:val="16"/>
          <w:color w:val="auto"/>
        </w:rPr>
        <w:t xml:space="preserve">, promptly upon the recordation of an Aircraft Security Agreement Supplement covering such Replacement Engine pursuant to the Transportation Code (or pursuant to the applicable law of such other jurisdiction in which such Aircraft is registered), the Grantor will cause to be delivered to the Trustee an opinion of counsel to the Grantor (which may be the Grantor’s General Counsel or such other internal counsel of the Grantor as shall be reasonably satisfactory to the Trustee) addressed to the Trustee as to the due recordation of such Aircraft Security Agreement Supplement or such other requisite documents or instruments, the registration with the International Registry of the sale of such Replacement Engine to Grantor (if occurring after February 28, 2006 and if the seller of such Replacement Engine is “situated in” a country that has ratified the Cape Town Convention) and of the International Interest created pursuant to such Aircraft Security Agreement Supplement with respect to such Replacement Engine, and the validity and perfection of the security interest in the Replacement Engine granted to the Trustee under this Aircraft Security Agreement. For all purposes hereof, upon the attachment of the Lien of this Aircraft Security Agreement thereto, the Replacement Engine shall become part of the Aircraft Collateral and shall be deemed an “Engine” as defined herein. Upon compliance with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this paragraph, (</w:t>
      </w:r>
      <w:r>
        <w:rPr>
          <w:rFonts w:ascii="Arial" w:cs="Arial" w:eastAsia="Arial" w:hAnsi="Arial"/>
          <w:sz w:val="16"/>
          <w:szCs w:val="16"/>
          <w:u w:val="single" w:color="auto"/>
          <w:color w:val="auto"/>
        </w:rPr>
        <w:t>x</w:t>
      </w:r>
      <w:r>
        <w:rPr>
          <w:rFonts w:ascii="Arial" w:cs="Arial" w:eastAsia="Arial" w:hAnsi="Arial"/>
          <w:sz w:val="16"/>
          <w:szCs w:val="16"/>
          <w:color w:val="auto"/>
        </w:rPr>
        <w:t>) such replaced Engine, any proceeds, the Warranty Rights in respect of such replaced Engine and all rights relating to any of the foregoing shall be free and clear of the Lien of this Aircraft Security Agreement and of all rights and interests of the Trustee (and the other beneficiaries hereof), (</w:t>
      </w:r>
      <w:r>
        <w:rPr>
          <w:rFonts w:ascii="Arial" w:cs="Arial" w:eastAsia="Arial" w:hAnsi="Arial"/>
          <w:sz w:val="16"/>
          <w:szCs w:val="16"/>
          <w:u w:val="single" w:color="auto"/>
          <w:color w:val="auto"/>
        </w:rPr>
        <w:t>y</w:t>
      </w:r>
      <w:r>
        <w:rPr>
          <w:rFonts w:ascii="Arial" w:cs="Arial" w:eastAsia="Arial" w:hAnsi="Arial"/>
          <w:sz w:val="16"/>
          <w:szCs w:val="16"/>
          <w:color w:val="auto"/>
        </w:rPr>
        <w:t>) the Trustee shall execute and deliver to the Grantor an appropriate instrument releasing such properties, rights, interests and privileges from the Lien of this Aircraft Security Agreement and assigning to the Grantor all claims against third Persons for damage to or loss of such Engine arising from the Event of Loss, and (</w:t>
      </w:r>
      <w:r>
        <w:rPr>
          <w:rFonts w:ascii="Arial" w:cs="Arial" w:eastAsia="Arial" w:hAnsi="Arial"/>
          <w:sz w:val="16"/>
          <w:szCs w:val="16"/>
          <w:u w:val="single" w:color="auto"/>
          <w:color w:val="auto"/>
        </w:rPr>
        <w:t>z</w:t>
      </w:r>
      <w:r>
        <w:rPr>
          <w:rFonts w:ascii="Arial" w:cs="Arial" w:eastAsia="Arial" w:hAnsi="Arial"/>
          <w:sz w:val="16"/>
          <w:szCs w:val="16"/>
          <w:color w:val="auto"/>
        </w:rPr>
        <w:t>) the Trustee will take such actions as may be required to be taken by the Trustee to cancel or release any International Interest of the Trustee registered with the International Registry in relation to the Engines with respect to which such Event of Loss occurred.</w:t>
      </w:r>
    </w:p>
    <w:p>
      <w:pPr>
        <w:spacing w:after="0" w:line="391" w:lineRule="exact"/>
        <w:rPr>
          <w:sz w:val="20"/>
          <w:szCs w:val="20"/>
          <w:color w:val="auto"/>
        </w:rPr>
      </w:pPr>
    </w:p>
    <w:p>
      <w:pPr>
        <w:ind w:right="140" w:firstLine="464"/>
        <w:spacing w:after="0" w:line="293" w:lineRule="auto"/>
        <w:tabs>
          <w:tab w:leader="none" w:pos="701"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Requisition for Use by the Government of such Airframe and the Engines Installed Thereon</w:t>
      </w:r>
      <w:r>
        <w:rPr>
          <w:rFonts w:ascii="Arial" w:cs="Arial" w:eastAsia="Arial" w:hAnsi="Arial"/>
          <w:sz w:val="16"/>
          <w:szCs w:val="16"/>
          <w:color w:val="auto"/>
        </w:rPr>
        <w:t xml:space="preserve">. In the event of the requisition for use by any government, including, without limitation, pursuant to the CRAF Program, of such Airframe and such Engines or engines installed on such Airframe that does not constitute an Event of Loss, the Grantor shall promptly notify the Trustee and all of the Grantor’s rights and obligations under this Aircraft Security Agreement with respect to such Airframe and such Engines shall continue to the same extent as if such requisition had not occurred;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the Grantor’s obligations other than payment obligations shall only continue to the extent feasible. All payments received by the Grantor or the Trustee from such government for such use of such Airframe and Engines or engines shall be paid over to, or retained by, the Grantor.</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H-28</w:t>
      </w:r>
    </w:p>
    <w:p>
      <w:pPr>
        <w:sectPr>
          <w:pgSz w:w="11900" w:h="16838" w:orient="portrait"/>
          <w:cols w:equalWidth="0" w:num="1">
            <w:col w:w="11420"/>
          </w:cols>
          <w:pgMar w:left="240" w:top="274" w:right="239" w:bottom="1440" w:gutter="0" w:footer="0" w:header="0"/>
        </w:sectPr>
      </w:pPr>
    </w:p>
    <w:bookmarkStart w:id="412" w:name="page413"/>
    <w:bookmarkEnd w:id="412"/>
    <w:p>
      <w:pPr>
        <w:ind w:left="720" w:hanging="256"/>
        <w:spacing w:after="0"/>
        <w:tabs>
          <w:tab w:leader="none" w:pos="720"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Requisition for Use by the Government of any such Engine Not Installed on such Airframe</w:t>
      </w:r>
      <w:r>
        <w:rPr>
          <w:rFonts w:ascii="Arial" w:cs="Arial" w:eastAsia="Arial" w:hAnsi="Arial"/>
          <w:sz w:val="17"/>
          <w:szCs w:val="17"/>
          <w:color w:val="auto"/>
        </w:rPr>
        <w:t>. In the event of the requisition for use by any</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government of any such Engine not then installed on such Airframe, the Grantor will replace such Engine by complying with the terms of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to the same extent as if an Event of Loss had occurred with respect to such Engine. Upon such replacement, any payments received by the Grantor or the Trustee from such government with respect to such requisition shall be paid over to, or retained by, the Grantor.</w:t>
      </w:r>
    </w:p>
    <w:p>
      <w:pPr>
        <w:spacing w:after="0" w:line="190" w:lineRule="exact"/>
        <w:rPr>
          <w:rFonts w:ascii="Arial" w:cs="Arial" w:eastAsia="Arial" w:hAnsi="Arial"/>
          <w:sz w:val="17"/>
          <w:szCs w:val="17"/>
          <w:color w:val="auto"/>
        </w:rPr>
      </w:pPr>
    </w:p>
    <w:p>
      <w:pPr>
        <w:ind w:right="60" w:firstLine="464"/>
        <w:spacing w:after="0" w:line="279" w:lineRule="auto"/>
        <w:tabs>
          <w:tab w:leader="none" w:pos="701"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t>Application of Payments During Existence of Event of Default</w:t>
      </w:r>
      <w:r>
        <w:rPr>
          <w:rFonts w:ascii="Arial" w:cs="Arial" w:eastAsia="Arial" w:hAnsi="Arial"/>
          <w:sz w:val="17"/>
          <w:szCs w:val="17"/>
          <w:color w:val="auto"/>
        </w:rPr>
        <w:t xml:space="preserve">. Any amount referred to in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that is payable to or retainable by the Grantor shall not be paid to or retained by the Grantor if at the time of such payment or retention an Event of Default shall have occurred and be continuing, but, subject to any Intercreditor Agreement and any Other Intercreditor Agreement, shall be paid to and held by the Trustee as security for the Obligations. At such time as there shall not be continuing any such Event of Default, such amount shall be paid to the Grantor.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Insurance</w:t>
      </w:r>
      <w:r>
        <w:rPr>
          <w:rFonts w:ascii="Arial" w:cs="Arial" w:eastAsia="Arial" w:hAnsi="Arial"/>
          <w:sz w:val="18"/>
          <w:szCs w:val="18"/>
          <w:color w:val="auto"/>
        </w:rPr>
        <w:t>. With respect to any Aircraft Collateral, the Grantor will:</w:t>
      </w:r>
    </w:p>
    <w:p>
      <w:pPr>
        <w:spacing w:after="0" w:line="117" w:lineRule="exact"/>
        <w:rPr>
          <w:sz w:val="20"/>
          <w:szCs w:val="20"/>
          <w:color w:val="auto"/>
        </w:rPr>
      </w:pPr>
    </w:p>
    <w:p>
      <w:pPr>
        <w:ind w:left="460" w:right="20" w:firstLine="443"/>
        <w:spacing w:after="0" w:line="277" w:lineRule="auto"/>
        <w:tabs>
          <w:tab w:leader="none" w:pos="1143" w:val="left"/>
        </w:tabs>
        <w:numPr>
          <w:ilvl w:val="0"/>
          <w:numId w:val="459"/>
        </w:numPr>
        <w:rPr>
          <w:rFonts w:ascii="Arial" w:cs="Arial" w:eastAsia="Arial" w:hAnsi="Arial"/>
          <w:sz w:val="18"/>
          <w:szCs w:val="18"/>
          <w:color w:val="auto"/>
        </w:rPr>
      </w:pPr>
      <w:r>
        <w:rPr>
          <w:rFonts w:ascii="Arial" w:cs="Arial" w:eastAsia="Arial" w:hAnsi="Arial"/>
          <w:sz w:val="18"/>
          <w:szCs w:val="18"/>
          <w:color w:val="auto"/>
        </w:rPr>
        <w:t>maintain insurance, against such risks, including fire and other risks, as is prudent and customary for United States-based passenger airlines of similar size insuring similar assets;</w:t>
      </w:r>
    </w:p>
    <w:p>
      <w:pPr>
        <w:spacing w:after="0" w:line="62" w:lineRule="exact"/>
        <w:rPr>
          <w:rFonts w:ascii="Arial" w:cs="Arial" w:eastAsia="Arial" w:hAnsi="Arial"/>
          <w:sz w:val="18"/>
          <w:szCs w:val="18"/>
          <w:color w:val="auto"/>
        </w:rPr>
      </w:pPr>
    </w:p>
    <w:p>
      <w:pPr>
        <w:ind w:left="460" w:right="200" w:firstLine="443"/>
        <w:spacing w:after="0" w:line="264" w:lineRule="auto"/>
        <w:tabs>
          <w:tab w:leader="none" w:pos="1153" w:val="left"/>
        </w:tabs>
        <w:numPr>
          <w:ilvl w:val="0"/>
          <w:numId w:val="459"/>
        </w:numPr>
        <w:rPr>
          <w:rFonts w:ascii="Arial" w:cs="Arial" w:eastAsia="Arial" w:hAnsi="Arial"/>
          <w:sz w:val="18"/>
          <w:szCs w:val="18"/>
          <w:color w:val="auto"/>
        </w:rPr>
      </w:pPr>
      <w:r>
        <w:rPr>
          <w:rFonts w:ascii="Arial" w:cs="Arial" w:eastAsia="Arial" w:hAnsi="Arial"/>
          <w:sz w:val="18"/>
          <w:szCs w:val="18"/>
          <w:color w:val="auto"/>
        </w:rPr>
        <w:t>maintain in full force and effect public liability insurance against claims for personal injury or death or property damage occurring upon, in, about or in connection with the use of such Aircraft Collateral, in such amounts and with such deductibles as are prudent and customary for United States-based passenger airlines of similar size insuring against similar risks; and</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maintain such other insurance or self-insurance as may be required by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Covenants of the Grantor</w:t>
      </w:r>
      <w:r>
        <w:rPr>
          <w:rFonts w:ascii="Arial" w:cs="Arial" w:eastAsia="Arial" w:hAnsi="Arial"/>
          <w:sz w:val="18"/>
          <w:szCs w:val="18"/>
          <w:color w:val="auto"/>
        </w:rPr>
        <w:t>.</w:t>
      </w:r>
    </w:p>
    <w:p>
      <w:pPr>
        <w:spacing w:after="0" w:line="225" w:lineRule="exact"/>
        <w:rPr>
          <w:sz w:val="20"/>
          <w:szCs w:val="20"/>
          <w:color w:val="auto"/>
        </w:rPr>
      </w:pPr>
    </w:p>
    <w:p>
      <w:pPr>
        <w:ind w:right="300" w:firstLine="464"/>
        <w:spacing w:after="0" w:line="259" w:lineRule="auto"/>
        <w:tabs>
          <w:tab w:leader="none" w:pos="701"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On and after the date hereof, the Grantor will cause to be done, executed, acknowledged and delivered such further acts, conveyances and assurances as the Trustee shall reasonably request for accomplishing the purposes of this Aircraft Security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instrument or other document so executed by the Grantor will not expand any obligations or limit any rights of the Grantor in respect of the transactions contemplated by this Aircraft Security Agreement.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H-29</w:t>
      </w:r>
    </w:p>
    <w:p>
      <w:pPr>
        <w:sectPr>
          <w:pgSz w:w="11900" w:h="16838" w:orient="portrait"/>
          <w:cols w:equalWidth="0" w:num="1">
            <w:col w:w="11420"/>
          </w:cols>
          <w:pgMar w:left="240" w:top="273" w:right="239" w:bottom="1440" w:gutter="0" w:footer="0" w:header="0"/>
        </w:sectPr>
      </w:pPr>
    </w:p>
    <w:bookmarkStart w:id="413" w:name="page414"/>
    <w:bookmarkEnd w:id="413"/>
    <w:p>
      <w:pPr>
        <w:ind w:right="140" w:firstLine="464"/>
        <w:spacing w:after="0" w:line="254" w:lineRule="auto"/>
        <w:tabs>
          <w:tab w:leader="none" w:pos="711"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Filing and Recordation of this Aircraft Security Agreement; Registration of International Interests</w:t>
      </w:r>
      <w:r>
        <w:rPr>
          <w:rFonts w:ascii="Arial" w:cs="Arial" w:eastAsia="Arial" w:hAnsi="Arial"/>
          <w:sz w:val="18"/>
          <w:szCs w:val="18"/>
          <w:color w:val="auto"/>
        </w:rPr>
        <w:t>. The Grantor, at its own expense, will cause this Aircraft Security Agreement (with each Aircraft Security Supplement covering an Aircraft being subjected to the Lien of this Aircraft Security Agreement attached) to be promptly filed and recorded, or filed for recording, with the FAA to the extent permitted under the Transportation Code and the rules and regulations of the FAA thereunder. In addition, on or prior to each Aircraft Closing Date, the Grantor will cause the registration of the International Interests (or Prospective International Interests) created under this Aircraft Security Agreement (as supplemented by each Aircraft Security Agreement Supplement covering an Aircraft being subjected to the Lien of this Aircraft Security Agreement on such Aircraft Closing Date) to be effected on the International Registry in accordance with the Cape Town Treaty, and shall, as and to the extent applicable, consent to such registration upon the issuance of a request for such consent by the International Registry.</w:t>
      </w:r>
    </w:p>
    <w:p>
      <w:pPr>
        <w:spacing w:after="0" w:line="192" w:lineRule="exact"/>
        <w:rPr>
          <w:rFonts w:ascii="Arial" w:cs="Arial" w:eastAsia="Arial" w:hAnsi="Arial"/>
          <w:sz w:val="18"/>
          <w:szCs w:val="18"/>
          <w:color w:val="auto"/>
        </w:rPr>
      </w:pPr>
    </w:p>
    <w:p>
      <w:pPr>
        <w:ind w:right="40" w:firstLine="464"/>
        <w:spacing w:after="0" w:line="270" w:lineRule="auto"/>
        <w:tabs>
          <w:tab w:leader="none" w:pos="701" w:val="left"/>
        </w:tabs>
        <w:numPr>
          <w:ilvl w:val="0"/>
          <w:numId w:val="461"/>
        </w:numPr>
        <w:rPr>
          <w:rFonts w:ascii="Arial" w:cs="Arial" w:eastAsia="Arial" w:hAnsi="Arial"/>
          <w:sz w:val="17"/>
          <w:szCs w:val="17"/>
          <w:color w:val="auto"/>
        </w:rPr>
      </w:pPr>
      <w:r>
        <w:rPr>
          <w:rFonts w:ascii="Arial" w:cs="Arial" w:eastAsia="Arial" w:hAnsi="Arial"/>
          <w:sz w:val="17"/>
          <w:szCs w:val="17"/>
          <w:u w:val="single" w:color="auto"/>
          <w:color w:val="auto"/>
        </w:rPr>
        <w:t>Maintenance of Filings</w:t>
      </w:r>
      <w:r>
        <w:rPr>
          <w:rFonts w:ascii="Arial" w:cs="Arial" w:eastAsia="Arial" w:hAnsi="Arial"/>
          <w:sz w:val="17"/>
          <w:szCs w:val="17"/>
          <w:color w:val="auto"/>
        </w:rPr>
        <w:t>. The Grantor, at its expense, will take, or cause to be taken, such action with respect to the due and timely recording, filing, re-recording and refiling of this Aircraft Security Agreement and any financing statements and any continuation statements or other instruments as are necessary to maintain, so long as this Aircraft Security Agreement is in effect, the perfection of the security interests created by this Aircraft Security Agreement or will furnish the Trustee timely notice of the necessity of such action, together with such instruments, in execution form, and such other information as may be required to enable the Trustee to take such action. In addition, with respect to each Aircraft, the Grantor will pay any and all recording, stamp and other similar taxes payable in the United States, and in any other jurisdiction where such Aircraft is registered, in connection with the execution, delivery, recording, filing, re-recording and refiling of this Aircraft Security Agreement or any such financing statements or other instruments. The Grantor will notify the Trustee of any change in its jurisdiction of organization (as such term is used in Article 9 of the Uniform Commercial Code as in effect in the [State of Delaware]</w:t>
      </w:r>
      <w:r>
        <w:rPr>
          <w:rFonts w:ascii="Arial" w:cs="Arial" w:eastAsia="Arial" w:hAnsi="Arial"/>
          <w:sz w:val="14"/>
          <w:szCs w:val="14"/>
          <w:color w:val="auto"/>
        </w:rPr>
        <w:t>5</w:t>
      </w:r>
      <w:r>
        <w:rPr>
          <w:rFonts w:ascii="Arial" w:cs="Arial" w:eastAsia="Arial" w:hAnsi="Arial"/>
          <w:sz w:val="17"/>
          <w:szCs w:val="17"/>
          <w:color w:val="auto"/>
        </w:rPr>
        <w:t>) promptly after making such change or in any event within the period of time necessary under applicable law to prevent the lapse of perfection (absent refiling) of financing statements filed under this Aircraft Security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Covenants of the Trustee</w:t>
      </w:r>
      <w:r>
        <w:rPr>
          <w:rFonts w:ascii="Arial" w:cs="Arial" w:eastAsia="Arial" w:hAnsi="Arial"/>
          <w:sz w:val="18"/>
          <w:szCs w:val="18"/>
          <w:color w:val="auto"/>
        </w:rPr>
        <w:t>.</w:t>
      </w:r>
    </w:p>
    <w:p>
      <w:pPr>
        <w:spacing w:after="0" w:line="225" w:lineRule="exact"/>
        <w:rPr>
          <w:sz w:val="20"/>
          <w:szCs w:val="20"/>
          <w:color w:val="auto"/>
        </w:rPr>
      </w:pPr>
    </w:p>
    <w:p>
      <w:pPr>
        <w:ind w:right="140" w:firstLine="464"/>
        <w:spacing w:after="0" w:line="286" w:lineRule="auto"/>
        <w:tabs>
          <w:tab w:leader="none" w:pos="701"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Continuing Registration and Re-Registration</w:t>
      </w:r>
      <w:r>
        <w:rPr>
          <w:rFonts w:ascii="Arial" w:cs="Arial" w:eastAsia="Arial" w:hAnsi="Arial"/>
          <w:sz w:val="17"/>
          <w:szCs w:val="17"/>
          <w:color w:val="auto"/>
        </w:rPr>
        <w:t>. The Trustee agrees to execute and deliver, at the Grantor’s expense, all such documents and consents as the Grantor may reasonably request for the purpose of continuing the registration of any Aircraft at the FAA in the Grantor’s name or for the purpose of registering or maintaining any registration on the International Registry in respect of such Aircraft.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220" w:hanging="212"/>
        <w:spacing w:after="0"/>
        <w:tabs>
          <w:tab w:leader="none" w:pos="220" w:val="left"/>
        </w:tabs>
        <w:numPr>
          <w:ilvl w:val="0"/>
          <w:numId w:val="463"/>
        </w:numPr>
        <w:rPr>
          <w:rFonts w:ascii="Arial" w:cs="Arial" w:eastAsia="Arial" w:hAnsi="Arial"/>
          <w:sz w:val="15"/>
          <w:szCs w:val="15"/>
          <w:color w:val="auto"/>
        </w:rPr>
      </w:pPr>
      <w:r>
        <w:rPr>
          <w:rFonts w:ascii="Arial" w:cs="Arial" w:eastAsia="Arial" w:hAnsi="Arial"/>
          <w:sz w:val="18"/>
          <w:szCs w:val="18"/>
          <w:color w:val="auto"/>
        </w:rPr>
        <w:t>Revise bracketed phrase as necessary for the applicable Grantor.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H-30</w:t>
      </w:r>
    </w:p>
    <w:p>
      <w:pPr>
        <w:sectPr>
          <w:pgSz w:w="11900" w:h="16838" w:orient="portrait"/>
          <w:cols w:equalWidth="0" w:num="1">
            <w:col w:w="11420"/>
          </w:cols>
          <w:pgMar w:left="240" w:top="273" w:right="239" w:bottom="1440" w:gutter="0" w:footer="0" w:header="0"/>
        </w:sectPr>
      </w:pPr>
    </w:p>
    <w:bookmarkStart w:id="414" w:name="page415"/>
    <w:bookmarkEnd w:id="414"/>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of the Trustee agrees, for the benefit of the Grantor, to cooperate with the Grantor in effecting any foreign registration of any such Aircraft pursuant to </w:t>
      </w:r>
      <w:r>
        <w:rPr>
          <w:rFonts w:ascii="Arial" w:cs="Arial" w:eastAsia="Arial" w:hAnsi="Arial"/>
          <w:sz w:val="18"/>
          <w:szCs w:val="18"/>
          <w:u w:val="single" w:color="auto"/>
          <w:color w:val="auto"/>
        </w:rPr>
        <w:t>Section 6.01(e)</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change in the country of registry of such Aircraft the conditions set forth in </w:t>
      </w:r>
      <w:r>
        <w:rPr>
          <w:rFonts w:ascii="Arial" w:cs="Arial" w:eastAsia="Arial" w:hAnsi="Arial"/>
          <w:sz w:val="18"/>
          <w:szCs w:val="18"/>
          <w:u w:val="single" w:color="auto"/>
          <w:color w:val="auto"/>
        </w:rPr>
        <w:t>Section 6.01(e)</w:t>
      </w:r>
      <w:r>
        <w:rPr>
          <w:rFonts w:ascii="Arial" w:cs="Arial" w:eastAsia="Arial" w:hAnsi="Arial"/>
          <w:sz w:val="18"/>
          <w:szCs w:val="18"/>
          <w:color w:val="auto"/>
        </w:rPr>
        <w:t xml:space="preserve"> hereof are met to the reasonable satisfaction of, or waived by, the Trustee.</w:t>
      </w:r>
    </w:p>
    <w:p>
      <w:pPr>
        <w:spacing w:after="0" w:line="181" w:lineRule="exact"/>
        <w:rPr>
          <w:sz w:val="20"/>
          <w:szCs w:val="20"/>
          <w:color w:val="auto"/>
        </w:rPr>
      </w:pPr>
    </w:p>
    <w:p>
      <w:pPr>
        <w:ind w:right="160" w:firstLine="464"/>
        <w:spacing w:after="0" w:line="257" w:lineRule="auto"/>
        <w:tabs>
          <w:tab w:leader="none" w:pos="711"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Quiet Enjoyment</w:t>
      </w:r>
      <w:r>
        <w:rPr>
          <w:rFonts w:ascii="Arial" w:cs="Arial" w:eastAsia="Arial" w:hAnsi="Arial"/>
          <w:sz w:val="18"/>
          <w:szCs w:val="18"/>
          <w:color w:val="auto"/>
        </w:rPr>
        <w:t>. The Trustee agrees, with respect to each Aircraft, that, unless an Event of Default shall have occurred and be continuing, it shall not (and shall not permit any Affiliate or other Person claiming by, through or under it to) take any action contrary to, or otherwise in any way interfere with or disturb (and then only in accordance with this Aircraft Security Agreement), the quiet enjoyment of the use and possession of such Aircraft, the related Airframe, any related Engine or any Part thereof by the Grantor or any transferee of any interest in any thereof permitted under this Aircraft Security Agreement.</w:t>
      </w:r>
    </w:p>
    <w:p>
      <w:pPr>
        <w:spacing w:after="0" w:line="188" w:lineRule="exact"/>
        <w:rPr>
          <w:rFonts w:ascii="Arial" w:cs="Arial" w:eastAsia="Arial" w:hAnsi="Arial"/>
          <w:sz w:val="18"/>
          <w:szCs w:val="18"/>
          <w:color w:val="auto"/>
        </w:rPr>
      </w:pPr>
    </w:p>
    <w:p>
      <w:pPr>
        <w:ind w:right="20" w:firstLine="464"/>
        <w:spacing w:after="0" w:line="264" w:lineRule="auto"/>
        <w:tabs>
          <w:tab w:leader="none" w:pos="701"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The Trustee will cooperate with the Grantor in connection with the recording, filing, re-recording and re-filing of this Aircraft Security Agreement and any Aircraft Security Agreement Supplements and any financing statements or other documents as are necessary to maintain the perfection hereof or otherwise protect the security interests created hereby.</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Subjection of Aircraft to Lien of Aircraft Security Agreement</w:t>
      </w:r>
      <w:r>
        <w:rPr>
          <w:rFonts w:ascii="Arial" w:cs="Arial" w:eastAsia="Arial" w:hAnsi="Arial"/>
          <w:sz w:val="17"/>
          <w:szCs w:val="17"/>
          <w:color w:val="auto"/>
        </w:rPr>
        <w:t>. If the Grantor has elected to subject any Additional Aircraft to the Lien of this Aircraft Security Agreement as Additional Collateral or Qualified Replacement Assets pursuant to the Credit Agreement, the Grantor shall, at its sole expense (</w:t>
      </w:r>
      <w:r>
        <w:rPr>
          <w:rFonts w:ascii="Arial" w:cs="Arial" w:eastAsia="Arial" w:hAnsi="Arial"/>
          <w:sz w:val="17"/>
          <w:szCs w:val="17"/>
          <w:u w:val="single" w:color="auto"/>
          <w:color w:val="auto"/>
        </w:rPr>
        <w:t>A</w:t>
      </w:r>
      <w:r>
        <w:rPr>
          <w:rFonts w:ascii="Arial" w:cs="Arial" w:eastAsia="Arial" w:hAnsi="Arial"/>
          <w:sz w:val="17"/>
          <w:szCs w:val="17"/>
          <w:color w:val="auto"/>
        </w:rPr>
        <w:t>) cause an Aircraft Security Agreement Supplement describing the airframe and engines that constitute such Additional Aircraft to be delivered to the Trustee for execution and, upon such execution, to be filed for recordation pursuant to the Transportation Code or the applicable laws of such other jurisdiction in which such Additional Aircraft may then be registered,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cause the sale of such Additional Aircraft to the Grantor (if occurring after February 28, 2006 and if the seller of such Additional Aircraft is “situated in” a country that has ratified the Cape Town Convention) and the International Interest created pursuant to such Aircraft Security Agreement Supplement in favor of the Trustee with respect to such Additional Aircraft each to be registered on the International Registry as a sale or an International Interest,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seller of such Additional Aircraft is not situated in a country that has ratified the Cape Town Convention, the Grantor will use its reasonable efforts to cause the seller to register the contract of sale on the International Registry, (</w:t>
      </w:r>
      <w:r>
        <w:rPr>
          <w:rFonts w:ascii="Arial" w:cs="Arial" w:eastAsia="Arial" w:hAnsi="Arial"/>
          <w:sz w:val="17"/>
          <w:szCs w:val="17"/>
          <w:u w:val="single" w:color="auto"/>
          <w:color w:val="auto"/>
        </w:rPr>
        <w:t>C</w:t>
      </w:r>
      <w:r>
        <w:rPr>
          <w:rFonts w:ascii="Arial" w:cs="Arial" w:eastAsia="Arial" w:hAnsi="Arial"/>
          <w:sz w:val="17"/>
          <w:szCs w:val="17"/>
          <w:color w:val="auto"/>
        </w:rPr>
        <w:t>) cause a financing statement or statements with respect to such Additional Aircraft or other requisite documents or instruments to be filed in such place or places as necessary in order to perfect the Trustee’s interest therein in the United States, or in any other jurisdiction in which such Additional Aircraft may then be registered, (</w:t>
      </w:r>
      <w:r>
        <w:rPr>
          <w:rFonts w:ascii="Arial" w:cs="Arial" w:eastAsia="Arial" w:hAnsi="Arial"/>
          <w:sz w:val="17"/>
          <w:szCs w:val="17"/>
          <w:u w:val="single" w:color="auto"/>
          <w:color w:val="auto"/>
        </w:rPr>
        <w:t>D</w:t>
      </w:r>
      <w:r>
        <w:rPr>
          <w:rFonts w:ascii="Arial" w:cs="Arial" w:eastAsia="Arial" w:hAnsi="Arial"/>
          <w:sz w:val="17"/>
          <w:szCs w:val="17"/>
          <w:color w:val="auto"/>
        </w:rPr>
        <w:t>) furnish the Trustee with an opinion of the Grantor’s counsel (which may be the Grantor’s General Counsel or such other internal counsel of the Grantor as shall be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H-31</w:t>
      </w:r>
    </w:p>
    <w:p>
      <w:pPr>
        <w:sectPr>
          <w:pgSz w:w="11900" w:h="16838" w:orient="portrait"/>
          <w:cols w:equalWidth="0" w:num="1">
            <w:col w:w="11420"/>
          </w:cols>
          <w:pgMar w:left="240" w:top="274" w:right="239" w:bottom="1440" w:gutter="0" w:footer="0" w:header="0"/>
        </w:sectPr>
      </w:pPr>
    </w:p>
    <w:bookmarkStart w:id="415" w:name="page416"/>
    <w:bookmarkEnd w:id="41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reasonably satisfactory to the Trustee) addressed to the Trustee to the effect that upon taking the actions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such Additional Aircraft will be subject to the Lien of this Aircraft Security Agreement, (</w:t>
      </w:r>
      <w:r>
        <w:rPr>
          <w:rFonts w:ascii="Arial" w:cs="Arial" w:eastAsia="Arial" w:hAnsi="Arial"/>
          <w:sz w:val="16"/>
          <w:szCs w:val="16"/>
          <w:u w:val="single" w:color="auto"/>
          <w:color w:val="auto"/>
        </w:rPr>
        <w:t>E</w:t>
      </w:r>
      <w:r>
        <w:rPr>
          <w:rFonts w:ascii="Arial" w:cs="Arial" w:eastAsia="Arial" w:hAnsi="Arial"/>
          <w:sz w:val="16"/>
          <w:szCs w:val="16"/>
          <w:color w:val="auto"/>
        </w:rPr>
        <w:t xml:space="preserve">) furnish the Trustee with evidence of compliance with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with respect to such Additional Aircraft (which may be an Officer’s Certificate to the effect that the Grantor has determined that the insurance maintained with respect to such Additional Aircraft so complies) and (</w:t>
      </w:r>
      <w:r>
        <w:rPr>
          <w:rFonts w:ascii="Arial" w:cs="Arial" w:eastAsia="Arial" w:hAnsi="Arial"/>
          <w:sz w:val="16"/>
          <w:szCs w:val="16"/>
          <w:u w:val="single" w:color="auto"/>
          <w:color w:val="auto"/>
        </w:rPr>
        <w:t>F</w:t>
      </w:r>
      <w:r>
        <w:rPr>
          <w:rFonts w:ascii="Arial" w:cs="Arial" w:eastAsia="Arial" w:hAnsi="Arial"/>
          <w:sz w:val="16"/>
          <w:szCs w:val="16"/>
          <w:color w:val="auto"/>
        </w:rPr>
        <w:t>) furnish the Trustee with a copy of the original bill(s) of sale or, if the bill(s) of sale are unavailable, other evidence of ownership reasonably satisfactory to the Trustee (which may be a copy of an invoice or purchase order) respecting the airframe and engines constituting part of such Additional Aircraft. The Trustee shall promptly execute such Aircraft Security Agreement Supplement and take such other actions reasonably requested by the Grantor to subject such Additional Aircraft to the Lien of this Aircraft Security Agreement.</w:t>
      </w:r>
    </w:p>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In the case of any Additional Aircraft subjected to the Lien of this Aircraft Security Agreement under this </w:t>
      </w:r>
      <w:r>
        <w:rPr>
          <w:rFonts w:ascii="Arial" w:cs="Arial" w:eastAsia="Arial" w:hAnsi="Arial"/>
          <w:sz w:val="16"/>
          <w:szCs w:val="16"/>
          <w:u w:val="single" w:color="auto"/>
          <w:color w:val="auto"/>
        </w:rPr>
        <w:t>Section 7.03</w:t>
      </w:r>
      <w:r>
        <w:rPr>
          <w:rFonts w:ascii="Arial" w:cs="Arial" w:eastAsia="Arial" w:hAnsi="Arial"/>
          <w:sz w:val="16"/>
          <w:szCs w:val="16"/>
          <w:color w:val="auto"/>
        </w:rPr>
        <w:t>, promptly upon the recordation of an Aircraft Security Agreement Supplement covering such Additional Aircraft pursuant to the Transportation Code (or pursuant to the applicable law of such other jurisdiction in which such Additional Aircraft is registered), the Grantor will cause to be delivered to the Trustee a favorable opinion of the Grantor’s counsel (which may be the Grantor’s General Counsel or such other internal counsel to the Grantor as shall be reasonably satisfactory to the Trustee) addressed to the Trustee as to the due registration of such Additional Aircraft and the due recordation of such Aircraft Security Agreement Supplement or such other requisite documents or instruments, the registration with the International Registry of the sale of such Additional Aircraft to the Grantor (if occurring after February 28, 2006 and if the seller of such Additional Aircraft is “situated in” a country that has ratified the Cape Town Convention) and of the International Interests created pursuant to such Aircraft Security Agreement Supplement with respect to such Additional Aircraft, and the validity and perfection of the security interest in such Additional Aircraft granted to the Trustee under this Aircraft Security Agreement.</w:t>
      </w:r>
    </w:p>
    <w:p>
      <w:pPr>
        <w:spacing w:after="0" w:line="16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all purposes hereof, upon the attachment of the Lien of this Aircraft Security Agreement thereto, such Additional Aircraft shall become part of the Aircraft Collateral, the airframe constituting part of such Additional Aircraft shall be deemed an “Airframe” as defined herein, and each engine constituting part of the Additional Aircraft shall be deemed an “Engine” as defined herein.</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Release of Aircraft from Lien of Aircraft Security Agreement</w:t>
      </w:r>
      <w:r>
        <w:rPr>
          <w:rFonts w:ascii="Arial" w:cs="Arial" w:eastAsia="Arial" w:hAnsi="Arial"/>
          <w:sz w:val="18"/>
          <w:szCs w:val="18"/>
          <w:color w:val="auto"/>
        </w:rPr>
        <w:t>. Upon the satisfaction of the requirements for the release of any Aircraft from the Lien of this Aircraft Security Agreement pursuant to this Aircraft Security Agreement, (</w:t>
      </w:r>
      <w:r>
        <w:rPr>
          <w:rFonts w:ascii="Arial" w:cs="Arial" w:eastAsia="Arial" w:hAnsi="Arial"/>
          <w:sz w:val="18"/>
          <w:szCs w:val="18"/>
          <w:u w:val="single" w:color="auto"/>
          <w:color w:val="auto"/>
        </w:rPr>
        <w:t>i</w:t>
      </w:r>
      <w:r>
        <w:rPr>
          <w:rFonts w:ascii="Arial" w:cs="Arial" w:eastAsia="Arial" w:hAnsi="Arial"/>
          <w:sz w:val="18"/>
          <w:szCs w:val="18"/>
          <w:color w:val="auto"/>
        </w:rPr>
        <w:t>) such Aircraft, all proceeds, the Warranty Rights in respect of such Aircraft and all rights relating to the foregoing shall be free and clear of the Lien of this Aircraft Security Agreement and of all rights and interests of the Trustee (and the other beneficiaries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H-32</w:t>
      </w:r>
    </w:p>
    <w:p>
      <w:pPr>
        <w:sectPr>
          <w:pgSz w:w="11900" w:h="16838" w:orient="portrait"/>
          <w:cols w:equalWidth="0" w:num="1">
            <w:col w:w="11420"/>
          </w:cols>
          <w:pgMar w:left="240" w:top="274" w:right="239" w:bottom="1440" w:gutter="0" w:footer="0" w:header="0"/>
        </w:sectPr>
      </w:pPr>
    </w:p>
    <w:bookmarkStart w:id="416" w:name="page417"/>
    <w:bookmarkEnd w:id="416"/>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(ii) the Trustee shall execute and deliver to the Grantor an appropriate instrument releasing such properties, rights, interests and privileges from the Lien of this Aircraft Security Agreement and assigning to the Grantor all claims against third Persons for damage to or loss of such Aircraft, and (iii) the Trustee will take such actions as may be required to be taken by the Trustee to cancel or release any International Interest of the Trustee registered with the International Registry in relation to such Aircraft.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Non-Lender Secured Parties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Rights to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00" w:firstLine="443"/>
        <w:spacing w:after="0" w:line="268" w:lineRule="auto"/>
        <w:tabs>
          <w:tab w:leader="none" w:pos="1113" w:val="left"/>
        </w:tabs>
        <w:numPr>
          <w:ilvl w:val="1"/>
          <w:numId w:val="465"/>
        </w:numPr>
        <w:rPr>
          <w:rFonts w:ascii="Arial" w:cs="Arial" w:eastAsia="Arial" w:hAnsi="Arial"/>
          <w:sz w:val="17"/>
          <w:szCs w:val="17"/>
          <w:color w:val="auto"/>
        </w:rPr>
      </w:pPr>
      <w:r>
        <w:rPr>
          <w:rFonts w:ascii="Arial" w:cs="Arial" w:eastAsia="Arial" w:hAnsi="Arial"/>
          <w:sz w:val="17"/>
          <w:szCs w:val="17"/>
          <w:color w:val="auto"/>
        </w:rPr>
        <w:t>The Non-Lender Secured Parties shall not have any right whatsoever to do any of the following: (</w:t>
      </w:r>
      <w:r>
        <w:rPr>
          <w:rFonts w:ascii="Arial" w:cs="Arial" w:eastAsia="Arial" w:hAnsi="Arial"/>
          <w:sz w:val="17"/>
          <w:szCs w:val="17"/>
          <w:u w:val="single" w:color="auto"/>
          <w:color w:val="auto"/>
        </w:rPr>
        <w:t>A</w:t>
      </w:r>
      <w:r>
        <w:rPr>
          <w:rFonts w:ascii="Arial" w:cs="Arial" w:eastAsia="Arial" w:hAnsi="Arial"/>
          <w:sz w:val="17"/>
          <w:szCs w:val="17"/>
          <w:color w:val="auto"/>
        </w:rPr>
        <w:t>) exercise any rights or remedies with respect to the Aircraft Collateral or to direct the Trustee to do the same, including, without limitation, the right to (</w:t>
      </w:r>
      <w:r>
        <w:rPr>
          <w:rFonts w:ascii="Arial" w:cs="Arial" w:eastAsia="Arial" w:hAnsi="Arial"/>
          <w:sz w:val="17"/>
          <w:szCs w:val="17"/>
          <w:u w:val="single" w:color="auto"/>
          <w:color w:val="auto"/>
        </w:rPr>
        <w:t>1</w:t>
      </w:r>
      <w:r>
        <w:rPr>
          <w:rFonts w:ascii="Arial" w:cs="Arial" w:eastAsia="Arial" w:hAnsi="Arial"/>
          <w:sz w:val="17"/>
          <w:szCs w:val="17"/>
          <w:color w:val="auto"/>
        </w:rPr>
        <w:t>) enforce any Liens or sell or otherwise foreclose on any portion of the Aircraft Collateral, (</w:t>
      </w:r>
      <w:r>
        <w:rPr>
          <w:rFonts w:ascii="Arial" w:cs="Arial" w:eastAsia="Arial" w:hAnsi="Arial"/>
          <w:sz w:val="17"/>
          <w:szCs w:val="17"/>
          <w:u w:val="single" w:color="auto"/>
          <w:color w:val="auto"/>
        </w:rPr>
        <w:t>2</w:t>
      </w:r>
      <w:r>
        <w:rPr>
          <w:rFonts w:ascii="Arial" w:cs="Arial" w:eastAsia="Arial" w:hAnsi="Arial"/>
          <w:sz w:val="17"/>
          <w:szCs w:val="17"/>
          <w:color w:val="auto"/>
        </w:rPr>
        <w:t>) request any action, institute any proceedings, exercise any voting rights, give any instructions, make any election or make collections with respect to all or any portion of the Aircraft Collateral or (</w:t>
      </w:r>
      <w:r>
        <w:rPr>
          <w:rFonts w:ascii="Arial" w:cs="Arial" w:eastAsia="Arial" w:hAnsi="Arial"/>
          <w:sz w:val="17"/>
          <w:szCs w:val="17"/>
          <w:u w:val="single" w:color="auto"/>
          <w:color w:val="auto"/>
        </w:rPr>
        <w:t>3</w:t>
      </w:r>
      <w:r>
        <w:rPr>
          <w:rFonts w:ascii="Arial" w:cs="Arial" w:eastAsia="Arial" w:hAnsi="Arial"/>
          <w:sz w:val="17"/>
          <w:szCs w:val="17"/>
          <w:color w:val="auto"/>
        </w:rPr>
        <w:t>) release the Grantor under this Aircraft Security Agreement or release any Aircraft Collateral from the Liens of any Collateral Document or consent to or otherwise approve any such release; (</w:t>
      </w:r>
      <w:r>
        <w:rPr>
          <w:rFonts w:ascii="Arial" w:cs="Arial" w:eastAsia="Arial" w:hAnsi="Arial"/>
          <w:sz w:val="17"/>
          <w:szCs w:val="17"/>
          <w:u w:val="single" w:color="auto"/>
          <w:color w:val="auto"/>
        </w:rPr>
        <w:t>B</w:t>
      </w:r>
      <w:r>
        <w:rPr>
          <w:rFonts w:ascii="Arial" w:cs="Arial" w:eastAsia="Arial" w:hAnsi="Arial"/>
          <w:sz w:val="17"/>
          <w:szCs w:val="17"/>
          <w:color w:val="auto"/>
        </w:rPr>
        <w:t>) demand, accept or obtain any Lien on any Aircraft Collateral (except for Liens arising under, and subject to the terms of, this Aircraft Security Agreement); (</w:t>
      </w:r>
      <w:r>
        <w:rPr>
          <w:rFonts w:ascii="Arial" w:cs="Arial" w:eastAsia="Arial" w:hAnsi="Arial"/>
          <w:sz w:val="17"/>
          <w:szCs w:val="17"/>
          <w:u w:val="single" w:color="auto"/>
          <w:color w:val="auto"/>
        </w:rPr>
        <w:t>C</w:t>
      </w:r>
      <w:r>
        <w:rPr>
          <w:rFonts w:ascii="Arial" w:cs="Arial" w:eastAsia="Arial" w:hAnsi="Arial"/>
          <w:sz w:val="17"/>
          <w:szCs w:val="17"/>
          <w:color w:val="auto"/>
        </w:rPr>
        <w:t xml:space="preserve">) vote in any New Bankruptcy Case or similar proceeding in respect of Parent or any of its Subsidiaries (any such proceeding, for purposes of this </w:t>
      </w:r>
      <w:r>
        <w:rPr>
          <w:rFonts w:ascii="Arial" w:cs="Arial" w:eastAsia="Arial" w:hAnsi="Arial"/>
          <w:sz w:val="17"/>
          <w:szCs w:val="17"/>
          <w:u w:val="single" w:color="auto"/>
          <w:color w:val="auto"/>
        </w:rPr>
        <w:t>clause (i)</w:t>
      </w:r>
      <w:r>
        <w:rPr>
          <w:rFonts w:ascii="Arial" w:cs="Arial" w:eastAsia="Arial" w:hAnsi="Arial"/>
          <w:sz w:val="17"/>
          <w:szCs w:val="17"/>
          <w:color w:val="auto"/>
        </w:rPr>
        <w:t>, a “</w:t>
      </w:r>
      <w:r>
        <w:rPr>
          <w:rFonts w:ascii="Arial" w:cs="Arial" w:eastAsia="Arial" w:hAnsi="Arial"/>
          <w:sz w:val="17"/>
          <w:szCs w:val="17"/>
          <w:u w:val="single" w:color="auto"/>
          <w:color w:val="auto"/>
        </w:rPr>
        <w:t>Bankruptcy</w:t>
      </w:r>
      <w:r>
        <w:rPr>
          <w:rFonts w:ascii="Arial" w:cs="Arial" w:eastAsia="Arial" w:hAnsi="Arial"/>
          <w:sz w:val="17"/>
          <w:szCs w:val="17"/>
          <w:color w:val="auto"/>
        </w:rPr>
        <w:t>”) with respect to, or take any other actions concerning the Aircraft Collateral; (</w:t>
      </w:r>
      <w:r>
        <w:rPr>
          <w:rFonts w:ascii="Arial" w:cs="Arial" w:eastAsia="Arial" w:hAnsi="Arial"/>
          <w:sz w:val="17"/>
          <w:szCs w:val="17"/>
          <w:u w:val="single" w:color="auto"/>
          <w:color w:val="auto"/>
        </w:rPr>
        <w:t>D</w:t>
      </w:r>
      <w:r>
        <w:rPr>
          <w:rFonts w:ascii="Arial" w:cs="Arial" w:eastAsia="Arial" w:hAnsi="Arial"/>
          <w:sz w:val="17"/>
          <w:szCs w:val="17"/>
          <w:color w:val="auto"/>
        </w:rPr>
        <w:t>) receive any proceeds from any sale, transfer or other disposition of any of the Aircraft Collateral (except in accordance with this Aircraft Security Agreement); (</w:t>
      </w:r>
      <w:r>
        <w:rPr>
          <w:rFonts w:ascii="Arial" w:cs="Arial" w:eastAsia="Arial" w:hAnsi="Arial"/>
          <w:sz w:val="17"/>
          <w:szCs w:val="17"/>
          <w:u w:val="single" w:color="auto"/>
          <w:color w:val="auto"/>
        </w:rPr>
        <w:t>E</w:t>
      </w:r>
      <w:r>
        <w:rPr>
          <w:rFonts w:ascii="Arial" w:cs="Arial" w:eastAsia="Arial" w:hAnsi="Arial"/>
          <w:sz w:val="17"/>
          <w:szCs w:val="17"/>
          <w:color w:val="auto"/>
        </w:rPr>
        <w:t>) oppose any sale, transfer or other disposition of the Aircraft Collateral; (</w:t>
      </w:r>
      <w:r>
        <w:rPr>
          <w:rFonts w:ascii="Arial" w:cs="Arial" w:eastAsia="Arial" w:hAnsi="Arial"/>
          <w:sz w:val="17"/>
          <w:szCs w:val="17"/>
          <w:u w:val="single" w:color="auto"/>
          <w:color w:val="auto"/>
        </w:rPr>
        <w:t>F</w:t>
      </w:r>
      <w:r>
        <w:rPr>
          <w:rFonts w:ascii="Arial" w:cs="Arial" w:eastAsia="Arial" w:hAnsi="Arial"/>
          <w:sz w:val="17"/>
          <w:szCs w:val="17"/>
          <w:color w:val="auto"/>
        </w:rPr>
        <w:t>) object to any debtor-in-possession financing in any Bankruptcy which is provided by one or more Lenders among others (including on a priming basis under Section 364(d) of the Bankruptcy Code); (</w:t>
      </w:r>
      <w:r>
        <w:rPr>
          <w:rFonts w:ascii="Arial" w:cs="Arial" w:eastAsia="Arial" w:hAnsi="Arial"/>
          <w:sz w:val="17"/>
          <w:szCs w:val="17"/>
          <w:u w:val="single" w:color="auto"/>
          <w:color w:val="auto"/>
        </w:rPr>
        <w:t>G</w:t>
      </w:r>
      <w:r>
        <w:rPr>
          <w:rFonts w:ascii="Arial" w:cs="Arial" w:eastAsia="Arial" w:hAnsi="Arial"/>
          <w:sz w:val="17"/>
          <w:szCs w:val="17"/>
          <w:color w:val="auto"/>
        </w:rPr>
        <w:t>) object to the use of cash collateral in respect of the Aircraft Collateral in any Bankruptcy; or (</w:t>
      </w:r>
      <w:r>
        <w:rPr>
          <w:rFonts w:ascii="Arial" w:cs="Arial" w:eastAsia="Arial" w:hAnsi="Arial"/>
          <w:sz w:val="17"/>
          <w:szCs w:val="17"/>
          <w:u w:val="single" w:color="auto"/>
          <w:color w:val="auto"/>
        </w:rPr>
        <w:t>H</w:t>
      </w:r>
      <w:r>
        <w:rPr>
          <w:rFonts w:ascii="Arial" w:cs="Arial" w:eastAsia="Arial" w:hAnsi="Arial"/>
          <w:sz w:val="17"/>
          <w:szCs w:val="17"/>
          <w:color w:val="auto"/>
        </w:rPr>
        <w:t>) seek, or object to the Lenders, the Administrative Agent, the Collateral Agent or the Trustee seeking on an equal and ratable basis, any adequate protection or relief from the automatic stay with respect to the Aircraft Collateral in any Bankruptcy.</w:t>
      </w:r>
    </w:p>
    <w:p>
      <w:pPr>
        <w:spacing w:after="0" w:line="77" w:lineRule="exact"/>
        <w:rPr>
          <w:rFonts w:ascii="Arial" w:cs="Arial" w:eastAsia="Arial" w:hAnsi="Arial"/>
          <w:sz w:val="17"/>
          <w:szCs w:val="17"/>
          <w:color w:val="auto"/>
        </w:rPr>
      </w:pPr>
    </w:p>
    <w:p>
      <w:pPr>
        <w:ind w:left="460" w:right="120" w:firstLine="443"/>
        <w:spacing w:after="0" w:line="259" w:lineRule="auto"/>
        <w:tabs>
          <w:tab w:leader="none" w:pos="1163" w:val="left"/>
        </w:tabs>
        <w:numPr>
          <w:ilvl w:val="1"/>
          <w:numId w:val="465"/>
        </w:numPr>
        <w:rPr>
          <w:rFonts w:ascii="Arial" w:cs="Arial" w:eastAsia="Arial" w:hAnsi="Arial"/>
          <w:sz w:val="18"/>
          <w:szCs w:val="18"/>
          <w:color w:val="auto"/>
        </w:rPr>
      </w:pPr>
      <w:r>
        <w:rPr>
          <w:rFonts w:ascii="Arial" w:cs="Arial" w:eastAsia="Arial" w:hAnsi="Arial"/>
          <w:sz w:val="18"/>
          <w:szCs w:val="18"/>
          <w:color w:val="auto"/>
        </w:rPr>
        <w:t>Each Non-Lender Secured Party, by its acceptance of the benefits of this Aircraft Security Agreement and the other Collateral Documents, agrees that in exercising rights and remedies with respect to the Aircraft Collateral, the Trustee, the Collateral Agent and the Lenders, with the consent of the Collateral Agent, may enforce the provisions of the Collateral Documents and exercise remedies thereunder and under any other Loan Documents (or refrain from</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H-33</w:t>
      </w:r>
    </w:p>
    <w:p>
      <w:pPr>
        <w:sectPr>
          <w:pgSz w:w="11900" w:h="16838" w:orient="portrait"/>
          <w:cols w:equalWidth="0" w:num="1">
            <w:col w:w="11420"/>
          </w:cols>
          <w:pgMar w:left="240" w:top="274" w:right="239" w:bottom="1440" w:gutter="0" w:footer="0" w:header="0"/>
        </w:sectPr>
      </w:pPr>
    </w:p>
    <w:bookmarkStart w:id="417" w:name="page418"/>
    <w:bookmarkEnd w:id="417"/>
    <w:p>
      <w:pPr>
        <w:ind w:left="460"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enforcing rights and exercising remedies), all in such order and in such manner as they may determine in the exercise of their sole business judgment and subject to the terms of any Intercreditor Agreement and any Other Intercreditor Agreement. Such exercise and enforcement shall include, without limitation, the rights to collect, sell, dispose of or otherwise realize upon all or any part of the Collateral, to incur expenses in connection with such collection, sale, disposition or other realization and to exercise all the rights and remedies of a secured lender under the UCC. The Non-Lender Secured Parties by their acceptance of the benefits of this Aircraft Security Agreement and the other Collateral Documents hereby agree not to contest or otherwise challenge any such collection, sale, disposition or other realization of or upon all or any of the Aircraft Collateral. Whether or not a New Bankruptcy Case has been commenced, the Non-Lender Secured Parties shall be deemed to have consented to any sale or other disposition of any property, business or assets of Parent or any of its Subsidiaries and the release of any or all of the Aircraft Collateral from the Liens of any Collateral Document in connection therewith.</w:t>
      </w:r>
    </w:p>
    <w:p>
      <w:pPr>
        <w:spacing w:after="0" w:line="74" w:lineRule="exact"/>
        <w:rPr>
          <w:sz w:val="20"/>
          <w:szCs w:val="20"/>
          <w:color w:val="auto"/>
        </w:rPr>
      </w:pPr>
    </w:p>
    <w:p>
      <w:pPr>
        <w:ind w:left="460" w:right="100" w:firstLine="443"/>
        <w:spacing w:after="0" w:line="291" w:lineRule="auto"/>
        <w:tabs>
          <w:tab w:leader="none" w:pos="1213" w:val="left"/>
        </w:tabs>
        <w:numPr>
          <w:ilvl w:val="1"/>
          <w:numId w:val="466"/>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w:t>
      </w:r>
      <w:r>
        <w:rPr>
          <w:rFonts w:ascii="Arial" w:cs="Arial" w:eastAsia="Arial" w:hAnsi="Arial"/>
          <w:sz w:val="16"/>
          <w:szCs w:val="16"/>
          <w:u w:val="single" w:color="auto"/>
          <w:color w:val="auto"/>
        </w:rPr>
        <w:t>Section 7.05(a)</w:t>
      </w:r>
      <w:r>
        <w:rPr>
          <w:rFonts w:ascii="Arial" w:cs="Arial" w:eastAsia="Arial" w:hAnsi="Arial"/>
          <w:sz w:val="16"/>
          <w:szCs w:val="16"/>
          <w:color w:val="auto"/>
        </w:rPr>
        <w:t>, the Non-Lender Secured Parties shall be entitled, subject to any Intercreditor Agreement and any Other Intercreditor Agreement, to file any necessary responsive or defensive pleadings in opposition to any motion, claim, adversary proceeding or other pleadings (</w:t>
      </w:r>
      <w:r>
        <w:rPr>
          <w:rFonts w:ascii="Arial" w:cs="Arial" w:eastAsia="Arial" w:hAnsi="Arial"/>
          <w:sz w:val="16"/>
          <w:szCs w:val="16"/>
          <w:u w:val="single" w:color="auto"/>
          <w:color w:val="auto"/>
        </w:rPr>
        <w:t>A</w:t>
      </w:r>
      <w:r>
        <w:rPr>
          <w:rFonts w:ascii="Arial" w:cs="Arial" w:eastAsia="Arial" w:hAnsi="Arial"/>
          <w:sz w:val="16"/>
          <w:szCs w:val="16"/>
          <w:color w:val="auto"/>
        </w:rPr>
        <w:t>) in order to prevent any Person from seeking to foreclose on the Aircraft Collateral or supersede the Non-Lender Secured Parties’ claim thereto or (</w:t>
      </w:r>
      <w:r>
        <w:rPr>
          <w:rFonts w:ascii="Arial" w:cs="Arial" w:eastAsia="Arial" w:hAnsi="Arial"/>
          <w:sz w:val="16"/>
          <w:szCs w:val="16"/>
          <w:u w:val="single" w:color="auto"/>
          <w:color w:val="auto"/>
        </w:rPr>
        <w:t>B</w:t>
      </w:r>
      <w:r>
        <w:rPr>
          <w:rFonts w:ascii="Arial" w:cs="Arial" w:eastAsia="Arial" w:hAnsi="Arial"/>
          <w:sz w:val="16"/>
          <w:szCs w:val="16"/>
          <w:color w:val="auto"/>
        </w:rPr>
        <w:t>) in opposition to any motion, claim, adversary proceeding or other pleading made by any Person objecting to or otherwise seeking the disallowance of the claims of the Non-Lender Secured Parties. Each Non-Lender Secured Party, by its acceptance of the benefits of this Aircraft Security Agreement, agrees to be bound by and to comply with any Intercreditor Agreement and any Other Intercreditor Agreement and authorizes the Trustee to enter into the Intercreditor Agreements and Other Intercreditor Agreements on its behalf.</w:t>
      </w:r>
    </w:p>
    <w:p>
      <w:pPr>
        <w:spacing w:after="0" w:line="59" w:lineRule="exact"/>
        <w:rPr>
          <w:rFonts w:ascii="Arial" w:cs="Arial" w:eastAsia="Arial" w:hAnsi="Arial"/>
          <w:sz w:val="16"/>
          <w:szCs w:val="16"/>
          <w:color w:val="auto"/>
        </w:rPr>
      </w:pPr>
    </w:p>
    <w:p>
      <w:pPr>
        <w:ind w:left="460" w:right="140" w:firstLine="443"/>
        <w:spacing w:after="0" w:line="259" w:lineRule="auto"/>
        <w:tabs>
          <w:tab w:leader="none" w:pos="1203" w:val="left"/>
        </w:tabs>
        <w:numPr>
          <w:ilvl w:val="1"/>
          <w:numId w:val="466"/>
        </w:numPr>
        <w:rPr>
          <w:rFonts w:ascii="Arial" w:cs="Arial" w:eastAsia="Arial" w:hAnsi="Arial"/>
          <w:sz w:val="18"/>
          <w:szCs w:val="18"/>
          <w:color w:val="auto"/>
        </w:rPr>
      </w:pPr>
      <w:r>
        <w:rPr>
          <w:rFonts w:ascii="Arial" w:cs="Arial" w:eastAsia="Arial" w:hAnsi="Arial"/>
          <w:sz w:val="18"/>
          <w:szCs w:val="18"/>
          <w:color w:val="auto"/>
        </w:rPr>
        <w:t>Each Non-Lender Secured Party, by its acceptance of the benefits of this Aircraft Security Agreement, agrees that the Collateral Agent and the Lenders may deal with the Aircraft Collateral, including any exchange, taking or release of Aircraft Collateral, may change or increase the amount of the Obligations, and may release any Grantor from its Obligations hereunder, all without any liability or obligation (except as may be otherwise expressly provided herein) to the Non-Lender Secured Parties.</w:t>
      </w:r>
    </w:p>
    <w:p>
      <w:pPr>
        <w:spacing w:after="0" w:line="186" w:lineRule="exact"/>
        <w:rPr>
          <w:rFonts w:ascii="Arial" w:cs="Arial" w:eastAsia="Arial" w:hAnsi="Arial"/>
          <w:sz w:val="18"/>
          <w:szCs w:val="18"/>
          <w:color w:val="auto"/>
        </w:rPr>
      </w:pPr>
    </w:p>
    <w:p>
      <w:pPr>
        <w:ind w:right="140" w:firstLine="464"/>
        <w:spacing w:after="0" w:line="264" w:lineRule="auto"/>
        <w:tabs>
          <w:tab w:leader="none" w:pos="711"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Appointment of Agent</w:t>
      </w:r>
      <w:r>
        <w:rPr>
          <w:rFonts w:ascii="Arial" w:cs="Arial" w:eastAsia="Arial" w:hAnsi="Arial"/>
          <w:sz w:val="18"/>
          <w:szCs w:val="18"/>
          <w:color w:val="auto"/>
        </w:rPr>
        <w:t>. Each Non-Lender Secured Party, by its acceptance of the benefits of this Aircraft Security Agreement and the other Collateral Documents, shall be deemed irrevocably to make, constitute and appoint the Trustee, as agent of the Collateral Agent under the Credit Agreement (and all officers, employees or</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H-34</w:t>
      </w:r>
    </w:p>
    <w:p>
      <w:pPr>
        <w:sectPr>
          <w:pgSz w:w="11900" w:h="16838" w:orient="portrait"/>
          <w:cols w:equalWidth="0" w:num="1">
            <w:col w:w="11420"/>
          </w:cols>
          <w:pgMar w:left="240" w:top="273" w:right="239" w:bottom="1440" w:gutter="0" w:footer="0" w:header="0"/>
        </w:sectPr>
      </w:pPr>
    </w:p>
    <w:bookmarkStart w:id="418" w:name="page419"/>
    <w:bookmarkEnd w:id="41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agents designated by the Trustee) as such Person’s true and lawful agent and attorney-in-fact, and in such capacity, the Trustee shall have the right, with power of substitution for the Non-Lender Secured Parties and in each such Person’s name or otherwise, to effectuate any sale, transfer or other disposition of the Aircraft Collateral. It is understood and agreed that the appointment of the Trustee as the agent and attorney-in-fact of the Non-Lender Secured Parties for the purposes set forth herein is coupled with an interest and is irrevocable. It is understood and agreed that the Trustee has appointed the Administrative Agent as its agent for purposes of perfecting certain of the security interests created hereunder and for otherwise carrying out certain of its obligations hereunder.</w:t>
      </w:r>
    </w:p>
    <w:p>
      <w:pPr>
        <w:spacing w:after="0" w:line="158" w:lineRule="exact"/>
        <w:rPr>
          <w:sz w:val="20"/>
          <w:szCs w:val="20"/>
          <w:color w:val="auto"/>
        </w:rPr>
      </w:pPr>
    </w:p>
    <w:p>
      <w:pPr>
        <w:ind w:firstLine="464"/>
        <w:spacing w:after="0" w:line="270" w:lineRule="auto"/>
        <w:tabs>
          <w:tab w:leader="none" w:pos="701"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Waiver of Claims</w:t>
      </w:r>
      <w:r>
        <w:rPr>
          <w:rFonts w:ascii="Arial" w:cs="Arial" w:eastAsia="Arial" w:hAnsi="Arial"/>
          <w:sz w:val="17"/>
          <w:szCs w:val="17"/>
          <w:color w:val="auto"/>
        </w:rPr>
        <w:t xml:space="preserve">. To the maximum extent permitted by law, each Non-Lender Secured Party waives any claim it might have against the Trustee, the Collateral Agent or the Lenders with respect to, or arising out of, any action or failure to act or any error of judgment, negligence, or mistake or oversight whatsoever on the part of the Trustee, the Collateral Agent or the Lenders or their respective directors, officers, employees or agents with respect to any exercise of rights or remedies under the Loan Documents or any transaction relating to the Aircraft Collateral (including, without limitation, any such exercise described in </w:t>
      </w:r>
      <w:r>
        <w:rPr>
          <w:rFonts w:ascii="Arial" w:cs="Arial" w:eastAsia="Arial" w:hAnsi="Arial"/>
          <w:sz w:val="17"/>
          <w:szCs w:val="17"/>
          <w:u w:val="single" w:color="auto"/>
          <w:color w:val="auto"/>
        </w:rPr>
        <w:t>Section 7.05(a)(ii)</w:t>
      </w:r>
      <w:r>
        <w:rPr>
          <w:rFonts w:ascii="Arial" w:cs="Arial" w:eastAsia="Arial" w:hAnsi="Arial"/>
          <w:sz w:val="17"/>
          <w:szCs w:val="17"/>
          <w:color w:val="auto"/>
        </w:rPr>
        <w:t>), except for any such action or failure to act that constitutes willful misconduct or gross negligence of such Person. To the maximum extent permitted by applicable law, none of the Trustee, the Collateral Agent or any Lender or any of their respective directors, officers, employees or agents shall be liable for failure to demand, collect or realize upon any of the Aircraft Collateral or for any delay in doing so or shall be under any obligation to sell or otherwise dispose of any Aircraft Collateral upon the request of Parent, any Subsidiary of Parent, any Non-Lender Secured Party or any other Person or to take any other action or forbear from doing so whatsoever with regard to the Aircraft Collateral or any part thereof, except for any such action or failure to act that constitutes willful misconduct or gross negligence of such Person.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Termination of this Aircraft Security Agreement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without in any way limiting provisions regarding any release of the Lien of this Aircraft Security Agreement contained in such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7.04</w:t>
      </w:r>
      <w:r>
        <w:rPr>
          <w:rFonts w:ascii="Arial" w:cs="Arial" w:eastAsia="Arial" w:hAnsi="Arial"/>
          <w:sz w:val="16"/>
          <w:szCs w:val="16"/>
          <w:color w:val="auto"/>
        </w:rPr>
        <w:t>, as applicable):</w:t>
      </w:r>
    </w:p>
    <w:p>
      <w:pPr>
        <w:spacing w:after="0" w:line="16" w:lineRule="exact"/>
        <w:rPr>
          <w:sz w:val="20"/>
          <w:szCs w:val="20"/>
          <w:color w:val="auto"/>
        </w:rPr>
      </w:pPr>
    </w:p>
    <w:p>
      <w:pPr>
        <w:ind w:left="460" w:right="20" w:firstLine="4"/>
        <w:spacing w:after="0" w:line="264" w:lineRule="auto"/>
        <w:tabs>
          <w:tab w:leader="none" w:pos="70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At such time as the Obligations (other than any Obligations owing to a Non-Lender Secured Party) then due and owing shall have been paid in full, the Commitments under the Credit Agreement have been terminated and no Letters of Credit shall be outstanding (except for Letters of Credit that have been cash</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H-35</w:t>
      </w:r>
    </w:p>
    <w:p>
      <w:pPr>
        <w:sectPr>
          <w:pgSz w:w="11900" w:h="16838" w:orient="portrait"/>
          <w:cols w:equalWidth="0" w:num="1">
            <w:col w:w="11420"/>
          </w:cols>
          <w:pgMar w:left="240" w:top="274" w:right="239" w:bottom="1440" w:gutter="0" w:footer="0" w:header="0"/>
        </w:sectPr>
      </w:pPr>
    </w:p>
    <w:bookmarkStart w:id="419" w:name="page420"/>
    <w:bookmarkEnd w:id="419"/>
    <w:p>
      <w:pPr>
        <w:ind w:left="46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collateralized or otherwise provided for in a manner reasonably satisfactory to the Administrative Agent), all Aircraft Collateral shall be released from the Liens created hereby, and this Aircraft Security Agreement and all obligations (other than those expressly stated to survive such termination) of the Trustee and the Grantor shall terminate, all without delivery of any instrument or performance of any act by any party, and all rights to the Aircraft Collateral shall revert to the Grantor. At the request and sole expense of the Grantor following any such termination, the Trustee shall execute, acknowledge and deliver to the Grantor such releases, instruments or other documents and do or cause to be done all other acts, as the Grantor shall reasonably request to evidence such termination.</w:t>
      </w:r>
    </w:p>
    <w:p>
      <w:pPr>
        <w:spacing w:after="0" w:line="85" w:lineRule="exact"/>
        <w:rPr>
          <w:sz w:val="20"/>
          <w:szCs w:val="20"/>
          <w:color w:val="auto"/>
        </w:rPr>
      </w:pPr>
    </w:p>
    <w:p>
      <w:pPr>
        <w:ind w:left="460" w:right="60" w:firstLine="4"/>
        <w:spacing w:after="0" w:line="270" w:lineRule="auto"/>
        <w:tabs>
          <w:tab w:leader="none" w:pos="715" w:val="left"/>
        </w:tabs>
        <w:numPr>
          <w:ilvl w:val="0"/>
          <w:numId w:val="470"/>
        </w:numPr>
        <w:rPr>
          <w:rFonts w:ascii="Arial" w:cs="Arial" w:eastAsia="Arial" w:hAnsi="Arial"/>
          <w:sz w:val="17"/>
          <w:szCs w:val="17"/>
          <w:color w:val="auto"/>
        </w:rPr>
      </w:pPr>
      <w:r>
        <w:rPr>
          <w:rFonts w:ascii="Arial" w:cs="Arial" w:eastAsia="Arial" w:hAnsi="Arial"/>
          <w:sz w:val="17"/>
          <w:szCs w:val="17"/>
          <w:color w:val="auto"/>
        </w:rPr>
        <w:t>Upon any Permitted Disposition of Aircraft Collateral (whether by way of the sale of Aircraft Collateral or the sale of Capital Stock of the Grantor of such Aircraft Collateral) permitted by the Credit Agreement, the Lien pursuant to this Aircraft Security Agreement on the Aircraft Collateral subject to such sale or other disposition (or in the case of a sale of Capital Stock of the Grantor, the Grantor’s Aircraft Collateral) shall be automatically released. In connection with any other Disposition of Aircraft Collateral (whether by way of the sale of Aircraft Collateral or the sale of Capital Stock of the Grantor of such Aircraft Collateral) permitted under the Credit Agreement, the Trustee shall, upon receipt from the Grantor of a written request for the release of the Aircraft Collateral subject to such sale or other disposition (or in the case of a sale of Capital Stock of the Grantor, the release of the Grantor’s Aircraft Collateral), at the Grantor’s sole cost and expense, execute, acknowledge and deliver to the Grantor such releases, instruments or other documents, and do or cause to be done all other acts, as the Grantor shall reasonably request to evidence or effect the release of the Liens created hereby (if any) on such Aircraft Collateral.</w:t>
      </w:r>
    </w:p>
    <w:p>
      <w:pPr>
        <w:spacing w:after="0" w:line="18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No Legal Title to Aircraft Collateral in the Secured Parties</w:t>
      </w:r>
      <w:r>
        <w:rPr>
          <w:rFonts w:ascii="Arial" w:cs="Arial" w:eastAsia="Arial" w:hAnsi="Arial"/>
          <w:sz w:val="18"/>
          <w:szCs w:val="18"/>
          <w:color w:val="auto"/>
        </w:rPr>
        <w:t>. No holder of any Obligation shall have legal title to any part of the Aircraft Collateral. No transfer, by operation of law or otherwise, of any Obligations or other right, title and interest of any Secured Party in and to the Aircraft Collateral or hereunder shall operate to terminate this Aircraft Security Agreement or entitle such holder or any successor or transferee of such holder to an accounting or to the transfer to it of any legal title to any part of the Aircraft Collateral.</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Sale by the Trustee Is Binding</w:t>
      </w:r>
      <w:r>
        <w:rPr>
          <w:rFonts w:ascii="Arial" w:cs="Arial" w:eastAsia="Arial" w:hAnsi="Arial"/>
          <w:sz w:val="17"/>
          <w:szCs w:val="17"/>
          <w:color w:val="auto"/>
        </w:rPr>
        <w:t>. Any sale or other conveyance of any Aircraft, the related Airframe, any related Engine or any interest therein by the Trustee made pursuant to the terms of this Aircraft Security Agreement shall bind the Secured Parties and the Grantor and shall be effective to transfer or convey all right, title and interest of the Trustee, the Grantor and such Secured Parties in and to such Aircraft, Airframe, Engine or interest therein. No purchaser or other grantee shall be required to inquire as to the authorization, necessity, expediency or regularity of such sale or conveyance or as to the application of any sale or other proceeds with respect thereto by the Trustee or the other Secured Parties.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H-36</w:t>
      </w:r>
    </w:p>
    <w:p>
      <w:pPr>
        <w:sectPr>
          <w:pgSz w:w="11900" w:h="16838" w:orient="portrait"/>
          <w:cols w:equalWidth="0" w:num="1">
            <w:col w:w="11420"/>
          </w:cols>
          <w:pgMar w:left="240" w:top="274" w:right="239" w:bottom="1440" w:gutter="0" w:footer="0" w:header="0"/>
        </w:sectPr>
      </w:pPr>
    </w:p>
    <w:bookmarkStart w:id="420" w:name="page421"/>
    <w:bookmarkEnd w:id="420"/>
    <w:p>
      <w:pPr>
        <w:ind w:right="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8.04. </w:t>
      </w:r>
      <w:r>
        <w:rPr>
          <w:rFonts w:ascii="Arial" w:cs="Arial" w:eastAsia="Arial" w:hAnsi="Arial"/>
          <w:sz w:val="17"/>
          <w:szCs w:val="17"/>
          <w:u w:val="single" w:color="auto"/>
          <w:color w:val="auto"/>
        </w:rPr>
        <w:t>This Aircraft Security Agreement for the Benefit of the Grantor, the Trustee, the Collateral Agent and the Secured Parties</w:t>
      </w:r>
      <w:r>
        <w:rPr>
          <w:rFonts w:ascii="Arial" w:cs="Arial" w:eastAsia="Arial" w:hAnsi="Arial"/>
          <w:sz w:val="17"/>
          <w:szCs w:val="17"/>
          <w:color w:val="auto"/>
        </w:rPr>
        <w:t xml:space="preserve">. Nothing in this Aircraft Security Agreement, whether express or implied, shall be construed to give any Person other than the Grantor, the Trustee, the Collateral Agent and the other Secured Parties any legal or equitable right, remedy or claim under or in respect of this Aircraft Security Agreement, except that the Persons referred to in the second to last full paragraph of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shall be third party beneficiaries of such paragraph.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480" w:firstLine="464"/>
        <w:spacing w:after="0" w:line="264" w:lineRule="auto"/>
        <w:tabs>
          <w:tab w:leader="none" w:pos="701"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Except in the case of notices and other communications expressly permitted to be given by telephone (and subject to paragraph (b) below), all notices and other communications provided for herein shall be in writing (including by facsimile or electronic mail), and shall be delivered by hand or overnight courier service, mailed by certified or registered mail or sent by facsimile, as follows:</w:t>
      </w:r>
    </w:p>
    <w:p>
      <w:pPr>
        <w:sectPr>
          <w:pgSz w:w="11900" w:h="16838" w:orient="portrait"/>
          <w:cols w:equalWidth="0" w:num="1">
            <w:col w:w="11420"/>
          </w:cols>
          <w:pgMar w:left="240" w:top="273" w:right="239" w:bottom="1440" w:gutter="0" w:footer="0" w:header="0"/>
        </w:sectPr>
      </w:pPr>
    </w:p>
    <w:p>
      <w:pPr>
        <w:spacing w:after="0" w:line="73" w:lineRule="exact"/>
        <w:rPr>
          <w:sz w:val="20"/>
          <w:szCs w:val="20"/>
          <w:color w:val="auto"/>
        </w:rPr>
      </w:pPr>
    </w:p>
    <w:p>
      <w:pPr>
        <w:ind w:left="900"/>
        <w:spacing w:after="0"/>
        <w:tabs>
          <w:tab w:leader="none" w:pos="3440" w:val="left"/>
        </w:tabs>
        <w:rPr>
          <w:sz w:val="20"/>
          <w:szCs w:val="20"/>
          <w:color w:val="auto"/>
        </w:rPr>
      </w:pPr>
      <w:r>
        <w:rPr>
          <w:rFonts w:ascii="Arial" w:cs="Arial" w:eastAsia="Arial" w:hAnsi="Arial"/>
          <w:sz w:val="18"/>
          <w:szCs w:val="18"/>
          <w:color w:val="auto"/>
        </w:rPr>
        <w:t>(i) if to the Grantor, to it at [</w:t>
      </w:r>
      <w:r>
        <w:rPr>
          <w:sz w:val="20"/>
          <w:szCs w:val="20"/>
          <w:color w:val="auto"/>
        </w:rPr>
        <w:tab/>
      </w:r>
      <w:r>
        <w:rPr>
          <w:rFonts w:ascii="Arial" w:cs="Arial" w:eastAsia="Arial" w:hAnsi="Arial"/>
          <w:sz w:val="17"/>
          <w:szCs w:val="17"/>
          <w:color w:val="auto"/>
        </w:rPr>
        <w:t>], Facsimile No.: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email: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in each case Attention: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 with copies (which shall not</w:t>
      </w:r>
    </w:p>
    <w:p>
      <w:pPr>
        <w:spacing w:after="0" w:line="45" w:lineRule="exact"/>
        <w:rPr>
          <w:sz w:val="20"/>
          <w:szCs w:val="20"/>
          <w:color w:val="auto"/>
        </w:rPr>
      </w:pPr>
    </w:p>
    <w:p>
      <w:pPr>
        <w:sectPr>
          <w:pgSz w:w="11900" w:h="16838" w:orient="portrait"/>
          <w:cols w:equalWidth="0" w:num="4">
            <w:col w:w="4780" w:space="540"/>
            <w:col w:w="700" w:space="540"/>
            <w:col w:w="1900" w:space="540"/>
            <w:col w:w="2420"/>
          </w:cols>
          <w:pgMar w:left="240" w:top="273" w:right="239" w:bottom="1440" w:gutter="0" w:footer="0" w:header="0"/>
          <w:type w:val="continuous"/>
        </w:sectPr>
      </w:pPr>
    </w:p>
    <w:p>
      <w:pPr>
        <w:ind w:left="460"/>
        <w:spacing w:after="0"/>
        <w:tabs>
          <w:tab w:leader="none" w:pos="2560" w:val="left"/>
          <w:tab w:leader="none" w:pos="4080" w:val="left"/>
        </w:tabs>
        <w:rPr>
          <w:sz w:val="20"/>
          <w:szCs w:val="20"/>
          <w:color w:val="auto"/>
        </w:rPr>
      </w:pPr>
      <w:r>
        <w:rPr>
          <w:rFonts w:ascii="Arial" w:cs="Arial" w:eastAsia="Arial" w:hAnsi="Arial"/>
          <w:sz w:val="18"/>
          <w:szCs w:val="18"/>
          <w:color w:val="auto"/>
        </w:rPr>
        <w:t>constitute notice) to: [</w:t>
      </w:r>
      <w:r>
        <w:rPr>
          <w:sz w:val="20"/>
          <w:szCs w:val="20"/>
          <w:color w:val="auto"/>
        </w:rPr>
        <w:tab/>
      </w:r>
      <w:r>
        <w:rPr>
          <w:rFonts w:ascii="Arial" w:cs="Arial" w:eastAsia="Arial" w:hAnsi="Arial"/>
          <w:sz w:val="18"/>
          <w:szCs w:val="18"/>
          <w:color w:val="auto"/>
        </w:rPr>
        <w:t>], facsimile: [</w:t>
      </w:r>
      <w:r>
        <w:rPr>
          <w:sz w:val="20"/>
          <w:szCs w:val="20"/>
          <w:color w:val="auto"/>
        </w:rPr>
        <w:tab/>
      </w:r>
      <w:r>
        <w:rPr>
          <w:rFonts w:ascii="Arial" w:cs="Arial" w:eastAsia="Arial" w:hAnsi="Arial"/>
          <w:sz w:val="17"/>
          <w:szCs w:val="17"/>
          <w:color w:val="auto"/>
        </w:rPr>
        <w:t>]; 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w:t>
      </w:r>
    </w:p>
    <w:p>
      <w:pPr>
        <w:spacing w:after="0" w:line="125" w:lineRule="exact"/>
        <w:rPr>
          <w:sz w:val="20"/>
          <w:szCs w:val="20"/>
          <w:color w:val="auto"/>
        </w:rPr>
      </w:pPr>
    </w:p>
    <w:p>
      <w:pPr>
        <w:sectPr>
          <w:pgSz w:w="11900" w:h="16838" w:orient="portrait"/>
          <w:cols w:equalWidth="0" w:num="2">
            <w:col w:w="5080" w:space="540"/>
            <w:col w:w="5800"/>
          </w:cols>
          <w:pgMar w:left="240" w:top="273" w:right="2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(ii) if to the Trustee, to it at [Name of Trustee],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 Facsimile No.: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 email: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 in each case 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5">
            <w:col w:w="4380" w:space="540"/>
            <w:col w:w="1300" w:space="540"/>
            <w:col w:w="720" w:space="540"/>
            <w:col w:w="1900" w:space="540"/>
            <w:col w:w="960"/>
          </w:cols>
          <w:pgMar w:left="240" w:top="273" w:right="239" w:bottom="1440" w:gutter="0" w:footer="0" w:header="0"/>
          <w:type w:val="continuous"/>
        </w:sectPr>
      </w:pPr>
    </w:p>
    <w:p>
      <w:pPr>
        <w:spacing w:after="0" w:line="37" w:lineRule="exact"/>
        <w:rPr>
          <w:sz w:val="20"/>
          <w:szCs w:val="20"/>
          <w:color w:val="auto"/>
        </w:rPr>
      </w:pPr>
    </w:p>
    <w:p>
      <w:pPr>
        <w:ind w:right="260" w:firstLine="464"/>
        <w:spacing w:after="0" w:line="342" w:lineRule="auto"/>
        <w:tabs>
          <w:tab w:leader="none" w:pos="711" w:val="left"/>
        </w:tabs>
        <w:numPr>
          <w:ilvl w:val="0"/>
          <w:numId w:val="472"/>
        </w:numPr>
        <w:rPr>
          <w:rFonts w:ascii="Arial" w:cs="Arial" w:eastAsia="Arial" w:hAnsi="Arial"/>
          <w:sz w:val="16"/>
          <w:szCs w:val="16"/>
          <w:color w:val="auto"/>
        </w:rPr>
      </w:pPr>
      <w:r>
        <w:rPr>
          <w:rFonts w:ascii="Arial" w:cs="Arial" w:eastAsia="Arial" w:hAnsi="Arial"/>
          <w:sz w:val="16"/>
          <w:szCs w:val="16"/>
          <w:color w:val="auto"/>
        </w:rPr>
        <w:t xml:space="preserve">The Trustee or the Grantor may, in its reasonable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Any party hereto may change its address or facsimile number for notices and other communications hereunder by notice to the other parties</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hereto. All notices and other communications given to any party hereto in accordance with the provisions of this Aircraft Security Agreement shall be deemed to have been given on the date of receipt.</w:t>
      </w:r>
    </w:p>
    <w:p>
      <w:pPr>
        <w:spacing w:after="0" w:line="18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To the extent permitted by applicable law, any provision of this Aircraft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H-37</w:t>
      </w:r>
    </w:p>
    <w:p>
      <w:pPr>
        <w:sectPr>
          <w:pgSz w:w="11900" w:h="16838" w:orient="portrait"/>
          <w:cols w:equalWidth="0" w:num="1">
            <w:col w:w="11420"/>
          </w:cols>
          <w:pgMar w:left="240" w:top="273" w:right="239" w:bottom="1440" w:gutter="0" w:footer="0" w:header="0"/>
          <w:type w:val="continuous"/>
        </w:sectPr>
      </w:pPr>
    </w:p>
    <w:bookmarkStart w:id="421" w:name="page422"/>
    <w:bookmarkEnd w:id="421"/>
    <w:p>
      <w:pPr>
        <w:ind w:right="2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8.07. </w:t>
      </w:r>
      <w:r>
        <w:rPr>
          <w:rFonts w:ascii="Arial" w:cs="Arial" w:eastAsia="Arial" w:hAnsi="Arial"/>
          <w:sz w:val="18"/>
          <w:szCs w:val="18"/>
          <w:u w:val="single" w:color="auto"/>
          <w:color w:val="auto"/>
        </w:rPr>
        <w:t>No Oral Modification or Continuing Waivers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of the Credit Agreement, no terms or provisions of this Aircraft Security Agreement may be changed, waived, discharged or terminated orally, but only by an instrument in writing signed by the Grantor and the Trustee. Any waiver of the terms hereof shall be effective only in the specific instance and for the specific purpose given.</w:t>
      </w:r>
    </w:p>
    <w:p>
      <w:pPr>
        <w:spacing w:after="0" w:line="18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Section 8.08.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Aircraft Security Agreement shall be binding upon the Grantor and its successors and assigns and shall inure to the benefit of the Trustee, the Collateral Agent and each Secured Party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Grantor may not transfer or assign any or all of its rights or obligations hereunder without the prior written consent of the Trustee, unless otherwise permitted by the applicable Loan Documents. All agreements, statements, representations and warranties made by the Grantor herein or in any certificate or other instrument delivered by the Grantor or on its behalf under this Aircraft Security Agreement shall be considered to have been relied upon by the Secured Parties and shall survive the execution and delivery of this Aircraft Security Agreement and the other Loan Documents regardless of any investigation made by the Trustee, the Collateral Agent or the Secured Parties or on their behalf.</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herein are for convenience only and are not to affect the construction or be taken into consideration in interpreting this Aircraft Security Agreement.</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Normal Commercial Relations</w:t>
      </w:r>
      <w:r>
        <w:rPr>
          <w:rFonts w:ascii="Arial" w:cs="Arial" w:eastAsia="Arial" w:hAnsi="Arial"/>
          <w:sz w:val="16"/>
          <w:szCs w:val="16"/>
          <w:color w:val="auto"/>
        </w:rPr>
        <w:t>. Anything contained in this Aircraft Security Agreement to the contrary notwithstanding, the Trustee, any other Secured Party or any of their affiliates may conduct any banking or other financial transactions, and have banking or other commercial relationships, with the Grantor, fully to the same extent as if this Aircraft Security Agreement were not in effect, including without limitation the making of loans or other extensions of credit to the Grantor for any purpose whatsoever, whether related to any of the transactions contemplated hereby or otherwise.</w:t>
      </w:r>
    </w:p>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The Grantor’s Performance and Rights</w:t>
      </w:r>
      <w:r>
        <w:rPr>
          <w:rFonts w:ascii="Arial" w:cs="Arial" w:eastAsia="Arial" w:hAnsi="Arial"/>
          <w:sz w:val="16"/>
          <w:szCs w:val="16"/>
          <w:color w:val="auto"/>
        </w:rPr>
        <w:t>. Any obligation imposed on the Grantor herein shall require only that the Grantor perform or cause to be performed such obligation, even if stated as a direct obligation, and the performance of any such obligation by any permitted assignee, lessee or transferee under an assignment, lease or transfer agreement then in effect and in accordance with the provisions of this Aircraft Security Agreement shall constitute performance by the Grantor and, to the extent of such performance, discharge such obligation by the Grantor. Except as otherwise expressly provided herein, any right granted to the Grantor in this Aircraft Security Agreement shall grant the Grantor the right to permit such right to be exercised by any such assignee, lessee or transferee, and, in the case of a lessee, as if the terms hereof were applicable to such lessee were such lessee the Grantor hereunder. The inclusion of specific references to obligations or rights of any such assignee, lessee or transferee in certain provisions of</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H-38</w:t>
      </w:r>
    </w:p>
    <w:p>
      <w:pPr>
        <w:sectPr>
          <w:pgSz w:w="11900" w:h="16838" w:orient="portrait"/>
          <w:cols w:equalWidth="0" w:num="1">
            <w:col w:w="11420"/>
          </w:cols>
          <w:pgMar w:left="240" w:top="274" w:right="239" w:bottom="1440" w:gutter="0" w:footer="0" w:header="0"/>
        </w:sectPr>
      </w:pPr>
    </w:p>
    <w:bookmarkStart w:id="422" w:name="page423"/>
    <w:bookmarkEnd w:id="422"/>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Aircraft Security Agreement shall not in any way prevent or diminish the application of the provisions of the two sentences immediately preceding with respect to obligations or rights in respect of which specific reference to any such assignee, lessee or transferee has not been made in this Aircraft Security Agreement.</w:t>
      </w:r>
    </w:p>
    <w:p>
      <w:pPr>
        <w:spacing w:after="0" w:line="18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Aircraft Security Agreement may be executed in counterparts (and by different parties hereto on different counterparts), each of which shall constitute an original, but all of which when taken together shall constitute a single contract.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AIRCRAFT SECURITY AGREEMENT HAS BEEN DELIVERED IN THE STATE OF NEW YORK</w:t>
      </w:r>
      <w:r>
        <w:rPr>
          <w:rFonts w:ascii="Arial" w:cs="Arial" w:eastAsia="Arial" w:hAnsi="Arial"/>
          <w:sz w:val="18"/>
          <w:szCs w:val="18"/>
          <w:color w:val="auto"/>
        </w:rPr>
        <w:t xml:space="preserve"> </w:t>
      </w:r>
      <w:r>
        <w:rPr>
          <w:rFonts w:ascii="Arial" w:cs="Arial" w:eastAsia="Arial" w:hAnsi="Arial"/>
          <w:sz w:val="18"/>
          <w:szCs w:val="18"/>
          <w:b w:val="1"/>
          <w:bCs w:val="1"/>
          <w:color w:val="auto"/>
        </w:rPr>
        <w:t>AND THIS AIRCRAFT SECURITY AGREEMENT AND THE RIGHTS AND OBLIGATIONS OF THE PARTIES UNDER THIS AIRCRAFT SECURITY AGREEMENT SHALL BE GOVERNED BY, AND CONSTRUED IN ACCORDANCE WITH, THE LAWS OF THE STATE OF NEW YORK, WITHOUT GIVING EFFECT TO ITS PRINCIPLES OR RULES OF CONFLICT OF LAWS, TO THE EXTENT SUCH PRINCIPLES OR RULES ARE NOT MANDATORILY APPLICABLE BY STATUTE AND WOULD REQUIRE OR PERMIT THE APPLICATION OF THE LAWS OF ANOTHER JURISDICTION.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Consent to Jurisdiction and Service of Process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90" w:lineRule="auto"/>
        <w:tabs>
          <w:tab w:leader="none" w:pos="701" w:val="left"/>
        </w:tabs>
        <w:numPr>
          <w:ilvl w:val="0"/>
          <w:numId w:val="473"/>
        </w:numPr>
        <w:rPr>
          <w:rFonts w:ascii="Arial" w:cs="Arial" w:eastAsia="Arial" w:hAnsi="Arial"/>
          <w:sz w:val="16"/>
          <w:szCs w:val="16"/>
          <w:color w:val="auto"/>
        </w:rPr>
      </w:pPr>
      <w:r>
        <w:rPr>
          <w:rFonts w:ascii="Arial" w:cs="Arial" w:eastAsia="Arial" w:hAnsi="Arial"/>
          <w:sz w:val="16"/>
          <w:szCs w:val="16"/>
          <w:color w:val="auto"/>
        </w:rPr>
        <w:t>Each party hereto hereby irrevocably and unconditionally submits, for itself and its property in any legal action or proceeding relating to this Aircraft Security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on and after the Plan Effective Date, and, prior to the Plan Effective Date, of the United States Bankruptcy Court for the Southern District of New York, and any appellate court from any thereof, in any action or proceeding arising out of or relating to this Aircraft Security Agreement,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66" w:lineRule="exact"/>
        <w:rPr>
          <w:rFonts w:ascii="Arial" w:cs="Arial" w:eastAsia="Arial" w:hAnsi="Arial"/>
          <w:sz w:val="16"/>
          <w:szCs w:val="16"/>
          <w:color w:val="auto"/>
        </w:rPr>
      </w:pPr>
    </w:p>
    <w:p>
      <w:pPr>
        <w:jc w:val="both"/>
        <w:ind w:right="200" w:firstLine="464"/>
        <w:spacing w:after="0" w:line="264" w:lineRule="auto"/>
        <w:tabs>
          <w:tab w:leader="none" w:pos="711"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Aircraft Security Agreement in any court referred to in </w:t>
      </w:r>
      <w:r>
        <w:rPr>
          <w:rFonts w:ascii="Arial" w:cs="Arial" w:eastAsia="Arial" w:hAnsi="Arial"/>
          <w:sz w:val="18"/>
          <w:szCs w:val="18"/>
          <w:u w:val="single" w:color="auto"/>
          <w:color w:val="auto"/>
        </w:rPr>
        <w:t>Section 8.14(a)</w:t>
      </w:r>
      <w:r>
        <w:rPr>
          <w:rFonts w:ascii="Arial" w:cs="Arial" w:eastAsia="Arial" w:hAnsi="Arial"/>
          <w:sz w:val="18"/>
          <w:szCs w:val="18"/>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H-39</w:t>
      </w:r>
    </w:p>
    <w:p>
      <w:pPr>
        <w:sectPr>
          <w:pgSz w:w="11900" w:h="16838" w:orient="portrait"/>
          <w:cols w:equalWidth="0" w:num="1">
            <w:col w:w="11420"/>
          </w:cols>
          <w:pgMar w:left="240" w:top="273" w:right="239" w:bottom="1440" w:gutter="0" w:footer="0" w:header="0"/>
        </w:sectPr>
      </w:pPr>
    </w:p>
    <w:bookmarkStart w:id="423" w:name="page424"/>
    <w:bookmarkEnd w:id="423"/>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parties hereto hereby irrevocably waives, to the fullest extent permitted by law, the defense of an inconvenient forum to the maintenance of such action or proceeding in any such court.</w:t>
      </w:r>
    </w:p>
    <w:p>
      <w:pPr>
        <w:spacing w:after="0" w:line="170" w:lineRule="exact"/>
        <w:rPr>
          <w:sz w:val="20"/>
          <w:szCs w:val="20"/>
          <w:color w:val="auto"/>
        </w:rPr>
      </w:pPr>
    </w:p>
    <w:p>
      <w:pPr>
        <w:ind w:right="40" w:firstLine="464"/>
        <w:spacing w:after="0" w:line="264" w:lineRule="auto"/>
        <w:tabs>
          <w:tab w:leader="none" w:pos="701"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xml:space="preserve">Each party hereto hereby irrevocably and unconditionally consents to service of process in the manner provided for notices in </w:t>
      </w:r>
      <w:r>
        <w:rPr>
          <w:rFonts w:ascii="Arial" w:cs="Arial" w:eastAsia="Arial" w:hAnsi="Arial"/>
          <w:sz w:val="18"/>
          <w:szCs w:val="18"/>
          <w:u w:val="single" w:color="auto"/>
          <w:color w:val="auto"/>
        </w:rPr>
        <w:t>Section 8.05</w:t>
      </w:r>
      <w:r>
        <w:rPr>
          <w:rFonts w:ascii="Arial" w:cs="Arial" w:eastAsia="Arial" w:hAnsi="Arial"/>
          <w:sz w:val="18"/>
          <w:szCs w:val="18"/>
          <w:color w:val="auto"/>
        </w:rPr>
        <w:t>. Nothing in this Aircraft Security Agreement will affect the right of any party to this Aircraft Security Agreement to serve process in any other manner permitted by law.</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Amendments, Etc</w:t>
      </w:r>
      <w:r>
        <w:rPr>
          <w:rFonts w:ascii="Arial" w:cs="Arial" w:eastAsia="Arial" w:hAnsi="Arial"/>
          <w:sz w:val="17"/>
          <w:szCs w:val="17"/>
          <w:color w:val="auto"/>
        </w:rPr>
        <w:t xml:space="preserve">. This Aircraft Security Agreement may not be amended, modified or waived except with the written consent of the Grantor and the Trustee (who shall act pursuant to and in accordance with the terms of Section 10.08 of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separately agreed in writing between the Grantor and any Non-Lender Secured Party, no such waiver and no such amendment or modification shall amend, modify or waive </w:t>
      </w:r>
      <w:r>
        <w:rPr>
          <w:rFonts w:ascii="Arial" w:cs="Arial" w:eastAsia="Arial" w:hAnsi="Arial"/>
          <w:sz w:val="17"/>
          <w:szCs w:val="17"/>
          <w:u w:val="single" w:color="auto"/>
          <w:color w:val="auto"/>
        </w:rPr>
        <w:t>Section 3.01(a)</w:t>
      </w:r>
      <w:r>
        <w:rPr>
          <w:rFonts w:ascii="Arial" w:cs="Arial" w:eastAsia="Arial" w:hAnsi="Arial"/>
          <w:sz w:val="17"/>
          <w:szCs w:val="17"/>
          <w:color w:val="auto"/>
        </w:rPr>
        <w:t xml:space="preserve"> (or the definition of “Non-Lender Secured Party” or “Secured Party” to the extent relating thereto) if such waiver, amendment, or modification would directly and adversely affect a Non-Lender Secured Party without the written consent of such affected Non-Lender Secured Party. Any amendment, modification or supplement of or to any provision of this Aircraft Security Agreement, any termination or waiver of any provision of this Aircraft Security Agreement and any consent to any departure by the Grantor from the terms of any provision of this Aircraft Security Agreement shall be effective only in the specific instance and for the specific purpose for which made or given. No notice to or demand upon the Grantor in any instance hereunder shall entitle the Grantor to any other or further notice or demand in similar or other circumstances. For the avoidance of doubt, it is understood and agreed that any amendment, amendment and restatement, waiver, supplement or other modification of or to any Intercreditor Agreement or any Other Intercreditor Agreement that would have the effect, directly or indirectly, through any reference herein to any Intercreditor Agreement or any Other Intercreditor Agreement or otherwise, of waiving, amending, supplementing or otherwise modifying this Aircraft Security Agreement, or any term or provision hereof, or any right or obligation of the Grantor hereunder or in respect hereof, shall not be given such effect except pursuant to a written instrument executed by the Grantor and the Trustee in accordance with this </w:t>
      </w:r>
      <w:r>
        <w:rPr>
          <w:rFonts w:ascii="Arial" w:cs="Arial" w:eastAsia="Arial" w:hAnsi="Arial"/>
          <w:sz w:val="17"/>
          <w:szCs w:val="17"/>
          <w:u w:val="single" w:color="auto"/>
          <w:color w:val="auto"/>
        </w:rPr>
        <w:t>Section 8.15</w:t>
      </w:r>
      <w:r>
        <w:rPr>
          <w:rFonts w:ascii="Arial" w:cs="Arial" w:eastAsia="Arial" w:hAnsi="Arial"/>
          <w:sz w:val="17"/>
          <w:szCs w:val="17"/>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H-40</w:t>
      </w:r>
    </w:p>
    <w:p>
      <w:pPr>
        <w:sectPr>
          <w:pgSz w:w="11900" w:h="16838" w:orient="portrait"/>
          <w:cols w:equalWidth="0" w:num="1">
            <w:col w:w="11420"/>
          </w:cols>
          <w:pgMar w:left="240" w:top="274" w:right="239" w:bottom="1440" w:gutter="0" w:footer="0" w:header="0"/>
        </w:sectPr>
      </w:pPr>
    </w:p>
    <w:bookmarkStart w:id="424" w:name="page425"/>
    <w:bookmarkEnd w:id="424"/>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Aircraft Security Agreement to be duly executed by their respective officers thereof duly authorized,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ectPr>
          <w:pgSz w:w="11900" w:h="16838" w:orient="portrait"/>
          <w:cols w:equalWidth="0" w:num="1">
            <w:col w:w="11420"/>
          </w:cols>
          <w:pgMar w:left="240" w:top="274" w:right="239" w:bottom="1440" w:gutter="0" w:footer="0" w:header="0"/>
        </w:sectPr>
      </w:pPr>
    </w:p>
    <w:bookmarkStart w:id="425" w:name="page426"/>
    <w:bookmarkEnd w:id="42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TRUSTEE], as Trustee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Signature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ectPr>
          <w:pgSz w:w="11900" w:h="16838" w:orient="portrait"/>
          <w:cols w:equalWidth="0" w:num="1">
            <w:col w:w="10220"/>
          </w:cols>
          <w:pgMar w:left="1440" w:top="273" w:right="23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EXHIBIT A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AIRCRAFT SECURITY AGREEMENT SUPPLEMENT</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AIRCRAFT SECURITY AGREEMENT SUPPLEMENT NO.</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4"/>
          </w:tcPr>
          <w:p>
            <w:pPr>
              <w:ind w:left="460"/>
              <w:spacing w:after="0"/>
              <w:rPr>
                <w:sz w:val="20"/>
                <w:szCs w:val="20"/>
                <w:color w:val="auto"/>
              </w:rPr>
            </w:pPr>
            <w:r>
              <w:rPr>
                <w:rFonts w:ascii="Arial" w:cs="Arial" w:eastAsia="Arial" w:hAnsi="Arial"/>
                <w:sz w:val="18"/>
                <w:szCs w:val="18"/>
                <w:color w:val="auto"/>
                <w:w w:val="98"/>
              </w:rPr>
              <w:t>AIRCRAFT SECURITY AGREEMENT SUPPLEMENT NO.</w:t>
            </w:r>
          </w:p>
        </w:tc>
        <w:tc>
          <w:tcPr>
            <w:tcW w:w="140" w:type="dxa"/>
            <w:vAlign w:val="bottom"/>
          </w:tcPr>
          <w:p>
            <w:pPr>
              <w:spacing w:after="0"/>
              <w:rPr>
                <w:sz w:val="17"/>
                <w:szCs w:val="17"/>
                <w:color w:val="auto"/>
              </w:rPr>
            </w:pPr>
          </w:p>
        </w:tc>
        <w:tc>
          <w:tcPr>
            <w:tcW w:w="580" w:type="dxa"/>
            <w:vAlign w:val="bottom"/>
            <w:gridSpan w:val="7"/>
          </w:tcPr>
          <w:p>
            <w:pPr>
              <w:ind w:left="20"/>
              <w:spacing w:after="0"/>
              <w:rPr>
                <w:sz w:val="20"/>
                <w:szCs w:val="20"/>
                <w:color w:val="auto"/>
              </w:rPr>
            </w:pPr>
            <w:r>
              <w:rPr>
                <w:rFonts w:ascii="Arial" w:cs="Arial" w:eastAsia="Arial" w:hAnsi="Arial"/>
                <w:sz w:val="18"/>
                <w:szCs w:val="18"/>
                <w:color w:val="auto"/>
                <w:w w:val="98"/>
              </w:rPr>
              <w:t>, dated</w:t>
            </w:r>
          </w:p>
        </w:tc>
        <w:tc>
          <w:tcPr>
            <w:tcW w:w="640" w:type="dxa"/>
            <w:vAlign w:val="bottom"/>
            <w:gridSpan w:val="8"/>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720" w:type="dxa"/>
            <w:vAlign w:val="bottom"/>
            <w:gridSpan w:val="4"/>
          </w:tcPr>
          <w:p>
            <w:pPr>
              <w:ind w:left="160"/>
              <w:spacing w:after="0"/>
              <w:rPr>
                <w:sz w:val="20"/>
                <w:szCs w:val="20"/>
                <w:color w:val="auto"/>
              </w:rPr>
            </w:pPr>
            <w:r>
              <w:rPr>
                <w:rFonts w:ascii="Arial" w:cs="Arial" w:eastAsia="Arial" w:hAnsi="Arial"/>
                <w:sz w:val="18"/>
                <w:szCs w:val="18"/>
                <w:color w:val="auto"/>
                <w:w w:val="93"/>
              </w:rPr>
              <w:t>(“Aircraft Security Agreement Supplement”), between [NAME</w:t>
            </w:r>
          </w:p>
        </w:tc>
      </w:tr>
      <w:tr>
        <w:trPr>
          <w:trHeight w:val="20"/>
        </w:trPr>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11380" w:type="dxa"/>
            <w:vAlign w:val="bottom"/>
            <w:gridSpan w:val="25"/>
          </w:tcPr>
          <w:p>
            <w:pPr>
              <w:spacing w:after="0" w:line="196" w:lineRule="exact"/>
              <w:rPr>
                <w:sz w:val="20"/>
                <w:szCs w:val="20"/>
                <w:color w:val="auto"/>
              </w:rPr>
            </w:pPr>
            <w:r>
              <w:rPr>
                <w:rFonts w:ascii="Arial" w:cs="Arial" w:eastAsia="Arial" w:hAnsi="Arial"/>
                <w:sz w:val="18"/>
                <w:szCs w:val="18"/>
                <w:color w:val="auto"/>
              </w:rPr>
              <w:t>OF GRANTOR] (the “Grantor”) and [NAME OF TRUSTEE], as Trustee under the Aircraft Security Agreement (each as hereinafter defined).</w:t>
            </w:r>
          </w:p>
        </w:tc>
      </w:tr>
      <w:tr>
        <w:trPr>
          <w:trHeight w:val="628"/>
        </w:trPr>
        <w:tc>
          <w:tcPr>
            <w:tcW w:w="16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1740" w:type="dxa"/>
            <w:vAlign w:val="bottom"/>
            <w:gridSpan w:val="18"/>
          </w:tcPr>
          <w:p>
            <w:pPr>
              <w:spacing w:after="0"/>
              <w:rPr>
                <w:sz w:val="20"/>
                <w:szCs w:val="20"/>
                <w:color w:val="auto"/>
              </w:rPr>
            </w:pPr>
            <w:r>
              <w:rPr>
                <w:rFonts w:ascii="Arial" w:cs="Arial" w:eastAsia="Arial" w:hAnsi="Arial"/>
                <w:sz w:val="18"/>
                <w:szCs w:val="18"/>
                <w:color w:val="auto"/>
              </w:rPr>
              <w:t xml:space="preserve">W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 N E S S E T H:</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
        </w:trPr>
        <w:tc>
          <w:tcPr>
            <w:tcW w:w="492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r>
      <w:tr>
        <w:trPr>
          <w:trHeight w:val="412"/>
        </w:trPr>
        <w:tc>
          <w:tcPr>
            <w:tcW w:w="4920" w:type="dxa"/>
            <w:vAlign w:val="bottom"/>
            <w:gridSpan w:val="3"/>
          </w:tcPr>
          <w:p>
            <w:pPr>
              <w:ind w:left="460"/>
              <w:spacing w:after="0"/>
              <w:rPr>
                <w:sz w:val="20"/>
                <w:szCs w:val="20"/>
                <w:color w:val="auto"/>
              </w:rPr>
            </w:pPr>
            <w:r>
              <w:rPr>
                <w:rFonts w:ascii="Arial" w:cs="Arial" w:eastAsia="Arial" w:hAnsi="Arial"/>
                <w:sz w:val="18"/>
                <w:szCs w:val="18"/>
                <w:color w:val="auto"/>
                <w:w w:val="98"/>
              </w:rPr>
              <w:t>WHEREAS, the Aircraft Security Agreement, dated as of</w:t>
            </w:r>
          </w:p>
        </w:tc>
        <w:tc>
          <w:tcPr>
            <w:tcW w:w="180" w:type="dxa"/>
            <w:vAlign w:val="bottom"/>
          </w:tcPr>
          <w:p>
            <w:pPr>
              <w:spacing w:after="0"/>
              <w:rPr>
                <w:sz w:val="24"/>
                <w:szCs w:val="24"/>
                <w:color w:val="auto"/>
              </w:rPr>
            </w:pPr>
          </w:p>
        </w:tc>
        <w:tc>
          <w:tcPr>
            <w:tcW w:w="6280" w:type="dxa"/>
            <w:vAlign w:val="bottom"/>
            <w:gridSpan w:val="21"/>
          </w:tcPr>
          <w:p>
            <w:pPr>
              <w:ind w:left="100"/>
              <w:spacing w:after="0"/>
              <w:rPr>
                <w:sz w:val="20"/>
                <w:szCs w:val="20"/>
                <w:color w:val="auto"/>
              </w:rPr>
            </w:pPr>
            <w:r>
              <w:rPr>
                <w:rFonts w:ascii="Arial" w:cs="Arial" w:eastAsia="Arial" w:hAnsi="Arial"/>
                <w:sz w:val="18"/>
                <w:szCs w:val="18"/>
                <w:color w:val="auto"/>
                <w:w w:val="99"/>
              </w:rPr>
              <w:t>, 20   (the “Aircraft Security Agreement”; capitalized terms used herein without</w:t>
            </w:r>
          </w:p>
        </w:tc>
      </w:tr>
      <w:tr>
        <w:trPr>
          <w:trHeight w:val="20"/>
        </w:trPr>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definition shall have the meanings specified therefor in Annex A to the Aircraft Security Agreement), between the Grantor and [Name of Trustee], as security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provides for the execution and delivery of supplements thereto substantially in the form hereof which shall particularly describe an Aircraft, and shall specifically grant a security interest in such Aircraft to the Trustee; and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the Aircraft Security Agreement relates to the Airframes and Engines described in Annex A attached hereto and made a part hereof, and a counterpart of the Aircraft Security Agreement Supplement is attached to and made a part of this Aircraft Security Agreement;]</w:t>
      </w:r>
      <w:r>
        <w:rPr>
          <w:rFonts w:ascii="Arial" w:cs="Arial" w:eastAsia="Arial" w:hAnsi="Arial"/>
          <w:sz w:val="15"/>
          <w:szCs w:val="15"/>
          <w:color w:val="auto"/>
        </w:rPr>
        <w:t>1</w:t>
      </w:r>
    </w:p>
    <w:p>
      <w:pPr>
        <w:spacing w:after="0" w:line="170"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[WHEREAS, the Grantor has, as provided in the Aircraft Security Agreement, heretofore executed and delivered to the Trustee Aircraft Security Agreement Supplement(s) for the purpose of specifically subjecting to the Lien of the Aircraft Security Agreement certain airframes and/or engines therein described, which Aircraft Security Agreement Supplement(s) is/are dated and has/have been duly recorded with the FAA as set forth below, to wit:</w:t>
      </w:r>
    </w:p>
    <w:p>
      <w:pPr>
        <w:spacing w:after="0" w:line="169" w:lineRule="exact"/>
        <w:rPr>
          <w:sz w:val="20"/>
          <w:szCs w:val="20"/>
          <w:color w:val="auto"/>
        </w:rPr>
      </w:pPr>
    </w:p>
    <w:p>
      <w:pPr>
        <w:spacing w:after="0"/>
        <w:tabs>
          <w:tab w:leader="none" w:pos="5580" w:val="left"/>
          <w:tab w:leader="none" w:pos="9200" w:val="left"/>
        </w:tabs>
        <w:rPr>
          <w:sz w:val="20"/>
          <w:szCs w:val="20"/>
          <w:color w:val="auto"/>
        </w:rPr>
      </w:pPr>
      <w:r>
        <w:rPr>
          <w:rFonts w:ascii="Arial" w:cs="Arial" w:eastAsia="Arial" w:hAnsi="Arial"/>
          <w:sz w:val="14"/>
          <w:szCs w:val="14"/>
          <w:u w:val="single" w:color="auto"/>
          <w:color w:val="auto"/>
        </w:rPr>
        <w:t>Date</w:t>
      </w:r>
      <w:r>
        <w:rPr>
          <w:sz w:val="20"/>
          <w:szCs w:val="20"/>
          <w:color w:val="auto"/>
        </w:rPr>
        <w:tab/>
      </w:r>
      <w:r>
        <w:rPr>
          <w:rFonts w:ascii="Arial" w:cs="Arial" w:eastAsia="Arial" w:hAnsi="Arial"/>
          <w:sz w:val="14"/>
          <w:szCs w:val="14"/>
          <w:u w:val="single" w:color="auto"/>
          <w:color w:val="auto"/>
        </w:rPr>
        <w:t>Recordation Date</w:t>
      </w:r>
      <w:r>
        <w:rPr>
          <w:sz w:val="20"/>
          <w:szCs w:val="20"/>
          <w:color w:val="auto"/>
        </w:rPr>
        <w:tab/>
      </w:r>
      <w:r>
        <w:rPr>
          <w:rFonts w:ascii="Arial" w:cs="Arial" w:eastAsia="Arial" w:hAnsi="Arial"/>
          <w:sz w:val="13"/>
          <w:szCs w:val="13"/>
          <w:u w:val="single" w:color="auto"/>
          <w:color w:val="auto"/>
        </w:rPr>
        <w:t>Conveyance No.]</w:t>
      </w:r>
      <w:r>
        <w:rPr>
          <w:rFonts w:ascii="Arial" w:cs="Arial" w:eastAsia="Arial" w:hAnsi="Arial"/>
          <w:sz w:val="11"/>
          <w:szCs w:val="11"/>
          <w:u w:val="single" w:color="auto"/>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784225</wp:posOffset>
            </wp:positionV>
            <wp:extent cx="7289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hanging="212"/>
        <w:spacing w:after="0"/>
        <w:tabs>
          <w:tab w:leader="none" w:pos="220" w:val="left"/>
        </w:tabs>
        <w:numPr>
          <w:ilvl w:val="0"/>
          <w:numId w:val="475"/>
        </w:numPr>
        <w:rPr>
          <w:rFonts w:ascii="Arial" w:cs="Arial" w:eastAsia="Arial" w:hAnsi="Arial"/>
          <w:sz w:val="15"/>
          <w:szCs w:val="15"/>
          <w:color w:val="auto"/>
        </w:rPr>
      </w:pPr>
      <w:r>
        <w:rPr>
          <w:rFonts w:ascii="Arial" w:cs="Arial" w:eastAsia="Arial" w:hAnsi="Arial"/>
          <w:sz w:val="18"/>
          <w:szCs w:val="18"/>
          <w:color w:val="auto"/>
        </w:rPr>
        <w:t>Use for Aircraft Security Agreement Supplement No. 1 only.</w:t>
      </w:r>
    </w:p>
    <w:p>
      <w:pPr>
        <w:spacing w:after="0" w:line="22" w:lineRule="exact"/>
        <w:rPr>
          <w:sz w:val="20"/>
          <w:szCs w:val="20"/>
          <w:color w:val="auto"/>
        </w:rPr>
      </w:pPr>
    </w:p>
    <w:p>
      <w:pPr>
        <w:ind w:left="220" w:hanging="212"/>
        <w:spacing w:after="0"/>
        <w:tabs>
          <w:tab w:leader="none" w:pos="220" w:val="left"/>
        </w:tabs>
        <w:numPr>
          <w:ilvl w:val="0"/>
          <w:numId w:val="476"/>
        </w:numPr>
        <w:rPr>
          <w:rFonts w:ascii="Arial" w:cs="Arial" w:eastAsia="Arial" w:hAnsi="Arial"/>
          <w:sz w:val="15"/>
          <w:szCs w:val="15"/>
          <w:color w:val="auto"/>
        </w:rPr>
      </w:pPr>
      <w:r>
        <w:rPr>
          <w:rFonts w:ascii="Arial" w:cs="Arial" w:eastAsia="Arial" w:hAnsi="Arial"/>
          <w:sz w:val="18"/>
          <w:szCs w:val="18"/>
          <w:color w:val="auto"/>
        </w:rPr>
        <w:t>Use for all Aircraft Security Agreement Supplements other than Aircraft Security Agreement Supplement No. 1.</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ectPr>
          <w:pgSz w:w="11900" w:h="16838" w:orient="portrait"/>
          <w:cols w:equalWidth="0" w:num="1">
            <w:col w:w="11420"/>
          </w:cols>
          <w:pgMar w:left="240" w:top="270" w:right="239" w:bottom="1440" w:gutter="0" w:footer="0" w:header="0"/>
        </w:sectPr>
      </w:pPr>
    </w:p>
    <w:bookmarkStart w:id="427" w:name="page428"/>
    <w:bookmarkEnd w:id="427"/>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NOW, THEREFORE, to secure all of the Obligations, and in consideration of the premises, the mutual agreements set forth herein and other good and valuable consideration, the receipt and sufficiency of which are hereby acknowledged, the Grantor hereby pledges, grants and creates a security interest and mortgage in favor of the Trustee for its benefit and the benefit of the other Secured Parties in all estate, right, title and interest of the Grantor in, to and under the Aircraft, including the Airframe[s] and Engines described in Annex A attached hereto, whether or not any such Engine may from time to time be installed on [any][the][the related Airframe, any other] Airframe or any other airframe or any other aircraft, and any and all Parts relating thereto, and, to the extent provided in the Aircraft Security Agreement, all substitutions and replacements of, and additions, improvements, accessions and accumulations to, [the][each such] Aircraft, including the Airframe, the Engines and any and all Parts (in each case other than any substitutions, replacements, additions, improvements, accessions and accumulations that constitute items excluded from the definition of Parts by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thereof) relating thereto;</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TO HAVE AND TO HOLD all and singular the aforesaid property unto the Trustee, and its successors and permitted assigns, in trust for its benefit and the benefit of other Secured Parties, except as otherwise provided in the Aircraft Security Agreement, and for the uses and purposes and subject to the terms and provisions set forth in the Aircraft Security Agreement.</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Aircraft Security Agreement Supplement shall be construed as supplemental to the Aircraft Security Agreement and shall form a part thereof, and the Aircraft Security Agreement is hereby incorporated by reference herein and is hereby ratified, approved and confirmed.</w:t>
      </w:r>
    </w:p>
    <w:p>
      <w:pPr>
        <w:spacing w:after="0" w:line="16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THIS AIRCRAFT SECURITY AGREEMENT SUPPLEMENT HAS BEEN DELIVERED IN THE STATE OF NEW YORK AND THIS AIRCRAFT SECURITY AGREEMENT SUPPLEMENT AND THE RIGHTS AND OBLIGATIONS OF THE PARTIES UNDER THIS AIRCRAFT SECURITY AGREEMENT SUPPLEMENT SHALL BE GOVERNED BY, AND CONSTRUED IN ACCORDANCE WITH, THE LAWS OF THE STATE OF NEW YORK, WITHOUT GIVING EFFECT TO ITS PRINCIPLES OR RULES OF CONFLICT OF LAWS, TO THE EXTENT SUCH PRINCIPLES OR RULES ARE NOT MANDATORILY APPLICABLE BY STATUTE AND WOULD REQUIRE OR PERMIT THE APPLICATION OF THE LAWS OF ANOTHER JURISDICTION.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428" w:name="page429"/>
    <w:bookmarkEnd w:id="428"/>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caused this Aircraft Security Agreement Supplement No. to be duly executed by their respective duly authorized officers, on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TRUSTEE],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ectPr>
          <w:pgSz w:w="11900" w:h="16838" w:orient="portrait"/>
          <w:cols w:equalWidth="0" w:num="1">
            <w:col w:w="11420"/>
          </w:cols>
          <w:pgMar w:left="240" w:top="274" w:right="239" w:bottom="1440" w:gutter="0" w:footer="0" w:header="0"/>
        </w:sectPr>
      </w:pPr>
    </w:p>
    <w:bookmarkStart w:id="429" w:name="page430"/>
    <w:bookmarkEnd w:id="429"/>
    <w:tbl>
      <w:tblPr>
        <w:tblLayout w:type="fixed"/>
        <w:tblInd w:w="82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w w:val="93"/>
              </w:rPr>
              <w:t>Annex A to</w:t>
            </w:r>
          </w:p>
        </w:tc>
      </w:tr>
      <w:tr>
        <w:trPr>
          <w:trHeight w:val="230"/>
        </w:trPr>
        <w:tc>
          <w:tcPr>
            <w:tcW w:w="7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5"/>
          </w:tcPr>
          <w:p>
            <w:pPr>
              <w:ind w:left="20"/>
              <w:spacing w:after="0"/>
              <w:rPr>
                <w:sz w:val="20"/>
                <w:szCs w:val="20"/>
                <w:color w:val="auto"/>
              </w:rPr>
            </w:pPr>
            <w:r>
              <w:rPr>
                <w:rFonts w:ascii="Arial" w:cs="Arial" w:eastAsia="Arial" w:hAnsi="Arial"/>
                <w:sz w:val="18"/>
                <w:szCs w:val="18"/>
                <w:color w:val="auto"/>
                <w:w w:val="98"/>
              </w:rPr>
              <w:t>Aircraft Security Agreement Supplement No.</w:t>
            </w:r>
          </w:p>
        </w:tc>
      </w:tr>
      <w:tr>
        <w:trPr>
          <w:trHeight w:val="392"/>
        </w:trPr>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6"/>
              </w:rPr>
              <w:t>DESCRIPTION OF AIRFRAME[S] AND ENGINES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2"/>
        </w:trPr>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AIRFRAME</w:t>
            </w:r>
          </w:p>
        </w:tc>
        <w:tc>
          <w:tcPr>
            <w:tcW w:w="16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93"/>
        </w:trPr>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4"/>
          </w:tcPr>
          <w:p>
            <w:pPr>
              <w:jc w:val="center"/>
              <w:ind w:right="1420"/>
              <w:spacing w:after="0"/>
              <w:rPr>
                <w:sz w:val="20"/>
                <w:szCs w:val="20"/>
                <w:color w:val="auto"/>
              </w:rPr>
            </w:pPr>
            <w:r>
              <w:rPr>
                <w:rFonts w:ascii="Arial" w:cs="Arial" w:eastAsia="Arial" w:hAnsi="Arial"/>
                <w:sz w:val="14"/>
                <w:szCs w:val="14"/>
                <w:color w:val="auto"/>
                <w:w w:val="93"/>
              </w:rPr>
              <w:t>Generic</w:t>
            </w:r>
          </w:p>
        </w:tc>
        <w:tc>
          <w:tcPr>
            <w:tcW w:w="120" w:type="dxa"/>
            <w:vAlign w:val="bottom"/>
          </w:tcPr>
          <w:p>
            <w:pPr>
              <w:spacing w:after="0"/>
              <w:rPr>
                <w:sz w:val="24"/>
                <w:szCs w:val="2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color w:val="auto"/>
              </w:rPr>
              <w:t>FAA</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9"/>
        </w:trPr>
        <w:tc>
          <w:tcPr>
            <w:tcW w:w="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540" w:type="dxa"/>
            <w:vAlign w:val="bottom"/>
            <w:gridSpan w:val="5"/>
          </w:tcPr>
          <w:p>
            <w:pPr>
              <w:jc w:val="center"/>
              <w:ind w:right="1080"/>
              <w:spacing w:after="0" w:line="149" w:lineRule="exact"/>
              <w:rPr>
                <w:sz w:val="20"/>
                <w:szCs w:val="20"/>
                <w:color w:val="auto"/>
              </w:rPr>
            </w:pPr>
            <w:r>
              <w:rPr>
                <w:rFonts w:ascii="Arial" w:cs="Arial" w:eastAsia="Arial" w:hAnsi="Arial"/>
                <w:sz w:val="14"/>
                <w:szCs w:val="14"/>
                <w:color w:val="auto"/>
                <w:w w:val="94"/>
              </w:rPr>
              <w:t>Manufacturer</w:t>
            </w:r>
          </w:p>
        </w:tc>
        <w:tc>
          <w:tcPr>
            <w:tcW w:w="152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3"/>
              </w:rPr>
              <w:t>Registration</w:t>
            </w:r>
          </w:p>
        </w:tc>
        <w:tc>
          <w:tcPr>
            <w:tcW w:w="2120" w:type="dxa"/>
            <w:vAlign w:val="bottom"/>
            <w:gridSpan w:val="3"/>
          </w:tcPr>
          <w:p>
            <w:pPr>
              <w:jc w:val="center"/>
              <w:ind w:left="128"/>
              <w:spacing w:after="0" w:line="149" w:lineRule="exact"/>
              <w:rPr>
                <w:sz w:val="20"/>
                <w:szCs w:val="20"/>
                <w:color w:val="auto"/>
              </w:rPr>
            </w:pPr>
            <w:r>
              <w:rPr>
                <w:rFonts w:ascii="Arial" w:cs="Arial" w:eastAsia="Arial" w:hAnsi="Arial"/>
                <w:sz w:val="14"/>
                <w:szCs w:val="14"/>
                <w:color w:val="auto"/>
                <w:w w:val="94"/>
              </w:rPr>
              <w:t>Manufacturer’s</w:t>
            </w:r>
          </w:p>
        </w:tc>
      </w:tr>
      <w:tr>
        <w:trPr>
          <w:trHeight w:val="167"/>
        </w:trPr>
        <w:tc>
          <w:tcPr>
            <w:tcW w:w="780" w:type="dxa"/>
            <w:vAlign w:val="bottom"/>
          </w:tcPr>
          <w:p>
            <w:pPr>
              <w:spacing w:after="0" w:line="147" w:lineRule="exact"/>
              <w:rPr>
                <w:sz w:val="20"/>
                <w:szCs w:val="20"/>
                <w:color w:val="auto"/>
              </w:rPr>
            </w:pPr>
            <w:r>
              <w:rPr>
                <w:rFonts w:ascii="Arial" w:cs="Arial" w:eastAsia="Arial" w:hAnsi="Arial"/>
                <w:sz w:val="14"/>
                <w:szCs w:val="14"/>
                <w:color w:val="auto"/>
                <w:w w:val="92"/>
              </w:rPr>
              <w:t>Manufacturer</w:t>
            </w:r>
          </w:p>
        </w:tc>
        <w:tc>
          <w:tcPr>
            <w:tcW w:w="3640" w:type="dxa"/>
            <w:vAlign w:val="bottom"/>
            <w:gridSpan w:val="4"/>
          </w:tcPr>
          <w:p>
            <w:pPr>
              <w:ind w:left="1880"/>
              <w:spacing w:after="0" w:line="147" w:lineRule="exact"/>
              <w:rPr>
                <w:sz w:val="20"/>
                <w:szCs w:val="20"/>
                <w:color w:val="auto"/>
              </w:rPr>
            </w:pPr>
            <w:r>
              <w:rPr>
                <w:rFonts w:ascii="Arial" w:cs="Arial" w:eastAsia="Arial" w:hAnsi="Arial"/>
                <w:sz w:val="14"/>
                <w:szCs w:val="14"/>
                <w:color w:val="auto"/>
              </w:rPr>
              <w:t>Model</w:t>
            </w:r>
          </w:p>
        </w:tc>
        <w:tc>
          <w:tcPr>
            <w:tcW w:w="340" w:type="dxa"/>
            <w:vAlign w:val="bottom"/>
          </w:tcPr>
          <w:p>
            <w:pPr>
              <w:spacing w:after="0"/>
              <w:rPr>
                <w:sz w:val="14"/>
                <w:szCs w:val="14"/>
                <w:color w:val="auto"/>
              </w:rPr>
            </w:pPr>
          </w:p>
        </w:tc>
        <w:tc>
          <w:tcPr>
            <w:tcW w:w="2200" w:type="dxa"/>
            <w:vAlign w:val="bottom"/>
            <w:gridSpan w:val="4"/>
          </w:tcPr>
          <w:p>
            <w:pPr>
              <w:jc w:val="center"/>
              <w:ind w:right="1420"/>
              <w:spacing w:after="0" w:line="147" w:lineRule="exact"/>
              <w:rPr>
                <w:sz w:val="20"/>
                <w:szCs w:val="20"/>
                <w:color w:val="auto"/>
              </w:rPr>
            </w:pPr>
            <w:r>
              <w:rPr>
                <w:rFonts w:ascii="Arial" w:cs="Arial" w:eastAsia="Arial" w:hAnsi="Arial"/>
                <w:sz w:val="14"/>
                <w:szCs w:val="14"/>
                <w:color w:val="auto"/>
                <w:w w:val="94"/>
              </w:rPr>
              <w:t>and Model</w:t>
            </w:r>
          </w:p>
        </w:tc>
        <w:tc>
          <w:tcPr>
            <w:tcW w:w="120" w:type="dxa"/>
            <w:vAlign w:val="bottom"/>
          </w:tcPr>
          <w:p>
            <w:pPr>
              <w:spacing w:after="0"/>
              <w:rPr>
                <w:sz w:val="14"/>
                <w:szCs w:val="14"/>
                <w:color w:val="auto"/>
              </w:rPr>
            </w:pPr>
          </w:p>
        </w:tc>
        <w:tc>
          <w:tcPr>
            <w:tcW w:w="1400" w:type="dxa"/>
            <w:vAlign w:val="bottom"/>
            <w:gridSpan w:val="2"/>
          </w:tcPr>
          <w:p>
            <w:pPr>
              <w:jc w:val="center"/>
              <w:ind w:right="700"/>
              <w:spacing w:after="0" w:line="147" w:lineRule="exact"/>
              <w:rPr>
                <w:sz w:val="20"/>
                <w:szCs w:val="20"/>
                <w:color w:val="auto"/>
              </w:rPr>
            </w:pPr>
            <w:r>
              <w:rPr>
                <w:rFonts w:ascii="Arial" w:cs="Arial" w:eastAsia="Arial" w:hAnsi="Arial"/>
                <w:sz w:val="14"/>
                <w:szCs w:val="14"/>
                <w:color w:val="auto"/>
              </w:rPr>
              <w:t>No.</w:t>
            </w:r>
          </w:p>
        </w:tc>
        <w:tc>
          <w:tcPr>
            <w:tcW w:w="720" w:type="dxa"/>
            <w:vAlign w:val="bottom"/>
          </w:tcPr>
          <w:p>
            <w:pPr>
              <w:spacing w:after="0"/>
              <w:rPr>
                <w:sz w:val="14"/>
                <w:szCs w:val="14"/>
                <w:color w:val="auto"/>
              </w:rPr>
            </w:pPr>
          </w:p>
        </w:tc>
        <w:tc>
          <w:tcPr>
            <w:tcW w:w="1400" w:type="dxa"/>
            <w:vAlign w:val="bottom"/>
            <w:gridSpan w:val="2"/>
          </w:tcPr>
          <w:p>
            <w:pPr>
              <w:jc w:val="center"/>
              <w:ind w:right="540"/>
              <w:spacing w:after="0" w:line="147" w:lineRule="exact"/>
              <w:rPr>
                <w:sz w:val="20"/>
                <w:szCs w:val="20"/>
                <w:color w:val="auto"/>
              </w:rPr>
            </w:pPr>
            <w:r>
              <w:rPr>
                <w:rFonts w:ascii="Arial" w:cs="Arial" w:eastAsia="Arial" w:hAnsi="Arial"/>
                <w:sz w:val="14"/>
                <w:szCs w:val="14"/>
                <w:color w:val="auto"/>
                <w:w w:val="94"/>
              </w:rPr>
              <w:t>Serial No.</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ENGINES</w:t>
      </w: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Generic</w:t>
            </w: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gridSpan w:val="2"/>
          </w:tcPr>
          <w:p>
            <w:pPr>
              <w:jc w:val="center"/>
              <w:ind w:left="928"/>
              <w:spacing w:after="0" w:line="149" w:lineRule="exact"/>
              <w:rPr>
                <w:sz w:val="20"/>
                <w:szCs w:val="20"/>
                <w:color w:val="auto"/>
              </w:rPr>
            </w:pPr>
            <w:r>
              <w:rPr>
                <w:rFonts w:ascii="Arial" w:cs="Arial" w:eastAsia="Arial" w:hAnsi="Arial"/>
                <w:sz w:val="14"/>
                <w:szCs w:val="14"/>
                <w:color w:val="auto"/>
                <w:w w:val="94"/>
              </w:rPr>
              <w:t>Manufacturer and</w:t>
            </w:r>
          </w:p>
        </w:tc>
        <w:tc>
          <w:tcPr>
            <w:tcW w:w="2520" w:type="dxa"/>
            <w:vAlign w:val="bottom"/>
            <w:gridSpan w:val="3"/>
          </w:tcPr>
          <w:p>
            <w:pPr>
              <w:jc w:val="center"/>
              <w:ind w:left="1548"/>
              <w:spacing w:after="0" w:line="149" w:lineRule="exact"/>
              <w:rPr>
                <w:sz w:val="20"/>
                <w:szCs w:val="20"/>
                <w:color w:val="auto"/>
              </w:rPr>
            </w:pPr>
            <w:r>
              <w:rPr>
                <w:rFonts w:ascii="Arial" w:cs="Arial" w:eastAsia="Arial" w:hAnsi="Arial"/>
                <w:sz w:val="14"/>
                <w:szCs w:val="14"/>
                <w:color w:val="auto"/>
                <w:w w:val="97"/>
              </w:rPr>
              <w:t>Manufacturer’s</w:t>
            </w:r>
          </w:p>
        </w:tc>
      </w:tr>
      <w:tr>
        <w:trPr>
          <w:trHeight w:val="167"/>
        </w:trPr>
        <w:tc>
          <w:tcPr>
            <w:tcW w:w="780" w:type="dxa"/>
            <w:vAlign w:val="bottom"/>
          </w:tcPr>
          <w:p>
            <w:pPr>
              <w:spacing w:after="0" w:line="147" w:lineRule="exact"/>
              <w:rPr>
                <w:sz w:val="20"/>
                <w:szCs w:val="20"/>
                <w:color w:val="auto"/>
              </w:rPr>
            </w:pPr>
            <w:r>
              <w:rPr>
                <w:rFonts w:ascii="Arial" w:cs="Arial" w:eastAsia="Arial" w:hAnsi="Arial"/>
                <w:sz w:val="14"/>
                <w:szCs w:val="14"/>
                <w:color w:val="auto"/>
                <w:w w:val="92"/>
              </w:rPr>
              <w:t>Manufacturer</w:t>
            </w:r>
          </w:p>
        </w:tc>
        <w:tc>
          <w:tcPr>
            <w:tcW w:w="4020" w:type="dxa"/>
            <w:vAlign w:val="bottom"/>
            <w:gridSpan w:val="3"/>
          </w:tcPr>
          <w:p>
            <w:pPr>
              <w:ind w:left="2640"/>
              <w:spacing w:after="0" w:line="147" w:lineRule="exact"/>
              <w:rPr>
                <w:sz w:val="20"/>
                <w:szCs w:val="20"/>
                <w:color w:val="auto"/>
              </w:rPr>
            </w:pPr>
            <w:r>
              <w:rPr>
                <w:rFonts w:ascii="Arial" w:cs="Arial" w:eastAsia="Arial" w:hAnsi="Arial"/>
                <w:sz w:val="14"/>
                <w:szCs w:val="14"/>
                <w:color w:val="auto"/>
              </w:rPr>
              <w:t>Model</w:t>
            </w:r>
          </w:p>
        </w:tc>
        <w:tc>
          <w:tcPr>
            <w:tcW w:w="1020" w:type="dxa"/>
            <w:vAlign w:val="bottom"/>
          </w:tcPr>
          <w:p>
            <w:pPr>
              <w:spacing w:after="0"/>
              <w:rPr>
                <w:sz w:val="14"/>
                <w:szCs w:val="14"/>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color w:val="auto"/>
                <w:w w:val="94"/>
              </w:rPr>
              <w:t>Model</w:t>
            </w:r>
          </w:p>
        </w:tc>
        <w:tc>
          <w:tcPr>
            <w:tcW w:w="1640" w:type="dxa"/>
            <w:vAlign w:val="bottom"/>
          </w:tcPr>
          <w:p>
            <w:pPr>
              <w:spacing w:after="0"/>
              <w:rPr>
                <w:sz w:val="14"/>
                <w:szCs w:val="14"/>
                <w:color w:val="auto"/>
              </w:rPr>
            </w:pPr>
          </w:p>
        </w:tc>
        <w:tc>
          <w:tcPr>
            <w:tcW w:w="88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3"/>
              </w:rPr>
              <w:t>Serial Nos.</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Engine has 550 or more rated takeoff horsepower or the equivalent of such horsepower and is a jet propulsion aircraft engine having at least 1750 pounds of thrust or the equivalent of such thrust.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ectPr>
          <w:pgSz w:w="11900" w:h="16838" w:orient="portrait"/>
          <w:cols w:equalWidth="0" w:num="1">
            <w:col w:w="11420"/>
          </w:cols>
          <w:pgMar w:left="240" w:top="274" w:right="239" w:bottom="1440" w:gutter="0" w:footer="0" w:header="0"/>
        </w:sectPr>
      </w:pPr>
    </w:p>
    <w:bookmarkStart w:id="430" w:name="page431"/>
    <w:bookmarkEnd w:id="4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EXHIBIT B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5180" w:type="dxa"/>
            <w:vAlign w:val="bottom"/>
            <w:gridSpan w:val="3"/>
          </w:tcPr>
          <w:p>
            <w:pPr>
              <w:ind w:left="1340"/>
              <w:spacing w:after="0"/>
              <w:rPr>
                <w:sz w:val="20"/>
                <w:szCs w:val="20"/>
                <w:color w:val="auto"/>
              </w:rPr>
            </w:pPr>
            <w:r>
              <w:rPr>
                <w:rFonts w:ascii="Arial" w:cs="Arial" w:eastAsia="Arial" w:hAnsi="Arial"/>
                <w:sz w:val="18"/>
                <w:szCs w:val="18"/>
                <w:b w:val="1"/>
                <w:bCs w:val="1"/>
                <w:color w:val="auto"/>
              </w:rPr>
              <w:t>LIST OF PERMITTED COUNTRIES</w:t>
            </w:r>
          </w:p>
        </w:tc>
      </w:tr>
      <w:tr>
        <w:trPr>
          <w:trHeight w:val="465"/>
        </w:trPr>
        <w:tc>
          <w:tcPr>
            <w:tcW w:w="2900" w:type="dxa"/>
            <w:vAlign w:val="bottom"/>
          </w:tcPr>
          <w:p>
            <w:pPr>
              <w:spacing w:after="0"/>
              <w:rPr>
                <w:sz w:val="20"/>
                <w:szCs w:val="20"/>
                <w:color w:val="auto"/>
              </w:rPr>
            </w:pPr>
            <w:r>
              <w:rPr>
                <w:rFonts w:ascii="Arial" w:cs="Arial" w:eastAsia="Arial" w:hAnsi="Arial"/>
                <w:sz w:val="18"/>
                <w:szCs w:val="18"/>
                <w:color w:val="auto"/>
              </w:rPr>
              <w:t>Australia*</w:t>
            </w:r>
          </w:p>
        </w:tc>
        <w:tc>
          <w:tcPr>
            <w:tcW w:w="1340" w:type="dxa"/>
            <w:vAlign w:val="bottom"/>
          </w:tcPr>
          <w:p>
            <w:pPr>
              <w:spacing w:after="0"/>
              <w:rPr>
                <w:sz w:val="24"/>
                <w:szCs w:val="24"/>
                <w:color w:val="auto"/>
              </w:rPr>
            </w:pPr>
          </w:p>
        </w:tc>
        <w:tc>
          <w:tcPr>
            <w:tcW w:w="2960" w:type="dxa"/>
            <w:vAlign w:val="bottom"/>
            <w:tcBorders>
              <w:top w:val="single" w:sz="8" w:color="auto"/>
            </w:tcBorders>
          </w:tcPr>
          <w:p>
            <w:pPr>
              <w:ind w:left="1820"/>
              <w:spacing w:after="0"/>
              <w:rPr>
                <w:sz w:val="20"/>
                <w:szCs w:val="20"/>
                <w:color w:val="auto"/>
              </w:rPr>
            </w:pPr>
            <w:r>
              <w:rPr>
                <w:rFonts w:ascii="Arial" w:cs="Arial" w:eastAsia="Arial" w:hAnsi="Arial"/>
                <w:sz w:val="18"/>
                <w:szCs w:val="18"/>
                <w:color w:val="auto"/>
              </w:rPr>
              <w:t>Japan*</w:t>
            </w:r>
          </w:p>
        </w:tc>
        <w:tc>
          <w:tcPr>
            <w:tcW w:w="880" w:type="dxa"/>
            <w:vAlign w:val="bottom"/>
          </w:tcPr>
          <w:p>
            <w:pPr>
              <w:spacing w:after="0"/>
              <w:rPr>
                <w:sz w:val="24"/>
                <w:szCs w:val="24"/>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Austria*</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Kuwait</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Bahamas</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Liechtenstein*</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Barbados</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Luxembourg*</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Belgium</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Malaysia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Bermuda Islands</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Mexico</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Brazil</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Monaco*</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British Virgin Islands</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the Netherlands*</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Canada*</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Netherlands Antilles</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Cayman Islands</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New Zealand*</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Chile</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Norway*</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Czech Republic</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w w:val="92"/>
              </w:rPr>
              <w:t>Peoples’ Republic of China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Denmark*</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Poland</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Ecuador</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Portugal</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Finland*</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w w:val="92"/>
              </w:rPr>
              <w:t>Republic of China (Taiwan)</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France*</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Singapore</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Germany*</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South Africa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Greece</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South Korea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Hong Kong</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Spain</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Hungary</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Sweden*</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Iceland*</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Switzerland*</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India</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Thailand</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Ireland*</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Trinidad and Tobago</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Italy</w:t>
            </w:r>
          </w:p>
        </w:tc>
        <w:tc>
          <w:tcPr>
            <w:tcW w:w="1340" w:type="dxa"/>
            <w:vAlign w:val="bottom"/>
          </w:tcPr>
          <w:p>
            <w:pPr>
              <w:spacing w:after="0"/>
              <w:rPr>
                <w:sz w:val="18"/>
                <w:szCs w:val="18"/>
                <w:color w:val="auto"/>
              </w:rPr>
            </w:pPr>
          </w:p>
        </w:tc>
        <w:tc>
          <w:tcPr>
            <w:tcW w:w="3840" w:type="dxa"/>
            <w:vAlign w:val="bottom"/>
            <w:gridSpan w:val="2"/>
          </w:tcPr>
          <w:p>
            <w:pPr>
              <w:ind w:left="1820"/>
              <w:spacing w:after="0"/>
              <w:rPr>
                <w:sz w:val="20"/>
                <w:szCs w:val="20"/>
                <w:color w:val="auto"/>
              </w:rPr>
            </w:pPr>
            <w:r>
              <w:rPr>
                <w:rFonts w:ascii="Arial" w:cs="Arial" w:eastAsia="Arial" w:hAnsi="Arial"/>
                <w:sz w:val="18"/>
                <w:szCs w:val="18"/>
                <w:color w:val="auto"/>
              </w:rPr>
              <w:t>United Kingdom*</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Jamaica</w:t>
            </w:r>
          </w:p>
        </w:tc>
        <w:tc>
          <w:tcPr>
            <w:tcW w:w="13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Country of domicile for a manufacturer (or its Affiliate) referred to in </w:t>
      </w:r>
      <w:r>
        <w:rPr>
          <w:rFonts w:ascii="Arial" w:cs="Arial" w:eastAsia="Arial" w:hAnsi="Arial"/>
          <w:sz w:val="18"/>
          <w:szCs w:val="18"/>
          <w:u w:val="single" w:color="auto"/>
          <w:color w:val="auto"/>
        </w:rPr>
        <w:t>Section 6.01(a)(ix)</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ectPr>
          <w:pgSz w:w="11900" w:h="16838" w:orient="portrait"/>
          <w:cols w:equalWidth="0" w:num="1">
            <w:col w:w="11420"/>
          </w:cols>
          <w:pgMar w:left="240" w:top="269" w:right="2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Description of Security Agreement for Spare Engines</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Aircraft Security Agreement(s), which may be entered into in the future by a Grantor to pledge any spare engine to a trustee (the “</w:t>
      </w:r>
      <w:r>
        <w:rPr>
          <w:rFonts w:ascii="Arial" w:cs="Arial" w:eastAsia="Arial" w:hAnsi="Arial"/>
          <w:sz w:val="18"/>
          <w:szCs w:val="18"/>
          <w:u w:val="single" w:color="auto"/>
          <w:color w:val="auto"/>
        </w:rPr>
        <w:t>Security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Trustee</w:t>
      </w:r>
      <w:r>
        <w:rPr>
          <w:rFonts w:ascii="Arial" w:cs="Arial" w:eastAsia="Arial" w:hAnsi="Arial"/>
          <w:sz w:val="18"/>
          <w:szCs w:val="18"/>
          <w:color w:val="auto"/>
        </w:rPr>
        <w:t>”) acting on behalf of the Collateral Agent, as Additional Collateral or Qualified Replacement Assets will contain terms to the following effect with respect to such spare engine.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Maintenance and operation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Grantor will be obligated at its expense to maintain, service, repair, and overhaul such spare engine (or cause the same to be done) so as to keep it in such condition as necessary to maintain the airworthiness certificate for the aircraft upon which such spare engine is installed (the “</w:t>
      </w:r>
      <w:r>
        <w:rPr>
          <w:rFonts w:ascii="Arial" w:cs="Arial" w:eastAsia="Arial" w:hAnsi="Arial"/>
          <w:sz w:val="18"/>
          <w:szCs w:val="18"/>
          <w:u w:val="single" w:color="auto"/>
          <w:color w:val="auto"/>
        </w:rPr>
        <w:t>Related Aircraft</w:t>
      </w:r>
      <w:r>
        <w:rPr>
          <w:rFonts w:ascii="Arial" w:cs="Arial" w:eastAsia="Arial" w:hAnsi="Arial"/>
          <w:sz w:val="18"/>
          <w:szCs w:val="18"/>
          <w:color w:val="auto"/>
        </w:rPr>
        <w:t>”) in good standing at all times (other than during temporary periods of storage, maintenance, testing or modification or during periods of grounding by applicable governmental authorities).</w:t>
      </w:r>
    </w:p>
    <w:p>
      <w:pPr>
        <w:spacing w:after="0" w:line="187" w:lineRule="exact"/>
        <w:rPr>
          <w:sz w:val="20"/>
          <w:szCs w:val="20"/>
          <w:color w:val="auto"/>
        </w:rPr>
      </w:pPr>
    </w:p>
    <w:p>
      <w:pPr>
        <w:jc w:val="both"/>
        <w:ind w:right="140" w:firstLine="456"/>
        <w:spacing w:after="0" w:line="276" w:lineRule="auto"/>
        <w:rPr>
          <w:sz w:val="20"/>
          <w:szCs w:val="20"/>
          <w:color w:val="auto"/>
        </w:rPr>
      </w:pPr>
      <w:r>
        <w:rPr>
          <w:rFonts w:ascii="Arial" w:cs="Arial" w:eastAsia="Arial" w:hAnsi="Arial"/>
          <w:sz w:val="17"/>
          <w:szCs w:val="17"/>
          <w:color w:val="auto"/>
        </w:rPr>
        <w:t>The Grantor will agree that such spare engine shall not be maintained, used, serviced, repaired, overhauled or operated, in violation of any law, rule or regulation of any government having jurisdiction over the Related Aircraft, or in violation of any airworthiness certificate, license or registration relating to the Related Aircraft issued by such government, except to the extent the Grantor (or any lessee) is contesting in good faith the validity or application of any such law, rule or regulation or airworthiness certificate, license or registration in any manner that does not involve any material risk of sale, forfeiture or loss of such spare engine or impair the lien of the Aircraft Security Agreement with respect to such spare engine.</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The Grantor must make (or cause to be made) all alterations, modifications, and additions to such spare engine necessary to meet the applicable requirements of the FAA or any other applicable governmental authority of another jurisdiction in which the Related Aircraft may then be registered;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Grantor (or any lessee) may in good faith contest the validity or application of any such requirement in any manner that does not involve,</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a material risk of sale, forfeiture or loss of such spare engine, and does not adversely affect the Security Trustee’s interest in such spare engine under (and as defined in) the Aircraft Security Agreement. The Grantor (or any lessee) may add further parts and make other alterations, modifications and additions to such spare engine as the Grantor (or any such lessee) may deem desirable in the proper conduct of its business, including removal (without replacement) of parts, so long as such alterations, modifications, additions, or removals do not materially diminish the value or utility of such spare engine below its value or utility immediately prior to such alteration, modification, addition, or removal (assuming such spare engine was maintained in accordance with the Aircraft Security Agreement), except that the value (but not the utility) of such spare engine may be reduced from time to time by the value of any parts which have been removed that the Grantor (or any such lessee) deems obsolete or no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274" w:right="239" w:bottom="1440" w:gutter="0" w:footer="0" w:header="0"/>
        </w:sectPr>
      </w:pPr>
    </w:p>
    <w:bookmarkStart w:id="432" w:name="page433"/>
    <w:bookmarkEnd w:id="432"/>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longer suitable or appropriate for use on such spare engine. All parts (with certain exceptions) incorporated or installed in or added to such spare engine as a result of such alterations, modifications or additions will be subject to the lien of the Aircraft Security Agreement. The Grantor (or any lessee) will be permitted to remove (without replacement) parts that are in addition to, and not in replacement of or substitution for, any part originally incorporated or installed in or attached to such spare engine at the time of delivery thereof to the Grantor, as well as any part that is not required to be incorporated or installed in or attached to such spare engine pursuant to applicable requirements of the FAA or the applicable aviation authority of any other jurisdiction in which the Related Aircraft may then be registered, or any part that can be removed without materially diminishing the requisite value or utility of such spare engine.</w:t>
      </w:r>
    </w:p>
    <w:p>
      <w:pPr>
        <w:spacing w:after="0" w:line="16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Except as set forth above, the Grantor will be obligated to replace or cause to be replaced all parts that are incorporated or installed in or attached to such spare engine and become worn out, lost, stolen, destroyed, seized, confiscated, damaged beyond repair or permanently rendered unfit for use. Any such replacement parts will become subject to the lien of the Aircraft Security Agreement in lieu of the part replaced.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leasing and possession</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Grantor will be required to record the Aircraft Security Agreement with the FAA. In addition, the Grantor will register the “international interests” created pursuant to the Aircraft Security Agreement under the Cape Town Convention on International Interests in Mobile Equipment and the related Aircraft Equipment Protocol (the “</w:t>
      </w:r>
      <w:r>
        <w:rPr>
          <w:rFonts w:ascii="Arial" w:cs="Arial" w:eastAsia="Arial" w:hAnsi="Arial"/>
          <w:sz w:val="17"/>
          <w:szCs w:val="17"/>
          <w:u w:val="single" w:color="auto"/>
          <w:color w:val="auto"/>
        </w:rPr>
        <w:t>Cape Town Treaty</w:t>
      </w:r>
      <w:r>
        <w:rPr>
          <w:rFonts w:ascii="Arial" w:cs="Arial" w:eastAsia="Arial" w:hAnsi="Arial"/>
          <w:sz w:val="17"/>
          <w:szCs w:val="17"/>
          <w:color w:val="auto"/>
        </w:rPr>
        <w:t>”). The Grantor will be permitted, subject to certain limitations, to lease such spare engine to any United States certificated air carrier, to certain foreign air carriers or to certain manufacturers of airframes or engines (or their affiliates acting under an unconditional guarantee of such manufacturer). In addition, subject to certain limitations, the Grantor will be permitted to transfer possession of such spare engine, other than by lease, including transfers of possession by the Grantor or any lessee in connection with certain interchange and pooling arrangements, “wet leases,” and transfers in connection with maintenance or modifications and transfers to the government of the United States, Canada, France, Germany, Japan, The Netherlands, Sweden, Switzerland and the United Kingdom or any instrumentality or agency thereof. There will be no general geographical restriction on the Grantor’s (or any lessee’s) ability to operate such spare engine.</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With respect to such spare engine, the Grantor will maintain insurance, against such risks, including fire and other risks, as is prudent and customary for United States-based passenger airlines of similar size insuring similar assets.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420"/>
          </w:cols>
          <w:pgMar w:left="240" w:top="274" w:right="239" w:bottom="1440" w:gutter="0" w:footer="0" w:header="0"/>
        </w:sectPr>
      </w:pPr>
    </w:p>
    <w:bookmarkStart w:id="433" w:name="page434"/>
    <w:bookmarkEnd w:id="433"/>
    <w:p>
      <w:pPr>
        <w:ind w:right="2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such spare engine, the Grantor will maintain public liability insurance against claims for personal injury or death or property damage occurring upon, in, about, or in connection with the use of such spare engine in such amounts and with such deductibles as is prudent and customary for United States-based passenger airlines of similar size insuring against similar risks.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Events of loss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an Event of Loss occurs with respect to such spare engine, the Grantor may elect within 90 days after such occurrence to substitute (such substitution to be completed by the first business day after 120 days following the occurrence of such Event of Loss), as replacement for such spare engine an engine of the same model as such spare engine to be replaced or a comparable or improved model. In connection with such replacement, the Grantor shall provide (</w:t>
      </w:r>
      <w:r>
        <w:rPr>
          <w:rFonts w:ascii="Arial" w:cs="Arial" w:eastAsia="Arial" w:hAnsi="Arial"/>
          <w:sz w:val="17"/>
          <w:szCs w:val="17"/>
          <w:u w:val="single" w:color="auto"/>
          <w:color w:val="auto"/>
        </w:rPr>
        <w:t>x</w:t>
      </w:r>
      <w:r>
        <w:rPr>
          <w:rFonts w:ascii="Arial" w:cs="Arial" w:eastAsia="Arial" w:hAnsi="Arial"/>
          <w:sz w:val="17"/>
          <w:szCs w:val="17"/>
          <w:color w:val="auto"/>
        </w:rPr>
        <w:t>) an Appraisal of the replacement engine demonstrating that the Appraised Value of such replacement engine is no less than the Appraised Value of such spare engine, (</w:t>
      </w:r>
      <w:r>
        <w:rPr>
          <w:rFonts w:ascii="Arial" w:cs="Arial" w:eastAsia="Arial" w:hAnsi="Arial"/>
          <w:sz w:val="17"/>
          <w:szCs w:val="17"/>
          <w:u w:val="single" w:color="auto"/>
          <w:color w:val="auto"/>
        </w:rPr>
        <w:t>y</w:t>
      </w:r>
      <w:r>
        <w:rPr>
          <w:rFonts w:ascii="Arial" w:cs="Arial" w:eastAsia="Arial" w:hAnsi="Arial"/>
          <w:sz w:val="17"/>
          <w:szCs w:val="17"/>
          <w:color w:val="auto"/>
        </w:rPr>
        <w:t>) opinions of counsel as to the due recordation of a supplement to the Aircraft Security Agreement relating to such replacement engine, the registration of such replacement engine with the International Registry under the Cape Town Treaty and the validity and perfection of the security interest granted to the Security Trustee in the replacement engine. Following the replacement of such spare engine with a replacement engine as provided above, such spare engine will be released from the Collateral.</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the Grantor elects not to replace such spare engine, as applicable, then upon compliance with Section 2.12 or Section 6.04 of the Credit Agreement, such spare engine will be released from the Collateral.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Event of Loss</w:t>
      </w:r>
      <w:r>
        <w:rPr>
          <w:rFonts w:ascii="Arial" w:cs="Arial" w:eastAsia="Arial" w:hAnsi="Arial"/>
          <w:sz w:val="18"/>
          <w:szCs w:val="18"/>
          <w:color w:val="auto"/>
        </w:rPr>
        <w:t>” with respect to such spare engine, means any of the following events with respect to such spare engine:</w:t>
      </w:r>
    </w:p>
    <w:p>
      <w:pPr>
        <w:spacing w:after="0" w:line="131" w:lineRule="exact"/>
        <w:rPr>
          <w:sz w:val="20"/>
          <w:szCs w:val="20"/>
          <w:color w:val="auto"/>
        </w:rPr>
      </w:pPr>
    </w:p>
    <w:p>
      <w:pPr>
        <w:ind w:left="440" w:right="440" w:hanging="324"/>
        <w:spacing w:after="0" w:line="277" w:lineRule="auto"/>
        <w:tabs>
          <w:tab w:leader="none" w:pos="4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loss of such spare engine or of the use thereof due to destruction, damage to such spare engine beyond repair or rendition of such spare engine permanently unfit for normal use for any reason whatsoever;</w:t>
      </w:r>
    </w:p>
    <w:p>
      <w:pPr>
        <w:spacing w:after="0" w:line="75" w:lineRule="exact"/>
        <w:rPr>
          <w:rFonts w:ascii="Arial" w:cs="Arial" w:eastAsia="Arial" w:hAnsi="Arial"/>
          <w:sz w:val="18"/>
          <w:szCs w:val="18"/>
          <w:color w:val="auto"/>
        </w:rPr>
      </w:pPr>
    </w:p>
    <w:p>
      <w:pPr>
        <w:ind w:left="440" w:right="140" w:hanging="324"/>
        <w:spacing w:after="0" w:line="277" w:lineRule="auto"/>
        <w:tabs>
          <w:tab w:leader="none" w:pos="4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damage to such spare engine that results in an insurance settlement with respect to such spare engine on the basis of a total loss or a compromised or constructive total loss;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theft, hijacking or disappearance of such spare engine for a period exceeding 180 consecutive days;</w:t>
      </w:r>
    </w:p>
    <w:p>
      <w:pPr>
        <w:spacing w:after="0" w:line="130" w:lineRule="exact"/>
        <w:rPr>
          <w:rFonts w:ascii="Arial" w:cs="Arial" w:eastAsia="Arial" w:hAnsi="Arial"/>
          <w:sz w:val="18"/>
          <w:szCs w:val="18"/>
          <w:color w:val="auto"/>
        </w:rPr>
      </w:pPr>
    </w:p>
    <w:p>
      <w:pPr>
        <w:ind w:left="440" w:right="60" w:hanging="324"/>
        <w:spacing w:after="0" w:line="312" w:lineRule="auto"/>
        <w:tabs>
          <w:tab w:leader="none" w:pos="44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the requisition for use of such spare engine by any government (other than a requisition for use by the government of Canada, France, Germany, Japan, The Netherlands, Sweden, Switzerland, the United Kingdom or the United States or the government of the country of registry of the Related Aircraft) that results in the loss of possession of such spare engine by the Grantor (or any lessee) for a period exceeding 12 consecutive months;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380"/>
          </w:cols>
          <w:pgMar w:left="240" w:top="274" w:right="279" w:bottom="1440" w:gutter="0" w:footer="0" w:header="0"/>
        </w:sectPr>
      </w:pPr>
    </w:p>
    <w:bookmarkStart w:id="434" w:name="page435"/>
    <w:bookmarkEnd w:id="434"/>
    <w:p>
      <w:pPr>
        <w:ind w:left="440" w:right="60" w:hanging="324"/>
        <w:spacing w:after="0" w:line="264" w:lineRule="auto"/>
        <w:tabs>
          <w:tab w:leader="none" w:pos="4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requisition of title or other compulsory acquisition, capture, seizure, deprivation, confiscation or detention (excluding requisition for use not involving a requisition of title) for any reason of such spare engine by any government that results in the loss of title or use of such spare engine by the Grantor (or any lessee) for a period in excess of 180 consecutive days; and</w:t>
      </w:r>
    </w:p>
    <w:p>
      <w:pPr>
        <w:spacing w:after="0" w:line="86"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divestiture of title to or interest in such spare engine or, in certain circumstances, the installation of such spare engine on an airframe that is subject to a conditional sale or other security agreement.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Remedies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Aircraft Security Agreement will provide that, if an Event of Default under the Credit Agreement has occurred and is continuing, the Security Trustee may exercise certain rights or remedies available to it under the Aircraft Security Agreement or under applicable law. Such remedies include the right to take possession of such spare engine, subject to the Aircraft Security Agreement, and to sell such spare engine.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360"/>
          </w:cols>
          <w:pgMar w:left="240" w:top="274" w:right="299" w:bottom="1440" w:gutter="0" w:footer="0" w:header="0"/>
        </w:sectPr>
      </w:pPr>
    </w:p>
    <w:bookmarkStart w:id="435" w:name="page436"/>
    <w:bookmarkEnd w:id="4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Coverage Ratio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Reference is made to the Credit and Guaranty Agreement, dated as of April [29], 2016 (as may be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defined therein being used herein as therein defined), by and among AMERICAN AIRLINES,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AMERICAN AIRLINES GROUP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the direct and indirect Domestic Subsidiaries of Parent from time to time party thereto other than the Borrower, each of the several banks and other financial institutions or entities from time to time party thereto as a lender (the “</w:t>
      </w:r>
      <w:r>
        <w:rPr>
          <w:rFonts w:ascii="Arial" w:cs="Arial" w:eastAsia="Arial" w:hAnsi="Arial"/>
          <w:sz w:val="18"/>
          <w:szCs w:val="18"/>
          <w:u w:val="single" w:color="auto"/>
          <w:color w:val="auto"/>
        </w:rPr>
        <w:t>Lenders</w:t>
      </w:r>
      <w:r>
        <w:rPr>
          <w:rFonts w:ascii="Arial" w:cs="Arial" w:eastAsia="Arial" w:hAnsi="Arial"/>
          <w:sz w:val="18"/>
          <w:szCs w:val="18"/>
          <w:color w:val="auto"/>
        </w:rPr>
        <w:t>”), BARCLAYS BANK PLC, as administrative agent for the Lenders and as collateral agent for the Secured Parties.</w:t>
      </w:r>
    </w:p>
    <w:p>
      <w:pPr>
        <w:spacing w:after="0" w:line="1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[This certificate is being delivered pursuant to Section 4.02(d) of the Credit Agreement. The undersigned hereby certifies, on behalf of the Borrower, that the Collateral Coverage Ratio as of [insert applicable date of Loan and/or Letter of Credit], giving pro forma effect to any Loans made on, and/or Letters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w w:val="96"/>
              </w:rPr>
              <w:t>of Credit issued on, such date, is [</w:t>
            </w:r>
          </w:p>
        </w:tc>
        <w:tc>
          <w:tcPr>
            <w:tcW w:w="860" w:type="dxa"/>
            <w:vAlign w:val="bottom"/>
          </w:tcPr>
          <w:p>
            <w:pPr>
              <w:ind w:left="180"/>
              <w:spacing w:after="0"/>
              <w:rPr>
                <w:sz w:val="20"/>
                <w:szCs w:val="20"/>
                <w:color w:val="auto"/>
              </w:rPr>
            </w:pPr>
            <w:r>
              <w:rPr>
                <w:rFonts w:ascii="Arial" w:cs="Arial" w:eastAsia="Arial" w:hAnsi="Arial"/>
                <w:sz w:val="18"/>
                <w:szCs w:val="18"/>
                <w:color w:val="auto"/>
                <w:w w:val="89"/>
              </w:rPr>
              <w:t>] to 1.0.]</w:t>
            </w:r>
            <w:r>
              <w:rPr>
                <w:rFonts w:ascii="Arial" w:cs="Arial" w:eastAsia="Arial" w:hAnsi="Arial"/>
                <w:sz w:val="15"/>
                <w:szCs w:val="15"/>
                <w:color w:val="auto"/>
                <w:w w:val="89"/>
              </w:rPr>
              <w:t>1</w:t>
            </w:r>
          </w:p>
        </w:tc>
      </w:tr>
    </w:tbl>
    <w:p>
      <w:pPr>
        <w:spacing w:after="0" w:line="189" w:lineRule="exact"/>
        <w:rPr>
          <w:sz w:val="20"/>
          <w:szCs w:val="20"/>
          <w:color w:val="auto"/>
        </w:rPr>
      </w:pPr>
    </w:p>
    <w:p>
      <w:pPr>
        <w:jc w:val="center"/>
        <w:ind w:right="220"/>
        <w:spacing w:after="0" w:line="291" w:lineRule="auto"/>
        <w:rPr>
          <w:sz w:val="20"/>
          <w:szCs w:val="20"/>
          <w:color w:val="auto"/>
        </w:rPr>
      </w:pPr>
      <w:r>
        <w:rPr>
          <w:rFonts w:ascii="Arial" w:cs="Arial" w:eastAsia="Arial" w:hAnsi="Arial"/>
          <w:sz w:val="16"/>
          <w:szCs w:val="16"/>
          <w:color w:val="auto"/>
        </w:rPr>
        <w:t>[This certificate is being delivered in connection with a Disposition of Collateral pursuant to Section 6.04(ii)(D) of the Credit Agreement. The undersigned hereby certifies, on behalf of the Borrower, that the Collateral Coverage Ratio as of [insert applicable date of Disposition of Collateral], giving</w:t>
      </w:r>
    </w:p>
    <w:p>
      <w:pPr>
        <w:ind w:right="120"/>
        <w:spacing w:after="0" w:line="261" w:lineRule="auto"/>
        <w:rPr>
          <w:sz w:val="20"/>
          <w:szCs w:val="20"/>
          <w:color w:val="auto"/>
        </w:rPr>
      </w:pPr>
      <w:r>
        <w:rPr>
          <w:rFonts w:ascii="Arial" w:cs="Arial" w:eastAsia="Arial" w:hAnsi="Arial"/>
          <w:sz w:val="18"/>
          <w:szCs w:val="18"/>
          <w:color w:val="auto"/>
        </w:rPr>
        <w:t>pro forma effect to such Disposition of Collateral and any actions taken pursuant to Section 6.04(ii)(B)(II), is [ ] to 1.0 and that the Collateral includes at least one category of Core Collateral after giving effect to such Disposition and any actions taken pursuant to clause 6.04(B)(II).]</w:t>
      </w:r>
      <w:r>
        <w:rPr>
          <w:rFonts w:ascii="Arial" w:cs="Arial" w:eastAsia="Arial" w:hAnsi="Arial"/>
          <w:sz w:val="15"/>
          <w:szCs w:val="15"/>
          <w:color w:val="auto"/>
        </w:rPr>
        <w:t>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certificate is being delivered pursuant to Section 6.09(a) of the Credit Agreement. The undersigned hereby certifies, on behalf of the Borrower,</w:t>
      </w:r>
    </w:p>
    <w:p>
      <w:pPr>
        <w:spacing w:after="0" w:line="4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that the Collateral Coverage Ratio as of [insert applicable Reference Date] is [ ] to 1.0. [and that the Collateral includes at least one category of Core Collateral</w:t>
      </w:r>
      <w:r>
        <w:rPr>
          <w:rFonts w:ascii="Arial" w:cs="Arial" w:eastAsia="Arial" w:hAnsi="Arial"/>
          <w:sz w:val="15"/>
          <w:szCs w:val="15"/>
          <w:color w:val="auto"/>
        </w:rPr>
        <w:t>3</w:t>
      </w:r>
      <w:r>
        <w:rPr>
          <w:rFonts w:ascii="Arial" w:cs="Arial" w:eastAsia="Arial" w:hAnsi="Arial"/>
          <w:sz w:val="18"/>
          <w:szCs w:val="18"/>
          <w:color w:val="auto"/>
        </w:rPr>
        <w:t>]]</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220" w:hanging="212"/>
        <w:spacing w:after="0"/>
        <w:tabs>
          <w:tab w:leader="none" w:pos="220" w:val="left"/>
        </w:tabs>
        <w:numPr>
          <w:ilvl w:val="0"/>
          <w:numId w:val="479"/>
        </w:numPr>
        <w:rPr>
          <w:rFonts w:ascii="Arial" w:cs="Arial" w:eastAsia="Arial" w:hAnsi="Arial"/>
          <w:sz w:val="15"/>
          <w:szCs w:val="15"/>
          <w:color w:val="auto"/>
        </w:rPr>
      </w:pPr>
      <w:r>
        <w:rPr>
          <w:rFonts w:ascii="Arial" w:cs="Arial" w:eastAsia="Arial" w:hAnsi="Arial"/>
          <w:sz w:val="18"/>
          <w:szCs w:val="18"/>
          <w:color w:val="auto"/>
        </w:rPr>
        <w:t>For Collateral Coverage Ratio Certificate delivered pursuant to Section 4.02(d) of the Credit Agreement.</w:t>
      </w:r>
    </w:p>
    <w:p>
      <w:pPr>
        <w:spacing w:after="0" w:line="22" w:lineRule="exact"/>
        <w:rPr>
          <w:sz w:val="20"/>
          <w:szCs w:val="20"/>
          <w:color w:val="auto"/>
        </w:rPr>
      </w:pPr>
    </w:p>
    <w:p>
      <w:pPr>
        <w:ind w:left="220" w:hanging="212"/>
        <w:spacing w:after="0"/>
        <w:tabs>
          <w:tab w:leader="none" w:pos="220" w:val="left"/>
        </w:tabs>
        <w:numPr>
          <w:ilvl w:val="0"/>
          <w:numId w:val="480"/>
        </w:numPr>
        <w:rPr>
          <w:rFonts w:ascii="Arial" w:cs="Arial" w:eastAsia="Arial" w:hAnsi="Arial"/>
          <w:sz w:val="15"/>
          <w:szCs w:val="15"/>
          <w:color w:val="auto"/>
        </w:rPr>
      </w:pPr>
      <w:r>
        <w:rPr>
          <w:rFonts w:ascii="Arial" w:cs="Arial" w:eastAsia="Arial" w:hAnsi="Arial"/>
          <w:sz w:val="18"/>
          <w:szCs w:val="18"/>
          <w:color w:val="auto"/>
        </w:rPr>
        <w:t>For Collateral Coverage Ratio Certificate delivered pursuant to Sections 5.01(i) and 6.04(ii)(D) of the Credit Agreement.</w:t>
      </w:r>
    </w:p>
    <w:p>
      <w:pPr>
        <w:spacing w:after="0" w:line="9" w:lineRule="exact"/>
        <w:rPr>
          <w:sz w:val="20"/>
          <w:szCs w:val="20"/>
          <w:color w:val="auto"/>
        </w:rPr>
      </w:pPr>
    </w:p>
    <w:p>
      <w:pPr>
        <w:ind w:left="220" w:hanging="212"/>
        <w:spacing w:after="0"/>
        <w:tabs>
          <w:tab w:leader="none" w:pos="220" w:val="left"/>
        </w:tabs>
        <w:numPr>
          <w:ilvl w:val="0"/>
          <w:numId w:val="481"/>
        </w:numPr>
        <w:rPr>
          <w:rFonts w:ascii="Arial" w:cs="Arial" w:eastAsia="Arial" w:hAnsi="Arial"/>
          <w:sz w:val="15"/>
          <w:szCs w:val="15"/>
          <w:color w:val="auto"/>
        </w:rPr>
      </w:pPr>
      <w:r>
        <w:rPr>
          <w:rFonts w:ascii="Arial" w:cs="Arial" w:eastAsia="Arial" w:hAnsi="Arial"/>
          <w:sz w:val="18"/>
          <w:szCs w:val="18"/>
          <w:color w:val="auto"/>
        </w:rPr>
        <w:t>Include bracketed language only if Reference Date occurs on or after the Initial Collateral Release Date.</w:t>
      </w:r>
    </w:p>
    <w:p>
      <w:pPr>
        <w:spacing w:after="0" w:line="9" w:lineRule="exact"/>
        <w:rPr>
          <w:sz w:val="20"/>
          <w:szCs w:val="20"/>
          <w:color w:val="auto"/>
        </w:rPr>
      </w:pPr>
    </w:p>
    <w:p>
      <w:pPr>
        <w:ind w:left="5600" w:right="2800" w:hanging="5592"/>
        <w:spacing w:after="0" w:line="434" w:lineRule="auto"/>
        <w:tabs>
          <w:tab w:leader="none" w:pos="220" w:val="left"/>
        </w:tabs>
        <w:numPr>
          <w:ilvl w:val="0"/>
          <w:numId w:val="482"/>
        </w:numPr>
        <w:rPr>
          <w:rFonts w:ascii="Arial" w:cs="Arial" w:eastAsia="Arial" w:hAnsi="Arial"/>
          <w:sz w:val="15"/>
          <w:szCs w:val="15"/>
          <w:color w:val="auto"/>
        </w:rPr>
      </w:pPr>
      <w:r>
        <w:rPr>
          <w:rFonts w:ascii="Arial" w:cs="Arial" w:eastAsia="Arial" w:hAnsi="Arial"/>
          <w:sz w:val="18"/>
          <w:szCs w:val="18"/>
          <w:color w:val="auto"/>
        </w:rPr>
        <w:t>For Collateral Coverage Ratio Certificate delivered pursuant to Sections 5.01(f) and 6.09(a) of the Credit Agreement J-1</w:t>
      </w:r>
    </w:p>
    <w:p>
      <w:pPr>
        <w:sectPr>
          <w:pgSz w:w="11900" w:h="16838" w:orient="portrait"/>
          <w:cols w:equalWidth="0" w:num="1">
            <w:col w:w="11420"/>
          </w:cols>
          <w:pgMar w:left="240" w:top="273" w:right="239" w:bottom="1440" w:gutter="0" w:footer="0" w:header="0"/>
        </w:sectPr>
      </w:pPr>
    </w:p>
    <w:bookmarkStart w:id="436" w:name="page437"/>
    <w:bookmarkEnd w:id="436"/>
    <w:p>
      <w:pPr>
        <w:ind w:right="3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certificate is being delivered in connection with a release of Collateral pursuant to Section 6.09(c) of the Credit Agreement. The undersigned hereby certifies, on behalf of the Borrower, that (A) no Event of Default has occurred and is continuing, (B) the Collateral Coverage Ratio as of the date</w:t>
      </w:r>
    </w:p>
    <w:p>
      <w:pPr>
        <w:ind w:right="20"/>
        <w:spacing w:after="0" w:line="255" w:lineRule="auto"/>
        <w:rPr>
          <w:sz w:val="20"/>
          <w:szCs w:val="20"/>
          <w:color w:val="auto"/>
        </w:rPr>
      </w:pPr>
      <w:r>
        <w:rPr>
          <w:rFonts w:ascii="Arial" w:cs="Arial" w:eastAsia="Arial" w:hAnsi="Arial"/>
          <w:sz w:val="18"/>
          <w:szCs w:val="18"/>
          <w:color w:val="auto"/>
        </w:rPr>
        <w:t>hereof, giving pro forma effect to such release and any actions taken pursuant to Section 6.09(c)(B)(y), is [ ] to 1.0 and (C) [no Core Collateral Failure has occurred as a result of such Borrower Release]/[the Borrower shall grant a security interest in additional assets pledged as Additional Collateral such that the Collateral would include at least one category of Core Collateral].]</w:t>
      </w:r>
      <w:r>
        <w:rPr>
          <w:rFonts w:ascii="Arial" w:cs="Arial" w:eastAsia="Arial" w:hAnsi="Arial"/>
          <w:sz w:val="15"/>
          <w:szCs w:val="15"/>
          <w:color w:val="auto"/>
        </w:rPr>
        <w:t>5</w:t>
      </w:r>
    </w:p>
    <w:p>
      <w:pPr>
        <w:spacing w:after="0" w:line="1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certificate is being delivered in connection with a Permitted Disposition of Leased Collateral pursuant to clause (6)(B) of the definition of Permitted Disposition. The undersigned hereby certifies, on behalf of the Borrower, that the Collateral Coverage Ratio as of the date hereof, giving pro forma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Arial" w:cs="Arial" w:eastAsia="Arial" w:hAnsi="Arial"/>
                <w:sz w:val="18"/>
                <w:szCs w:val="18"/>
                <w:color w:val="auto"/>
                <w:w w:val="97"/>
              </w:rPr>
              <w:t>effect to such Permitted Disposition, is [</w:t>
            </w:r>
          </w:p>
        </w:tc>
        <w:tc>
          <w:tcPr>
            <w:tcW w:w="880" w:type="dxa"/>
            <w:vAlign w:val="bottom"/>
          </w:tcPr>
          <w:p>
            <w:pPr>
              <w:ind w:left="180"/>
              <w:spacing w:after="0"/>
              <w:rPr>
                <w:sz w:val="20"/>
                <w:szCs w:val="20"/>
                <w:color w:val="auto"/>
              </w:rPr>
            </w:pPr>
            <w:r>
              <w:rPr>
                <w:rFonts w:ascii="Arial" w:cs="Arial" w:eastAsia="Arial" w:hAnsi="Arial"/>
                <w:sz w:val="18"/>
                <w:szCs w:val="18"/>
                <w:color w:val="auto"/>
                <w:w w:val="92"/>
              </w:rPr>
              <w:t>] to 1.0.]</w:t>
            </w:r>
            <w:r>
              <w:rPr>
                <w:rFonts w:ascii="Arial" w:cs="Arial" w:eastAsia="Arial" w:hAnsi="Arial"/>
                <w:sz w:val="15"/>
                <w:szCs w:val="15"/>
                <w:color w:val="auto"/>
                <w:w w:val="92"/>
              </w:rPr>
              <w:t>6</w:t>
            </w:r>
          </w:p>
        </w:tc>
      </w:tr>
    </w:tbl>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Annex A sets forth the calculation of the Collateral Coverage Ratio.</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483"/>
        </w:numPr>
        <w:rPr>
          <w:rFonts w:ascii="Arial" w:cs="Arial" w:eastAsia="Arial" w:hAnsi="Arial"/>
          <w:sz w:val="15"/>
          <w:szCs w:val="15"/>
          <w:color w:val="auto"/>
        </w:rPr>
      </w:pPr>
      <w:r>
        <w:rPr>
          <w:rFonts w:ascii="Arial" w:cs="Arial" w:eastAsia="Arial" w:hAnsi="Arial"/>
          <w:sz w:val="18"/>
          <w:szCs w:val="18"/>
          <w:color w:val="auto"/>
        </w:rPr>
        <w:t>For Collateral Coverage Ratio Certificate delivered pursuant to Section 6.09(c) of the Credit Agreement.</w:t>
      </w:r>
    </w:p>
    <w:p>
      <w:pPr>
        <w:spacing w:after="0" w:line="22" w:lineRule="exact"/>
        <w:rPr>
          <w:sz w:val="20"/>
          <w:szCs w:val="20"/>
          <w:color w:val="auto"/>
        </w:rPr>
      </w:pPr>
    </w:p>
    <w:p>
      <w:pPr>
        <w:ind w:left="5600" w:right="2640" w:hanging="5592"/>
        <w:spacing w:after="0" w:line="434" w:lineRule="auto"/>
        <w:tabs>
          <w:tab w:leader="none" w:pos="220" w:val="left"/>
        </w:tabs>
        <w:numPr>
          <w:ilvl w:val="0"/>
          <w:numId w:val="484"/>
        </w:numPr>
        <w:rPr>
          <w:rFonts w:ascii="Arial" w:cs="Arial" w:eastAsia="Arial" w:hAnsi="Arial"/>
          <w:sz w:val="15"/>
          <w:szCs w:val="15"/>
          <w:color w:val="auto"/>
        </w:rPr>
      </w:pPr>
      <w:r>
        <w:rPr>
          <w:rFonts w:ascii="Arial" w:cs="Arial" w:eastAsia="Arial" w:hAnsi="Arial"/>
          <w:sz w:val="18"/>
          <w:szCs w:val="18"/>
          <w:color w:val="auto"/>
        </w:rPr>
        <w:t>For Collateral Coverage Ratio Certificate delivered pursuant to clause 6(B) of the definition of Permitted Disposition. J-2</w:t>
      </w:r>
    </w:p>
    <w:p>
      <w:pPr>
        <w:sectPr>
          <w:pgSz w:w="11900" w:h="16838" w:orient="portrait"/>
          <w:cols w:equalWidth="0" w:num="1">
            <w:col w:w="11340"/>
          </w:cols>
          <w:pgMar w:left="240" w:top="273" w:right="319" w:bottom="1440" w:gutter="0" w:footer="0" w:header="0"/>
        </w:sectPr>
      </w:pPr>
    </w:p>
    <w:bookmarkStart w:id="437" w:name="page438"/>
    <w:bookmarkEnd w:id="437"/>
    <w:p>
      <w:pPr>
        <w:spacing w:after="0"/>
        <w:tabs>
          <w:tab w:leader="none" w:pos="6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hereunto set his name as of [</w:t>
      </w:r>
      <w:r>
        <w:rPr>
          <w:sz w:val="20"/>
          <w:szCs w:val="20"/>
          <w:color w:val="auto"/>
        </w:rPr>
        <w:tab/>
      </w:r>
      <w:r>
        <w:rPr>
          <w:rFonts w:ascii="Arial" w:cs="Arial" w:eastAsia="Arial" w:hAnsi="Arial"/>
          <w:sz w:val="17"/>
          <w:szCs w:val="17"/>
          <w:color w:val="auto"/>
        </w:rPr>
        <w:t>].</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AMERICAN AIRLINES, INC.</w:t>
      </w:r>
    </w:p>
    <w:p>
      <w:pPr>
        <w:spacing w:after="0" w:line="23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[Office’s Certificate – Collateral Coverage Ration]</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J-3</w:t>
      </w:r>
    </w:p>
    <w:p>
      <w:pPr>
        <w:sectPr>
          <w:pgSz w:w="11900" w:h="16838" w:orient="portrait"/>
          <w:cols w:equalWidth="0" w:num="1">
            <w:col w:w="9299"/>
          </w:cols>
          <w:pgMar w:left="1160" w:top="274" w:right="1440" w:bottom="1440" w:gutter="0" w:footer="0" w:header="0"/>
        </w:sectPr>
      </w:pPr>
    </w:p>
    <w:bookmarkStart w:id="438" w:name="page439"/>
    <w:bookmarkEnd w:id="43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Collateral Coverage Ratio Calculation</w:t>
      </w:r>
    </w:p>
    <w:p>
      <w:pPr>
        <w:spacing w:after="0" w:line="248" w:lineRule="exact"/>
        <w:rPr>
          <w:sz w:val="20"/>
          <w:szCs w:val="20"/>
          <w:color w:val="auto"/>
        </w:rPr>
      </w:pPr>
    </w:p>
    <w:p>
      <w:pPr>
        <w:spacing w:after="0"/>
        <w:tabs>
          <w:tab w:leader="none" w:pos="640" w:val="left"/>
          <w:tab w:leader="none" w:pos="10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Appraised Value of Collateral</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ind w:left="660" w:hanging="652"/>
        <w:spacing w:after="0"/>
        <w:tabs>
          <w:tab w:leader="none" w:pos="660" w:val="left"/>
        </w:tabs>
        <w:numPr>
          <w:ilvl w:val="0"/>
          <w:numId w:val="485"/>
        </w:numPr>
        <w:rPr>
          <w:rFonts w:ascii="Arial" w:cs="Arial" w:eastAsia="Arial" w:hAnsi="Arial"/>
          <w:sz w:val="18"/>
          <w:szCs w:val="18"/>
          <w:color w:val="auto"/>
        </w:rPr>
      </w:pPr>
      <w:r>
        <w:rPr>
          <w:rFonts w:ascii="Arial" w:cs="Arial" w:eastAsia="Arial" w:hAnsi="Arial"/>
          <w:sz w:val="18"/>
          <w:szCs w:val="18"/>
          <w:b w:val="1"/>
          <w:bCs w:val="1"/>
          <w:color w:val="auto"/>
        </w:rPr>
        <w:t>Sum (without duplication)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(a)</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The outstanding Total Revolving Extensions of Credit (other than LC Exposure that has been Cash Collateralized in</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r>
      <w:tr>
        <w:trPr>
          <w:trHeight w:val="230"/>
        </w:trPr>
        <w:tc>
          <w:tcPr>
            <w:tcW w:w="1240" w:type="dxa"/>
            <w:vAlign w:val="bottom"/>
            <w:shd w:val="clear" w:color="auto" w:fill="CCEEFF"/>
          </w:tcPr>
          <w:p>
            <w:pPr>
              <w:spacing w:after="0"/>
              <w:rPr>
                <w:sz w:val="20"/>
                <w:szCs w:val="20"/>
                <w:color w:val="auto"/>
              </w:rPr>
            </w:pP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accordance with Section 2.02(j) of the Credit Agreement)</w:t>
            </w:r>
          </w:p>
        </w:tc>
        <w:tc>
          <w:tcPr>
            <w:tcW w:w="1180" w:type="dxa"/>
            <w:vAlign w:val="bottom"/>
            <w:shd w:val="clear" w:color="auto" w:fill="CCEEFF"/>
          </w:tcPr>
          <w:p>
            <w:pPr>
              <w:spacing w:after="0"/>
              <w:rPr>
                <w:sz w:val="20"/>
                <w:szCs w:val="20"/>
                <w:color w:val="auto"/>
              </w:rPr>
            </w:pPr>
          </w:p>
        </w:tc>
      </w:tr>
      <w:tr>
        <w:trPr>
          <w:trHeight w:val="324"/>
        </w:trPr>
        <w:tc>
          <w:tcPr>
            <w:tcW w:w="1240" w:type="dxa"/>
            <w:vAlign w:val="bottom"/>
          </w:tcPr>
          <w:p>
            <w:pPr>
              <w:jc w:val="right"/>
              <w:ind w:right="90"/>
              <w:spacing w:after="0"/>
              <w:rPr>
                <w:sz w:val="20"/>
                <w:szCs w:val="20"/>
                <w:color w:val="auto"/>
              </w:rPr>
            </w:pPr>
            <w:r>
              <w:rPr>
                <w:rFonts w:ascii="Arial" w:cs="Arial" w:eastAsia="Arial" w:hAnsi="Arial"/>
                <w:sz w:val="18"/>
                <w:szCs w:val="18"/>
                <w:color w:val="auto"/>
              </w:rPr>
              <w:t>(b)</w:t>
            </w:r>
          </w:p>
        </w:tc>
        <w:tc>
          <w:tcPr>
            <w:tcW w:w="9000" w:type="dxa"/>
            <w:vAlign w:val="bottom"/>
          </w:tcPr>
          <w:p>
            <w:pPr>
              <w:ind w:left="16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the aggregate outstanding principal amount of all Term Loans</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108"/>
        </w:trPr>
        <w:tc>
          <w:tcPr>
            <w:tcW w:w="124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16"/>
        </w:trPr>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(c)</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the aggregate outstanding principal amount of all Pari Passu Senior Secured Debt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r>
      <w:tr>
        <w:trPr>
          <w:trHeight w:val="324"/>
        </w:trPr>
        <w:tc>
          <w:tcPr>
            <w:tcW w:w="1240" w:type="dxa"/>
            <w:vAlign w:val="bottom"/>
          </w:tcPr>
          <w:p>
            <w:pPr>
              <w:jc w:val="right"/>
              <w:ind w:right="90"/>
              <w:spacing w:after="0"/>
              <w:rPr>
                <w:sz w:val="20"/>
                <w:szCs w:val="20"/>
                <w:color w:val="auto"/>
              </w:rPr>
            </w:pPr>
            <w:r>
              <w:rPr>
                <w:rFonts w:ascii="Arial" w:cs="Arial" w:eastAsia="Arial" w:hAnsi="Arial"/>
                <w:sz w:val="18"/>
                <w:szCs w:val="18"/>
                <w:color w:val="auto"/>
              </w:rPr>
              <w:t>(d)</w:t>
            </w:r>
          </w:p>
        </w:tc>
        <w:tc>
          <w:tcPr>
            <w:tcW w:w="9000" w:type="dxa"/>
            <w:vAlign w:val="bottom"/>
          </w:tcPr>
          <w:p>
            <w:pPr>
              <w:ind w:left="16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the aggregate outstanding amount of all Designated Hedging Obligations that constitute “Obligations”</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108"/>
        </w:trPr>
        <w:tc>
          <w:tcPr>
            <w:tcW w:w="124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16"/>
        </w:trPr>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(e)</w:t>
            </w: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6"/>
              </w:rPr>
              <w:t>plus</w:t>
            </w:r>
            <w:r>
              <w:rPr>
                <w:rFonts w:ascii="Arial" w:cs="Arial" w:eastAsia="Arial" w:hAnsi="Arial"/>
                <w:sz w:val="18"/>
                <w:szCs w:val="18"/>
                <w:color w:val="auto"/>
                <w:w w:val="96"/>
              </w:rPr>
              <w:t>, the aggregate outstanding amount of all Designated Banking Product Obligations that constitute “Obligations”</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r>
      <w:tr>
        <w:trPr>
          <w:trHeight w:val="324"/>
        </w:trPr>
        <w:tc>
          <w:tcPr>
            <w:tcW w:w="124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Total Obligations (sum of lines (a), (b), (c), (d) and (e)</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r>
    </w:tbl>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Ratio of (1) to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J-4</w:t>
      </w:r>
    </w:p>
    <w:p>
      <w:pPr>
        <w:sectPr>
          <w:pgSz w:w="11900" w:h="16838" w:orient="portrait"/>
          <w:cols w:equalWidth="0" w:num="1">
            <w:col w:w="11420"/>
          </w:cols>
          <w:pgMar w:left="240" w:top="274" w:right="239" w:bottom="1440" w:gutter="0" w:footer="0" w:header="0"/>
        </w:sectPr>
      </w:pPr>
    </w:p>
    <w:bookmarkStart w:id="439" w:name="page440"/>
    <w:bookmarkEnd w:id="4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K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AND GUARANTY AGREEMENT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INTERCREDITOR AGREEMENT</w:t>
      </w:r>
    </w:p>
    <w:p>
      <w:pPr>
        <w:spacing w:after="0" w:line="225" w:lineRule="exact"/>
        <w:rPr>
          <w:sz w:val="20"/>
          <w:szCs w:val="20"/>
          <w:color w:val="auto"/>
        </w:rPr>
      </w:pPr>
    </w:p>
    <w:p>
      <w:pPr>
        <w:ind w:left="3560"/>
        <w:spacing w:after="0"/>
        <w:tabs>
          <w:tab w:leader="none" w:pos="5380" w:val="left"/>
        </w:tabs>
        <w:rPr>
          <w:sz w:val="20"/>
          <w:szCs w:val="20"/>
          <w:color w:val="auto"/>
        </w:rPr>
      </w:pPr>
      <w:r>
        <w:rPr>
          <w:rFonts w:ascii="Arial" w:cs="Arial" w:eastAsia="Arial" w:hAnsi="Arial"/>
          <w:sz w:val="18"/>
          <w:szCs w:val="18"/>
          <w:b w:val="1"/>
          <w:bCs w:val="1"/>
          <w:color w:val="auto"/>
        </w:rPr>
        <w:t>dated as of [</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ind w:left="4960" w:hanging="956"/>
        <w:spacing w:after="0"/>
        <w:tabs>
          <w:tab w:leader="none" w:pos="496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Original First Lien Agent,</w:t>
      </w: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4960" w:hanging="956"/>
        <w:spacing w:after="0"/>
        <w:tabs>
          <w:tab w:leader="none" w:pos="496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6" w:lineRule="exact"/>
        <w:rPr>
          <w:sz w:val="20"/>
          <w:szCs w:val="20"/>
          <w:color w:val="auto"/>
        </w:rPr>
      </w:pPr>
    </w:p>
    <w:p>
      <w:pPr>
        <w:ind w:left="3000"/>
        <w:spacing w:after="0"/>
        <w:tabs>
          <w:tab w:leader="none" w:pos="3780" w:val="left"/>
        </w:tabs>
        <w:rPr>
          <w:sz w:val="20"/>
          <w:szCs w:val="20"/>
          <w:color w:val="auto"/>
        </w:rPr>
      </w:pPr>
      <w:r>
        <w:rPr>
          <w:rFonts w:ascii="Arial" w:cs="Arial" w:eastAsia="Arial" w:hAnsi="Arial"/>
          <w:sz w:val="18"/>
          <w:szCs w:val="18"/>
          <w:b w:val="1"/>
          <w:bCs w:val="1"/>
          <w:color w:val="auto"/>
        </w:rPr>
        <w:t xml:space="preserve">as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w:t>
      </w:r>
      <w:r>
        <w:rPr>
          <w:rFonts w:ascii="Arial" w:cs="Arial" w:eastAsia="Arial" w:hAnsi="Arial"/>
          <w:sz w:val="16"/>
          <w:szCs w:val="16"/>
          <w:b w:val="1"/>
          <w:bCs w:val="1"/>
          <w:color w:val="auto"/>
        </w:rPr>
        <w:t>[First/Second</w:t>
      </w:r>
      <w:r>
        <w:rPr>
          <w:rFonts w:ascii="Arial" w:cs="Arial" w:eastAsia="Arial" w:hAnsi="Arial"/>
          <w:sz w:val="16"/>
          <w:szCs w:val="16"/>
          <w:color w:val="auto"/>
        </w:rPr>
        <w:t>]</w:t>
      </w:r>
      <w:r>
        <w:rPr>
          <w:rFonts w:ascii="Arial" w:cs="Arial" w:eastAsia="Arial" w:hAnsi="Arial"/>
          <w:sz w:val="13"/>
          <w:szCs w:val="13"/>
          <w:color w:val="auto"/>
        </w:rPr>
        <w:t>ii</w:t>
      </w:r>
      <w:r>
        <w:rPr>
          <w:rFonts w:ascii="Arial" w:cs="Arial" w:eastAsia="Arial" w:hAnsi="Arial"/>
          <w:sz w:val="16"/>
          <w:szCs w:val="16"/>
          <w:color w:val="auto"/>
        </w:rPr>
        <w:t xml:space="preserve"> </w:t>
      </w:r>
      <w:r>
        <w:rPr>
          <w:rFonts w:ascii="Arial" w:cs="Arial" w:eastAsia="Arial" w:hAnsi="Arial"/>
          <w:sz w:val="16"/>
          <w:szCs w:val="16"/>
          <w:b w:val="1"/>
          <w:bCs w:val="1"/>
          <w:color w:val="auto"/>
        </w:rPr>
        <w:t>Lien Agent</w:t>
      </w:r>
    </w:p>
    <w:p>
      <w:pPr>
        <w:sectPr>
          <w:pgSz w:w="11900" w:h="16838" w:orient="portrait"/>
          <w:cols w:equalWidth="0" w:num="1">
            <w:col w:w="10220"/>
          </w:cols>
          <w:pgMar w:left="1440" w:top="274" w:right="239" w:bottom="1440" w:gutter="0" w:footer="0" w:header="0"/>
        </w:sectPr>
      </w:pPr>
    </w:p>
    <w:bookmarkStart w:id="440" w:name="page441"/>
    <w:bookmarkEnd w:id="440"/>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9680" w:type="dxa"/>
            <w:vAlign w:val="bottom"/>
          </w:tcPr>
          <w:p>
            <w:pPr>
              <w:ind w:left="34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134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1020" w:type="dxa"/>
            <w:vAlign w:val="bottom"/>
            <w:gridSpan w:val="2"/>
          </w:tcPr>
          <w:p>
            <w:pPr>
              <w:ind w:left="360"/>
              <w:spacing w:after="0"/>
              <w:rPr>
                <w:sz w:val="20"/>
                <w:szCs w:val="20"/>
                <w:color w:val="auto"/>
              </w:rPr>
            </w:pPr>
            <w:r>
              <w:rPr>
                <w:rFonts w:ascii="Arial" w:cs="Arial" w:eastAsia="Arial" w:hAnsi="Arial"/>
                <w:sz w:val="18"/>
                <w:szCs w:val="18"/>
                <w:color w:val="auto"/>
              </w:rPr>
              <w:t>Article I.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1.01</w:t>
            </w:r>
          </w:p>
        </w:tc>
        <w:tc>
          <w:tcPr>
            <w:tcW w:w="9680" w:type="dxa"/>
            <w:vAlign w:val="bottom"/>
          </w:tcPr>
          <w:p>
            <w:pPr>
              <w:ind w:left="420"/>
              <w:spacing w:after="0"/>
              <w:rPr>
                <w:sz w:val="20"/>
                <w:szCs w:val="20"/>
                <w:color w:val="auto"/>
              </w:rPr>
            </w:pPr>
            <w:r>
              <w:rPr>
                <w:rFonts w:ascii="Arial" w:cs="Arial" w:eastAsia="Arial" w:hAnsi="Arial"/>
                <w:sz w:val="18"/>
                <w:szCs w:val="18"/>
                <w:color w:val="auto"/>
              </w:rPr>
              <w:t>UCC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1.02</w:t>
            </w:r>
          </w:p>
        </w:tc>
        <w:tc>
          <w:tcPr>
            <w:tcW w:w="9680" w:type="dxa"/>
            <w:vAlign w:val="bottom"/>
          </w:tcPr>
          <w:p>
            <w:pPr>
              <w:ind w:left="420"/>
              <w:spacing w:after="0"/>
              <w:rPr>
                <w:sz w:val="20"/>
                <w:szCs w:val="20"/>
                <w:color w:val="auto"/>
              </w:rPr>
            </w:pPr>
            <w:r>
              <w:rPr>
                <w:rFonts w:ascii="Arial" w:cs="Arial" w:eastAsia="Arial" w:hAnsi="Arial"/>
                <w:sz w:val="18"/>
                <w:szCs w:val="18"/>
                <w:color w:val="auto"/>
              </w:rPr>
              <w:t>Other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1.03</w:t>
            </w:r>
          </w:p>
        </w:tc>
        <w:tc>
          <w:tcPr>
            <w:tcW w:w="9680" w:type="dxa"/>
            <w:vAlign w:val="bottom"/>
          </w:tcPr>
          <w:p>
            <w:pPr>
              <w:ind w:left="420"/>
              <w:spacing w:after="0"/>
              <w:rPr>
                <w:sz w:val="20"/>
                <w:szCs w:val="20"/>
                <w:color w:val="auto"/>
              </w:rPr>
            </w:pPr>
            <w:r>
              <w:rPr>
                <w:rFonts w:ascii="Arial" w:cs="Arial" w:eastAsia="Arial" w:hAnsi="Arial"/>
                <w:sz w:val="18"/>
                <w:szCs w:val="18"/>
                <w:color w:val="auto"/>
              </w:rPr>
              <w:t>Rules of Construction</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020" w:type="dxa"/>
            <w:vAlign w:val="bottom"/>
            <w:gridSpan w:val="2"/>
          </w:tcPr>
          <w:p>
            <w:pPr>
              <w:ind w:left="360"/>
              <w:spacing w:after="0"/>
              <w:rPr>
                <w:sz w:val="20"/>
                <w:szCs w:val="20"/>
                <w:color w:val="auto"/>
              </w:rPr>
            </w:pPr>
            <w:r>
              <w:rPr>
                <w:rFonts w:ascii="Arial" w:cs="Arial" w:eastAsia="Arial" w:hAnsi="Arial"/>
                <w:sz w:val="18"/>
                <w:szCs w:val="18"/>
                <w:color w:val="auto"/>
              </w:rPr>
              <w:t>Article II. LIEN PRIORITY</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2.01</w:t>
            </w:r>
          </w:p>
        </w:tc>
        <w:tc>
          <w:tcPr>
            <w:tcW w:w="9680" w:type="dxa"/>
            <w:vAlign w:val="bottom"/>
          </w:tcPr>
          <w:p>
            <w:pPr>
              <w:ind w:left="420"/>
              <w:spacing w:after="0"/>
              <w:rPr>
                <w:sz w:val="20"/>
                <w:szCs w:val="20"/>
                <w:color w:val="auto"/>
              </w:rPr>
            </w:pPr>
            <w:r>
              <w:rPr>
                <w:rFonts w:ascii="Arial" w:cs="Arial" w:eastAsia="Arial" w:hAnsi="Arial"/>
                <w:sz w:val="18"/>
                <w:szCs w:val="18"/>
                <w:color w:val="auto"/>
              </w:rPr>
              <w:t>Lien Priority</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2.02</w:t>
            </w:r>
          </w:p>
        </w:tc>
        <w:tc>
          <w:tcPr>
            <w:tcW w:w="9680" w:type="dxa"/>
            <w:vAlign w:val="bottom"/>
          </w:tcPr>
          <w:p>
            <w:pPr>
              <w:ind w:left="420"/>
              <w:spacing w:after="0"/>
              <w:rPr>
                <w:sz w:val="20"/>
                <w:szCs w:val="20"/>
                <w:color w:val="auto"/>
              </w:rPr>
            </w:pPr>
            <w:r>
              <w:rPr>
                <w:rFonts w:ascii="Arial" w:cs="Arial" w:eastAsia="Arial" w:hAnsi="Arial"/>
                <w:sz w:val="18"/>
                <w:szCs w:val="18"/>
                <w:color w:val="auto"/>
              </w:rPr>
              <w:t>Waiver of Right to Contest Liens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2.03</w:t>
            </w:r>
          </w:p>
        </w:tc>
        <w:tc>
          <w:tcPr>
            <w:tcW w:w="9680" w:type="dxa"/>
            <w:vAlign w:val="bottom"/>
          </w:tcPr>
          <w:p>
            <w:pPr>
              <w:ind w:left="420"/>
              <w:spacing w:after="0"/>
              <w:rPr>
                <w:sz w:val="20"/>
                <w:szCs w:val="20"/>
                <w:color w:val="auto"/>
              </w:rPr>
            </w:pPr>
            <w:r>
              <w:rPr>
                <w:rFonts w:ascii="Arial" w:cs="Arial" w:eastAsia="Arial" w:hAnsi="Arial"/>
                <w:sz w:val="18"/>
                <w:szCs w:val="18"/>
                <w:color w:val="auto"/>
              </w:rPr>
              <w:t>Remedies Standstill</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2.04</w:t>
            </w:r>
          </w:p>
        </w:tc>
        <w:tc>
          <w:tcPr>
            <w:tcW w:w="9680" w:type="dxa"/>
            <w:vAlign w:val="bottom"/>
          </w:tcPr>
          <w:p>
            <w:pPr>
              <w:ind w:left="420"/>
              <w:spacing w:after="0"/>
              <w:rPr>
                <w:sz w:val="20"/>
                <w:szCs w:val="20"/>
                <w:color w:val="auto"/>
              </w:rPr>
            </w:pPr>
            <w:r>
              <w:rPr>
                <w:rFonts w:ascii="Arial" w:cs="Arial" w:eastAsia="Arial" w:hAnsi="Arial"/>
                <w:sz w:val="18"/>
                <w:szCs w:val="18"/>
                <w:color w:val="auto"/>
              </w:rPr>
              <w:t>Exercise of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2.05</w:t>
            </w:r>
          </w:p>
        </w:tc>
        <w:tc>
          <w:tcPr>
            <w:tcW w:w="9680" w:type="dxa"/>
            <w:vAlign w:val="bottom"/>
          </w:tcPr>
          <w:p>
            <w:pPr>
              <w:ind w:left="420"/>
              <w:spacing w:after="0"/>
              <w:rPr>
                <w:sz w:val="20"/>
                <w:szCs w:val="20"/>
                <w:color w:val="auto"/>
              </w:rPr>
            </w:pPr>
            <w:r>
              <w:rPr>
                <w:rFonts w:ascii="Arial" w:cs="Arial" w:eastAsia="Arial" w:hAnsi="Arial"/>
                <w:sz w:val="18"/>
                <w:szCs w:val="18"/>
                <w:color w:val="auto"/>
              </w:rPr>
              <w:t>No New Liens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2.06</w:t>
            </w:r>
          </w:p>
        </w:tc>
        <w:tc>
          <w:tcPr>
            <w:tcW w:w="9680" w:type="dxa"/>
            <w:vAlign w:val="bottom"/>
          </w:tcPr>
          <w:p>
            <w:pPr>
              <w:ind w:left="420"/>
              <w:spacing w:after="0"/>
              <w:rPr>
                <w:sz w:val="20"/>
                <w:szCs w:val="20"/>
                <w:color w:val="auto"/>
              </w:rPr>
            </w:pPr>
            <w:r>
              <w:rPr>
                <w:rFonts w:ascii="Arial" w:cs="Arial" w:eastAsia="Arial" w:hAnsi="Arial"/>
                <w:sz w:val="18"/>
                <w:szCs w:val="18"/>
                <w:color w:val="auto"/>
              </w:rPr>
              <w:t>Waiver of Marshalling</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020" w:type="dxa"/>
            <w:vAlign w:val="bottom"/>
            <w:gridSpan w:val="2"/>
          </w:tcPr>
          <w:p>
            <w:pPr>
              <w:ind w:left="360"/>
              <w:spacing w:after="0"/>
              <w:rPr>
                <w:sz w:val="20"/>
                <w:szCs w:val="20"/>
                <w:color w:val="auto"/>
              </w:rPr>
            </w:pPr>
            <w:r>
              <w:rPr>
                <w:rFonts w:ascii="Arial" w:cs="Arial" w:eastAsia="Arial" w:hAnsi="Arial"/>
                <w:sz w:val="18"/>
                <w:szCs w:val="18"/>
                <w:color w:val="auto"/>
              </w:rPr>
              <w:t>Article III. ACTIONS OF THE PARTIES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3.02</w:t>
            </w:r>
          </w:p>
        </w:tc>
        <w:tc>
          <w:tcPr>
            <w:tcW w:w="9680" w:type="dxa"/>
            <w:vAlign w:val="bottom"/>
          </w:tcPr>
          <w:p>
            <w:pPr>
              <w:ind w:left="420"/>
              <w:spacing w:after="0"/>
              <w:rPr>
                <w:sz w:val="20"/>
                <w:szCs w:val="20"/>
                <w:color w:val="auto"/>
              </w:rPr>
            </w:pPr>
            <w:r>
              <w:rPr>
                <w:rFonts w:ascii="Arial" w:cs="Arial" w:eastAsia="Arial" w:hAnsi="Arial"/>
                <w:sz w:val="18"/>
                <w:szCs w:val="18"/>
                <w:color w:val="auto"/>
              </w:rPr>
              <w:t>Sharing of Information and Access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3.03</w:t>
            </w:r>
          </w:p>
        </w:tc>
        <w:tc>
          <w:tcPr>
            <w:tcW w:w="968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3.04</w:t>
            </w:r>
          </w:p>
        </w:tc>
        <w:tc>
          <w:tcPr>
            <w:tcW w:w="9680" w:type="dxa"/>
            <w:vAlign w:val="bottom"/>
          </w:tcPr>
          <w:p>
            <w:pPr>
              <w:ind w:left="420"/>
              <w:spacing w:after="0"/>
              <w:rPr>
                <w:sz w:val="20"/>
                <w:szCs w:val="20"/>
                <w:color w:val="auto"/>
              </w:rPr>
            </w:pPr>
            <w:r>
              <w:rPr>
                <w:rFonts w:ascii="Arial" w:cs="Arial" w:eastAsia="Arial" w:hAnsi="Arial"/>
                <w:sz w:val="18"/>
                <w:szCs w:val="18"/>
                <w:color w:val="auto"/>
              </w:rPr>
              <w:t>No Additional Rights for the Loan Parties Hereunder</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020" w:type="dxa"/>
            <w:vAlign w:val="bottom"/>
            <w:gridSpan w:val="2"/>
          </w:tcPr>
          <w:p>
            <w:pPr>
              <w:ind w:left="360"/>
              <w:spacing w:after="0"/>
              <w:rPr>
                <w:sz w:val="20"/>
                <w:szCs w:val="20"/>
                <w:color w:val="auto"/>
              </w:rPr>
            </w:pPr>
            <w:r>
              <w:rPr>
                <w:rFonts w:ascii="Arial" w:cs="Arial" w:eastAsia="Arial" w:hAnsi="Arial"/>
                <w:sz w:val="18"/>
                <w:szCs w:val="18"/>
                <w:color w:val="auto"/>
              </w:rPr>
              <w:t>Article IV. APPLICATION OF PROCEEDS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4.01</w:t>
            </w:r>
          </w:p>
        </w:tc>
        <w:tc>
          <w:tcPr>
            <w:tcW w:w="9680" w:type="dxa"/>
            <w:vAlign w:val="bottom"/>
          </w:tcPr>
          <w:p>
            <w:pPr>
              <w:ind w:left="420"/>
              <w:spacing w:after="0"/>
              <w:rPr>
                <w:sz w:val="20"/>
                <w:szCs w:val="20"/>
                <w:color w:val="auto"/>
              </w:rPr>
            </w:pPr>
            <w:r>
              <w:rPr>
                <w:rFonts w:ascii="Arial" w:cs="Arial" w:eastAsia="Arial" w:hAnsi="Arial"/>
                <w:sz w:val="18"/>
                <w:szCs w:val="18"/>
                <w:color w:val="auto"/>
              </w:rPr>
              <w:t>Application of Proceeds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4.02</w:t>
            </w:r>
          </w:p>
        </w:tc>
        <w:tc>
          <w:tcPr>
            <w:tcW w:w="9680" w:type="dxa"/>
            <w:vAlign w:val="bottom"/>
          </w:tcPr>
          <w:p>
            <w:pPr>
              <w:ind w:left="420"/>
              <w:spacing w:after="0"/>
              <w:rPr>
                <w:sz w:val="20"/>
                <w:szCs w:val="20"/>
                <w:color w:val="auto"/>
              </w:rPr>
            </w:pPr>
            <w:r>
              <w:rPr>
                <w:rFonts w:ascii="Arial" w:cs="Arial" w:eastAsia="Arial" w:hAnsi="Arial"/>
                <w:sz w:val="18"/>
                <w:szCs w:val="18"/>
                <w:color w:val="auto"/>
              </w:rPr>
              <w:t>Specific Performance and Other Relief</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020" w:type="dxa"/>
            <w:vAlign w:val="bottom"/>
            <w:gridSpan w:val="2"/>
          </w:tcPr>
          <w:p>
            <w:pPr>
              <w:ind w:left="360"/>
              <w:spacing w:after="0"/>
              <w:rPr>
                <w:sz w:val="20"/>
                <w:szCs w:val="20"/>
                <w:color w:val="auto"/>
              </w:rPr>
            </w:pPr>
            <w:r>
              <w:rPr>
                <w:rFonts w:ascii="Arial" w:cs="Arial" w:eastAsia="Arial" w:hAnsi="Arial"/>
                <w:sz w:val="18"/>
                <w:szCs w:val="18"/>
                <w:color w:val="auto"/>
              </w:rPr>
              <w:t>Article V. INTERCREDITOR ACKNOWLEDGEMENTS AND WAIVERS</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5.01</w:t>
            </w:r>
          </w:p>
        </w:tc>
        <w:tc>
          <w:tcPr>
            <w:tcW w:w="9680" w:type="dxa"/>
            <w:vAlign w:val="bottom"/>
          </w:tcPr>
          <w:p>
            <w:pPr>
              <w:ind w:left="420"/>
              <w:spacing w:after="0"/>
              <w:rPr>
                <w:sz w:val="20"/>
                <w:szCs w:val="20"/>
                <w:color w:val="auto"/>
              </w:rPr>
            </w:pPr>
            <w:r>
              <w:rPr>
                <w:rFonts w:ascii="Arial" w:cs="Arial" w:eastAsia="Arial" w:hAnsi="Arial"/>
                <w:sz w:val="18"/>
                <w:szCs w:val="18"/>
                <w:color w:val="auto"/>
              </w:rPr>
              <w:t>Notice of Acceptance and Other Waivers</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5.02</w:t>
            </w:r>
          </w:p>
        </w:tc>
        <w:tc>
          <w:tcPr>
            <w:tcW w:w="9680" w:type="dxa"/>
            <w:vAlign w:val="bottom"/>
          </w:tcPr>
          <w:p>
            <w:pPr>
              <w:ind w:left="420"/>
              <w:spacing w:after="0"/>
              <w:rPr>
                <w:sz w:val="20"/>
                <w:szCs w:val="20"/>
                <w:color w:val="auto"/>
              </w:rPr>
            </w:pPr>
            <w:r>
              <w:rPr>
                <w:rFonts w:ascii="Arial" w:cs="Arial" w:eastAsia="Arial" w:hAnsi="Arial"/>
                <w:sz w:val="18"/>
                <w:szCs w:val="18"/>
                <w:color w:val="auto"/>
              </w:rPr>
              <w:t>Modifications to Senior Priority Documents and Junior Priority Documents</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5.03</w:t>
            </w:r>
          </w:p>
        </w:tc>
        <w:tc>
          <w:tcPr>
            <w:tcW w:w="9680" w:type="dxa"/>
            <w:vAlign w:val="bottom"/>
          </w:tcPr>
          <w:p>
            <w:pPr>
              <w:ind w:left="420"/>
              <w:spacing w:after="0"/>
              <w:rPr>
                <w:sz w:val="20"/>
                <w:szCs w:val="20"/>
                <w:color w:val="auto"/>
              </w:rPr>
            </w:pPr>
            <w:r>
              <w:rPr>
                <w:rFonts w:ascii="Arial" w:cs="Arial" w:eastAsia="Arial" w:hAnsi="Arial"/>
                <w:sz w:val="18"/>
                <w:szCs w:val="18"/>
                <w:color w:val="auto"/>
              </w:rPr>
              <w:t>Reinstatement and Continuation of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5.04</w:t>
            </w:r>
          </w:p>
        </w:tc>
        <w:tc>
          <w:tcPr>
            <w:tcW w:w="9680" w:type="dxa"/>
            <w:vAlign w:val="bottom"/>
          </w:tcPr>
          <w:p>
            <w:pPr>
              <w:ind w:left="420"/>
              <w:spacing w:after="0"/>
              <w:rPr>
                <w:sz w:val="20"/>
                <w:szCs w:val="20"/>
                <w:color w:val="auto"/>
              </w:rPr>
            </w:pPr>
            <w:r>
              <w:rPr>
                <w:rFonts w:ascii="Arial" w:cs="Arial" w:eastAsia="Arial" w:hAnsi="Arial"/>
                <w:sz w:val="18"/>
                <w:szCs w:val="18"/>
                <w:color w:val="auto"/>
              </w:rPr>
              <w:t>Excluded Cash Collateral</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1020" w:type="dxa"/>
            <w:vAlign w:val="bottom"/>
            <w:gridSpan w:val="2"/>
          </w:tcPr>
          <w:p>
            <w:pPr>
              <w:ind w:left="360"/>
              <w:spacing w:after="0"/>
              <w:rPr>
                <w:sz w:val="20"/>
                <w:szCs w:val="20"/>
                <w:color w:val="auto"/>
              </w:rPr>
            </w:pPr>
            <w:r>
              <w:rPr>
                <w:rFonts w:ascii="Arial" w:cs="Arial" w:eastAsia="Arial" w:hAnsi="Arial"/>
                <w:sz w:val="18"/>
                <w:szCs w:val="18"/>
                <w:color w:val="auto"/>
              </w:rPr>
              <w:t>Article VI. INSOLVENCY PROCEEDINGS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6.01</w:t>
            </w:r>
          </w:p>
        </w:tc>
        <w:tc>
          <w:tcPr>
            <w:tcW w:w="9680" w:type="dxa"/>
            <w:vAlign w:val="bottom"/>
          </w:tcPr>
          <w:p>
            <w:pPr>
              <w:ind w:left="420"/>
              <w:spacing w:after="0"/>
              <w:rPr>
                <w:sz w:val="20"/>
                <w:szCs w:val="20"/>
                <w:color w:val="auto"/>
              </w:rPr>
            </w:pPr>
            <w:r>
              <w:rPr>
                <w:rFonts w:ascii="Arial" w:cs="Arial" w:eastAsia="Arial" w:hAnsi="Arial"/>
                <w:sz w:val="18"/>
                <w:szCs w:val="18"/>
                <w:color w:val="auto"/>
              </w:rPr>
              <w:t>DIP Financing</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6.02</w:t>
            </w:r>
          </w:p>
        </w:tc>
        <w:tc>
          <w:tcPr>
            <w:tcW w:w="9680" w:type="dxa"/>
            <w:vAlign w:val="bottom"/>
          </w:tcPr>
          <w:p>
            <w:pPr>
              <w:ind w:left="420"/>
              <w:spacing w:after="0"/>
              <w:rPr>
                <w:sz w:val="20"/>
                <w:szCs w:val="20"/>
                <w:color w:val="auto"/>
              </w:rPr>
            </w:pPr>
            <w:r>
              <w:rPr>
                <w:rFonts w:ascii="Arial" w:cs="Arial" w:eastAsia="Arial" w:hAnsi="Arial"/>
                <w:sz w:val="18"/>
                <w:szCs w:val="18"/>
                <w:color w:val="auto"/>
              </w:rPr>
              <w:t>Relief from Stay</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6.03</w:t>
            </w:r>
          </w:p>
        </w:tc>
        <w:tc>
          <w:tcPr>
            <w:tcW w:w="9680" w:type="dxa"/>
            <w:vAlign w:val="bottom"/>
          </w:tcPr>
          <w:p>
            <w:pPr>
              <w:ind w:left="420"/>
              <w:spacing w:after="0"/>
              <w:rPr>
                <w:sz w:val="20"/>
                <w:szCs w:val="20"/>
                <w:color w:val="auto"/>
              </w:rPr>
            </w:pPr>
            <w:r>
              <w:rPr>
                <w:rFonts w:ascii="Arial" w:cs="Arial" w:eastAsia="Arial" w:hAnsi="Arial"/>
                <w:sz w:val="18"/>
                <w:szCs w:val="18"/>
                <w:color w:val="auto"/>
              </w:rPr>
              <w:t>No Contest</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6.04</w:t>
            </w:r>
          </w:p>
        </w:tc>
        <w:tc>
          <w:tcPr>
            <w:tcW w:w="9680" w:type="dxa"/>
            <w:vAlign w:val="bottom"/>
          </w:tcPr>
          <w:p>
            <w:pPr>
              <w:ind w:left="420"/>
              <w:spacing w:after="0"/>
              <w:rPr>
                <w:sz w:val="20"/>
                <w:szCs w:val="20"/>
                <w:color w:val="auto"/>
              </w:rPr>
            </w:pPr>
            <w:r>
              <w:rPr>
                <w:rFonts w:ascii="Arial" w:cs="Arial" w:eastAsia="Arial" w:hAnsi="Arial"/>
                <w:sz w:val="18"/>
                <w:szCs w:val="18"/>
                <w:color w:val="auto"/>
              </w:rPr>
              <w:t>Asset Sales</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6.05</w:t>
            </w:r>
          </w:p>
        </w:tc>
        <w:tc>
          <w:tcPr>
            <w:tcW w:w="9680" w:type="dxa"/>
            <w:vAlign w:val="bottom"/>
          </w:tcPr>
          <w:p>
            <w:pPr>
              <w:ind w:left="420"/>
              <w:spacing w:after="0"/>
              <w:rPr>
                <w:sz w:val="20"/>
                <w:szCs w:val="20"/>
                <w:color w:val="auto"/>
              </w:rPr>
            </w:pPr>
            <w:r>
              <w:rPr>
                <w:rFonts w:ascii="Arial" w:cs="Arial" w:eastAsia="Arial" w:hAnsi="Arial"/>
                <w:sz w:val="18"/>
                <w:szCs w:val="18"/>
                <w:color w:val="auto"/>
              </w:rPr>
              <w:t>Separate Grants of Security and Separate Classification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6.06</w:t>
            </w:r>
          </w:p>
        </w:tc>
        <w:tc>
          <w:tcPr>
            <w:tcW w:w="9680" w:type="dxa"/>
            <w:vAlign w:val="bottom"/>
          </w:tcPr>
          <w:p>
            <w:pPr>
              <w:ind w:left="420"/>
              <w:spacing w:after="0"/>
              <w:rPr>
                <w:sz w:val="20"/>
                <w:szCs w:val="20"/>
                <w:color w:val="auto"/>
              </w:rPr>
            </w:pPr>
            <w:r>
              <w:rPr>
                <w:rFonts w:ascii="Arial" w:cs="Arial" w:eastAsia="Arial" w:hAnsi="Arial"/>
                <w:sz w:val="18"/>
                <w:szCs w:val="18"/>
                <w:color w:val="auto"/>
              </w:rPr>
              <w:t>Enforceability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6.07</w:t>
            </w:r>
          </w:p>
        </w:tc>
        <w:tc>
          <w:tcPr>
            <w:tcW w:w="9680" w:type="dxa"/>
            <w:vAlign w:val="bottom"/>
          </w:tcPr>
          <w:p>
            <w:pPr>
              <w:ind w:left="420"/>
              <w:spacing w:after="0"/>
              <w:rPr>
                <w:sz w:val="20"/>
                <w:szCs w:val="20"/>
                <w:color w:val="auto"/>
              </w:rPr>
            </w:pPr>
            <w:r>
              <w:rPr>
                <w:rFonts w:ascii="Arial" w:cs="Arial" w:eastAsia="Arial" w:hAnsi="Arial"/>
                <w:sz w:val="18"/>
                <w:szCs w:val="18"/>
                <w:color w:val="auto"/>
              </w:rPr>
              <w:t>Senior Priority Obligations Unconditional</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6.08</w:t>
            </w:r>
          </w:p>
        </w:tc>
        <w:tc>
          <w:tcPr>
            <w:tcW w:w="9680" w:type="dxa"/>
            <w:vAlign w:val="bottom"/>
          </w:tcPr>
          <w:p>
            <w:pPr>
              <w:ind w:left="420"/>
              <w:spacing w:after="0"/>
              <w:rPr>
                <w:sz w:val="20"/>
                <w:szCs w:val="20"/>
                <w:color w:val="auto"/>
              </w:rPr>
            </w:pPr>
            <w:r>
              <w:rPr>
                <w:rFonts w:ascii="Arial" w:cs="Arial" w:eastAsia="Arial" w:hAnsi="Arial"/>
                <w:sz w:val="18"/>
                <w:szCs w:val="18"/>
                <w:color w:val="auto"/>
              </w:rPr>
              <w:t>Junior Priority Obligations Unconditional</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bl>
    <w:p>
      <w:pPr>
        <w:jc w:val="right"/>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41" w:name="page442"/>
    <w:bookmarkEnd w:id="441"/>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6.09</w:t>
            </w:r>
          </w:p>
        </w:tc>
        <w:tc>
          <w:tcPr>
            <w:tcW w:w="3200" w:type="dxa"/>
            <w:vAlign w:val="bottom"/>
          </w:tcPr>
          <w:p>
            <w:pPr>
              <w:ind w:left="560"/>
              <w:spacing w:after="0"/>
              <w:rPr>
                <w:sz w:val="20"/>
                <w:szCs w:val="20"/>
                <w:color w:val="auto"/>
              </w:rPr>
            </w:pPr>
            <w:r>
              <w:rPr>
                <w:rFonts w:ascii="Arial" w:cs="Arial" w:eastAsia="Arial" w:hAnsi="Arial"/>
                <w:sz w:val="18"/>
                <w:szCs w:val="18"/>
                <w:color w:val="auto"/>
              </w:rPr>
              <w:t>Adequate Protection</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6.10</w:t>
            </w:r>
          </w:p>
        </w:tc>
        <w:tc>
          <w:tcPr>
            <w:tcW w:w="3200" w:type="dxa"/>
            <w:vAlign w:val="bottom"/>
          </w:tcPr>
          <w:p>
            <w:pPr>
              <w:ind w:left="560"/>
              <w:spacing w:after="0"/>
              <w:rPr>
                <w:sz w:val="20"/>
                <w:szCs w:val="20"/>
                <w:color w:val="auto"/>
              </w:rPr>
            </w:pPr>
            <w:r>
              <w:rPr>
                <w:rFonts w:ascii="Arial" w:cs="Arial" w:eastAsia="Arial" w:hAnsi="Arial"/>
                <w:sz w:val="18"/>
                <w:szCs w:val="18"/>
                <w:color w:val="auto"/>
              </w:rPr>
              <w:t>Certain Waivers</w:t>
            </w:r>
          </w:p>
        </w:tc>
        <w:tc>
          <w:tcPr>
            <w:tcW w:w="50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Article VII. MISCELLANEOUS</w:t>
            </w:r>
          </w:p>
        </w:tc>
        <w:tc>
          <w:tcPr>
            <w:tcW w:w="50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7.01</w:t>
            </w:r>
          </w:p>
        </w:tc>
        <w:tc>
          <w:tcPr>
            <w:tcW w:w="3200" w:type="dxa"/>
            <w:vAlign w:val="bottom"/>
          </w:tcPr>
          <w:p>
            <w:pPr>
              <w:ind w:left="560"/>
              <w:spacing w:after="0"/>
              <w:rPr>
                <w:sz w:val="20"/>
                <w:szCs w:val="20"/>
                <w:color w:val="auto"/>
              </w:rPr>
            </w:pPr>
            <w:r>
              <w:rPr>
                <w:rFonts w:ascii="Arial" w:cs="Arial" w:eastAsia="Arial" w:hAnsi="Arial"/>
                <w:sz w:val="18"/>
                <w:szCs w:val="18"/>
                <w:color w:val="auto"/>
              </w:rPr>
              <w:t>Rights of Subrogation</w:t>
            </w:r>
          </w:p>
        </w:tc>
        <w:tc>
          <w:tcPr>
            <w:tcW w:w="50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7.02</w:t>
            </w:r>
          </w:p>
        </w:tc>
        <w:tc>
          <w:tcPr>
            <w:tcW w:w="3200" w:type="dxa"/>
            <w:vAlign w:val="bottom"/>
          </w:tcPr>
          <w:p>
            <w:pPr>
              <w:ind w:left="560"/>
              <w:spacing w:after="0"/>
              <w:rPr>
                <w:sz w:val="20"/>
                <w:szCs w:val="20"/>
                <w:color w:val="auto"/>
              </w:rPr>
            </w:pPr>
            <w:r>
              <w:rPr>
                <w:rFonts w:ascii="Arial" w:cs="Arial" w:eastAsia="Arial" w:hAnsi="Arial"/>
                <w:sz w:val="18"/>
                <w:szCs w:val="18"/>
                <w:color w:val="auto"/>
              </w:rPr>
              <w:t>Further Assurances</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7.03</w:t>
            </w:r>
          </w:p>
        </w:tc>
        <w:tc>
          <w:tcPr>
            <w:tcW w:w="3200" w:type="dxa"/>
            <w:vAlign w:val="bottom"/>
          </w:tcPr>
          <w:p>
            <w:pPr>
              <w:ind w:left="560"/>
              <w:spacing w:after="0"/>
              <w:rPr>
                <w:sz w:val="20"/>
                <w:szCs w:val="20"/>
                <w:color w:val="auto"/>
              </w:rPr>
            </w:pPr>
            <w:r>
              <w:rPr>
                <w:rFonts w:ascii="Arial" w:cs="Arial" w:eastAsia="Arial" w:hAnsi="Arial"/>
                <w:sz w:val="18"/>
                <w:szCs w:val="18"/>
                <w:color w:val="auto"/>
              </w:rPr>
              <w:t>Agent Representations</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7.04</w:t>
            </w:r>
          </w:p>
        </w:tc>
        <w:tc>
          <w:tcPr>
            <w:tcW w:w="3200" w:type="dxa"/>
            <w:vAlign w:val="bottom"/>
          </w:tcPr>
          <w:p>
            <w:pPr>
              <w:ind w:left="560"/>
              <w:spacing w:after="0"/>
              <w:rPr>
                <w:sz w:val="20"/>
                <w:szCs w:val="20"/>
                <w:color w:val="auto"/>
              </w:rPr>
            </w:pPr>
            <w:r>
              <w:rPr>
                <w:rFonts w:ascii="Arial" w:cs="Arial" w:eastAsia="Arial" w:hAnsi="Arial"/>
                <w:sz w:val="18"/>
                <w:szCs w:val="18"/>
                <w:color w:val="auto"/>
              </w:rPr>
              <w:t>Amendments</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7.05</w:t>
            </w:r>
          </w:p>
        </w:tc>
        <w:tc>
          <w:tcPr>
            <w:tcW w:w="3200" w:type="dxa"/>
            <w:vAlign w:val="bottom"/>
          </w:tcPr>
          <w:p>
            <w:pPr>
              <w:ind w:left="560"/>
              <w:spacing w:after="0"/>
              <w:rPr>
                <w:sz w:val="20"/>
                <w:szCs w:val="20"/>
                <w:color w:val="auto"/>
              </w:rPr>
            </w:pPr>
            <w:r>
              <w:rPr>
                <w:rFonts w:ascii="Arial" w:cs="Arial" w:eastAsia="Arial" w:hAnsi="Arial"/>
                <w:sz w:val="18"/>
                <w:szCs w:val="18"/>
                <w:color w:val="auto"/>
              </w:rPr>
              <w:t>Addresses for Notices</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7.06</w:t>
            </w:r>
          </w:p>
        </w:tc>
        <w:tc>
          <w:tcPr>
            <w:tcW w:w="3200" w:type="dxa"/>
            <w:vAlign w:val="bottom"/>
          </w:tcPr>
          <w:p>
            <w:pPr>
              <w:ind w:left="560"/>
              <w:spacing w:after="0"/>
              <w:rPr>
                <w:sz w:val="20"/>
                <w:szCs w:val="20"/>
                <w:color w:val="auto"/>
              </w:rPr>
            </w:pPr>
            <w:r>
              <w:rPr>
                <w:rFonts w:ascii="Arial" w:cs="Arial" w:eastAsia="Arial" w:hAnsi="Arial"/>
                <w:sz w:val="18"/>
                <w:szCs w:val="18"/>
                <w:color w:val="auto"/>
                <w:w w:val="96"/>
              </w:rPr>
              <w:t>No Waiver, Cumulative Remedies</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7.07</w:t>
            </w:r>
          </w:p>
        </w:tc>
        <w:tc>
          <w:tcPr>
            <w:tcW w:w="8220" w:type="dxa"/>
            <w:vAlign w:val="bottom"/>
            <w:gridSpan w:val="2"/>
          </w:tcPr>
          <w:p>
            <w:pPr>
              <w:ind w:left="560"/>
              <w:spacing w:after="0"/>
              <w:rPr>
                <w:sz w:val="20"/>
                <w:szCs w:val="20"/>
                <w:color w:val="auto"/>
              </w:rPr>
            </w:pPr>
            <w:r>
              <w:rPr>
                <w:rFonts w:ascii="Arial" w:cs="Arial" w:eastAsia="Arial" w:hAnsi="Arial"/>
                <w:sz w:val="18"/>
                <w:szCs w:val="18"/>
                <w:color w:val="auto"/>
              </w:rPr>
              <w:t>Continuing Agreement, Transfer of Secured Obligations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7.08</w:t>
            </w:r>
          </w:p>
        </w:tc>
        <w:tc>
          <w:tcPr>
            <w:tcW w:w="3200" w:type="dxa"/>
            <w:vAlign w:val="bottom"/>
          </w:tcPr>
          <w:p>
            <w:pPr>
              <w:ind w:left="560"/>
              <w:spacing w:after="0"/>
              <w:rPr>
                <w:sz w:val="20"/>
                <w:szCs w:val="20"/>
                <w:color w:val="auto"/>
              </w:rPr>
            </w:pPr>
            <w:r>
              <w:rPr>
                <w:rFonts w:ascii="Arial" w:cs="Arial" w:eastAsia="Arial" w:hAnsi="Arial"/>
                <w:sz w:val="18"/>
                <w:szCs w:val="18"/>
                <w:color w:val="auto"/>
              </w:rPr>
              <w:t>GOVERNING LAW</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7.09</w:t>
            </w:r>
          </w:p>
        </w:tc>
        <w:tc>
          <w:tcPr>
            <w:tcW w:w="3200" w:type="dxa"/>
            <w:vAlign w:val="bottom"/>
          </w:tcPr>
          <w:p>
            <w:pPr>
              <w:ind w:left="560"/>
              <w:spacing w:after="0"/>
              <w:rPr>
                <w:sz w:val="20"/>
                <w:szCs w:val="20"/>
                <w:color w:val="auto"/>
              </w:rPr>
            </w:pPr>
            <w:r>
              <w:rPr>
                <w:rFonts w:ascii="Arial" w:cs="Arial" w:eastAsia="Arial" w:hAnsi="Arial"/>
                <w:sz w:val="18"/>
                <w:szCs w:val="18"/>
                <w:color w:val="auto"/>
              </w:rPr>
              <w:t>Counterparts</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7.10</w:t>
            </w:r>
          </w:p>
        </w:tc>
        <w:tc>
          <w:tcPr>
            <w:tcW w:w="3200" w:type="dxa"/>
            <w:vAlign w:val="bottom"/>
          </w:tcPr>
          <w:p>
            <w:pPr>
              <w:ind w:left="560"/>
              <w:spacing w:after="0"/>
              <w:rPr>
                <w:sz w:val="20"/>
                <w:szCs w:val="20"/>
                <w:color w:val="auto"/>
              </w:rPr>
            </w:pPr>
            <w:r>
              <w:rPr>
                <w:rFonts w:ascii="Arial" w:cs="Arial" w:eastAsia="Arial" w:hAnsi="Arial"/>
                <w:sz w:val="18"/>
                <w:szCs w:val="18"/>
                <w:color w:val="auto"/>
              </w:rPr>
              <w:t>No Third-Party Beneficiaries</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7.11</w:t>
            </w:r>
          </w:p>
        </w:tc>
        <w:tc>
          <w:tcPr>
            <w:tcW w:w="8220" w:type="dxa"/>
            <w:vAlign w:val="bottom"/>
            <w:gridSpan w:val="2"/>
          </w:tcPr>
          <w:p>
            <w:pPr>
              <w:ind w:left="560"/>
              <w:spacing w:after="0"/>
              <w:rPr>
                <w:sz w:val="20"/>
                <w:szCs w:val="20"/>
                <w:color w:val="auto"/>
              </w:rPr>
            </w:pPr>
            <w:r>
              <w:rPr>
                <w:rFonts w:ascii="Arial" w:cs="Arial" w:eastAsia="Arial" w:hAnsi="Arial"/>
                <w:sz w:val="18"/>
                <w:szCs w:val="18"/>
                <w:color w:val="auto"/>
              </w:rPr>
              <w:t>Designation of Additional Indebtedness; Joinder of Additional Agents</w:t>
            </w:r>
          </w:p>
        </w:tc>
        <w:tc>
          <w:tcPr>
            <w:tcW w:w="1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7.12</w:t>
            </w:r>
          </w:p>
        </w:tc>
        <w:tc>
          <w:tcPr>
            <w:tcW w:w="8220" w:type="dxa"/>
            <w:vAlign w:val="bottom"/>
            <w:gridSpan w:val="2"/>
          </w:tcPr>
          <w:p>
            <w:pPr>
              <w:ind w:left="560"/>
              <w:spacing w:after="0"/>
              <w:rPr>
                <w:sz w:val="20"/>
                <w:szCs w:val="20"/>
                <w:color w:val="auto"/>
              </w:rPr>
            </w:pPr>
            <w:r>
              <w:rPr>
                <w:rFonts w:ascii="Arial" w:cs="Arial" w:eastAsia="Arial" w:hAnsi="Arial"/>
                <w:sz w:val="18"/>
                <w:szCs w:val="18"/>
                <w:color w:val="auto"/>
              </w:rPr>
              <w:t>Senior Priority Representative; Notice of Senior Priority Representative Change</w:t>
            </w: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7.13</w:t>
            </w:r>
          </w:p>
        </w:tc>
        <w:tc>
          <w:tcPr>
            <w:tcW w:w="3200" w:type="dxa"/>
            <w:vAlign w:val="bottom"/>
          </w:tcPr>
          <w:p>
            <w:pPr>
              <w:ind w:left="560"/>
              <w:spacing w:after="0"/>
              <w:rPr>
                <w:sz w:val="20"/>
                <w:szCs w:val="20"/>
                <w:color w:val="auto"/>
              </w:rPr>
            </w:pPr>
            <w:r>
              <w:rPr>
                <w:rFonts w:ascii="Arial" w:cs="Arial" w:eastAsia="Arial" w:hAnsi="Arial"/>
                <w:sz w:val="18"/>
                <w:szCs w:val="18"/>
                <w:color w:val="auto"/>
              </w:rPr>
              <w:t>[Reserved]</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7.14</w:t>
            </w:r>
          </w:p>
        </w:tc>
        <w:tc>
          <w:tcPr>
            <w:tcW w:w="8220" w:type="dxa"/>
            <w:vAlign w:val="bottom"/>
            <w:gridSpan w:val="2"/>
          </w:tcPr>
          <w:p>
            <w:pPr>
              <w:ind w:left="560"/>
              <w:spacing w:after="0"/>
              <w:rPr>
                <w:sz w:val="20"/>
                <w:szCs w:val="20"/>
                <w:color w:val="auto"/>
              </w:rPr>
            </w:pPr>
            <w:r>
              <w:rPr>
                <w:rFonts w:ascii="Arial" w:cs="Arial" w:eastAsia="Arial" w:hAnsi="Arial"/>
                <w:sz w:val="18"/>
                <w:szCs w:val="18"/>
                <w:color w:val="auto"/>
              </w:rPr>
              <w:t>Provisions Solely to Define Relative Rights</w:t>
            </w: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7.15</w:t>
            </w:r>
          </w:p>
        </w:tc>
        <w:tc>
          <w:tcPr>
            <w:tcW w:w="3200" w:type="dxa"/>
            <w:vAlign w:val="bottom"/>
          </w:tcPr>
          <w:p>
            <w:pPr>
              <w:ind w:left="560"/>
              <w:spacing w:after="0"/>
              <w:rPr>
                <w:sz w:val="20"/>
                <w:szCs w:val="20"/>
                <w:color w:val="auto"/>
              </w:rPr>
            </w:pPr>
            <w:r>
              <w:rPr>
                <w:rFonts w:ascii="Arial" w:cs="Arial" w:eastAsia="Arial" w:hAnsi="Arial"/>
                <w:sz w:val="18"/>
                <w:szCs w:val="18"/>
                <w:color w:val="auto"/>
              </w:rPr>
              <w:t>Headings</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7.16</w:t>
            </w:r>
          </w:p>
        </w:tc>
        <w:tc>
          <w:tcPr>
            <w:tcW w:w="3200" w:type="dxa"/>
            <w:vAlign w:val="bottom"/>
          </w:tcPr>
          <w:p>
            <w:pPr>
              <w:ind w:left="560"/>
              <w:spacing w:after="0"/>
              <w:rPr>
                <w:sz w:val="20"/>
                <w:szCs w:val="20"/>
                <w:color w:val="auto"/>
              </w:rPr>
            </w:pPr>
            <w:r>
              <w:rPr>
                <w:rFonts w:ascii="Arial" w:cs="Arial" w:eastAsia="Arial" w:hAnsi="Arial"/>
                <w:sz w:val="18"/>
                <w:szCs w:val="18"/>
                <w:color w:val="auto"/>
              </w:rPr>
              <w:t>Severability</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7.17</w:t>
            </w:r>
          </w:p>
        </w:tc>
        <w:tc>
          <w:tcPr>
            <w:tcW w:w="3200" w:type="dxa"/>
            <w:vAlign w:val="bottom"/>
          </w:tcPr>
          <w:p>
            <w:pPr>
              <w:ind w:left="560"/>
              <w:spacing w:after="0"/>
              <w:rPr>
                <w:sz w:val="20"/>
                <w:szCs w:val="20"/>
                <w:color w:val="auto"/>
              </w:rPr>
            </w:pPr>
            <w:r>
              <w:rPr>
                <w:rFonts w:ascii="Arial" w:cs="Arial" w:eastAsia="Arial" w:hAnsi="Arial"/>
                <w:sz w:val="18"/>
                <w:szCs w:val="18"/>
                <w:color w:val="auto"/>
              </w:rPr>
              <w:t>Attorneys’ Fees</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7.18</w:t>
            </w:r>
          </w:p>
        </w:tc>
        <w:tc>
          <w:tcPr>
            <w:tcW w:w="3200" w:type="dxa"/>
            <w:vAlign w:val="bottom"/>
          </w:tcPr>
          <w:p>
            <w:pPr>
              <w:ind w:left="560"/>
              <w:spacing w:after="0"/>
              <w:rPr>
                <w:sz w:val="20"/>
                <w:szCs w:val="20"/>
                <w:color w:val="auto"/>
              </w:rPr>
            </w:pPr>
            <w:r>
              <w:rPr>
                <w:rFonts w:ascii="Arial" w:cs="Arial" w:eastAsia="Arial" w:hAnsi="Arial"/>
                <w:sz w:val="18"/>
                <w:szCs w:val="18"/>
                <w:color w:val="auto"/>
              </w:rPr>
              <w:t>VENUE; JURY TRIAL WAIVER</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7.19</w:t>
            </w:r>
          </w:p>
        </w:tc>
        <w:tc>
          <w:tcPr>
            <w:tcW w:w="3200" w:type="dxa"/>
            <w:vAlign w:val="bottom"/>
          </w:tcPr>
          <w:p>
            <w:pPr>
              <w:ind w:left="560"/>
              <w:spacing w:after="0"/>
              <w:rPr>
                <w:sz w:val="20"/>
                <w:szCs w:val="20"/>
                <w:color w:val="auto"/>
              </w:rPr>
            </w:pPr>
            <w:r>
              <w:rPr>
                <w:rFonts w:ascii="Arial" w:cs="Arial" w:eastAsia="Arial" w:hAnsi="Arial"/>
                <w:sz w:val="18"/>
                <w:szCs w:val="18"/>
                <w:color w:val="auto"/>
              </w:rPr>
              <w:t>Intercreditor Agreement</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7.20</w:t>
            </w:r>
          </w:p>
        </w:tc>
        <w:tc>
          <w:tcPr>
            <w:tcW w:w="3200" w:type="dxa"/>
            <w:vAlign w:val="bottom"/>
          </w:tcPr>
          <w:p>
            <w:pPr>
              <w:ind w:left="560"/>
              <w:spacing w:after="0"/>
              <w:rPr>
                <w:sz w:val="20"/>
                <w:szCs w:val="20"/>
                <w:color w:val="auto"/>
              </w:rPr>
            </w:pPr>
            <w:r>
              <w:rPr>
                <w:rFonts w:ascii="Arial" w:cs="Arial" w:eastAsia="Arial" w:hAnsi="Arial"/>
                <w:sz w:val="18"/>
                <w:szCs w:val="18"/>
                <w:color w:val="auto"/>
              </w:rPr>
              <w:t>No Warranties or Liability</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7.21</w:t>
            </w:r>
          </w:p>
        </w:tc>
        <w:tc>
          <w:tcPr>
            <w:tcW w:w="3200" w:type="dxa"/>
            <w:vAlign w:val="bottom"/>
          </w:tcPr>
          <w:p>
            <w:pPr>
              <w:ind w:left="560"/>
              <w:spacing w:after="0"/>
              <w:rPr>
                <w:sz w:val="20"/>
                <w:szCs w:val="20"/>
                <w:color w:val="auto"/>
              </w:rPr>
            </w:pPr>
            <w:r>
              <w:rPr>
                <w:rFonts w:ascii="Arial" w:cs="Arial" w:eastAsia="Arial" w:hAnsi="Arial"/>
                <w:sz w:val="18"/>
                <w:szCs w:val="18"/>
                <w:color w:val="auto"/>
              </w:rPr>
              <w:t>Conflicts</w:t>
            </w:r>
          </w:p>
        </w:tc>
        <w:tc>
          <w:tcPr>
            <w:tcW w:w="50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7.22</w:t>
            </w:r>
          </w:p>
        </w:tc>
        <w:tc>
          <w:tcPr>
            <w:tcW w:w="8220" w:type="dxa"/>
            <w:vAlign w:val="bottom"/>
            <w:gridSpan w:val="2"/>
          </w:tcPr>
          <w:p>
            <w:pPr>
              <w:ind w:left="560"/>
              <w:spacing w:after="0"/>
              <w:rPr>
                <w:sz w:val="20"/>
                <w:szCs w:val="20"/>
                <w:color w:val="auto"/>
              </w:rPr>
            </w:pPr>
            <w:r>
              <w:rPr>
                <w:rFonts w:ascii="Arial" w:cs="Arial" w:eastAsia="Arial" w:hAnsi="Arial"/>
                <w:sz w:val="18"/>
                <w:szCs w:val="18"/>
                <w:color w:val="auto"/>
              </w:rPr>
              <w:t>Information Concerning Financial Condition of the Loan Parties</w:t>
            </w:r>
          </w:p>
        </w:tc>
        <w:tc>
          <w:tcPr>
            <w:tcW w:w="1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7.23</w:t>
            </w:r>
          </w:p>
        </w:tc>
        <w:tc>
          <w:tcPr>
            <w:tcW w:w="3200" w:type="dxa"/>
            <w:vAlign w:val="bottom"/>
          </w:tcPr>
          <w:p>
            <w:pPr>
              <w:ind w:left="560"/>
              <w:spacing w:after="0"/>
              <w:rPr>
                <w:sz w:val="20"/>
                <w:szCs w:val="20"/>
                <w:color w:val="auto"/>
              </w:rPr>
            </w:pPr>
            <w:r>
              <w:rPr>
                <w:rFonts w:ascii="Arial" w:cs="Arial" w:eastAsia="Arial" w:hAnsi="Arial"/>
                <w:sz w:val="18"/>
                <w:szCs w:val="18"/>
                <w:color w:val="auto"/>
              </w:rPr>
              <w:t>Excluded Assets</w:t>
            </w:r>
          </w:p>
        </w:tc>
        <w:tc>
          <w:tcPr>
            <w:tcW w:w="50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540"/>
        </w:trPr>
        <w:tc>
          <w:tcPr>
            <w:tcW w:w="120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Exhibit A</w:t>
            </w:r>
          </w:p>
        </w:tc>
        <w:tc>
          <w:tcPr>
            <w:tcW w:w="3200" w:type="dxa"/>
            <w:vAlign w:val="bottom"/>
          </w:tcPr>
          <w:p>
            <w:pPr>
              <w:ind w:left="300"/>
              <w:spacing w:after="0"/>
              <w:rPr>
                <w:sz w:val="20"/>
                <w:szCs w:val="20"/>
                <w:color w:val="auto"/>
              </w:rPr>
            </w:pPr>
            <w:r>
              <w:rPr>
                <w:rFonts w:ascii="Arial" w:cs="Arial" w:eastAsia="Arial" w:hAnsi="Arial"/>
                <w:sz w:val="18"/>
                <w:szCs w:val="18"/>
                <w:color w:val="auto"/>
                <w:w w:val="91"/>
              </w:rPr>
              <w:t>— Additional Indebtedness Designation</w:t>
            </w:r>
          </w:p>
        </w:tc>
        <w:tc>
          <w:tcPr>
            <w:tcW w:w="50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B</w:t>
            </w:r>
          </w:p>
        </w:tc>
        <w:tc>
          <w:tcPr>
            <w:tcW w:w="3200" w:type="dxa"/>
            <w:vAlign w:val="bottom"/>
          </w:tcPr>
          <w:p>
            <w:pPr>
              <w:ind w:left="300"/>
              <w:spacing w:after="0"/>
              <w:rPr>
                <w:sz w:val="20"/>
                <w:szCs w:val="20"/>
                <w:color w:val="auto"/>
              </w:rPr>
            </w:pPr>
            <w:r>
              <w:rPr>
                <w:rFonts w:ascii="Arial" w:cs="Arial" w:eastAsia="Arial" w:hAnsi="Arial"/>
                <w:sz w:val="18"/>
                <w:szCs w:val="18"/>
                <w:color w:val="auto"/>
              </w:rPr>
              <w:t>— Additional Indebtedness Joinder</w:t>
            </w:r>
          </w:p>
        </w:tc>
        <w:tc>
          <w:tcPr>
            <w:tcW w:w="5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C</w:t>
            </w:r>
          </w:p>
        </w:tc>
        <w:tc>
          <w:tcPr>
            <w:tcW w:w="3200" w:type="dxa"/>
            <w:vAlign w:val="bottom"/>
          </w:tcPr>
          <w:p>
            <w:pPr>
              <w:ind w:left="300"/>
              <w:spacing w:after="0"/>
              <w:rPr>
                <w:sz w:val="20"/>
                <w:szCs w:val="20"/>
                <w:color w:val="auto"/>
              </w:rPr>
            </w:pPr>
            <w:r>
              <w:rPr>
                <w:rFonts w:ascii="Arial" w:cs="Arial" w:eastAsia="Arial" w:hAnsi="Arial"/>
                <w:sz w:val="18"/>
                <w:szCs w:val="18"/>
                <w:color w:val="auto"/>
              </w:rPr>
              <w:t>— First Lien Credit Agreement or [</w:t>
            </w:r>
          </w:p>
        </w:tc>
        <w:tc>
          <w:tcPr>
            <w:tcW w:w="5020" w:type="dxa"/>
            <w:vAlign w:val="bottom"/>
          </w:tcPr>
          <w:p>
            <w:pPr>
              <w:ind w:left="20"/>
              <w:spacing w:after="0"/>
              <w:rPr>
                <w:sz w:val="20"/>
                <w:szCs w:val="20"/>
                <w:color w:val="auto"/>
              </w:rPr>
            </w:pPr>
            <w:r>
              <w:rPr>
                <w:rFonts w:ascii="Arial" w:cs="Arial" w:eastAsia="Arial" w:hAnsi="Arial"/>
                <w:sz w:val="18"/>
                <w:szCs w:val="18"/>
                <w:color w:val="auto"/>
              </w:rPr>
              <w:t>]i[First/Second Lien]</w:t>
            </w:r>
            <w:r>
              <w:rPr>
                <w:rFonts w:ascii="Arial" w:cs="Arial" w:eastAsia="Arial" w:hAnsi="Arial"/>
                <w:sz w:val="15"/>
                <w:szCs w:val="15"/>
                <w:color w:val="auto"/>
              </w:rPr>
              <w:t>ii</w:t>
            </w:r>
            <w:r>
              <w:rPr>
                <w:rFonts w:ascii="Arial" w:cs="Arial" w:eastAsia="Arial" w:hAnsi="Arial"/>
                <w:sz w:val="18"/>
                <w:szCs w:val="18"/>
                <w:color w:val="auto"/>
              </w:rPr>
              <w:t xml:space="preserve"> Credit Facility Joinder</w:t>
            </w:r>
          </w:p>
        </w:tc>
        <w:tc>
          <w:tcPr>
            <w:tcW w:w="190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Exhibit D</w:t>
            </w:r>
          </w:p>
        </w:tc>
        <w:tc>
          <w:tcPr>
            <w:tcW w:w="3200" w:type="dxa"/>
            <w:vAlign w:val="bottom"/>
          </w:tcPr>
          <w:p>
            <w:pPr>
              <w:ind w:left="300"/>
              <w:spacing w:after="0"/>
              <w:rPr>
                <w:sz w:val="20"/>
                <w:szCs w:val="20"/>
                <w:color w:val="auto"/>
              </w:rPr>
            </w:pPr>
            <w:r>
              <w:rPr>
                <w:rFonts w:ascii="Arial" w:cs="Arial" w:eastAsia="Arial" w:hAnsi="Arial"/>
                <w:sz w:val="18"/>
                <w:szCs w:val="18"/>
                <w:color w:val="auto"/>
              </w:rPr>
              <w:t>— Trustee Joinder</w:t>
            </w:r>
          </w:p>
        </w:tc>
        <w:tc>
          <w:tcPr>
            <w:tcW w:w="50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320"/>
          </w:cols>
          <w:pgMar w:left="240" w:top="273"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42" w:name="page443"/>
    <w:bookmarkEnd w:id="4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INTERCREDITOR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Intercreditor Agreement (as amended, restated, supplemented, waived or otherwise modified from time to time pursuant to the terms hereof, this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5"/>
          </w:tcPr>
          <w:p>
            <w:pPr>
              <w:spacing w:after="0"/>
              <w:rPr>
                <w:sz w:val="20"/>
                <w:szCs w:val="20"/>
                <w:color w:val="auto"/>
              </w:rPr>
            </w:pPr>
            <w:r>
              <w:rPr>
                <w:rFonts w:ascii="Arial" w:cs="Arial" w:eastAsia="Arial" w:hAnsi="Arial"/>
                <w:sz w:val="18"/>
                <w:szCs w:val="18"/>
                <w:color w:val="auto"/>
                <w:w w:val="98"/>
              </w:rPr>
              <w:t>“Agreement”) is entered into as of [</w:t>
            </w:r>
          </w:p>
        </w:tc>
        <w:tc>
          <w:tcPr>
            <w:tcW w:w="8660" w:type="dxa"/>
            <w:vAlign w:val="bottom"/>
            <w:gridSpan w:val="8"/>
          </w:tcPr>
          <w:p>
            <w:pPr>
              <w:jc w:val="right"/>
              <w:ind w:right="80"/>
              <w:spacing w:after="0"/>
              <w:rPr>
                <w:sz w:val="20"/>
                <w:szCs w:val="20"/>
                <w:color w:val="auto"/>
              </w:rPr>
            </w:pPr>
            <w:r>
              <w:rPr>
                <w:rFonts w:ascii="Arial" w:cs="Arial" w:eastAsia="Arial" w:hAnsi="Arial"/>
                <w:sz w:val="18"/>
                <w:szCs w:val="18"/>
                <w:color w:val="auto"/>
                <w:w w:val="93"/>
              </w:rPr>
              <w:t>] between [  ], in its capacity as collateral agent (together with its successors and assigns in such capacity from time</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9920" w:type="dxa"/>
            <w:vAlign w:val="bottom"/>
            <w:gridSpan w:val="10"/>
          </w:tcPr>
          <w:p>
            <w:pPr>
              <w:spacing w:after="0" w:line="196" w:lineRule="exact"/>
              <w:rPr>
                <w:sz w:val="20"/>
                <w:szCs w:val="20"/>
                <w:color w:val="auto"/>
              </w:rPr>
            </w:pPr>
            <w:r>
              <w:rPr>
                <w:rFonts w:ascii="Arial" w:cs="Arial" w:eastAsia="Arial" w:hAnsi="Arial"/>
                <w:sz w:val="18"/>
                <w:szCs w:val="18"/>
                <w:color w:val="auto"/>
                <w:w w:val="92"/>
              </w:rPr>
              <w:t>to time and as further defined herein, the “Original First Lien Agent”) for the Original First Lien Secured Parties referred to below, and [</w:t>
            </w:r>
          </w:p>
        </w:tc>
        <w:tc>
          <w:tcPr>
            <w:tcW w:w="150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 in its capacity</w:t>
            </w:r>
          </w:p>
        </w:tc>
      </w:tr>
      <w:tr>
        <w:trPr>
          <w:trHeight w:val="20"/>
        </w:trPr>
        <w:tc>
          <w:tcPr>
            <w:tcW w:w="44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9560" w:type="dxa"/>
            <w:vAlign w:val="bottom"/>
            <w:gridSpan w:val="9"/>
          </w:tcPr>
          <w:p>
            <w:pPr>
              <w:spacing w:after="0" w:line="196" w:lineRule="exact"/>
              <w:rPr>
                <w:sz w:val="20"/>
                <w:szCs w:val="20"/>
                <w:color w:val="auto"/>
              </w:rPr>
            </w:pPr>
            <w:r>
              <w:rPr>
                <w:rFonts w:ascii="Arial" w:cs="Arial" w:eastAsia="Arial" w:hAnsi="Arial"/>
                <w:sz w:val="18"/>
                <w:szCs w:val="18"/>
                <w:color w:val="auto"/>
                <w:w w:val="91"/>
              </w:rPr>
              <w:t>as collateral agent (together with its successors and assigns in such capacity from time to time and as further defined herein, the “[</w:t>
            </w:r>
          </w:p>
        </w:tc>
        <w:tc>
          <w:tcPr>
            <w:tcW w:w="18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w:t>
            </w:r>
          </w:p>
        </w:tc>
      </w:tr>
      <w:tr>
        <w:trPr>
          <w:trHeight w:val="20"/>
        </w:trPr>
        <w:tc>
          <w:tcPr>
            <w:tcW w:w="4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96"/>
        </w:trPr>
        <w:tc>
          <w:tcPr>
            <w:tcW w:w="1400" w:type="dxa"/>
            <w:vAlign w:val="bottom"/>
            <w:gridSpan w:val="4"/>
          </w:tcPr>
          <w:p>
            <w:pPr>
              <w:spacing w:after="0" w:line="196" w:lineRule="exact"/>
              <w:rPr>
                <w:sz w:val="20"/>
                <w:szCs w:val="20"/>
                <w:color w:val="auto"/>
              </w:rPr>
            </w:pPr>
            <w:r>
              <w:rPr>
                <w:rFonts w:ascii="Arial" w:cs="Arial" w:eastAsia="Arial" w:hAnsi="Arial"/>
                <w:sz w:val="18"/>
                <w:szCs w:val="18"/>
                <w:color w:val="auto"/>
              </w:rPr>
              <w:t>Agent”) for the [</w:t>
            </w:r>
          </w:p>
        </w:tc>
        <w:tc>
          <w:tcPr>
            <w:tcW w:w="6180" w:type="dxa"/>
            <w:vAlign w:val="bottom"/>
            <w:gridSpan w:val="4"/>
          </w:tcPr>
          <w:p>
            <w:pPr>
              <w:ind w:left="180"/>
              <w:spacing w:after="0" w:line="196" w:lineRule="exact"/>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Lenders referred to below party from time to time to the [</w:t>
            </w:r>
          </w:p>
        </w:tc>
        <w:tc>
          <w:tcPr>
            <w:tcW w:w="38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w w:val="97"/>
              </w:rPr>
              <w:t xml:space="preserve">] </w:t>
            </w:r>
            <w:r>
              <w:rPr>
                <w:rFonts w:ascii="Arial" w:cs="Arial" w:eastAsia="Arial" w:hAnsi="Arial"/>
                <w:sz w:val="15"/>
                <w:szCs w:val="15"/>
                <w:color w:val="auto"/>
                <w:w w:val="97"/>
              </w:rPr>
              <w:t>i</w:t>
            </w:r>
            <w:r>
              <w:rPr>
                <w:rFonts w:ascii="Arial" w:cs="Arial" w:eastAsia="Arial" w:hAnsi="Arial"/>
                <w:sz w:val="18"/>
                <w:szCs w:val="18"/>
                <w:color w:val="auto"/>
                <w:w w:val="97"/>
              </w:rPr>
              <w:t xml:space="preserve"> [First/Second]</w:t>
            </w:r>
            <w:r>
              <w:rPr>
                <w:rFonts w:ascii="Arial" w:cs="Arial" w:eastAsia="Arial" w:hAnsi="Arial"/>
                <w:sz w:val="15"/>
                <w:szCs w:val="15"/>
                <w:color w:val="auto"/>
                <w:w w:val="97"/>
              </w:rPr>
              <w:t>ii</w:t>
            </w:r>
            <w:r>
              <w:rPr>
                <w:rFonts w:ascii="Arial" w:cs="Arial" w:eastAsia="Arial" w:hAnsi="Arial"/>
                <w:sz w:val="18"/>
                <w:szCs w:val="18"/>
                <w:color w:val="auto"/>
                <w:w w:val="97"/>
              </w:rPr>
              <w:t xml:space="preserve"> Lien Credit Agreement referred</w:t>
            </w:r>
          </w:p>
        </w:tc>
      </w:tr>
      <w:tr>
        <w:trPr>
          <w:trHeight w:val="20"/>
        </w:trPr>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 below. Capitalized terms defined in Article I hereof are used in this Agreement as so defined.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Pursuant to the Original First Lien Credit Agreement, the Original First Lien Credit Agreement Lenders have agreed to make certain loans and other financial accommodations to or for the benefit of the Original First Lien Borrower.</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Original First Lien Credit Agreement, the Original First Lien Guarantors have agreed to guarantee the payment and performance of the Original First Lien Borrower’s obligations under the Original First Lien Documents.</w:t>
      </w:r>
    </w:p>
    <w:p>
      <w:pPr>
        <w:sectPr>
          <w:pgSz w:w="11900" w:h="16838" w:orient="portrait"/>
          <w:cols w:equalWidth="0" w:num="1">
            <w:col w:w="11420"/>
          </w:cols>
          <w:pgMar w:left="240" w:top="270" w:right="239" w:bottom="1440" w:gutter="0" w:footer="0" w:header="0"/>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or for the benefit of the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40" w:hanging="13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 Facility, [</w:t>
      </w:r>
      <w:r>
        <w:rPr>
          <w:sz w:val="20"/>
          <w:szCs w:val="20"/>
          <w:color w:val="auto"/>
        </w:rPr>
        <w:t xml:space="preserve"> </w:t>
      </w: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Creditors have agreed to make certain extensions of credit to ]</w:t>
      </w:r>
      <w:r>
        <w:rPr>
          <w:rFonts w:ascii="Arial" w:cs="Arial" w:eastAsia="Arial" w:hAnsi="Arial"/>
          <w:sz w:val="15"/>
          <w:szCs w:val="15"/>
          <w:color w:val="auto"/>
        </w:rPr>
        <w:t>iii</w:t>
      </w:r>
      <w:r>
        <w:rPr>
          <w:rFonts w:ascii="Arial" w:cs="Arial" w:eastAsia="Arial" w:hAnsi="Arial"/>
          <w:sz w:val="18"/>
          <w:szCs w:val="18"/>
          <w:color w:val="auto"/>
        </w:rPr>
        <w:t xml:space="preserve"> Borrower, as more particularly provided therein.</w:t>
      </w:r>
    </w:p>
    <w:p>
      <w:pPr>
        <w:spacing w:after="0" w:line="170" w:lineRule="exact"/>
        <w:rPr>
          <w:sz w:val="20"/>
          <w:szCs w:val="20"/>
          <w:color w:val="auto"/>
        </w:rPr>
      </w:pPr>
    </w:p>
    <w:p>
      <w:pPr>
        <w:sectPr>
          <w:pgSz w:w="11900" w:h="16838" w:orient="portrait"/>
          <w:cols w:equalWidth="0" w:num="2">
            <w:col w:w="1780" w:space="360"/>
            <w:col w:w="9280"/>
          </w:cols>
          <w:pgMar w:left="240" w:top="270" w:right="239" w:bottom="1440" w:gutter="0" w:footer="0" w:header="0"/>
          <w:type w:val="continuous"/>
        </w:sectPr>
      </w:pPr>
    </w:p>
    <w:p>
      <w:pPr>
        <w:ind w:firstLine="456"/>
        <w:spacing w:after="0" w:line="308" w:lineRule="auto"/>
        <w:rPr>
          <w:sz w:val="20"/>
          <w:szCs w:val="20"/>
          <w:color w:val="auto"/>
        </w:rPr>
      </w:pPr>
      <w:r>
        <w:rPr>
          <w:rFonts w:ascii="Arial" w:cs="Arial" w:eastAsia="Arial" w:hAnsi="Arial"/>
          <w:sz w:val="17"/>
          <w:szCs w:val="17"/>
          <w:color w:val="auto"/>
        </w:rPr>
        <w:t>Pursuant to the [ performance of the [</w:t>
      </w:r>
    </w:p>
    <w:p>
      <w:pPr>
        <w:spacing w:after="0" w:line="20" w:lineRule="exact"/>
        <w:rPr>
          <w:sz w:val="20"/>
          <w:szCs w:val="20"/>
          <w:color w:val="auto"/>
        </w:rPr>
      </w:pPr>
      <w:r>
        <w:rPr>
          <w:sz w:val="20"/>
          <w:szCs w:val="20"/>
          <w:color w:val="auto"/>
        </w:rPr>
        <w:br w:type="column"/>
      </w:r>
    </w:p>
    <w:p>
      <w:pPr>
        <w:ind w:right="580" w:firstLine="1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Guarantees,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Guarantors have agreed to guarantee the payment and ]</w:t>
      </w:r>
      <w:r>
        <w:rPr>
          <w:rFonts w:ascii="Arial" w:cs="Arial" w:eastAsia="Arial" w:hAnsi="Arial"/>
          <w:sz w:val="15"/>
          <w:szCs w:val="15"/>
          <w:color w:val="auto"/>
        </w:rPr>
        <w:t>iii</w:t>
      </w:r>
      <w:r>
        <w:rPr>
          <w:rFonts w:ascii="Arial" w:cs="Arial" w:eastAsia="Arial" w:hAnsi="Arial"/>
          <w:sz w:val="18"/>
          <w:szCs w:val="18"/>
          <w:color w:val="auto"/>
        </w:rPr>
        <w:t xml:space="preserve"> Borrower’s obligations under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Documents.</w:t>
      </w:r>
    </w:p>
    <w:p>
      <w:pPr>
        <w:spacing w:after="0" w:line="170" w:lineRule="exact"/>
        <w:rPr>
          <w:sz w:val="20"/>
          <w:szCs w:val="20"/>
          <w:color w:val="auto"/>
        </w:rPr>
      </w:pPr>
    </w:p>
    <w:p>
      <w:pPr>
        <w:sectPr>
          <w:pgSz w:w="11900" w:h="16838" w:orient="portrait"/>
          <w:cols w:equalWidth="0" w:num="2">
            <w:col w:w="1640" w:space="200"/>
            <w:col w:w="9580"/>
          </w:cols>
          <w:pgMar w:left="240" w:top="270" w:right="239" w:bottom="1440" w:gutter="0" w:footer="0" w:header="0"/>
          <w:type w:val="continuous"/>
        </w:sectPr>
      </w:pPr>
    </w:p>
    <w:p>
      <w:pPr>
        <w:ind w:right="80" w:firstLine="456"/>
        <w:spacing w:after="0" w:line="297" w:lineRule="auto"/>
        <w:rPr>
          <w:sz w:val="20"/>
          <w:szCs w:val="20"/>
          <w:color w:val="auto"/>
        </w:rPr>
      </w:pPr>
      <w:r>
        <w:rPr>
          <w:rFonts w:ascii="Arial" w:cs="Arial" w:eastAsia="Arial" w:hAnsi="Arial"/>
          <w:sz w:val="16"/>
          <w:szCs w:val="16"/>
          <w:color w:val="auto"/>
        </w:rPr>
        <w:t>Pursuant to this Agreement, the Company may, from time to time, designate certain additional obligations of any Loan Party as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by executing and delivering an Additional Indebtedness Designation hereunder and by complying with the procedures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hereof, and the holders of such Additional Indebtedness and any other applicable Additional Credit Facility Secured Party shall thereafter constitute Senior Priority Creditors or Junior Priority Creditors (as so designated by the Company), as the case may be, and any Additional Agent therefor shall thereafter constitute a Senior Priority Agent or Junior Priority Agent (as so designated by the Company), as the case may be, for all purposes under this Agreement.</w:t>
      </w:r>
    </w:p>
    <w:p>
      <w:pPr>
        <w:spacing w:after="0" w:line="15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Each of the Original First Lien Agent (on behalf of the Original First Lien Secured Parties) and the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Agent (on behalf of the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Secured Parties) and, by their acknowledgment hereof, the Original First Lien Loan Parties and the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w:t>
      </w:r>
    </w:p>
    <w:p>
      <w:pPr>
        <w:ind w:left="5660" w:right="1040" w:hanging="5660"/>
        <w:spacing w:after="0" w:line="433" w:lineRule="auto"/>
        <w:rPr>
          <w:sz w:val="20"/>
          <w:szCs w:val="20"/>
          <w:color w:val="auto"/>
        </w:rPr>
      </w:pPr>
      <w:r>
        <w:rPr>
          <w:rFonts w:ascii="Arial" w:cs="Arial" w:eastAsia="Arial" w:hAnsi="Arial"/>
          <w:sz w:val="18"/>
          <w:szCs w:val="18"/>
          <w:color w:val="auto"/>
        </w:rPr>
        <w:t>Loan Parties, desire to agree to the relative priority of Liens on the Collateral and certain other rights, priorities and interests as provided herein. 1</w:t>
      </w:r>
    </w:p>
    <w:p>
      <w:pPr>
        <w:sectPr>
          <w:pgSz w:w="11900" w:h="16838" w:orient="portrait"/>
          <w:cols w:equalWidth="0" w:num="1">
            <w:col w:w="11420"/>
          </w:cols>
          <w:pgMar w:left="240" w:top="270" w:right="239" w:bottom="1440" w:gutter="0" w:footer="0" w:header="0"/>
          <w:type w:val="continuous"/>
        </w:sectPr>
      </w:pPr>
    </w:p>
    <w:bookmarkStart w:id="443" w:name="page444"/>
    <w:bookmarkEnd w:id="443"/>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Accordingly, in consideration of the foregoing and for other good and valuable consideration, receipt of which is hereby acknowledged, the parties hereto agree as follows: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07"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UCC 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terms which are defined in the Uniform Commercial Code are used herein as so defined: Accounts, Chattel Paper,</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Accounts, Documents, Financial Assets, Instruments, Investment Property, Money, Security and Security Entitlements.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Other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 the following terms shall have the meanings set forth below:</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Agent</w:t>
      </w:r>
      <w:r>
        <w:rPr>
          <w:rFonts w:ascii="Arial" w:cs="Arial" w:eastAsia="Arial" w:hAnsi="Arial"/>
          <w:sz w:val="18"/>
          <w:szCs w:val="18"/>
          <w:color w:val="auto"/>
        </w:rPr>
        <w:t>” shall mean any one or more administrative agents, collateral agents, security agents, trustees or other representatives for or of any one or more Additional Credit Facility Secured Parties, and shall include any successor thereto, as well as any Person designated as an “Agent” under any Additional Credit Facility.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Bank Products Affiliate</w:t>
      </w:r>
      <w:r>
        <w:rPr>
          <w:rFonts w:ascii="Arial" w:cs="Arial" w:eastAsia="Arial" w:hAnsi="Arial"/>
          <w:sz w:val="18"/>
          <w:szCs w:val="18"/>
          <w:color w:val="auto"/>
        </w:rPr>
        <w:t>” shall mean any Person who (a) has entered into a Bank Products Agreement with any Additional Loan Party with the obligations of such Additional Loan Party thereunder being secured by one or more Additional Collateral Documents, (b) was an Additional Agent, an Additional Credit Facility Lender or an Affiliate of an Additional Credit Facility Lender on the date hereof, or at the time of entry into such Bank Products Agreement, or at the time of the designation referred to in the following clause (c), and (c) has been designated by the Company in accordance with the terms of one or more Additional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Person shall, with respect to any Bank Products Agreement, be at any time a Bank Products Affiliate hereunder with respect to more than one Credit Facility).</w:t>
      </w:r>
    </w:p>
    <w:p>
      <w:pPr>
        <w:spacing w:after="0" w:line="19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w:t>
      </w:r>
      <w:r>
        <w:rPr>
          <w:rFonts w:ascii="Arial" w:cs="Arial" w:eastAsia="Arial" w:hAnsi="Arial"/>
          <w:sz w:val="18"/>
          <w:szCs w:val="18"/>
          <w:color w:val="auto"/>
        </w:rPr>
        <w:t>” shall mean any Additional Loan Party that incurs or issues Additional Indebtedness under any Additional Credit Facility, together with its successors and assigns.</w:t>
      </w:r>
    </w:p>
    <w:p>
      <w:pPr>
        <w:spacing w:after="0" w:line="170"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Collateral Documents</w:t>
      </w:r>
      <w:r>
        <w:rPr>
          <w:rFonts w:ascii="Arial" w:cs="Arial" w:eastAsia="Arial" w:hAnsi="Arial"/>
          <w:sz w:val="16"/>
          <w:szCs w:val="16"/>
          <w:color w:val="auto"/>
        </w:rPr>
        <w:t>” shall mean all “</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as defined in any Additional Credit Facility, and in any event shall include all security agreements, mortgages, deeds of trust, pledges and other collateral documents executed and delivered in connection with any Additional Credit Facility, and any other agreement, document or instrument pursuant to which a Lien is granted securing any Additional Obligations or under which rights or remedies with respect to such Liens are governed, in each case as the same may be amended, modified or supplemented from time to time.</w:t>
      </w:r>
    </w:p>
    <w:p>
      <w:pPr>
        <w:spacing w:after="0" w:line="154"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Credit Facilities</w:t>
      </w:r>
      <w:r>
        <w:rPr>
          <w:rFonts w:ascii="Arial" w:cs="Arial" w:eastAsia="Arial" w:hAnsi="Arial"/>
          <w:sz w:val="17"/>
          <w:szCs w:val="17"/>
          <w:color w:val="auto"/>
        </w:rPr>
        <w:t>” shall mean (a) any one or more agreements, instruments and documents under which any Additional Indebtedness is or may be incurred, including any credit agreements, loan agreements, indentures, guarantees or other financing agreements, in each case as the same may be amended, supplemented, waived or otherwise modified from time to time, together with (b) if designated by the Company, any other agreement (including any credit agreement, loan agreement, indenture or other financing agreement) extending the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444" w:name="page445"/>
    <w:bookmarkEnd w:id="44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maturity of, consolidating, restructuring, refunding, replacing or refinancing all or any portion of the Additional Obligations, whether by the same or any other lender, debtholder or group of lenders or debtholders, or the same or any other agent, trustee or representative therefor, or otherwise, and whether or not increasing the amount of any Indebtedness that may be incurred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Indebtedness that is Senior Priority Debt incurred under such other agreements meets the requirements of Additional Indebtedness.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Credit Facility Lenders</w:t>
      </w:r>
      <w:r>
        <w:rPr>
          <w:rFonts w:ascii="Arial" w:cs="Arial" w:eastAsia="Arial" w:hAnsi="Arial"/>
          <w:sz w:val="18"/>
          <w:szCs w:val="18"/>
          <w:color w:val="auto"/>
        </w:rPr>
        <w:t>” shall mean one or more holders of Additional Indebtedness (or commitments therefor) that is or may be incurred under one or more Additional Credit Facilities, together with their successors, assigns and transferees, as well as any Person designated as an “Additional Credit Facility Lender” under any Additional Credit Facility.</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Credit Facility Secured Parties</w:t>
      </w:r>
      <w:r>
        <w:rPr>
          <w:rFonts w:ascii="Arial" w:cs="Arial" w:eastAsia="Arial" w:hAnsi="Arial"/>
          <w:sz w:val="18"/>
          <w:szCs w:val="18"/>
          <w:color w:val="auto"/>
        </w:rPr>
        <w:t>” shall mean all Additional Agents, all Additional Credit Facility Lenders, all Additional Bank Products Affiliates and all Additional Hedging Affiliates, and all successors, assigns, transferees and replacements thereof, as well as any Person designated as an “Additional Credit Facility Secured Party” under any Additional Credit Facility; and with respect to any Additional Agent, shall mean the Additional Credit Facility Secured Party represented by such Additional Agent.</w:t>
      </w:r>
    </w:p>
    <w:p>
      <w:pPr>
        <w:spacing w:after="0" w:line="18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Documents</w:t>
      </w:r>
      <w:r>
        <w:rPr>
          <w:rFonts w:ascii="Arial" w:cs="Arial" w:eastAsia="Arial" w:hAnsi="Arial"/>
          <w:sz w:val="17"/>
          <w:szCs w:val="17"/>
          <w:color w:val="auto"/>
        </w:rPr>
        <w:t>” shall mean, with respect to any Indebtedness designated as Additional Indebtedness hereunder, any Additional Credit Facilities, any Additional Guarantees, any Additional Collateral Documents, any Bank Products Agreements between any Loan Party and any Additional Bank Products Affiliate, any Hedging Agreements between any Loan Party and any Additional Hedging Affiliate, those other ancillary agreements as to which any Additional Credit Facility Secured Party is a party or a beneficiary and all other agreements, instruments, documents and certificates, now or hereafter executed by or on behalf of any Loan Party or any of its respective Subsidiaries or Affiliates, and delivered to any Additional Agent, in connection with any of the foregoing or any Additional Credit Facility, including any intercreditor or joinder agreement among any of the Additional Credit Facility Secured Parties or among any of the Secured Parties and any Additional Credit Facility Secured Parties, in each case as the same may be amended, supplemented, waived or otherwise modified from time to time.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Effective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7.11(b)</w:t>
      </w:r>
      <w:r>
        <w:rPr>
          <w:rFonts w:ascii="Arial" w:cs="Arial" w:eastAsia="Arial" w:hAnsi="Arial"/>
          <w:sz w:val="18"/>
          <w:szCs w:val="18"/>
          <w:color w:val="auto"/>
        </w:rPr>
        <w:t>.</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Guarantees</w:t>
      </w:r>
      <w:r>
        <w:rPr>
          <w:rFonts w:ascii="Arial" w:cs="Arial" w:eastAsia="Arial" w:hAnsi="Arial"/>
          <w:sz w:val="18"/>
          <w:szCs w:val="18"/>
          <w:color w:val="auto"/>
        </w:rPr>
        <w:t>” shall mean any one or more guarantees of any Additional Obligations of any Additional Loan Party by any other Additional Loan Party in favor of any Additional Credit Facility Secured Party, in each case as the same may be amended, supplemented, waived or otherwise modified from time to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shall mean any Additional Loan Party that at any time has provided an Additional Guarantee.</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Hedging Affiliate</w:t>
      </w:r>
      <w:r>
        <w:rPr>
          <w:rFonts w:ascii="Arial" w:cs="Arial" w:eastAsia="Arial" w:hAnsi="Arial"/>
          <w:sz w:val="18"/>
          <w:szCs w:val="18"/>
          <w:color w:val="auto"/>
        </w:rPr>
        <w:t>” shall mean any Person who (a) has entered into a Hedging Agreement with any Additional Loan Party with the obligations of such Additional Loan Party thereunder being secured by one or more Additional Collateral Documents, (b) was an Additional Agent, an Additional Credit Facility Lender or an Affiliate of an Additional Credit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445" w:name="page446"/>
    <w:bookmarkEnd w:id="445"/>
    <w:p>
      <w:pPr>
        <w:ind w:right="2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Lender at the time of entry into such Hedging Agreement, or on or prior to the date hereof, or at the time of the designation referred to in the following clause (c), and (c) has been designated by the Company in accordance with the terms of one or more Additional Collateral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Person shall, with respect to any Hedging Agreement, be at any time a Hedging Affiliate hereunder with respect to more than one Credit Facility).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Indebtedness</w:t>
      </w:r>
      <w:r>
        <w:rPr>
          <w:rFonts w:ascii="Arial" w:cs="Arial" w:eastAsia="Arial" w:hAnsi="Arial"/>
          <w:sz w:val="18"/>
          <w:szCs w:val="18"/>
          <w:color w:val="auto"/>
        </w:rPr>
        <w:t>” shall mean any Additional Specified Indebtedness that</w:t>
      </w:r>
    </w:p>
    <w:p>
      <w:pPr>
        <w:spacing w:after="0" w:line="225" w:lineRule="exact"/>
        <w:rPr>
          <w:sz w:val="20"/>
          <w:szCs w:val="20"/>
          <w:color w:val="auto"/>
        </w:rPr>
      </w:pPr>
    </w:p>
    <w:p>
      <w:pPr>
        <w:ind w:left="700" w:hanging="236"/>
        <w:spacing w:after="0"/>
        <w:tabs>
          <w:tab w:leader="none" w:pos="7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is secured by a Lien on Collateral and is permitted to be so secured by:</w:t>
      </w:r>
    </w:p>
    <w:p>
      <w:pPr>
        <w:spacing w:after="0" w:line="117" w:lineRule="exact"/>
        <w:rPr>
          <w:rFonts w:ascii="Arial" w:cs="Arial" w:eastAsia="Arial" w:hAnsi="Arial"/>
          <w:sz w:val="18"/>
          <w:szCs w:val="18"/>
          <w:color w:val="auto"/>
        </w:rPr>
      </w:pPr>
    </w:p>
    <w:p>
      <w:pPr>
        <w:jc w:val="both"/>
        <w:ind w:left="460" w:firstLine="443"/>
        <w:spacing w:after="0" w:line="259" w:lineRule="auto"/>
        <w:tabs>
          <w:tab w:leader="none" w:pos="1113" w:val="left"/>
        </w:tabs>
        <w:numPr>
          <w:ilvl w:val="1"/>
          <w:numId w:val="488"/>
        </w:numPr>
        <w:rPr>
          <w:rFonts w:ascii="Arial" w:cs="Arial" w:eastAsia="Arial" w:hAnsi="Arial"/>
          <w:sz w:val="18"/>
          <w:szCs w:val="18"/>
          <w:color w:val="auto"/>
        </w:rPr>
      </w:pPr>
      <w:r>
        <w:rPr>
          <w:rFonts w:ascii="Arial" w:cs="Arial" w:eastAsia="Arial" w:hAnsi="Arial"/>
          <w:sz w:val="18"/>
          <w:szCs w:val="18"/>
          <w:color w:val="auto"/>
        </w:rPr>
        <w:t xml:space="preserve">prior to the Discharge of Original First Lien Obligations,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of the Initial Original First Lien Credit Agreement (if the Initial Original First Lien Credit Agreement is then in effect) or the corresponding negative covenant restricting Liens contained in any other Original First Lien Credit Agreement then in effect if the Initial Original First Lien Credit Agreement is not then in effect (which covenant is designated in such Original First Lien Credit Agreement as applicable for purposes of this definition);</w:t>
      </w:r>
    </w:p>
    <w:p>
      <w:pPr>
        <w:spacing w:after="0" w:line="28"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(ii) prior to the Discharge of [</w:t>
            </w:r>
          </w:p>
        </w:tc>
        <w:tc>
          <w:tcPr>
            <w:tcW w:w="3740" w:type="dxa"/>
            <w:vAlign w:val="bottom"/>
            <w:gridSpan w:val="4"/>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Obligations, Section [</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1"/>
              </w:rPr>
              <w:t>iv</w:t>
            </w:r>
          </w:p>
        </w:tc>
        <w:tc>
          <w:tcPr>
            <w:tcW w:w="740" w:type="dxa"/>
            <w:vAlign w:val="bottom"/>
          </w:tcPr>
          <w:p>
            <w:pPr>
              <w:ind w:left="40"/>
              <w:spacing w:after="0"/>
              <w:rPr>
                <w:sz w:val="20"/>
                <w:szCs w:val="20"/>
                <w:color w:val="auto"/>
              </w:rPr>
            </w:pPr>
            <w:r>
              <w:rPr>
                <w:rFonts w:ascii="Arial" w:cs="Arial" w:eastAsia="Arial" w:hAnsi="Arial"/>
                <w:sz w:val="18"/>
                <w:szCs w:val="18"/>
                <w:color w:val="auto"/>
              </w:rPr>
              <w:t>of the [</w:t>
            </w:r>
          </w:p>
        </w:tc>
        <w:tc>
          <w:tcPr>
            <w:tcW w:w="3380" w:type="dxa"/>
            <w:vAlign w:val="bottom"/>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Credit Facility (if the</w:t>
            </w:r>
          </w:p>
        </w:tc>
      </w:tr>
      <w:tr>
        <w:trPr>
          <w:trHeight w:val="20"/>
        </w:trPr>
        <w:tc>
          <w:tcPr>
            <w:tcW w:w="24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9"/>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color w:val="auto"/>
                <w:w w:val="93"/>
              </w:rPr>
              <w:t>i</w:t>
            </w:r>
            <w:r>
              <w:rPr>
                <w:rFonts w:ascii="Arial" w:cs="Arial" w:eastAsia="Arial" w:hAnsi="Arial"/>
                <w:sz w:val="18"/>
                <w:szCs w:val="18"/>
                <w:color w:val="auto"/>
                <w:w w:val="93"/>
              </w:rPr>
              <w:t xml:space="preserve"> [First/Second]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Credit Facility is then in effect) or the corresponding negative covenant restricting Liens contained in any other [</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16"/>
        </w:trPr>
        <w:tc>
          <w:tcPr>
            <w:tcW w:w="6500" w:type="dxa"/>
            <w:vAlign w:val="bottom"/>
            <w:gridSpan w:val="6"/>
          </w:tcPr>
          <w:p>
            <w:pPr>
              <w:spacing w:after="0"/>
              <w:rPr>
                <w:sz w:val="20"/>
                <w:szCs w:val="20"/>
                <w:color w:val="auto"/>
              </w:rPr>
            </w:pPr>
            <w:r>
              <w:rPr>
                <w:rFonts w:ascii="Arial" w:cs="Arial" w:eastAsia="Arial" w:hAnsi="Arial"/>
                <w:sz w:val="18"/>
                <w:szCs w:val="18"/>
                <w:color w:val="auto"/>
                <w:w w:val="92"/>
              </w:rPr>
              <w:t>[First/Second]</w:t>
            </w:r>
            <w:r>
              <w:rPr>
                <w:rFonts w:ascii="Arial" w:cs="Arial" w:eastAsia="Arial" w:hAnsi="Arial"/>
                <w:sz w:val="15"/>
                <w:szCs w:val="15"/>
                <w:color w:val="auto"/>
                <w:w w:val="92"/>
              </w:rPr>
              <w:t>ii</w:t>
            </w:r>
            <w:r>
              <w:rPr>
                <w:rFonts w:ascii="Arial" w:cs="Arial" w:eastAsia="Arial" w:hAnsi="Arial"/>
                <w:sz w:val="18"/>
                <w:szCs w:val="18"/>
                <w:color w:val="auto"/>
                <w:w w:val="92"/>
              </w:rPr>
              <w:t xml:space="preserve"> Lien Credit Facility then in effect (which covenant is designated in such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3"/>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Credit Facility as applicable for</w:t>
            </w: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purposes of this definition); and</w:t>
            </w:r>
          </w:p>
        </w:tc>
        <w:tc>
          <w:tcPr>
            <w:tcW w:w="2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94" w:lineRule="exact"/>
        <w:rPr>
          <w:sz w:val="20"/>
          <w:szCs w:val="20"/>
          <w:color w:val="auto"/>
        </w:rPr>
      </w:pPr>
    </w:p>
    <w:p>
      <w:pPr>
        <w:ind w:left="460" w:right="500" w:firstLine="443"/>
        <w:spacing w:after="0" w:line="342" w:lineRule="auto"/>
        <w:tabs>
          <w:tab w:leader="none" w:pos="1213" w:val="left"/>
        </w:tabs>
        <w:numPr>
          <w:ilvl w:val="1"/>
          <w:numId w:val="489"/>
        </w:numPr>
        <w:rPr>
          <w:rFonts w:ascii="Arial" w:cs="Arial" w:eastAsia="Arial" w:hAnsi="Arial"/>
          <w:sz w:val="16"/>
          <w:szCs w:val="16"/>
          <w:color w:val="auto"/>
        </w:rPr>
      </w:pPr>
      <w:r>
        <w:rPr>
          <w:rFonts w:ascii="Arial" w:cs="Arial" w:eastAsia="Arial" w:hAnsi="Arial"/>
          <w:sz w:val="16"/>
          <w:szCs w:val="16"/>
          <w:color w:val="auto"/>
        </w:rPr>
        <w:t>prior to the Discharge of Additional Obligations, any negative covenant restricting Liens contained in any applicable Additional Credit Facility then in effect (which covenant is designated in such Additional Credit Facility as applicable for purposes of this definition); and</w:t>
      </w:r>
    </w:p>
    <w:p>
      <w:pPr>
        <w:spacing w:after="0" w:line="123" w:lineRule="exact"/>
        <w:rPr>
          <w:rFonts w:ascii="Arial" w:cs="Arial" w:eastAsia="Arial" w:hAnsi="Arial"/>
          <w:sz w:val="16"/>
          <w:szCs w:val="16"/>
          <w:color w:val="auto"/>
        </w:rPr>
      </w:pPr>
    </w:p>
    <w:p>
      <w:pPr>
        <w:ind w:right="720" w:firstLine="464"/>
        <w:spacing w:after="0" w:line="277" w:lineRule="auto"/>
        <w:tabs>
          <w:tab w:leader="none" w:pos="711"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is designated as “Additional Indebtedness” by the Original First Lien Borrower pursuant to an Additional Indebtedness Designation and in compliance with the procedures set forth in </w:t>
      </w:r>
      <w:r>
        <w:rPr>
          <w:rFonts w:ascii="Arial" w:cs="Arial" w:eastAsia="Arial" w:hAnsi="Arial"/>
          <w:sz w:val="18"/>
          <w:szCs w:val="18"/>
          <w:u w:val="single" w:color="auto"/>
          <w:color w:val="auto"/>
        </w:rPr>
        <w:t>Section 7.11.</w:t>
      </w:r>
    </w:p>
    <w:p>
      <w:pPr>
        <w:spacing w:after="0" w:line="17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As used in this definition of “Additional Indebtedness”, the term “Lien” shall have the meaning set forth (x) for purposes of the preceding clause (a)(i), prior to the Discharge of Original First Lien Obligations,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Initial Original First Lien Credit Agreement (if the Initial Original First Lien Credit Agreement is then in effect), or in any other Original First Lien Credit Agreement then in effect (if the Initial Original First Lien Credit Agreement is</w:t>
      </w:r>
    </w:p>
    <w:tbl>
      <w:tblPr>
        <w:tblLayout w:type="fixed"/>
        <w:tblInd w:w="0" w:type="dxa"/>
        <w:tblCellMar>
          <w:top w:w="0" w:type="dxa"/>
          <w:left w:w="0" w:type="dxa"/>
          <w:bottom w:w="0" w:type="dxa"/>
          <w:right w:w="0" w:type="dxa"/>
        </w:tblCellMar>
      </w:tblPr>
      <w:tr>
        <w:trPr>
          <w:trHeight w:val="151"/>
        </w:trPr>
        <w:tc>
          <w:tcPr>
            <w:tcW w:w="6840" w:type="dxa"/>
            <w:vAlign w:val="bottom"/>
            <w:gridSpan w:val="4"/>
          </w:tcPr>
          <w:p>
            <w:pPr>
              <w:spacing w:after="0" w:line="145" w:lineRule="exact"/>
              <w:rPr>
                <w:sz w:val="20"/>
                <w:szCs w:val="20"/>
                <w:color w:val="auto"/>
              </w:rPr>
            </w:pPr>
            <w:r>
              <w:rPr>
                <w:rFonts w:ascii="Arial" w:cs="Arial" w:eastAsia="Arial" w:hAnsi="Arial"/>
                <w:sz w:val="16"/>
                <w:szCs w:val="16"/>
                <w:color w:val="auto"/>
              </w:rPr>
              <w:t>not then in effect), (y) for purposes of the preceding clause (a)(ii), prior to the Discharge of [</w:t>
            </w:r>
          </w:p>
        </w:tc>
        <w:tc>
          <w:tcPr>
            <w:tcW w:w="3800" w:type="dxa"/>
            <w:vAlign w:val="bottom"/>
            <w:gridSpan w:val="2"/>
          </w:tcPr>
          <w:p>
            <w:pPr>
              <w:ind w:left="180"/>
              <w:spacing w:after="0" w:line="145" w:lineRule="exact"/>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Obligations, in Section [</w:t>
            </w:r>
          </w:p>
        </w:tc>
        <w:tc>
          <w:tcPr>
            <w:tcW w:w="240" w:type="dxa"/>
            <w:vAlign w:val="bottom"/>
          </w:tcPr>
          <w:p>
            <w:pPr>
              <w:jc w:val="right"/>
              <w:spacing w:after="0" w:line="145"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gridSpan w:val="2"/>
          </w:tcPr>
          <w:p>
            <w:pPr>
              <w:spacing w:after="0" w:line="131" w:lineRule="exact"/>
              <w:rPr>
                <w:sz w:val="20"/>
                <w:szCs w:val="20"/>
                <w:color w:val="auto"/>
              </w:rPr>
            </w:pPr>
            <w:r>
              <w:rPr>
                <w:rFonts w:ascii="Arial" w:cs="Arial" w:eastAsia="Arial" w:hAnsi="Arial"/>
                <w:sz w:val="15"/>
                <w:szCs w:val="15"/>
                <w:color w:val="auto"/>
                <w:w w:val="79"/>
              </w:rPr>
              <w:t>v</w:t>
            </w:r>
          </w:p>
        </w:tc>
        <w:tc>
          <w:tcPr>
            <w:tcW w:w="420" w:type="dxa"/>
            <w:vAlign w:val="bottom"/>
          </w:tcPr>
          <w:p>
            <w:pPr>
              <w:ind w:left="40"/>
              <w:spacing w:after="0" w:line="145" w:lineRule="exact"/>
              <w:rPr>
                <w:sz w:val="20"/>
                <w:szCs w:val="20"/>
                <w:color w:val="auto"/>
              </w:rPr>
            </w:pPr>
            <w:r>
              <w:rPr>
                <w:rFonts w:ascii="Arial" w:cs="Arial" w:eastAsia="Arial" w:hAnsi="Arial"/>
                <w:sz w:val="16"/>
                <w:szCs w:val="16"/>
                <w:color w:val="auto"/>
              </w:rPr>
              <w:t>of</w:t>
            </w:r>
          </w:p>
        </w:tc>
      </w:tr>
      <w:tr>
        <w:trPr>
          <w:trHeight w:val="20"/>
        </w:trPr>
        <w:tc>
          <w:tcPr>
            <w:tcW w:w="5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the [</w:t>
            </w:r>
          </w:p>
        </w:tc>
        <w:tc>
          <w:tcPr>
            <w:tcW w:w="366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 Facility (if the [</w:t>
            </w:r>
          </w:p>
        </w:tc>
        <w:tc>
          <w:tcPr>
            <w:tcW w:w="5640" w:type="dxa"/>
            <w:vAlign w:val="bottom"/>
            <w:gridSpan w:val="2"/>
          </w:tcPr>
          <w:p>
            <w:pPr>
              <w:ind w:left="18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i</w:t>
            </w:r>
            <w:r>
              <w:rPr>
                <w:rFonts w:ascii="Arial" w:cs="Arial" w:eastAsia="Arial" w:hAnsi="Arial"/>
                <w:sz w:val="18"/>
                <w:szCs w:val="18"/>
                <w:color w:val="auto"/>
                <w:w w:val="98"/>
              </w:rPr>
              <w:t xml:space="preserve"> [First/Second]</w:t>
            </w:r>
            <w:r>
              <w:rPr>
                <w:rFonts w:ascii="Arial" w:cs="Arial" w:eastAsia="Arial" w:hAnsi="Arial"/>
                <w:sz w:val="15"/>
                <w:szCs w:val="15"/>
                <w:color w:val="auto"/>
                <w:w w:val="98"/>
              </w:rPr>
              <w:t>ii</w:t>
            </w:r>
            <w:r>
              <w:rPr>
                <w:rFonts w:ascii="Arial" w:cs="Arial" w:eastAsia="Arial" w:hAnsi="Arial"/>
                <w:sz w:val="18"/>
                <w:szCs w:val="18"/>
                <w:color w:val="auto"/>
                <w:w w:val="98"/>
              </w:rPr>
              <w:t xml:space="preserve"> Lien Credit Facility is then in effect), or in any other [</w:t>
            </w:r>
          </w:p>
        </w:tc>
        <w:tc>
          <w:tcPr>
            <w:tcW w:w="1560" w:type="dxa"/>
            <w:vAlign w:val="bottom"/>
            <w:gridSpan w:val="5"/>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w w:val="99"/>
              </w:rPr>
              <w:t>Lien Credit Facility then in effect (if the [</w:t>
            </w:r>
          </w:p>
        </w:tc>
        <w:tc>
          <w:tcPr>
            <w:tcW w:w="8200" w:type="dxa"/>
            <w:vAlign w:val="bottom"/>
            <w:gridSpan w:val="8"/>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5"/>
                <w:szCs w:val="15"/>
                <w:color w:val="auto"/>
                <w:w w:val="92"/>
              </w:rPr>
              <w:t>i</w:t>
            </w:r>
            <w:r>
              <w:rPr>
                <w:rFonts w:ascii="Arial" w:cs="Arial" w:eastAsia="Arial" w:hAnsi="Arial"/>
                <w:sz w:val="18"/>
                <w:szCs w:val="18"/>
                <w:color w:val="auto"/>
                <w:w w:val="92"/>
              </w:rPr>
              <w:t xml:space="preserve"> [First/Second]</w:t>
            </w:r>
            <w:r>
              <w:rPr>
                <w:rFonts w:ascii="Arial" w:cs="Arial" w:eastAsia="Arial" w:hAnsi="Arial"/>
                <w:sz w:val="15"/>
                <w:szCs w:val="15"/>
                <w:color w:val="auto"/>
                <w:w w:val="92"/>
              </w:rPr>
              <w:t>ii</w:t>
            </w:r>
            <w:r>
              <w:rPr>
                <w:rFonts w:ascii="Arial" w:cs="Arial" w:eastAsia="Arial" w:hAnsi="Arial"/>
                <w:sz w:val="18"/>
                <w:szCs w:val="18"/>
                <w:color w:val="auto"/>
                <w:w w:val="92"/>
              </w:rPr>
              <w:t xml:space="preserve"> Lien Credit Facility is not then in effect), and (z) for purposes of the preceding clause (a)(iii),</w:t>
            </w:r>
          </w:p>
        </w:tc>
      </w:tr>
      <w:tr>
        <w:trPr>
          <w:trHeight w:val="230"/>
        </w:trPr>
        <w:tc>
          <w:tcPr>
            <w:tcW w:w="9820" w:type="dxa"/>
            <w:vAlign w:val="bottom"/>
            <w:gridSpan w:val="5"/>
          </w:tcPr>
          <w:p>
            <w:pPr>
              <w:spacing w:after="0"/>
              <w:rPr>
                <w:sz w:val="20"/>
                <w:szCs w:val="20"/>
                <w:color w:val="auto"/>
              </w:rPr>
            </w:pPr>
            <w:r>
              <w:rPr>
                <w:rFonts w:ascii="Arial" w:cs="Arial" w:eastAsia="Arial" w:hAnsi="Arial"/>
                <w:sz w:val="18"/>
                <w:szCs w:val="18"/>
                <w:color w:val="auto"/>
              </w:rPr>
              <w:t>prior to the Discharge of Additional Obligations, in the applicable Additional Credit Facility then in effect.</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60" w:type="dxa"/>
            <w:vAlign w:val="bottom"/>
          </w:tcPr>
          <w:p>
            <w:pPr>
              <w:jc w:val="right"/>
              <w:ind w:right="990"/>
              <w:spacing w:after="0"/>
              <w:rPr>
                <w:sz w:val="20"/>
                <w:szCs w:val="20"/>
                <w:color w:val="auto"/>
              </w:rPr>
            </w:pPr>
            <w:r>
              <w:rPr>
                <w:rFonts w:ascii="Arial" w:cs="Arial" w:eastAsia="Arial" w:hAnsi="Arial"/>
                <w:sz w:val="18"/>
                <w:szCs w:val="18"/>
                <w:color w:val="auto"/>
              </w:rPr>
              <w:t>4</w:t>
            </w:r>
          </w:p>
        </w:tc>
        <w:tc>
          <w:tcPr>
            <w:tcW w:w="2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446" w:name="page447"/>
    <w:bookmarkEnd w:id="446"/>
    <w:p>
      <w:pPr>
        <w:ind w:right="8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Additional Indebtedness Designation”</w:t>
      </w:r>
      <w:r>
        <w:rPr>
          <w:rFonts w:ascii="Arial" w:cs="Arial" w:eastAsia="Arial" w:hAnsi="Arial"/>
          <w:sz w:val="18"/>
          <w:szCs w:val="18"/>
          <w:color w:val="auto"/>
        </w:rPr>
        <w:t xml:space="preserve"> shall mean a certificate of the Original First Lien Borrower with respect to Additional Indebtedness,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Indebtedness Joinder</w:t>
      </w:r>
      <w:r>
        <w:rPr>
          <w:rFonts w:ascii="Arial" w:cs="Arial" w:eastAsia="Arial" w:hAnsi="Arial"/>
          <w:sz w:val="18"/>
          <w:szCs w:val="18"/>
          <w:color w:val="auto"/>
        </w:rPr>
        <w:t xml:space="preserve">” shall mean a joinder agreement executed by one or more Additional Agents in respect of any Additional Indebtedness subject to an Additional Indebtedness Designation on behalf of one or more Additional Credit Facility Secured Parties in respect of such Additional Indebtedness,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Loan Party</w:t>
      </w:r>
      <w:r>
        <w:rPr>
          <w:rFonts w:ascii="Arial" w:cs="Arial" w:eastAsia="Arial" w:hAnsi="Arial"/>
          <w:sz w:val="18"/>
          <w:szCs w:val="18"/>
          <w:color w:val="auto"/>
        </w:rPr>
        <w:t>” shall mean the Original First Lien Borrower, Holdings (so long as it is a guarantor under any of the Additional Guarantees), each direct or indirect Subsidiary of the Original First Lien Borrower or any of its Affiliates that is or becomes a party to any Additional Document, and any other Person who becomes a guarantor under any of the Additional Guarantees.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Obligations</w:t>
      </w:r>
      <w:r>
        <w:rPr>
          <w:rFonts w:ascii="Arial" w:cs="Arial" w:eastAsia="Arial" w:hAnsi="Arial"/>
          <w:sz w:val="17"/>
          <w:szCs w:val="17"/>
          <w:color w:val="auto"/>
        </w:rPr>
        <w:t>” shall mean any and all loans and all other obligations, liabilities and indebtedness of every kind, nature and description, whether now existing or hereafter arising, whether arising before, during or after the commencement of any case with respect to any Additional Loan Party under the Bankruptcy Code or any other Insolvency Proceeding, owing by each Additional Loan Party from time to time under any Additional Document to any Additional Agent, any Additional Credit Facility Secured Parties or any of them, including any Additional Bank Products Affiliates or Additional Hedging Affiliates, whether for principal, premium interest (including interest and fees which, but for the filing of a petition in bankruptcy with respect to such Additional Loan Party, would have accrued on any Additional Obligation, whether or not a claim is allowed against such Additional Loan Party for such interest and fees in the related bankruptcy proceeding), reimbursement for amounts drawn under letters of credit, fees, expenses, indemnification or otherwise, and all other amounts owing or due under the terms of the Additional Documents, as amended, restated, modified, renewed, refunded, replaced or refinanced in whole or in part from time to time.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Specified Indebtedness</w:t>
      </w:r>
      <w:r>
        <w:rPr>
          <w:rFonts w:ascii="Arial" w:cs="Arial" w:eastAsia="Arial" w:hAnsi="Arial"/>
          <w:sz w:val="16"/>
          <w:szCs w:val="16"/>
          <w:color w:val="auto"/>
        </w:rPr>
        <w:t>” shall mean any Indebtedness that is or may from time to time be incurred by any Loan Party in compliance with:</w:t>
      </w:r>
    </w:p>
    <w:p>
      <w:pPr>
        <w:spacing w:after="0" w:line="140" w:lineRule="exact"/>
        <w:rPr>
          <w:sz w:val="20"/>
          <w:szCs w:val="20"/>
          <w:color w:val="auto"/>
        </w:rPr>
      </w:pPr>
    </w:p>
    <w:p>
      <w:pPr>
        <w:ind w:left="460" w:right="20" w:firstLine="443"/>
        <w:spacing w:after="0" w:line="264" w:lineRule="auto"/>
        <w:tabs>
          <w:tab w:leader="none" w:pos="1113" w:val="left"/>
        </w:tabs>
        <w:numPr>
          <w:ilvl w:val="0"/>
          <w:numId w:val="491"/>
        </w:numPr>
        <w:rPr>
          <w:rFonts w:ascii="Arial" w:cs="Arial" w:eastAsia="Arial" w:hAnsi="Arial"/>
          <w:sz w:val="18"/>
          <w:szCs w:val="18"/>
          <w:color w:val="auto"/>
        </w:rPr>
      </w:pPr>
      <w:r>
        <w:rPr>
          <w:rFonts w:ascii="Arial" w:cs="Arial" w:eastAsia="Arial" w:hAnsi="Arial"/>
          <w:sz w:val="18"/>
          <w:szCs w:val="18"/>
          <w:color w:val="auto"/>
        </w:rPr>
        <w:t>prior to the Discharge of Original First Lien Obligations, the Initial Original First Lien Credit Agreement (if the Initial Original First Lien Credit Agreement is then in effect) or any other Original First Lien Credit Agreement then in effect if the Initial Original First Lien Credit Agreement is not then in effect;</w:t>
      </w:r>
    </w:p>
    <w:p>
      <w:pPr>
        <w:sectPr>
          <w:pgSz w:w="11900" w:h="16838" w:orient="portrait"/>
          <w:cols w:equalWidth="0" w:num="1">
            <w:col w:w="11420"/>
          </w:cols>
          <w:pgMar w:left="240" w:top="274" w:right="239" w:bottom="1440" w:gutter="0" w:footer="0" w:header="0"/>
        </w:sectPr>
      </w:pPr>
    </w:p>
    <w:p>
      <w:pPr>
        <w:spacing w:after="0" w:line="73" w:lineRule="exact"/>
        <w:rPr>
          <w:sz w:val="20"/>
          <w:szCs w:val="20"/>
          <w:color w:val="auto"/>
        </w:rPr>
      </w:pPr>
    </w:p>
    <w:p>
      <w:pPr>
        <w:ind w:left="460" w:firstLine="438"/>
        <w:spacing w:after="0" w:line="308" w:lineRule="auto"/>
        <w:rPr>
          <w:sz w:val="20"/>
          <w:szCs w:val="20"/>
          <w:color w:val="auto"/>
        </w:rPr>
      </w:pPr>
      <w:r>
        <w:rPr>
          <w:rFonts w:ascii="Arial" w:cs="Arial" w:eastAsia="Arial" w:hAnsi="Arial"/>
          <w:sz w:val="17"/>
          <w:szCs w:val="17"/>
          <w:color w:val="auto"/>
        </w:rPr>
        <w:t>(ii) prior to the Discharge of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Obligations, the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Credit Facility (if the [ [First/Second]</w:t>
      </w:r>
      <w:r>
        <w:rPr>
          <w:rFonts w:ascii="Arial" w:cs="Arial" w:eastAsia="Arial" w:hAnsi="Arial"/>
          <w:sz w:val="14"/>
          <w:szCs w:val="14"/>
          <w:color w:val="auto"/>
        </w:rPr>
        <w:t>ii</w:t>
      </w:r>
      <w:r>
        <w:rPr>
          <w:rFonts w:ascii="Arial" w:cs="Arial" w:eastAsia="Arial" w:hAnsi="Arial"/>
          <w:sz w:val="17"/>
          <w:szCs w:val="17"/>
          <w:color w:val="auto"/>
        </w:rPr>
        <w:t xml:space="preserve"> Lien Credit Facility is then in effect) or any other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Credit Facility then in effect; and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p>
      <w:pPr>
        <w:spacing w:after="0" w:line="332" w:lineRule="exact"/>
        <w:rPr>
          <w:sz w:val="20"/>
          <w:szCs w:val="20"/>
          <w:color w:val="auto"/>
        </w:rPr>
      </w:pPr>
    </w:p>
    <w:p>
      <w:pPr>
        <w:sectPr>
          <w:pgSz w:w="11900" w:h="16838" w:orient="portrait"/>
          <w:cols w:equalWidth="0" w:num="2">
            <w:col w:w="10000" w:space="360"/>
            <w:col w:w="1060"/>
          </w:cols>
          <w:pgMar w:left="240" w:top="274" w:right="239" w:bottom="1440" w:gutter="0" w:footer="0" w:header="0"/>
          <w:type w:val="continuous"/>
        </w:sectPr>
      </w:pPr>
    </w:p>
    <w:p>
      <w:pPr>
        <w:ind w:left="900"/>
        <w:spacing w:after="0"/>
        <w:rPr>
          <w:sz w:val="20"/>
          <w:szCs w:val="20"/>
          <w:color w:val="auto"/>
        </w:rPr>
      </w:pPr>
      <w:r>
        <w:rPr>
          <w:rFonts w:ascii="Arial" w:cs="Arial" w:eastAsia="Arial" w:hAnsi="Arial"/>
          <w:sz w:val="18"/>
          <w:szCs w:val="18"/>
          <w:color w:val="auto"/>
        </w:rPr>
        <w:t>(iii) prior to the Discharge of Additional Obligations, any Additional Credit Facility then in effect.</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As used in this definition of “Additional Specified Indebtedness”, the term “Indebtedness” shall have the meaning set forth (x) for purposes of the preceding clause (i), prior to the Discharge of Original First Lien Obligations,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Initial Original First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type w:val="continuous"/>
        </w:sectPr>
      </w:pPr>
    </w:p>
    <w:bookmarkStart w:id="447" w:name="page448"/>
    <w:bookmarkEnd w:id="447"/>
    <w:p>
      <w:pPr>
        <w:ind w:right="1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 Credit Agreement (if the Initial Original First Lien Credit Agreement is then in effect), or in any other Original First Lien Credit Agreement then in effect (if the Initial Original First Lien Credit Agreement is not then in effect), (y) for purposes of the preceding clause (ii), prior to the Discharge of Initial</w:t>
      </w:r>
    </w:p>
    <w:tbl>
      <w:tblPr>
        <w:tblLayout w:type="fixed"/>
        <w:tblInd w:w="0" w:type="dxa"/>
        <w:tblCellMar>
          <w:top w:w="0" w:type="dxa"/>
          <w:left w:w="0" w:type="dxa"/>
          <w:bottom w:w="0" w:type="dxa"/>
          <w:right w:w="0" w:type="dxa"/>
        </w:tblCellMar>
      </w:tblPr>
      <w:tr>
        <w:trPr>
          <w:trHeight w:val="177"/>
        </w:trPr>
        <w:tc>
          <w:tcPr>
            <w:tcW w:w="24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4620" w:type="dxa"/>
            <w:vAlign w:val="bottom"/>
            <w:gridSpan w:val="3"/>
          </w:tcPr>
          <w:p>
            <w:pPr>
              <w:ind w:left="180"/>
              <w:spacing w:after="0" w:line="177" w:lineRule="exact"/>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i</w:t>
            </w:r>
            <w:r>
              <w:rPr>
                <w:rFonts w:ascii="Arial" w:cs="Arial" w:eastAsia="Arial" w:hAnsi="Arial"/>
                <w:sz w:val="18"/>
                <w:szCs w:val="18"/>
                <w:color w:val="auto"/>
                <w:w w:val="97"/>
              </w:rPr>
              <w:t xml:space="preserve"> [First/Second]</w:t>
            </w:r>
            <w:r>
              <w:rPr>
                <w:rFonts w:ascii="Arial" w:cs="Arial" w:eastAsia="Arial" w:hAnsi="Arial"/>
                <w:sz w:val="15"/>
                <w:szCs w:val="15"/>
                <w:color w:val="auto"/>
                <w:w w:val="97"/>
              </w:rPr>
              <w:t>ii</w:t>
            </w:r>
            <w:r>
              <w:rPr>
                <w:rFonts w:ascii="Arial" w:cs="Arial" w:eastAsia="Arial" w:hAnsi="Arial"/>
                <w:sz w:val="18"/>
                <w:szCs w:val="18"/>
                <w:color w:val="auto"/>
                <w:w w:val="97"/>
              </w:rPr>
              <w:t xml:space="preserve"> Lien Obligations, in Section 1.01 of the [</w:t>
            </w:r>
          </w:p>
        </w:tc>
        <w:tc>
          <w:tcPr>
            <w:tcW w:w="3680" w:type="dxa"/>
            <w:vAlign w:val="bottom"/>
            <w:gridSpan w:val="2"/>
          </w:tcPr>
          <w:p>
            <w:pPr>
              <w:ind w:left="180"/>
              <w:spacing w:after="0" w:line="177" w:lineRule="exact"/>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 Facility (if the [</w:t>
            </w:r>
          </w:p>
        </w:tc>
        <w:tc>
          <w:tcPr>
            <w:tcW w:w="2680" w:type="dxa"/>
            <w:vAlign w:val="bottom"/>
          </w:tcPr>
          <w:p>
            <w:pPr>
              <w:ind w:left="180"/>
              <w:spacing w:after="0" w:line="177" w:lineRule="exact"/>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w:t>
            </w:r>
          </w:p>
        </w:tc>
      </w:tr>
      <w:tr>
        <w:trPr>
          <w:trHeight w:val="20"/>
        </w:trPr>
        <w:tc>
          <w:tcPr>
            <w:tcW w:w="32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r>
      <w:tr>
        <w:trPr>
          <w:trHeight w:val="237"/>
        </w:trPr>
        <w:tc>
          <w:tcPr>
            <w:tcW w:w="3220" w:type="dxa"/>
            <w:vAlign w:val="bottom"/>
            <w:gridSpan w:val="2"/>
          </w:tcPr>
          <w:p>
            <w:pPr>
              <w:spacing w:after="0"/>
              <w:rPr>
                <w:sz w:val="20"/>
                <w:szCs w:val="20"/>
                <w:color w:val="auto"/>
              </w:rPr>
            </w:pPr>
            <w:r>
              <w:rPr>
                <w:rFonts w:ascii="Arial" w:cs="Arial" w:eastAsia="Arial" w:hAnsi="Arial"/>
                <w:sz w:val="18"/>
                <w:szCs w:val="18"/>
                <w:color w:val="auto"/>
                <w:w w:val="99"/>
              </w:rPr>
              <w:t>Facility is then in effect), or in any other [</w:t>
            </w:r>
          </w:p>
        </w:tc>
        <w:tc>
          <w:tcPr>
            <w:tcW w:w="4640" w:type="dxa"/>
            <w:vAlign w:val="bottom"/>
            <w:gridSpan w:val="3"/>
          </w:tcPr>
          <w:p>
            <w:pPr>
              <w:ind w:left="16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i</w:t>
            </w:r>
            <w:r>
              <w:rPr>
                <w:rFonts w:ascii="Arial" w:cs="Arial" w:eastAsia="Arial" w:hAnsi="Arial"/>
                <w:sz w:val="18"/>
                <w:szCs w:val="18"/>
                <w:color w:val="auto"/>
                <w:w w:val="98"/>
              </w:rPr>
              <w:t xml:space="preserve"> [First/Second]</w:t>
            </w:r>
            <w:r>
              <w:rPr>
                <w:rFonts w:ascii="Arial" w:cs="Arial" w:eastAsia="Arial" w:hAnsi="Arial"/>
                <w:sz w:val="15"/>
                <w:szCs w:val="15"/>
                <w:color w:val="auto"/>
                <w:w w:val="98"/>
              </w:rPr>
              <w:t>ii</w:t>
            </w:r>
            <w:r>
              <w:rPr>
                <w:rFonts w:ascii="Arial" w:cs="Arial" w:eastAsia="Arial" w:hAnsi="Arial"/>
                <w:sz w:val="18"/>
                <w:szCs w:val="18"/>
                <w:color w:val="auto"/>
                <w:w w:val="98"/>
              </w:rPr>
              <w:t xml:space="preserve"> Lien Credit Facility then in effect (if the [</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Credit Facility is not</w:t>
            </w:r>
          </w:p>
        </w:tc>
      </w:tr>
    </w:tbl>
    <w:p>
      <w:pPr>
        <w:spacing w:after="0" w:line="254" w:lineRule="auto"/>
        <w:rPr>
          <w:sz w:val="20"/>
          <w:szCs w:val="20"/>
          <w:color w:val="auto"/>
        </w:rPr>
      </w:pPr>
      <w:r>
        <w:rPr>
          <w:rFonts w:ascii="Arial" w:cs="Arial" w:eastAsia="Arial" w:hAnsi="Arial"/>
          <w:sz w:val="18"/>
          <w:szCs w:val="18"/>
          <w:color w:val="auto"/>
        </w:rPr>
        <w:t>then in effect), and (z) for purposes of the preceding clause (iii), prior to the Discharge of Additional Obligations, in the applicable Additional Credit Facility then in effect. In the event that any Indebtedness as defined in any such Credit Document shall not be Indebtedness as defined in any other such Credit Document, but is or may be incurred in compliance with such other Credit Document, such Indebtedness shall constitute Additional Specified Indebtedness for the purposes of such other Credit Document.</w:t>
      </w:r>
    </w:p>
    <w:p>
      <w:pPr>
        <w:spacing w:after="0" w:line="190"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as to any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corresponding meanings.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shall mean any Senior Priority Agent or Junior Priority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assigned thereto in the Preamble hereto.</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Airport Authority</w:t>
      </w:r>
      <w:r>
        <w:rPr>
          <w:rFonts w:ascii="Arial" w:cs="Arial" w:eastAsia="Arial" w:hAnsi="Arial"/>
          <w:sz w:val="18"/>
          <w:szCs w:val="18"/>
          <w:color w:val="auto"/>
        </w:rPr>
        <w:t>” shall mean any city or any public or private board or other body or organization chartered or otherwise established for the purpose of administering, operating or managing an airport or related facilities.</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Aircraft Related Equipment</w:t>
      </w:r>
      <w:r>
        <w:rPr>
          <w:rFonts w:ascii="Arial" w:cs="Arial" w:eastAsia="Arial" w:hAnsi="Arial"/>
          <w:sz w:val="16"/>
          <w:szCs w:val="16"/>
          <w:color w:val="auto"/>
        </w:rPr>
        <w:t>” shall mean aircraft (including engines, airframes, propellers and appliances), engines, propellers, spare parts, aircraft parts, simulators and other training devices, quick engine change kits, passenger loading bridges, other flight or ground service equipment, de-icers, ground support equipment, aircraft cleaning devices, materials handling equipment, passenger walkways and other similar equipment or other operating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gridSpan w:val="3"/>
          </w:tcPr>
          <w:p>
            <w:pPr>
              <w:ind w:left="460"/>
              <w:spacing w:after="0"/>
              <w:rPr>
                <w:sz w:val="20"/>
                <w:szCs w:val="20"/>
                <w:color w:val="auto"/>
              </w:rPr>
            </w:pPr>
            <w:r>
              <w:rPr>
                <w:rFonts w:ascii="Arial" w:cs="Arial" w:eastAsia="Arial" w:hAnsi="Arial"/>
                <w:sz w:val="18"/>
                <w:szCs w:val="18"/>
                <w:color w:val="auto"/>
                <w:w w:val="96"/>
              </w:rPr>
              <w:t>“Bank Products Affiliate” shall mean any Original First Lien Bank Products Affiliate, any [</w:t>
            </w:r>
          </w:p>
        </w:tc>
        <w:tc>
          <w:tcPr>
            <w:tcW w:w="4060" w:type="dxa"/>
            <w:vAlign w:val="bottom"/>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color w:val="auto"/>
                <w:w w:val="93"/>
              </w:rPr>
              <w:t>i</w:t>
            </w:r>
            <w:r>
              <w:rPr>
                <w:rFonts w:ascii="Arial" w:cs="Arial" w:eastAsia="Arial" w:hAnsi="Arial"/>
                <w:sz w:val="18"/>
                <w:szCs w:val="18"/>
                <w:color w:val="auto"/>
                <w:w w:val="93"/>
              </w:rPr>
              <w:t xml:space="preserve"> [First/Second]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Bank Products Affiliate or any</w:t>
            </w:r>
          </w:p>
        </w:tc>
      </w:tr>
      <w:tr>
        <w:trPr>
          <w:trHeight w:val="20"/>
        </w:trPr>
        <w:tc>
          <w:tcPr>
            <w:tcW w:w="5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37"/>
        </w:trPr>
        <w:tc>
          <w:tcPr>
            <w:tcW w:w="7240" w:type="dxa"/>
            <w:vAlign w:val="bottom"/>
            <w:gridSpan w:val="3"/>
          </w:tcPr>
          <w:p>
            <w:pPr>
              <w:spacing w:after="0"/>
              <w:rPr>
                <w:sz w:val="20"/>
                <w:szCs w:val="20"/>
                <w:color w:val="auto"/>
              </w:rPr>
            </w:pPr>
            <w:r>
              <w:rPr>
                <w:rFonts w:ascii="Arial" w:cs="Arial" w:eastAsia="Arial" w:hAnsi="Arial"/>
                <w:sz w:val="18"/>
                <w:szCs w:val="18"/>
                <w:color w:val="auto"/>
              </w:rPr>
              <w:t>Additional Bank Products Affiliate, as applicable.</w:t>
            </w:r>
          </w:p>
        </w:tc>
        <w:tc>
          <w:tcPr>
            <w:tcW w:w="4060" w:type="dxa"/>
            <w:vAlign w:val="bottom"/>
          </w:tcPr>
          <w:p>
            <w:pPr>
              <w:spacing w:after="0"/>
              <w:rPr>
                <w:sz w:val="20"/>
                <w:szCs w:val="20"/>
                <w:color w:val="auto"/>
              </w:rPr>
            </w:pPr>
          </w:p>
        </w:tc>
      </w:tr>
    </w:tbl>
    <w:p>
      <w:pPr>
        <w:spacing w:after="0" w:line="20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Products Agreement</w:t>
      </w:r>
      <w:r>
        <w:rPr>
          <w:rFonts w:ascii="Arial" w:cs="Arial" w:eastAsia="Arial" w:hAnsi="Arial"/>
          <w:sz w:val="16"/>
          <w:szCs w:val="16"/>
          <w:color w:val="auto"/>
        </w:rPr>
        <w:t>” shall mean any agreement to provide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74" w:right="339" w:bottom="1440" w:gutter="0" w:footer="0" w:header="0"/>
        </w:sectPr>
      </w:pPr>
    </w:p>
    <w:bookmarkStart w:id="448" w:name="page449"/>
    <w:bookmarkEnd w:id="44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Bankruptcy Code</w:t>
      </w:r>
      <w:r>
        <w:rPr>
          <w:rFonts w:ascii="Arial" w:cs="Arial" w:eastAsia="Arial" w:hAnsi="Arial"/>
          <w:sz w:val="16"/>
          <w:szCs w:val="16"/>
          <w:color w:val="auto"/>
        </w:rPr>
        <w:t>” shall mean The Bankruptcy Reform Act of 1978, as heretofore and hereafter amended, and codified as 11 U.S.C. Section 101 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seq.</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shall mean the Bankruptcy Code or any similar federal, state or foreign law for the relief of debtors.</w:t>
      </w:r>
    </w:p>
    <w:p>
      <w:pPr>
        <w:spacing w:after="0" w:line="225" w:lineRule="exact"/>
        <w:rPr>
          <w:sz w:val="20"/>
          <w:szCs w:val="20"/>
          <w:color w:val="auto"/>
        </w:rPr>
      </w:pPr>
    </w:p>
    <w:p>
      <w:pPr>
        <w:ind w:left="460"/>
        <w:spacing w:after="0"/>
        <w:tabs>
          <w:tab w:leader="none" w:pos="5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shall mean any of the Original First Lien Borrower, the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Borrower and any Additional Borrower.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other than a Saturday, Sunday or other day on which commercial banks in the City of New York are authorized or required by law to close.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xml:space="preserve"> shall mean, at the time any determination is to be made, the amount of the liability in respect of a capital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shall mean:</w:t>
      </w:r>
    </w:p>
    <w:p>
      <w:pPr>
        <w:spacing w:after="0" w:line="225" w:lineRule="exact"/>
        <w:rPr>
          <w:sz w:val="20"/>
          <w:szCs w:val="20"/>
          <w:color w:val="auto"/>
        </w:rPr>
      </w:pPr>
    </w:p>
    <w:p>
      <w:pPr>
        <w:ind w:left="720" w:hanging="256"/>
        <w:spacing w:after="0"/>
        <w:tabs>
          <w:tab w:leader="none" w:pos="7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 interests; and</w:t>
      </w:r>
    </w:p>
    <w:p>
      <w:pPr>
        <w:spacing w:after="0" w:line="236" w:lineRule="exact"/>
        <w:rPr>
          <w:rFonts w:ascii="Arial" w:cs="Arial" w:eastAsia="Arial" w:hAnsi="Arial"/>
          <w:sz w:val="17"/>
          <w:szCs w:val="17"/>
          <w:color w:val="auto"/>
        </w:rPr>
      </w:pPr>
    </w:p>
    <w:p>
      <w:pPr>
        <w:ind w:right="240" w:firstLine="464"/>
        <w:spacing w:after="0" w:line="277" w:lineRule="auto"/>
        <w:tabs>
          <w:tab w:leader="none" w:pos="711"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but excluding from all of the foregoing clauses (1) through (4) any debt securities convertible into Capital Stock, whether or not such debt securities include any right of participation with Capital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w:t>
      </w:r>
      <w:r>
        <w:rPr>
          <w:rFonts w:ascii="Arial" w:cs="Arial" w:eastAsia="Arial" w:hAnsi="Arial"/>
          <w:sz w:val="18"/>
          <w:szCs w:val="18"/>
          <w:color w:val="auto"/>
        </w:rPr>
        <w:t>” shall mean any Collateral consisting of Money or Cash Equivalents, any Security Entitlement and any Financial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shall mean, as of the date acquired, purchased or made, as applicable:</w:t>
      </w:r>
    </w:p>
    <w:p>
      <w:pPr>
        <w:spacing w:after="0" w:line="225" w:lineRule="exact"/>
        <w:rPr>
          <w:sz w:val="20"/>
          <w:szCs w:val="20"/>
          <w:color w:val="auto"/>
        </w:rPr>
      </w:pPr>
    </w:p>
    <w:p>
      <w:pPr>
        <w:ind w:right="220" w:firstLine="464"/>
        <w:spacing w:after="0" w:line="286" w:lineRule="auto"/>
        <w:tabs>
          <w:tab w:leader="none" w:pos="751" w:val="left"/>
        </w:tabs>
        <w:numPr>
          <w:ilvl w:val="0"/>
          <w:numId w:val="493"/>
        </w:numPr>
        <w:rPr>
          <w:rFonts w:ascii="Arial" w:cs="Arial" w:eastAsia="Arial" w:hAnsi="Arial"/>
          <w:sz w:val="17"/>
          <w:szCs w:val="17"/>
          <w:color w:val="auto"/>
        </w:rPr>
      </w:pPr>
      <w:r>
        <w:rPr>
          <w:rFonts w:ascii="Arial" w:cs="Arial" w:eastAsia="Arial" w:hAnsi="Arial"/>
          <w:sz w:val="17"/>
          <w:szCs w:val="17"/>
          <w:color w:val="auto"/>
        </w:rPr>
        <w:t>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449" w:name="page450"/>
    <w:bookmarkEnd w:id="449"/>
    <w:p>
      <w:pPr>
        <w:ind w:firstLine="464"/>
        <w:spacing w:after="0" w:line="264" w:lineRule="auto"/>
        <w:tabs>
          <w:tab w:leader="none" w:pos="741" w:val="left"/>
        </w:tabs>
        <w:numPr>
          <w:ilvl w:val="1"/>
          <w:numId w:val="4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 obligations issued by any state of the United States of America or any political subdivision of any such state or any instrumentality thereof, in each case maturing within three years after such date and having a rating of at least A- (or the equivalent thereof) from S&amp;P or A3 (or the equivalent thereof) from Moody’s;</w:t>
      </w:r>
    </w:p>
    <w:p>
      <w:pPr>
        <w:spacing w:after="0" w:line="181" w:lineRule="exact"/>
        <w:rPr>
          <w:rFonts w:ascii="Arial" w:cs="Arial" w:eastAsia="Arial" w:hAnsi="Arial"/>
          <w:sz w:val="18"/>
          <w:szCs w:val="18"/>
          <w:color w:val="auto"/>
        </w:rPr>
      </w:pPr>
    </w:p>
    <w:p>
      <w:pPr>
        <w:ind w:right="160" w:firstLine="464"/>
        <w:spacing w:after="0" w:line="259" w:lineRule="auto"/>
        <w:tabs>
          <w:tab w:leader="none" w:pos="741" w:val="left"/>
        </w:tabs>
        <w:numPr>
          <w:ilvl w:val="1"/>
          <w:numId w:val="494"/>
        </w:numPr>
        <w:rPr>
          <w:rFonts w:ascii="Arial" w:cs="Arial" w:eastAsia="Arial" w:hAnsi="Arial"/>
          <w:sz w:val="18"/>
          <w:szCs w:val="18"/>
          <w:color w:val="auto"/>
        </w:rPr>
      </w:pPr>
      <w:r>
        <w:rPr>
          <w:rFonts w:ascii="Arial" w:cs="Arial" w:eastAsia="Arial" w:hAnsi="Arial"/>
          <w:sz w:val="18"/>
          <w:szCs w:val="18"/>
          <w:color w:val="auto"/>
        </w:rPr>
        <w:t xml:space="preserve">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the security has a maturity or weighted average life of three years or less from such date;</w:t>
      </w:r>
    </w:p>
    <w:p>
      <w:pPr>
        <w:spacing w:after="0" w:line="186" w:lineRule="exact"/>
        <w:rPr>
          <w:rFonts w:ascii="Arial" w:cs="Arial" w:eastAsia="Arial" w:hAnsi="Arial"/>
          <w:sz w:val="18"/>
          <w:szCs w:val="18"/>
          <w:color w:val="auto"/>
        </w:rPr>
      </w:pPr>
    </w:p>
    <w:p>
      <w:pPr>
        <w:ind w:right="140" w:firstLine="464"/>
        <w:spacing w:after="0" w:line="277" w:lineRule="auto"/>
        <w:tabs>
          <w:tab w:leader="none" w:pos="751" w:val="left"/>
        </w:tabs>
        <w:numPr>
          <w:ilvl w:val="1"/>
          <w:numId w:val="494"/>
        </w:numPr>
        <w:rPr>
          <w:rFonts w:ascii="Arial" w:cs="Arial" w:eastAsia="Arial" w:hAnsi="Arial"/>
          <w:sz w:val="18"/>
          <w:szCs w:val="18"/>
          <w:color w:val="auto"/>
        </w:rPr>
      </w:pPr>
      <w:r>
        <w:rPr>
          <w:rFonts w:ascii="Arial" w:cs="Arial" w:eastAsia="Arial" w:hAnsi="Arial"/>
          <w:sz w:val="18"/>
          <w:szCs w:val="18"/>
          <w:color w:val="auto"/>
        </w:rPr>
        <w:t>investments in commercial paper maturing no more than one year after such date and having, on such date, a rating of at least A-2 from S&amp;P or at least P-2 from Moody’s;</w:t>
      </w:r>
    </w:p>
    <w:p>
      <w:pPr>
        <w:spacing w:after="0" w:line="170" w:lineRule="exact"/>
        <w:rPr>
          <w:rFonts w:ascii="Arial" w:cs="Arial" w:eastAsia="Arial" w:hAnsi="Arial"/>
          <w:sz w:val="18"/>
          <w:szCs w:val="18"/>
          <w:color w:val="auto"/>
        </w:rPr>
      </w:pPr>
    </w:p>
    <w:p>
      <w:pPr>
        <w:ind w:right="180" w:firstLine="464"/>
        <w:spacing w:after="0" w:line="257" w:lineRule="auto"/>
        <w:tabs>
          <w:tab w:leader="none" w:pos="731" w:val="left"/>
        </w:tabs>
        <w:numPr>
          <w:ilvl w:val="1"/>
          <w:numId w:val="494"/>
        </w:numPr>
        <w:rPr>
          <w:rFonts w:ascii="Arial" w:cs="Arial" w:eastAsia="Arial" w:hAnsi="Arial"/>
          <w:sz w:val="18"/>
          <w:szCs w:val="18"/>
          <w:color w:val="auto"/>
        </w:rPr>
      </w:pPr>
      <w:r>
        <w:rPr>
          <w:rFonts w:ascii="Arial" w:cs="Arial" w:eastAsia="Arial" w:hAnsi="Arial"/>
          <w:sz w:val="18"/>
          <w:szCs w:val="18"/>
          <w:color w:val="auto"/>
        </w:rPr>
        <w:t>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Original First Lien Credit Agreement Lender or by any commercial bank organized under the laws of the United States of America or any state thereof or the District of Columbia that has a combined capital and surplus and undivided profits of not less than $250,000,000;</w:t>
      </w:r>
    </w:p>
    <w:p>
      <w:pPr>
        <w:spacing w:after="0" w:line="188" w:lineRule="exact"/>
        <w:rPr>
          <w:rFonts w:ascii="Arial" w:cs="Arial" w:eastAsia="Arial" w:hAnsi="Arial"/>
          <w:sz w:val="18"/>
          <w:szCs w:val="18"/>
          <w:color w:val="auto"/>
        </w:rPr>
      </w:pPr>
    </w:p>
    <w:p>
      <w:pPr>
        <w:ind w:right="100" w:firstLine="464"/>
        <w:spacing w:after="0" w:line="277" w:lineRule="auto"/>
        <w:tabs>
          <w:tab w:leader="none" w:pos="721" w:val="left"/>
        </w:tabs>
        <w:numPr>
          <w:ilvl w:val="1"/>
          <w:numId w:val="494"/>
        </w:numPr>
        <w:rPr>
          <w:rFonts w:ascii="Arial" w:cs="Arial" w:eastAsia="Arial" w:hAnsi="Arial"/>
          <w:sz w:val="18"/>
          <w:szCs w:val="18"/>
          <w:color w:val="auto"/>
        </w:rPr>
      </w:pPr>
      <w:r>
        <w:rPr>
          <w:rFonts w:ascii="Arial" w:cs="Arial" w:eastAsia="Arial" w:hAnsi="Arial"/>
          <w:sz w:val="18"/>
          <w:szCs w:val="18"/>
          <w:color w:val="auto"/>
        </w:rPr>
        <w:t>fully collateralized repurchase agreements with counterparties whose long term debt is rated not less than A- by S&amp;P and A3 by Moody’s and with a term of not more than six months from such date;</w:t>
      </w:r>
    </w:p>
    <w:p>
      <w:pPr>
        <w:spacing w:after="0" w:line="170" w:lineRule="exact"/>
        <w:rPr>
          <w:rFonts w:ascii="Arial" w:cs="Arial" w:eastAsia="Arial" w:hAnsi="Arial"/>
          <w:sz w:val="18"/>
          <w:szCs w:val="18"/>
          <w:color w:val="auto"/>
        </w:rPr>
      </w:pPr>
    </w:p>
    <w:p>
      <w:pPr>
        <w:ind w:right="240" w:firstLine="464"/>
        <w:spacing w:after="0" w:line="291" w:lineRule="auto"/>
        <w:tabs>
          <w:tab w:leader="none" w:pos="751" w:val="left"/>
        </w:tabs>
        <w:numPr>
          <w:ilvl w:val="1"/>
          <w:numId w:val="494"/>
        </w:numPr>
        <w:rPr>
          <w:rFonts w:ascii="Arial" w:cs="Arial" w:eastAsia="Arial" w:hAnsi="Arial"/>
          <w:sz w:val="16"/>
          <w:szCs w:val="16"/>
          <w:color w:val="auto"/>
        </w:rPr>
      </w:pPr>
      <w:r>
        <w:rPr>
          <w:rFonts w:ascii="Arial" w:cs="Arial" w:eastAsia="Arial" w:hAnsi="Arial"/>
          <w:sz w:val="16"/>
          <w:szCs w:val="16"/>
          <w:color w:val="auto"/>
        </w:rPr>
        <w:t>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w:t>
      </w:r>
    </w:p>
    <w:p>
      <w:pPr>
        <w:ind w:left="260" w:hanging="252"/>
        <w:spacing w:after="0"/>
        <w:tabs>
          <w:tab w:leader="none" w:pos="26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through (6) above, in each case, as of such date, including, but not be limited to, money market funds or short-term and intermediate bonds funds;</w:t>
      </w:r>
    </w:p>
    <w:p>
      <w:pPr>
        <w:spacing w:after="0" w:line="222" w:lineRule="exact"/>
        <w:rPr>
          <w:rFonts w:ascii="Arial" w:cs="Arial" w:eastAsia="Arial" w:hAnsi="Arial"/>
          <w:sz w:val="17"/>
          <w:szCs w:val="17"/>
          <w:color w:val="auto"/>
        </w:rPr>
      </w:pPr>
    </w:p>
    <w:p>
      <w:pPr>
        <w:ind w:right="560" w:firstLine="464"/>
        <w:spacing w:after="0" w:line="342" w:lineRule="auto"/>
        <w:tabs>
          <w:tab w:leader="none" w:pos="751" w:val="left"/>
        </w:tabs>
        <w:numPr>
          <w:ilvl w:val="1"/>
          <w:numId w:val="495"/>
        </w:numPr>
        <w:rPr>
          <w:rFonts w:ascii="Arial" w:cs="Arial" w:eastAsia="Arial" w:hAnsi="Arial"/>
          <w:sz w:val="16"/>
          <w:szCs w:val="16"/>
          <w:color w:val="auto"/>
        </w:rPr>
      </w:pPr>
      <w:r>
        <w:rPr>
          <w:rFonts w:ascii="Arial" w:cs="Arial" w:eastAsia="Arial" w:hAnsi="Arial"/>
          <w:sz w:val="16"/>
          <w:szCs w:val="16"/>
          <w:color w:val="auto"/>
        </w:rPr>
        <w:t>shares of any money market mutual fund that, as of such date, (a) complies with the criteria set forth in SEC Rule 2a-7 under the Investment Company Act of 1940, as amended and (b) is rated AAA (or the equivalent thereof) by S&amp;P and Aaa (or the equivalent thereof) by Moody’s;</w:t>
      </w:r>
    </w:p>
    <w:p>
      <w:pPr>
        <w:spacing w:after="0" w:line="123" w:lineRule="exact"/>
        <w:rPr>
          <w:rFonts w:ascii="Arial" w:cs="Arial" w:eastAsia="Arial" w:hAnsi="Arial"/>
          <w:sz w:val="16"/>
          <w:szCs w:val="16"/>
          <w:color w:val="auto"/>
        </w:rPr>
      </w:pPr>
    </w:p>
    <w:p>
      <w:pPr>
        <w:ind w:right="60" w:firstLine="464"/>
        <w:spacing w:after="0" w:line="277" w:lineRule="auto"/>
        <w:tabs>
          <w:tab w:leader="none" w:pos="681" w:val="left"/>
        </w:tabs>
        <w:numPr>
          <w:ilvl w:val="1"/>
          <w:numId w:val="495"/>
        </w:numPr>
        <w:rPr>
          <w:rFonts w:ascii="Arial" w:cs="Arial" w:eastAsia="Arial" w:hAnsi="Arial"/>
          <w:sz w:val="18"/>
          <w:szCs w:val="18"/>
          <w:color w:val="auto"/>
        </w:rPr>
      </w:pPr>
      <w:r>
        <w:rPr>
          <w:rFonts w:ascii="Arial" w:cs="Arial" w:eastAsia="Arial" w:hAnsi="Arial"/>
          <w:sz w:val="18"/>
          <w:szCs w:val="18"/>
          <w:color w:val="auto"/>
        </w:rPr>
        <w:t>auction rate preferred securities that, as of such date, have the highest rating obtainable from either S&amp;P or Moody’s and with a maximum reset date at least every 30 days;</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investments made pursuant to the Company’s or any of its restricted subsidiaries’ cash equivalents/short-term investment guidelines;</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1"/>
          <w:numId w:val="495"/>
        </w:numPr>
        <w:rPr>
          <w:rFonts w:ascii="Arial" w:cs="Arial" w:eastAsia="Arial" w:hAnsi="Arial"/>
          <w:sz w:val="17"/>
          <w:szCs w:val="17"/>
          <w:color w:val="auto"/>
        </w:rPr>
      </w:pPr>
      <w:r>
        <w:rPr>
          <w:rFonts w:ascii="Arial" w:cs="Arial" w:eastAsia="Arial" w:hAnsi="Arial"/>
          <w:sz w:val="17"/>
          <w:szCs w:val="17"/>
          <w:color w:val="auto"/>
        </w:rPr>
        <w:t>deposits available for withdrawal on demand with commercial banks organized in the United States having capital and surplus in excess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$100,000,000;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50" w:name="page451"/>
    <w:bookmarkEnd w:id="450"/>
    <w:p>
      <w:pPr>
        <w:jc w:val="both"/>
        <w:ind w:right="180" w:firstLine="464"/>
        <w:spacing w:after="0" w:line="259" w:lineRule="auto"/>
        <w:tabs>
          <w:tab w:leader="none" w:pos="731" w:val="left"/>
        </w:tabs>
        <w:numPr>
          <w:ilvl w:val="0"/>
          <w:numId w:val="4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186" w:lineRule="exact"/>
        <w:rPr>
          <w:rFonts w:ascii="Arial" w:cs="Arial" w:eastAsia="Arial" w:hAnsi="Arial"/>
          <w:sz w:val="18"/>
          <w:szCs w:val="18"/>
          <w:color w:val="auto"/>
        </w:rPr>
      </w:pPr>
    </w:p>
    <w:p>
      <w:pPr>
        <w:ind w:left="780" w:hanging="316"/>
        <w:spacing w:after="0"/>
        <w:tabs>
          <w:tab w:leader="none" w:pos="78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any other securities or pools of securities that are classified under GAAP as cash equivalents or short-term investments on a balance sheet as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date.</w:t>
      </w:r>
    </w:p>
    <w:p>
      <w:pPr>
        <w:spacing w:after="0" w:line="21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Co-Branded Card Agreement(s)</w:t>
      </w:r>
      <w:r>
        <w:rPr>
          <w:rFonts w:ascii="Arial" w:cs="Arial" w:eastAsia="Arial" w:hAnsi="Arial"/>
          <w:sz w:val="16"/>
          <w:szCs w:val="16"/>
          <w:color w:val="auto"/>
        </w:rPr>
        <w:t>” shall mean that certain America West Co-Branded Card Agreement, dated as of January 25, 2005, between US Airways (as successor in interest to America West Airlines, Inc.) and Barclays Bank Delaware (as successor in interest to Juniper Bank), as amended, restated, supplemented or otherwise modified from time to time, including pursuant to that certain Assignment and First Amendment to the America West Co-Branded Card Agreement, dated as of August 8, 2005, among US Airways, America West Airlines, Inc. and Barclays Bank Delaware (as successor in interest to Juniper Bank) and any other similar agreements entered into by Parent or any of its Subsidiaries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shall mean all Property now owned or hereafter acquired by any Loan Party in or upon which a Lien is granted or purported to be granted</w:t>
      </w:r>
    </w:p>
    <w:p>
      <w:pPr>
        <w:spacing w:after="0" w:line="4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to any Agent under any of the First Lien Collateral Documents,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Collateral Documents or the Additional Collateral Documents, together with all rents, issues, profits, products, and Proceeds thereof to the extent a Lien is granted or purported to be granted therein to the applicable Agent by such applicable documents, in each case other than any Excluded Cash Collateral.</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American Airlines, Inc., a Delaware corporation, and any successor in interest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Conforming Plan Reorganization”</w:t>
      </w:r>
      <w:r>
        <w:rPr>
          <w:rFonts w:ascii="Arial" w:cs="Arial" w:eastAsia="Arial" w:hAnsi="Arial"/>
          <w:sz w:val="16"/>
          <w:szCs w:val="16"/>
          <w:color w:val="auto"/>
        </w:rPr>
        <w:t xml:space="preserve"> shall mean any Plan of Reorganization whose provisions are consistent with the provisions of this Agreement.</w:t>
      </w:r>
    </w:p>
    <w:p>
      <w:pPr>
        <w:spacing w:after="0" w:line="24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 Collateral</w:t>
      </w:r>
      <w:r>
        <w:rPr>
          <w:rFonts w:ascii="Arial" w:cs="Arial" w:eastAsia="Arial" w:hAnsi="Arial"/>
          <w:sz w:val="16"/>
          <w:szCs w:val="16"/>
          <w:color w:val="auto"/>
        </w:rPr>
        <w:t>” shall mean any Collateral consisting of any certificated Security, Investment Property, Deposit Account, Instruments, Chattel Paper and any other Collateral as to which a Lien may be perfected through possession or control by the secured party, or any agent therefor.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4"/>
          </w:tcPr>
          <w:p>
            <w:pPr>
              <w:ind w:left="460"/>
              <w:spacing w:after="0"/>
              <w:rPr>
                <w:sz w:val="20"/>
                <w:szCs w:val="20"/>
                <w:color w:val="auto"/>
              </w:rPr>
            </w:pPr>
            <w:r>
              <w:rPr>
                <w:rFonts w:ascii="Arial" w:cs="Arial" w:eastAsia="Arial" w:hAnsi="Arial"/>
                <w:sz w:val="18"/>
                <w:szCs w:val="18"/>
                <w:color w:val="auto"/>
                <w:w w:val="97"/>
              </w:rPr>
              <w:t>“Credit Documents” shall mean the Original First Lien Documents, the [</w:t>
            </w:r>
          </w:p>
        </w:tc>
        <w:tc>
          <w:tcPr>
            <w:tcW w:w="4900" w:type="dxa"/>
            <w:vAlign w:val="bottom"/>
          </w:tcPr>
          <w:p>
            <w:pPr>
              <w:ind w:left="80"/>
              <w:spacing w:after="0"/>
              <w:rPr>
                <w:sz w:val="20"/>
                <w:szCs w:val="20"/>
                <w:color w:val="auto"/>
              </w:rPr>
            </w:pPr>
            <w:r>
              <w:rPr>
                <w:rFonts w:ascii="Arial" w:cs="Arial" w:eastAsia="Arial" w:hAnsi="Arial"/>
                <w:sz w:val="18"/>
                <w:szCs w:val="18"/>
                <w:color w:val="auto"/>
                <w:w w:val="92"/>
              </w:rPr>
              <w:t>]</w:t>
            </w:r>
            <w:r>
              <w:rPr>
                <w:rFonts w:ascii="Arial" w:cs="Arial" w:eastAsia="Arial" w:hAnsi="Arial"/>
                <w:sz w:val="15"/>
                <w:szCs w:val="15"/>
                <w:color w:val="auto"/>
                <w:w w:val="92"/>
              </w:rPr>
              <w:t>i</w:t>
            </w:r>
            <w:r>
              <w:rPr>
                <w:rFonts w:ascii="Arial" w:cs="Arial" w:eastAsia="Arial" w:hAnsi="Arial"/>
                <w:sz w:val="18"/>
                <w:szCs w:val="18"/>
                <w:color w:val="auto"/>
                <w:w w:val="92"/>
              </w:rPr>
              <w:t xml:space="preserve"> [First/Second]</w:t>
            </w:r>
            <w:r>
              <w:rPr>
                <w:rFonts w:ascii="Arial" w:cs="Arial" w:eastAsia="Arial" w:hAnsi="Arial"/>
                <w:sz w:val="15"/>
                <w:szCs w:val="15"/>
                <w:color w:val="auto"/>
                <w:w w:val="92"/>
              </w:rPr>
              <w:t>ii</w:t>
            </w:r>
            <w:r>
              <w:rPr>
                <w:rFonts w:ascii="Arial" w:cs="Arial" w:eastAsia="Arial" w:hAnsi="Arial"/>
                <w:sz w:val="18"/>
                <w:szCs w:val="18"/>
                <w:color w:val="auto"/>
                <w:w w:val="92"/>
              </w:rPr>
              <w:t xml:space="preserve"> Lien Documents and any Additional Documents.</w:t>
            </w:r>
          </w:p>
        </w:tc>
      </w:tr>
      <w:tr>
        <w:trPr>
          <w:trHeight w:val="20"/>
        </w:trPr>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12"/>
        </w:trPr>
        <w:tc>
          <w:tcPr>
            <w:tcW w:w="5980" w:type="dxa"/>
            <w:vAlign w:val="bottom"/>
            <w:gridSpan w:val="4"/>
          </w:tcPr>
          <w:p>
            <w:pPr>
              <w:ind w:left="460"/>
              <w:spacing w:after="0"/>
              <w:rPr>
                <w:sz w:val="20"/>
                <w:szCs w:val="20"/>
                <w:color w:val="auto"/>
              </w:rPr>
            </w:pPr>
            <w:r>
              <w:rPr>
                <w:rFonts w:ascii="Arial" w:cs="Arial" w:eastAsia="Arial" w:hAnsi="Arial"/>
                <w:sz w:val="18"/>
                <w:szCs w:val="18"/>
                <w:color w:val="auto"/>
                <w:w w:val="94"/>
              </w:rPr>
              <w:t>“Credit Facility” shall mean the Original First Lien Credit Agreement, the [</w:t>
            </w:r>
          </w:p>
        </w:tc>
        <w:tc>
          <w:tcPr>
            <w:tcW w:w="4900" w:type="dxa"/>
            <w:vAlign w:val="bottom"/>
          </w:tcPr>
          <w:p>
            <w:pPr>
              <w:ind w:left="280"/>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i</w:t>
            </w:r>
            <w:r>
              <w:rPr>
                <w:rFonts w:ascii="Arial" w:cs="Arial" w:eastAsia="Arial" w:hAnsi="Arial"/>
                <w:sz w:val="18"/>
                <w:szCs w:val="18"/>
                <w:color w:val="auto"/>
                <w:w w:val="96"/>
              </w:rPr>
              <w:t xml:space="preserve"> [First/Second]</w:t>
            </w:r>
            <w:r>
              <w:rPr>
                <w:rFonts w:ascii="Arial" w:cs="Arial" w:eastAsia="Arial" w:hAnsi="Arial"/>
                <w:sz w:val="15"/>
                <w:szCs w:val="15"/>
                <w:color w:val="auto"/>
                <w:w w:val="96"/>
              </w:rPr>
              <w:t>ii</w:t>
            </w:r>
            <w:r>
              <w:rPr>
                <w:rFonts w:ascii="Arial" w:cs="Arial" w:eastAsia="Arial" w:hAnsi="Arial"/>
                <w:sz w:val="18"/>
                <w:szCs w:val="18"/>
                <w:color w:val="auto"/>
                <w:w w:val="96"/>
              </w:rPr>
              <w:t xml:space="preserve"> Lien Credit Facility or any Additional Credit</w:t>
            </w:r>
          </w:p>
        </w:tc>
      </w:tr>
      <w:tr>
        <w:trPr>
          <w:trHeight w:val="20"/>
        </w:trPr>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5980" w:type="dxa"/>
            <w:vAlign w:val="bottom"/>
            <w:gridSpan w:val="4"/>
          </w:tcPr>
          <w:p>
            <w:pPr>
              <w:spacing w:after="0"/>
              <w:rPr>
                <w:sz w:val="20"/>
                <w:szCs w:val="20"/>
                <w:color w:val="auto"/>
              </w:rPr>
            </w:pPr>
            <w:r>
              <w:rPr>
                <w:rFonts w:ascii="Arial" w:cs="Arial" w:eastAsia="Arial" w:hAnsi="Arial"/>
                <w:sz w:val="18"/>
                <w:szCs w:val="18"/>
                <w:color w:val="auto"/>
              </w:rPr>
              <w:t>Facility, as applicable.</w:t>
            </w:r>
          </w:p>
        </w:tc>
        <w:tc>
          <w:tcPr>
            <w:tcW w:w="4900" w:type="dxa"/>
            <w:vAlign w:val="bottom"/>
          </w:tcPr>
          <w:p>
            <w:pPr>
              <w:spacing w:after="0"/>
              <w:rPr>
                <w:sz w:val="20"/>
                <w:szCs w:val="20"/>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Creditor</w:t>
      </w:r>
      <w:r>
        <w:rPr>
          <w:rFonts w:ascii="Arial" w:cs="Arial" w:eastAsia="Arial" w:hAnsi="Arial"/>
          <w:sz w:val="18"/>
          <w:szCs w:val="18"/>
          <w:color w:val="auto"/>
        </w:rPr>
        <w:t>” shall mean any Senior Priority Creditor or Junior Priority Creditor.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Agent</w:t>
      </w:r>
      <w:r>
        <w:rPr>
          <w:rFonts w:ascii="Arial" w:cs="Arial" w:eastAsia="Arial" w:hAnsi="Arial"/>
          <w:sz w:val="16"/>
          <w:szCs w:val="16"/>
          <w:color w:val="auto"/>
        </w:rPr>
        <w:t>” shall mean any Additional Agent, any Original First Lien Agent under any Original First Lien Credit Agreement other than the</w:t>
      </w:r>
    </w:p>
    <w:p>
      <w:pPr>
        <w:spacing w:after="0" w:line="45" w:lineRule="exact"/>
        <w:rPr>
          <w:sz w:val="20"/>
          <w:szCs w:val="20"/>
          <w:color w:val="auto"/>
        </w:rPr>
      </w:pPr>
    </w:p>
    <w:p>
      <w:pPr>
        <w:spacing w:after="0"/>
        <w:tabs>
          <w:tab w:leader="none" w:pos="4160" w:val="left"/>
          <w:tab w:leader="none" w:pos="7500" w:val="left"/>
        </w:tabs>
        <w:rPr>
          <w:sz w:val="20"/>
          <w:szCs w:val="20"/>
          <w:color w:val="auto"/>
        </w:rPr>
      </w:pPr>
      <w:r>
        <w:rPr>
          <w:rFonts w:ascii="Arial" w:cs="Arial" w:eastAsia="Arial" w:hAnsi="Arial"/>
          <w:sz w:val="18"/>
          <w:szCs w:val="18"/>
          <w:color w:val="auto"/>
        </w:rPr>
        <w:t>Initial Original First Lien Credit Agreement, or any [</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 under any [</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Credit</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273" w:right="379" w:bottom="1440" w:gutter="0" w:footer="0" w:header="0"/>
        </w:sectPr>
      </w:pPr>
    </w:p>
    <w:bookmarkStart w:id="451" w:name="page452"/>
    <w:bookmarkEnd w:id="451"/>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other than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 Facility, in each case as the Original First Lien Borrower designates as a Designated Agent (as confirmed in writing by such Party if such designation is made after the execution of this Agreement by such Party or the joinder of such Party to this Agreement), as and to the extent so designated. Such designation may be for all purposes of this Agreement, or may be for one or more specified purposes hereunder or provisions hereof.</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Financing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Discharge of Additional Obligations</w:t>
      </w:r>
      <w:r>
        <w:rPr>
          <w:rFonts w:ascii="Arial" w:cs="Arial" w:eastAsia="Arial" w:hAnsi="Arial"/>
          <w:sz w:val="17"/>
          <w:szCs w:val="17"/>
          <w:color w:val="auto"/>
        </w:rPr>
        <w:t>” shall mean, if any Indebtedness shall at any time have been incurred under any Additional Credit Facility, with respect to each Additional Credit Facility, (a) the payment in full in cash of the applicable Additional Obligations (other than any Additional Obligations owing to any Additional Bank Products Affiliate, Additional Hedging Affiliate or unasserted contingent indemnification or other obligations) that are outstanding and unpaid at the time all Additional Indebtedness under such Additional Credit Facility is paid in full in cash, (i) including (if applicable), with respect to amounts available to be drawn under outstanding letters of credit issued thereunder at such time (or indemnities or other undertakings issued pursuant thereto in respect of outstanding letters of credit at such time), delivery or provision of cash collateral or backstop letters of credit in respect thereof as and only to the extent required by the terms of any such Additional Credit Facility, but (ii) excluding unasserted contingent indemnification or other contingent obligations under the applicable Additional Credit Facility at such time, and (b) the termination of all then outstanding commitments to extend credit under the applicable Additional Documents at such time.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60" w:type="dxa"/>
            <w:vAlign w:val="bottom"/>
            <w:gridSpan w:val="2"/>
          </w:tcPr>
          <w:p>
            <w:pPr>
              <w:ind w:left="460"/>
              <w:spacing w:after="0"/>
              <w:rPr>
                <w:sz w:val="20"/>
                <w:szCs w:val="20"/>
                <w:color w:val="auto"/>
              </w:rPr>
            </w:pPr>
            <w:r>
              <w:rPr>
                <w:rFonts w:ascii="Arial" w:cs="Arial" w:eastAsia="Arial" w:hAnsi="Arial"/>
                <w:sz w:val="18"/>
                <w:szCs w:val="18"/>
                <w:color w:val="auto"/>
              </w:rPr>
              <w:t>“Discharge of [</w:t>
            </w:r>
          </w:p>
        </w:tc>
        <w:tc>
          <w:tcPr>
            <w:tcW w:w="1340" w:type="dxa"/>
            <w:vAlign w:val="bottom"/>
            <w:gridSpan w:val="3"/>
          </w:tcPr>
          <w:p>
            <w:pPr>
              <w:ind w:left="180"/>
              <w:spacing w:after="0"/>
              <w:rPr>
                <w:sz w:val="20"/>
                <w:szCs w:val="20"/>
                <w:color w:val="auto"/>
              </w:rPr>
            </w:pPr>
            <w:r>
              <w:rPr>
                <w:rFonts w:ascii="Arial" w:cs="Arial" w:eastAsia="Arial" w:hAnsi="Arial"/>
                <w:sz w:val="18"/>
                <w:szCs w:val="18"/>
                <w:color w:val="auto"/>
                <w:w w:val="91"/>
              </w:rPr>
              <w:t>]</w:t>
            </w:r>
            <w:r>
              <w:rPr>
                <w:rFonts w:ascii="Arial" w:cs="Arial" w:eastAsia="Arial" w:hAnsi="Arial"/>
                <w:sz w:val="15"/>
                <w:szCs w:val="15"/>
                <w:u w:val="single" w:color="auto"/>
                <w:color w:val="auto"/>
                <w:w w:val="91"/>
              </w:rPr>
              <w:t>i</w:t>
            </w:r>
            <w:r>
              <w:rPr>
                <w:rFonts w:ascii="Arial" w:cs="Arial" w:eastAsia="Arial" w:hAnsi="Arial"/>
                <w:sz w:val="18"/>
                <w:szCs w:val="18"/>
                <w:color w:val="auto"/>
                <w:w w:val="91"/>
              </w:rPr>
              <w:t xml:space="preserve"> [First/Second]</w:t>
            </w:r>
          </w:p>
        </w:tc>
        <w:tc>
          <w:tcPr>
            <w:tcW w:w="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ii</w:t>
            </w:r>
          </w:p>
        </w:tc>
        <w:tc>
          <w:tcPr>
            <w:tcW w:w="7320" w:type="dxa"/>
            <w:vAlign w:val="bottom"/>
            <w:gridSpan w:val="3"/>
          </w:tcPr>
          <w:p>
            <w:pPr>
              <w:ind w:left="40"/>
              <w:spacing w:after="0"/>
              <w:rPr>
                <w:sz w:val="20"/>
                <w:szCs w:val="20"/>
                <w:color w:val="auto"/>
              </w:rPr>
            </w:pPr>
            <w:r>
              <w:rPr>
                <w:rFonts w:ascii="Arial" w:cs="Arial" w:eastAsia="Arial" w:hAnsi="Arial"/>
                <w:sz w:val="18"/>
                <w:szCs w:val="18"/>
                <w:color w:val="auto"/>
                <w:w w:val="92"/>
              </w:rPr>
              <w:t>Lien Obligations” shall mean, if any Indebtedness shall at any time have been incurred under any [</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c>
          <w:tcPr>
            <w:tcW w:w="340" w:type="dxa"/>
            <w:vAlign w:val="bottom"/>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4460" w:type="dxa"/>
            <w:vAlign w:val="bottom"/>
            <w:gridSpan w:val="7"/>
          </w:tcPr>
          <w:p>
            <w:pPr>
              <w:spacing w:after="0"/>
              <w:rPr>
                <w:sz w:val="20"/>
                <w:szCs w:val="20"/>
                <w:color w:val="auto"/>
              </w:rPr>
            </w:pPr>
            <w:r>
              <w:rPr>
                <w:rFonts w:ascii="Arial" w:cs="Arial" w:eastAsia="Arial" w:hAnsi="Arial"/>
                <w:sz w:val="18"/>
                <w:szCs w:val="18"/>
                <w:color w:val="auto"/>
                <w:w w:val="98"/>
              </w:rPr>
              <w:t>[First/Second]</w:t>
            </w:r>
            <w:r>
              <w:rPr>
                <w:rFonts w:ascii="Arial" w:cs="Arial" w:eastAsia="Arial" w:hAnsi="Arial"/>
                <w:sz w:val="15"/>
                <w:szCs w:val="15"/>
                <w:color w:val="auto"/>
                <w:w w:val="98"/>
              </w:rPr>
              <w:t>ii</w:t>
            </w:r>
            <w:r>
              <w:rPr>
                <w:rFonts w:ascii="Arial" w:cs="Arial" w:eastAsia="Arial" w:hAnsi="Arial"/>
                <w:sz w:val="18"/>
                <w:szCs w:val="18"/>
                <w:color w:val="auto"/>
                <w:w w:val="98"/>
              </w:rPr>
              <w:t xml:space="preserve"> Lien Credit Facility, with respect to each [</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Credit Facility, (a) the payment in full in cash of the applicable [</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30"/>
        </w:trPr>
        <w:tc>
          <w:tcPr>
            <w:tcW w:w="8500" w:type="dxa"/>
            <w:vAlign w:val="bottom"/>
            <w:gridSpan w:val="8"/>
          </w:tcPr>
          <w:p>
            <w:pPr>
              <w:spacing w:after="0"/>
              <w:rPr>
                <w:sz w:val="20"/>
                <w:szCs w:val="20"/>
                <w:color w:val="auto"/>
              </w:rPr>
            </w:pPr>
            <w:r>
              <w:rPr>
                <w:rFonts w:ascii="Arial" w:cs="Arial" w:eastAsia="Arial" w:hAnsi="Arial"/>
                <w:sz w:val="18"/>
                <w:szCs w:val="18"/>
                <w:color w:val="auto"/>
                <w:w w:val="92"/>
              </w:rPr>
              <w:t>[First/Second]</w:t>
            </w:r>
            <w:r>
              <w:rPr>
                <w:rFonts w:ascii="Arial" w:cs="Arial" w:eastAsia="Arial" w:hAnsi="Arial"/>
                <w:sz w:val="15"/>
                <w:szCs w:val="15"/>
                <w:color w:val="auto"/>
                <w:w w:val="92"/>
              </w:rPr>
              <w:t>ii</w:t>
            </w:r>
            <w:r>
              <w:rPr>
                <w:rFonts w:ascii="Arial" w:cs="Arial" w:eastAsia="Arial" w:hAnsi="Arial"/>
                <w:sz w:val="18"/>
                <w:szCs w:val="18"/>
                <w:color w:val="auto"/>
                <w:w w:val="92"/>
              </w:rPr>
              <w:t xml:space="preserve"> Lien Obligations that are outstanding and unpaid at the time all Indebtedness under the applicable [</w:t>
            </w:r>
          </w:p>
        </w:tc>
        <w:tc>
          <w:tcPr>
            <w:tcW w:w="2900" w:type="dxa"/>
            <w:vAlign w:val="bottom"/>
            <w:gridSpan w:val="3"/>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Credit Facility</w:t>
            </w:r>
          </w:p>
        </w:tc>
      </w:tr>
    </w:tbl>
    <w:p>
      <w:pPr>
        <w:ind w:right="120"/>
        <w:spacing w:after="0" w:line="281" w:lineRule="auto"/>
        <w:rPr>
          <w:sz w:val="20"/>
          <w:szCs w:val="20"/>
          <w:color w:val="auto"/>
        </w:rPr>
      </w:pPr>
      <w:r>
        <w:rPr>
          <w:rFonts w:ascii="Arial" w:cs="Arial" w:eastAsia="Arial" w:hAnsi="Arial"/>
          <w:sz w:val="16"/>
          <w:szCs w:val="16"/>
          <w:color w:val="auto"/>
        </w:rPr>
        <w:t>is paid in full in cash, (i) including (if applicable), with respect to amounts available to be drawn under outstanding letters of credit issued thereunder at such time (or indemnities or other undertakings issued pursuant thereto in respect of outstanding letters of credit at such time), delivery or provision of cash or</w:t>
      </w:r>
    </w:p>
    <w:tbl>
      <w:tblPr>
        <w:tblLayout w:type="fixed"/>
        <w:tblInd w:w="0" w:type="dxa"/>
        <w:tblCellMar>
          <w:top w:w="0" w:type="dxa"/>
          <w:left w:w="0" w:type="dxa"/>
          <w:bottom w:w="0" w:type="dxa"/>
          <w:right w:w="0" w:type="dxa"/>
        </w:tblCellMar>
      </w:tblPr>
      <w:tr>
        <w:trPr>
          <w:trHeight w:val="203"/>
        </w:trPr>
        <w:tc>
          <w:tcPr>
            <w:tcW w:w="7620" w:type="dxa"/>
            <w:vAlign w:val="bottom"/>
            <w:gridSpan w:val="5"/>
          </w:tcPr>
          <w:p>
            <w:pPr>
              <w:spacing w:after="0" w:line="203" w:lineRule="exact"/>
              <w:rPr>
                <w:sz w:val="20"/>
                <w:szCs w:val="20"/>
                <w:color w:val="auto"/>
              </w:rPr>
            </w:pPr>
            <w:r>
              <w:rPr>
                <w:rFonts w:ascii="Arial" w:cs="Arial" w:eastAsia="Arial" w:hAnsi="Arial"/>
                <w:sz w:val="18"/>
                <w:szCs w:val="18"/>
                <w:color w:val="auto"/>
                <w:w w:val="92"/>
              </w:rPr>
              <w:t>backstop letters of credit in respect thereof as and only to the extent required by the terms of any such [</w:t>
            </w:r>
          </w:p>
        </w:tc>
        <w:tc>
          <w:tcPr>
            <w:tcW w:w="3720" w:type="dxa"/>
            <w:vAlign w:val="bottom"/>
          </w:tcPr>
          <w:p>
            <w:pPr>
              <w:ind w:left="180"/>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 Facility, but (ii)</w:t>
            </w:r>
          </w:p>
        </w:tc>
      </w:tr>
      <w:tr>
        <w:trPr>
          <w:trHeight w:val="216"/>
        </w:trPr>
        <w:tc>
          <w:tcPr>
            <w:tcW w:w="6460" w:type="dxa"/>
            <w:vAlign w:val="bottom"/>
            <w:gridSpan w:val="4"/>
          </w:tcPr>
          <w:p>
            <w:pPr>
              <w:spacing w:after="0"/>
              <w:rPr>
                <w:sz w:val="20"/>
                <w:szCs w:val="20"/>
                <w:color w:val="auto"/>
              </w:rPr>
            </w:pPr>
            <w:r>
              <w:rPr>
                <w:rFonts w:ascii="Arial" w:cs="Arial" w:eastAsia="Arial" w:hAnsi="Arial"/>
                <w:sz w:val="18"/>
                <w:szCs w:val="18"/>
                <w:color w:val="auto"/>
                <w:w w:val="94"/>
              </w:rPr>
              <w:t>excluding inchoate indemnification or other inchoate obligations under the applicable [</w:t>
            </w:r>
          </w:p>
        </w:tc>
        <w:tc>
          <w:tcPr>
            <w:tcW w:w="4880" w:type="dxa"/>
            <w:vAlign w:val="bottom"/>
            <w:gridSpan w:val="2"/>
          </w:tcPr>
          <w:p>
            <w:pPr>
              <w:ind w:left="180"/>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i</w:t>
            </w:r>
            <w:r>
              <w:rPr>
                <w:rFonts w:ascii="Arial" w:cs="Arial" w:eastAsia="Arial" w:hAnsi="Arial"/>
                <w:sz w:val="18"/>
                <w:szCs w:val="18"/>
                <w:color w:val="auto"/>
                <w:w w:val="96"/>
              </w:rPr>
              <w:t xml:space="preserve"> [First/Second]</w:t>
            </w:r>
            <w:r>
              <w:rPr>
                <w:rFonts w:ascii="Arial" w:cs="Arial" w:eastAsia="Arial" w:hAnsi="Arial"/>
                <w:sz w:val="15"/>
                <w:szCs w:val="15"/>
                <w:color w:val="auto"/>
                <w:w w:val="96"/>
              </w:rPr>
              <w:t>ii</w:t>
            </w:r>
            <w:r>
              <w:rPr>
                <w:rFonts w:ascii="Arial" w:cs="Arial" w:eastAsia="Arial" w:hAnsi="Arial"/>
                <w:sz w:val="18"/>
                <w:szCs w:val="18"/>
                <w:color w:val="auto"/>
                <w:w w:val="96"/>
              </w:rPr>
              <w:t xml:space="preserve"> Lien Credit Facility at such time, and (b) the</w:t>
            </w:r>
          </w:p>
        </w:tc>
      </w:tr>
      <w:tr>
        <w:trPr>
          <w:trHeight w:val="230"/>
        </w:trPr>
        <w:tc>
          <w:tcPr>
            <w:tcW w:w="5700" w:type="dxa"/>
            <w:vAlign w:val="bottom"/>
            <w:gridSpan w:val="3"/>
          </w:tcPr>
          <w:p>
            <w:pPr>
              <w:spacing w:after="0"/>
              <w:rPr>
                <w:sz w:val="20"/>
                <w:szCs w:val="20"/>
                <w:color w:val="auto"/>
              </w:rPr>
            </w:pPr>
            <w:r>
              <w:rPr>
                <w:rFonts w:ascii="Arial" w:cs="Arial" w:eastAsia="Arial" w:hAnsi="Arial"/>
                <w:sz w:val="18"/>
                <w:szCs w:val="18"/>
                <w:color w:val="auto"/>
                <w:w w:val="94"/>
              </w:rPr>
              <w:t>termination of all then outstanding commitments to extend credit under the [</w:t>
            </w:r>
          </w:p>
        </w:tc>
        <w:tc>
          <w:tcPr>
            <w:tcW w:w="5640" w:type="dxa"/>
            <w:vAlign w:val="bottom"/>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Documents at such time.</w:t>
            </w:r>
          </w:p>
        </w:tc>
      </w:tr>
      <w:tr>
        <w:trPr>
          <w:trHeight w:val="392"/>
        </w:trPr>
        <w:tc>
          <w:tcPr>
            <w:tcW w:w="7620" w:type="dxa"/>
            <w:vAlign w:val="bottom"/>
            <w:gridSpan w:val="5"/>
          </w:tcPr>
          <w:p>
            <w:pPr>
              <w:ind w:left="460"/>
              <w:spacing w:after="0"/>
              <w:rPr>
                <w:sz w:val="20"/>
                <w:szCs w:val="20"/>
                <w:color w:val="auto"/>
              </w:rPr>
            </w:pPr>
            <w:r>
              <w:rPr>
                <w:rFonts w:ascii="Arial" w:cs="Arial" w:eastAsia="Arial" w:hAnsi="Arial"/>
                <w:sz w:val="18"/>
                <w:szCs w:val="18"/>
                <w:color w:val="auto"/>
                <w:w w:val="94"/>
              </w:rPr>
              <w:t>“Discharge of Junior Priority Obligations” shall mean the occurrence of all of [the Discharge of [</w:t>
            </w:r>
          </w:p>
        </w:tc>
        <w:tc>
          <w:tcPr>
            <w:tcW w:w="3720" w:type="dxa"/>
            <w:vAlign w:val="bottom"/>
          </w:tcPr>
          <w:p>
            <w:pPr>
              <w:ind w:left="200"/>
              <w:spacing w:after="0"/>
              <w:rPr>
                <w:sz w:val="20"/>
                <w:szCs w:val="20"/>
                <w:color w:val="auto"/>
              </w:rPr>
            </w:pPr>
            <w:r>
              <w:rPr>
                <w:rFonts w:ascii="Arial" w:cs="Arial" w:eastAsia="Arial" w:hAnsi="Arial"/>
                <w:sz w:val="18"/>
                <w:szCs w:val="18"/>
                <w:color w:val="auto"/>
                <w:w w:val="91"/>
              </w:rPr>
              <w:t>]</w:t>
            </w:r>
            <w:r>
              <w:rPr>
                <w:rFonts w:ascii="Arial" w:cs="Arial" w:eastAsia="Arial" w:hAnsi="Arial"/>
                <w:sz w:val="15"/>
                <w:szCs w:val="15"/>
                <w:color w:val="auto"/>
                <w:w w:val="91"/>
              </w:rPr>
              <w:t>i</w:t>
            </w:r>
            <w:r>
              <w:rPr>
                <w:rFonts w:ascii="Arial" w:cs="Arial" w:eastAsia="Arial" w:hAnsi="Arial"/>
                <w:sz w:val="18"/>
                <w:szCs w:val="18"/>
                <w:color w:val="auto"/>
                <w:w w:val="91"/>
              </w:rPr>
              <w:t xml:space="preserve"> Second Lien Obligations and] the Discharge of</w:t>
            </w:r>
          </w:p>
        </w:tc>
      </w:tr>
      <w:tr>
        <w:trPr>
          <w:trHeight w:val="20"/>
        </w:trPr>
        <w:tc>
          <w:tcPr>
            <w:tcW w:w="54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37"/>
        </w:trPr>
        <w:tc>
          <w:tcPr>
            <w:tcW w:w="5700" w:type="dxa"/>
            <w:vAlign w:val="bottom"/>
            <w:gridSpan w:val="3"/>
          </w:tcPr>
          <w:p>
            <w:pPr>
              <w:spacing w:after="0"/>
              <w:rPr>
                <w:sz w:val="20"/>
                <w:szCs w:val="20"/>
                <w:color w:val="auto"/>
              </w:rPr>
            </w:pPr>
            <w:r>
              <w:rPr>
                <w:rFonts w:ascii="Arial" w:cs="Arial" w:eastAsia="Arial" w:hAnsi="Arial"/>
                <w:sz w:val="18"/>
                <w:szCs w:val="18"/>
                <w:color w:val="auto"/>
              </w:rPr>
              <w:t>Additional Obligations in respect of Junior Priority Debt.</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 of Original First Lien Obligations</w:t>
      </w:r>
      <w:r>
        <w:rPr>
          <w:rFonts w:ascii="Arial" w:cs="Arial" w:eastAsia="Arial" w:hAnsi="Arial"/>
          <w:sz w:val="18"/>
          <w:szCs w:val="18"/>
          <w:color w:val="auto"/>
        </w:rPr>
        <w:t>” shall mean (a) the payment in full in cash of the applicable Original First Lien Obligations (other than any Original First Lien Obligations owing to any Original First Lien Bank Products Affiliate, Original First Lien Hedging Affiliate or unasserted contingent indemnification or other obligations) that are outstanding and unpaid at the time all Indebtedness under the applicable Original First Lien Credit Agreement is paid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52" w:name="page453"/>
    <w:bookmarkEnd w:id="452"/>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in cash, (i) including (if applicable), with respect to amounts available to be drawn under outstanding letters of credit issued thereunder at such time (or indemnities or other undertakings issued pursuant thereto in respect of outstanding letters of credit at such time), delivery or provision of cash or backstop letters of credit in respect thereof as and only to the extent required by the terms of any such Original First Lien Credit Facility, but (ii) excluding inchoate indemnification or other inchoate obligations under the Original First Lien Credit Agreement at such time, and (b) the termination of all then outstanding commitments to extend credit under Original First Lien Documents at such time.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00" w:type="dxa"/>
            <w:vAlign w:val="bottom"/>
            <w:gridSpan w:val="4"/>
          </w:tcPr>
          <w:p>
            <w:pPr>
              <w:ind w:left="460"/>
              <w:spacing w:after="0"/>
              <w:rPr>
                <w:sz w:val="20"/>
                <w:szCs w:val="20"/>
                <w:color w:val="auto"/>
              </w:rPr>
            </w:pPr>
            <w:r>
              <w:rPr>
                <w:rFonts w:ascii="Arial" w:cs="Arial" w:eastAsia="Arial" w:hAnsi="Arial"/>
                <w:sz w:val="18"/>
                <w:szCs w:val="18"/>
                <w:color w:val="auto"/>
                <w:w w:val="94"/>
              </w:rPr>
              <w:t>“Discharge of Senior Priority Obligations” shall mean the occurrence of all of Discharge of Original First Lien Obligations [the Discharge of [</w:t>
            </w:r>
          </w:p>
        </w:tc>
        <w:tc>
          <w:tcPr>
            <w:tcW w:w="280" w:type="dxa"/>
            <w:vAlign w:val="bottom"/>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p>
        </w:tc>
      </w:tr>
      <w:tr>
        <w:trPr>
          <w:trHeight w:val="20"/>
        </w:trPr>
        <w:tc>
          <w:tcPr>
            <w:tcW w:w="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10900" w:type="dxa"/>
            <w:vAlign w:val="bottom"/>
            <w:gridSpan w:val="4"/>
          </w:tcPr>
          <w:p>
            <w:pPr>
              <w:spacing w:after="0"/>
              <w:rPr>
                <w:sz w:val="20"/>
                <w:szCs w:val="20"/>
                <w:color w:val="auto"/>
              </w:rPr>
            </w:pPr>
            <w:r>
              <w:rPr>
                <w:rFonts w:ascii="Arial" w:cs="Arial" w:eastAsia="Arial" w:hAnsi="Arial"/>
                <w:sz w:val="18"/>
                <w:szCs w:val="18"/>
                <w:color w:val="auto"/>
              </w:rPr>
              <w:t>First Lien Obligations] and the Discharge of Additional Obligations in respect of Senior Priority Debt.</w:t>
            </w:r>
          </w:p>
        </w:tc>
        <w:tc>
          <w:tcPr>
            <w:tcW w:w="280" w:type="dxa"/>
            <w:vAlign w:val="bottom"/>
          </w:tcPr>
          <w:p>
            <w:pPr>
              <w:spacing w:after="0"/>
              <w:rPr>
                <w:sz w:val="20"/>
                <w:szCs w:val="20"/>
                <w:color w:val="auto"/>
              </w:rPr>
            </w:pPr>
          </w:p>
        </w:tc>
      </w:tr>
      <w:tr>
        <w:trPr>
          <w:trHeight w:val="392"/>
        </w:trPr>
        <w:tc>
          <w:tcPr>
            <w:tcW w:w="10900" w:type="dxa"/>
            <w:vAlign w:val="bottom"/>
            <w:gridSpan w:val="4"/>
          </w:tcPr>
          <w:p>
            <w:pPr>
              <w:ind w:left="460"/>
              <w:spacing w:after="0"/>
              <w:rPr>
                <w:sz w:val="20"/>
                <w:szCs w:val="20"/>
                <w:color w:val="auto"/>
              </w:rPr>
            </w:pPr>
            <w:r>
              <w:rPr>
                <w:rFonts w:ascii="Arial" w:cs="Arial" w:eastAsia="Arial" w:hAnsi="Arial"/>
                <w:sz w:val="18"/>
                <w:szCs w:val="18"/>
                <w:color w:val="auto"/>
                <w:w w:val="94"/>
              </w:rPr>
              <w:t>“Disqualified Stock” shall have the meaning assigned thereto in the Initial Original First Lien Credit Agreement whether or not then in effect.</w:t>
            </w:r>
          </w:p>
        </w:tc>
        <w:tc>
          <w:tcPr>
            <w:tcW w:w="28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3"/>
          </w:tcPr>
          <w:p>
            <w:pPr>
              <w:ind w:left="460"/>
              <w:spacing w:after="0"/>
              <w:rPr>
                <w:sz w:val="20"/>
                <w:szCs w:val="20"/>
                <w:color w:val="auto"/>
              </w:rPr>
            </w:pPr>
            <w:r>
              <w:rPr>
                <w:rFonts w:ascii="Arial" w:cs="Arial" w:eastAsia="Arial" w:hAnsi="Arial"/>
                <w:sz w:val="18"/>
                <w:szCs w:val="18"/>
                <w:color w:val="auto"/>
                <w:w w:val="95"/>
              </w:rPr>
              <w:t>“Event of Default” shall mean an Event of Default under any Original First Lien Credit Agreement, any [</w:t>
            </w:r>
          </w:p>
        </w:tc>
        <w:tc>
          <w:tcPr>
            <w:tcW w:w="3100" w:type="dxa"/>
            <w:vAlign w:val="bottom"/>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Credit Facility or</w:t>
            </w:r>
          </w:p>
        </w:tc>
      </w:tr>
      <w:tr>
        <w:trPr>
          <w:trHeight w:val="20"/>
        </w:trPr>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7"/>
        </w:trPr>
        <w:tc>
          <w:tcPr>
            <w:tcW w:w="8240" w:type="dxa"/>
            <w:vAlign w:val="bottom"/>
            <w:gridSpan w:val="3"/>
          </w:tcPr>
          <w:p>
            <w:pPr>
              <w:spacing w:after="0"/>
              <w:rPr>
                <w:sz w:val="20"/>
                <w:szCs w:val="20"/>
                <w:color w:val="auto"/>
              </w:rPr>
            </w:pPr>
            <w:r>
              <w:rPr>
                <w:rFonts w:ascii="Arial" w:cs="Arial" w:eastAsia="Arial" w:hAnsi="Arial"/>
                <w:sz w:val="18"/>
                <w:szCs w:val="18"/>
                <w:color w:val="auto"/>
              </w:rPr>
              <w:t>any Additional Credit Facility.</w:t>
            </w:r>
          </w:p>
        </w:tc>
        <w:tc>
          <w:tcPr>
            <w:tcW w:w="3100" w:type="dxa"/>
            <w:vAlign w:val="bottom"/>
          </w:tcPr>
          <w:p>
            <w:pPr>
              <w:spacing w:after="0"/>
              <w:rPr>
                <w:sz w:val="20"/>
                <w:szCs w:val="20"/>
                <w:color w:val="auto"/>
              </w:rPr>
            </w:pPr>
          </w:p>
        </w:tc>
      </w:tr>
    </w:tbl>
    <w:p>
      <w:pPr>
        <w:spacing w:after="0" w:line="2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Cash Collateral</w:t>
      </w:r>
      <w:r>
        <w:rPr>
          <w:rFonts w:ascii="Arial" w:cs="Arial" w:eastAsia="Arial" w:hAnsi="Arial"/>
          <w:sz w:val="18"/>
          <w:szCs w:val="18"/>
          <w:color w:val="auto"/>
        </w:rPr>
        <w:t>” shall mean cash or Cash Equivalents pledged as collateral in respect of letters of credit issued under or pursuant to the Original First Lien Credit Agreement or cash or Cash Equivalents otherwise specifically pledged to any Senior Priority Creditor or group of Senior Priority Creditors that secures only the Senior Priority Obligations in respect of Bank Products Agreements or Hedging Agreements owing to such Senior Priority Creditors.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Any Secured Creditor Remedies</w:t>
      </w:r>
      <w:r>
        <w:rPr>
          <w:rFonts w:ascii="Arial" w:cs="Arial" w:eastAsia="Arial" w:hAnsi="Arial"/>
          <w:sz w:val="18"/>
          <w:szCs w:val="18"/>
          <w:color w:val="auto"/>
        </w:rPr>
        <w:t>” or “</w:t>
      </w:r>
      <w:r>
        <w:rPr>
          <w:rFonts w:ascii="Arial" w:cs="Arial" w:eastAsia="Arial" w:hAnsi="Arial"/>
          <w:sz w:val="18"/>
          <w:szCs w:val="18"/>
          <w:u w:val="single" w:color="auto"/>
          <w:color w:val="auto"/>
        </w:rPr>
        <w:t>Exercise of Secured Creditor Remedies</w:t>
      </w:r>
      <w:r>
        <w:rPr>
          <w:rFonts w:ascii="Arial" w:cs="Arial" w:eastAsia="Arial" w:hAnsi="Arial"/>
          <w:sz w:val="18"/>
          <w:szCs w:val="18"/>
          <w:color w:val="auto"/>
        </w:rPr>
        <w:t>” shall mean:</w:t>
      </w:r>
    </w:p>
    <w:p>
      <w:pPr>
        <w:spacing w:after="0" w:line="117" w:lineRule="exact"/>
        <w:rPr>
          <w:sz w:val="20"/>
          <w:szCs w:val="20"/>
          <w:color w:val="auto"/>
        </w:rPr>
      </w:pPr>
    </w:p>
    <w:p>
      <w:pPr>
        <w:ind w:left="460" w:right="100" w:firstLine="443"/>
        <w:spacing w:after="0" w:line="264" w:lineRule="auto"/>
        <w:tabs>
          <w:tab w:leader="none" w:pos="1113"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taking of any action to enforce or realize upon any Lien, including the institution of any foreclosure proceedings or the noticing of any public or private sale pursuant to Article 9 of the Uniform Commercial Code, or taking any action to enforce any right or power to repossess, replevy, attach, garnish, levy upon or collect the Proceeds of any Lien;</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63"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exercise of any right or remedy provided to a secured creditor on account of a Lien under any of the Credit Documents, under applicable law, by self-help repossession, by notification to account obligors of any Grantor in an Insolvency Proceeding or otherwise, including the election to retain any of the Collateral in satisfaction of a Lien;</w:t>
      </w:r>
    </w:p>
    <w:p>
      <w:pPr>
        <w:spacing w:after="0" w:line="73" w:lineRule="exact"/>
        <w:rPr>
          <w:rFonts w:ascii="Arial" w:cs="Arial" w:eastAsia="Arial" w:hAnsi="Arial"/>
          <w:sz w:val="18"/>
          <w:szCs w:val="18"/>
          <w:color w:val="auto"/>
        </w:rPr>
      </w:pPr>
    </w:p>
    <w:p>
      <w:pPr>
        <w:ind w:left="460" w:right="480" w:firstLine="443"/>
        <w:spacing w:after="0" w:line="277" w:lineRule="auto"/>
        <w:tabs>
          <w:tab w:leader="none" w:pos="1213"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taking of any action or the exercise of any right or remedy in respect of the collection on, set off against, marshaling of, injunction respecting or foreclosure on the Collateral or the Proceeds thereof;</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appointment of a receiver, receiver and manager or interim receiver of all or part of the Collateral;</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3" w:right="319" w:bottom="1440" w:gutter="0" w:footer="0" w:header="0"/>
        </w:sectPr>
      </w:pPr>
    </w:p>
    <w:bookmarkStart w:id="453" w:name="page454"/>
    <w:bookmarkEnd w:id="453"/>
    <w:p>
      <w:pPr>
        <w:ind w:left="460" w:right="60" w:firstLine="443"/>
        <w:spacing w:after="0" w:line="264" w:lineRule="auto"/>
        <w:tabs>
          <w:tab w:leader="none" w:pos="1153" w:val="left"/>
        </w:tabs>
        <w:numPr>
          <w:ilvl w:val="0"/>
          <w:numId w:val="4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lease, license, or other disposition of all or any portion of the Collateral by private or public sale pursuant to Article 9 of the Uniform Commercial Code or any other means permissible under applicable law in connection with the exercise of any right or remedy of a secured creditor under applicable law;</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exercise of any other right of a secured creditor under Part 6 of Article 9 of the Uniform Commercial Code;</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exercise of any voting rights relating to any Capital Stock included in the Collateral; and</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303"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delivery of any notice, claim or demand relating to the Collateral to any Person (including any securities intermediary, depository bank or landlord) in possession or control of any Collateral;</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filing a proof of claim or statement of interest in any Insolvency Proceeding, (ii) the acceleration of the Junior Priority Obligations or the Senior Priority Obligations, (iii) the imposition of a default rate or late fee, (iv) the cessation of lending pursuant to the provisions of the Junior Priority Obligations or the Senior Priority Documents, (v) the consent by any Junior Priority Agent or any Senior Priority Agent to disposition by any Grantor of any of the Collateral or the consent by the Junior Priority Representative or the Senior Priority Representative to disposition by any Grantor of any of the Collateral or (vi) seeking adequate protection shall not be deemed to be an Exercise of Secured Creditor Remedies.</w:t>
      </w:r>
    </w:p>
    <w:p>
      <w:pPr>
        <w:spacing w:after="0" w:line="173"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Lease</w:t>
      </w:r>
      <w:r>
        <w:rPr>
          <w:rFonts w:ascii="Arial" w:cs="Arial" w:eastAsia="Arial" w:hAnsi="Arial"/>
          <w:sz w:val="18"/>
          <w:szCs w:val="18"/>
          <w:color w:val="auto"/>
        </w:rPr>
        <w:t>” shall mean any lease of property, real or personal, the obligations of the lessee in respect of which are required to be capitalized on a balance sheet of the lessee in accordance with GAAP.</w:t>
      </w:r>
    </w:p>
    <w:p>
      <w:pPr>
        <w:spacing w:after="0" w:line="170"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Flyer Miles Obligations</w:t>
      </w:r>
      <w:r>
        <w:rPr>
          <w:rFonts w:ascii="Arial" w:cs="Arial" w:eastAsia="Arial" w:hAnsi="Arial"/>
          <w:sz w:val="16"/>
          <w:szCs w:val="16"/>
          <w:color w:val="auto"/>
        </w:rPr>
        <w:t>” shall mean, at any date of determination, all payment and performance obligations of the Borrower under any card marketing agreement with respect to credit cards co-branded by the Borrower and a financial institution which may include obligations in respect of the pre-purchase by third parties of frequent flyer miles and any other similar agreements entered into by Parent or any of its Subsidiaries with any bank from time to time.</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in the United States of America,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Notwithstanding the foregoing definition, with respect to leases (whether or not they are required to be capitalized on a Person’s balance sheet under generally accepted accounting principles in the United States of America in effect as of the date of this Agreement) and with respect to financial matters related to leases,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54" w:name="page455"/>
    <w:bookmarkEnd w:id="454"/>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assets, liabilities and items of income and expense, “GAAP” shall mean , and determinations and calculations shall be made in accordance with, generally accepted accounting principles in the United States of America, which are in effect as of the date hereof.</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shall mean the government of the United States of America, any other nation or any political subdivision thereof, whether state or local, and any agency (including without limitation the DOT and the FAA), authority, instrumentality, regulatory body, court, central bank organization, or other entity exercising executive, legislative, judicial, taxing or regulatory powers or functions of or pertaining to government (including any supra-national bodies such as the European Union). Governmental Authority shall not include any Person in its capacity as an Airport Authority.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gridSpan w:val="5"/>
          </w:tcPr>
          <w:p>
            <w:pPr>
              <w:ind w:left="460"/>
              <w:spacing w:after="0"/>
              <w:rPr>
                <w:sz w:val="20"/>
                <w:szCs w:val="20"/>
                <w:color w:val="auto"/>
              </w:rPr>
            </w:pPr>
            <w:r>
              <w:rPr>
                <w:rFonts w:ascii="Arial" w:cs="Arial" w:eastAsia="Arial" w:hAnsi="Arial"/>
                <w:sz w:val="18"/>
                <w:szCs w:val="18"/>
                <w:color w:val="auto"/>
                <w:w w:val="94"/>
              </w:rPr>
              <w:t>“Grantor” shall mean any Grantor as defined in the Original First Lien Collateral Documents, in the [</w:t>
            </w:r>
          </w:p>
        </w:tc>
        <w:tc>
          <w:tcPr>
            <w:tcW w:w="3440" w:type="dxa"/>
            <w:vAlign w:val="bottom"/>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color w:val="auto"/>
                <w:w w:val="93"/>
              </w:rPr>
              <w:t>i</w:t>
            </w:r>
            <w:r>
              <w:rPr>
                <w:rFonts w:ascii="Arial" w:cs="Arial" w:eastAsia="Arial" w:hAnsi="Arial"/>
                <w:sz w:val="18"/>
                <w:szCs w:val="18"/>
                <w:color w:val="auto"/>
                <w:w w:val="93"/>
              </w:rPr>
              <w:t xml:space="preserve"> [First/Second]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Collateral Documents</w:t>
            </w: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37"/>
        </w:trPr>
        <w:tc>
          <w:tcPr>
            <w:tcW w:w="5780" w:type="dxa"/>
            <w:vAlign w:val="bottom"/>
            <w:gridSpan w:val="4"/>
          </w:tcPr>
          <w:p>
            <w:pPr>
              <w:spacing w:after="0"/>
              <w:rPr>
                <w:sz w:val="20"/>
                <w:szCs w:val="20"/>
                <w:color w:val="auto"/>
              </w:rPr>
            </w:pPr>
            <w:r>
              <w:rPr>
                <w:rFonts w:ascii="Arial" w:cs="Arial" w:eastAsia="Arial" w:hAnsi="Arial"/>
                <w:sz w:val="18"/>
                <w:szCs w:val="18"/>
                <w:color w:val="auto"/>
              </w:rPr>
              <w:t>or in the Additional Collateral Documents, as the context requires.</w:t>
            </w:r>
          </w:p>
        </w:tc>
        <w:tc>
          <w:tcPr>
            <w:tcW w:w="216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392"/>
        </w:trPr>
        <w:tc>
          <w:tcPr>
            <w:tcW w:w="5780" w:type="dxa"/>
            <w:vAlign w:val="bottom"/>
            <w:gridSpan w:val="4"/>
          </w:tcPr>
          <w:p>
            <w:pPr>
              <w:ind w:left="460"/>
              <w:spacing w:after="0"/>
              <w:rPr>
                <w:sz w:val="20"/>
                <w:szCs w:val="20"/>
                <w:color w:val="auto"/>
              </w:rPr>
            </w:pPr>
            <w:r>
              <w:rPr>
                <w:rFonts w:ascii="Arial" w:cs="Arial" w:eastAsia="Arial" w:hAnsi="Arial"/>
                <w:sz w:val="18"/>
                <w:szCs w:val="18"/>
                <w:color w:val="auto"/>
                <w:w w:val="95"/>
              </w:rPr>
              <w:t>“Guarantor” shall mean any of the Original First Lien Guarantors, the [</w:t>
            </w: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Guarantors and any Additional Guarantors.</w:t>
            </w: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Affiliate</w:t>
      </w:r>
      <w:r>
        <w:rPr>
          <w:rFonts w:ascii="Arial" w:cs="Arial" w:eastAsia="Arial" w:hAnsi="Arial"/>
          <w:sz w:val="18"/>
          <w:szCs w:val="18"/>
          <w:color w:val="auto"/>
        </w:rPr>
        <w:t>” shall mean any Original First Lien Hedging Affiliate, any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Hedging Affiliate or any Additional Hedging Affiliate,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shall mean any agreement evidencing Hedging Obligations.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shall mean, with respect to any Person, all obligations and liabilities of such Person under:</w:t>
      </w:r>
    </w:p>
    <w:p>
      <w:pPr>
        <w:spacing w:after="0" w:line="225" w:lineRule="exact"/>
        <w:rPr>
          <w:sz w:val="20"/>
          <w:szCs w:val="20"/>
          <w:color w:val="auto"/>
        </w:rPr>
      </w:pPr>
    </w:p>
    <w:p>
      <w:pPr>
        <w:ind w:right="620" w:firstLine="464"/>
        <w:spacing w:after="0" w:line="277" w:lineRule="auto"/>
        <w:tabs>
          <w:tab w:leader="none" w:pos="751"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225" w:lineRule="exact"/>
        <w:rPr>
          <w:rFonts w:ascii="Arial" w:cs="Arial" w:eastAsia="Arial" w:hAnsi="Arial"/>
          <w:sz w:val="18"/>
          <w:szCs w:val="18"/>
          <w:color w:val="auto"/>
        </w:rPr>
      </w:pPr>
    </w:p>
    <w:p>
      <w:pPr>
        <w:ind w:right="120" w:firstLine="464"/>
        <w:spacing w:after="0" w:line="264" w:lineRule="auto"/>
        <w:tabs>
          <w:tab w:leader="none" w:pos="741" w:val="left"/>
        </w:tabs>
        <w:numPr>
          <w:ilvl w:val="0"/>
          <w:numId w:val="499"/>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shall mean American Airlines Group Inc., a Delaware corporation, and any successor in interest thereto.</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Impairment</w:t>
      </w:r>
      <w:r>
        <w:rPr>
          <w:rFonts w:ascii="Arial" w:cs="Arial" w:eastAsia="Arial" w:hAnsi="Arial"/>
          <w:sz w:val="18"/>
          <w:szCs w:val="18"/>
          <w:color w:val="auto"/>
        </w:rPr>
        <w:t xml:space="preserve">” shall (a) with respect to the Senior Priority Obligations, have the meaning set forth in </w:t>
      </w:r>
      <w:r>
        <w:rPr>
          <w:rFonts w:ascii="Arial" w:cs="Arial" w:eastAsia="Arial" w:hAnsi="Arial"/>
          <w:sz w:val="18"/>
          <w:szCs w:val="18"/>
          <w:u w:val="single" w:color="auto"/>
          <w:color w:val="auto"/>
        </w:rPr>
        <w:t>Section 2.01(i)</w:t>
      </w:r>
      <w:r>
        <w:rPr>
          <w:rFonts w:ascii="Arial" w:cs="Arial" w:eastAsia="Arial" w:hAnsi="Arial"/>
          <w:sz w:val="18"/>
          <w:szCs w:val="18"/>
          <w:color w:val="auto"/>
        </w:rPr>
        <w:t xml:space="preserve">, and (b) with respect to the Junior Priority Obligations, have the meaning set forth in </w:t>
      </w:r>
      <w:r>
        <w:rPr>
          <w:rFonts w:ascii="Arial" w:cs="Arial" w:eastAsia="Arial" w:hAnsi="Arial"/>
          <w:sz w:val="18"/>
          <w:szCs w:val="18"/>
          <w:u w:val="single" w:color="auto"/>
          <w:color w:val="auto"/>
        </w:rPr>
        <w:t>Section 2.01(j)</w:t>
      </w:r>
      <w:r>
        <w:rPr>
          <w:rFonts w:ascii="Arial" w:cs="Arial" w:eastAsia="Arial" w:hAnsi="Arial"/>
          <w:sz w:val="18"/>
          <w:szCs w:val="18"/>
          <w:color w:val="auto"/>
        </w:rPr>
        <w:t>.</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mean, with respect to any specified Person, any indebtedness of such Person (excluding air traffic liability, accrued expenses and trade payables), whether or not contingent: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in respect of borrowed money;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455" w:name="page456"/>
    <w:bookmarkEnd w:id="455"/>
    <w:p>
      <w:pPr>
        <w:ind w:left="740" w:hanging="276"/>
        <w:spacing w:after="0"/>
        <w:tabs>
          <w:tab w:leader="none" w:pos="740" w:val="left"/>
        </w:tabs>
        <w:numPr>
          <w:ilvl w:val="0"/>
          <w:numId w:val="5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evidenced by bonds, notes, debentures or similar instruments or letters of credit (or reimbursement agreements in respect thereof);</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225" w:lineRule="exact"/>
        <w:rPr>
          <w:rFonts w:ascii="Arial" w:cs="Arial" w:eastAsia="Arial" w:hAnsi="Arial"/>
          <w:sz w:val="18"/>
          <w:szCs w:val="18"/>
          <w:color w:val="auto"/>
        </w:rPr>
      </w:pPr>
    </w:p>
    <w:p>
      <w:pPr>
        <w:ind w:right="420" w:firstLine="464"/>
        <w:spacing w:after="0" w:line="308" w:lineRule="auto"/>
        <w:tabs>
          <w:tab w:leader="none" w:pos="731" w:val="left"/>
        </w:tabs>
        <w:numPr>
          <w:ilvl w:val="0"/>
          <w:numId w:val="500"/>
        </w:numPr>
        <w:rPr>
          <w:rFonts w:ascii="Arial" w:cs="Arial" w:eastAsia="Arial" w:hAnsi="Arial"/>
          <w:sz w:val="17"/>
          <w:szCs w:val="17"/>
          <w:color w:val="auto"/>
        </w:rPr>
      </w:pPr>
      <w:r>
        <w:rPr>
          <w:rFonts w:ascii="Arial" w:cs="Arial" w:eastAsia="Arial" w:hAnsi="Arial"/>
          <w:sz w:val="17"/>
          <w:szCs w:val="17"/>
          <w:color w:val="auto"/>
        </w:rPr>
        <w:t>representing the balance deferred and unpaid of the purchase price of any property or services due more than six months after such property is acquired or such services are completed, and excluding in any event trade payables arising in the ordinary course of business; or</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Statement of Financial Accounting Standards No. 133 and related interpretations to the extent such effects would otherwise increase or decrease an amount of Indebtedness for any purpose under the Original First Lien Credit Agreement as a result of accounting for any embedded derivatives created by the terms of such Indebtedness.</w:t>
      </w:r>
    </w:p>
    <w:p>
      <w:pPr>
        <w:spacing w:after="0" w:line="16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For the avoidance of doubt, (a) obligations under Bank Products Agreements, (b) obligations under leases (other than leases determined to be Capital Lease Obligations under GAAP as in effect on the date of the Original First Lien Credit Agreement),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the Co-Branded Card Agreements, (i) a deferral of pre-delivery payments relating to the purchases of Aircraft Related Equipment and (j) obligations under flyer miles participation agreements do not constitute Indebtedness, whether or not such obligations would appear as a liability upon a balance sheet of a specified Person (except that the Borrower may elect that, for the purposes of designating Additional Indebtedness under Section 7.11 (and any related definitions and provisions), any of the above items or any other obligations may constitute “Indebtedness”).</w:t>
      </w:r>
    </w:p>
    <w:p>
      <w:pPr>
        <w:spacing w:after="0" w:line="19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Proceeding</w:t>
      </w:r>
      <w:r>
        <w:rPr>
          <w:rFonts w:ascii="Arial" w:cs="Arial" w:eastAsia="Arial" w:hAnsi="Arial"/>
          <w:sz w:val="16"/>
          <w:szCs w:val="16"/>
          <w:color w:val="auto"/>
        </w:rPr>
        <w:t>” shall mean, with respect to any Person, (a) any case, action or proceeding before any court or other Governmental Authority relating to bankruptcy, reorganization, insolvency, liquidation, receivership, dissolution, winding up or relief of debtors, or (b) any general assignment for the benefit of creditors, composition, marshalling of assets for creditors or other similar arrangement in respect of its creditors generally or any substantial portion of its creditors; in each case covered by clauses (a) and (b) undertaken under United States Federal, State or foreign law, including the Bankruptcy Code.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3" w:right="259" w:bottom="1440" w:gutter="0" w:footer="0" w:header="0"/>
        </w:sectPr>
      </w:pPr>
    </w:p>
    <w:bookmarkStart w:id="456" w:name="page457"/>
    <w:bookmarkEnd w:id="4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Junior Intervening Creditor</w:t>
      </w:r>
      <w:r>
        <w:rPr>
          <w:rFonts w:ascii="Arial" w:cs="Arial" w:eastAsia="Arial" w:hAnsi="Arial"/>
          <w:sz w:val="18"/>
          <w:szCs w:val="18"/>
          <w:color w:val="auto"/>
        </w:rPr>
        <w:t xml:space="preserve">” shall have the meaning assigned thereto in </w:t>
      </w:r>
      <w:r>
        <w:rPr>
          <w:rFonts w:ascii="Arial" w:cs="Arial" w:eastAsia="Arial" w:hAnsi="Arial"/>
          <w:sz w:val="18"/>
          <w:szCs w:val="18"/>
          <w:u w:val="single" w:color="auto"/>
          <w:color w:val="auto"/>
        </w:rPr>
        <w:t>Section 4.01(h)</w:t>
      </w:r>
      <w:r>
        <w:rPr>
          <w:rFonts w:ascii="Arial" w:cs="Arial" w:eastAsia="Arial" w:hAnsi="Arial"/>
          <w:sz w:val="18"/>
          <w:szCs w:val="18"/>
          <w:color w:val="auto"/>
        </w:rPr>
        <w:t>.</w:t>
      </w:r>
    </w:p>
    <w:p>
      <w:pPr>
        <w:spacing w:after="0" w:line="225" w:lineRule="exact"/>
        <w:rPr>
          <w:sz w:val="20"/>
          <w:szCs w:val="20"/>
          <w:color w:val="auto"/>
        </w:rPr>
      </w:pPr>
    </w:p>
    <w:p>
      <w:pPr>
        <w:ind w:left="460"/>
        <w:spacing w:after="0"/>
        <w:tabs>
          <w:tab w:leader="none" w:pos="4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Agent</w:t>
      </w:r>
      <w:r>
        <w:rPr>
          <w:rFonts w:ascii="Arial" w:cs="Arial" w:eastAsia="Arial" w:hAnsi="Arial"/>
          <w:sz w:val="18"/>
          <w:szCs w:val="18"/>
          <w:color w:val="auto"/>
        </w:rPr>
        <w:t>” shall mean [any of the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Second Lien Agent or]</w:t>
      </w:r>
      <w:r>
        <w:rPr>
          <w:rFonts w:ascii="Arial" w:cs="Arial" w:eastAsia="Arial" w:hAnsi="Arial"/>
          <w:sz w:val="13"/>
          <w:szCs w:val="13"/>
          <w:color w:val="auto"/>
        </w:rPr>
        <w:t>vi</w:t>
      </w:r>
      <w:r>
        <w:rPr>
          <w:rFonts w:ascii="Arial" w:cs="Arial" w:eastAsia="Arial" w:hAnsi="Arial"/>
          <w:sz w:val="16"/>
          <w:szCs w:val="16"/>
          <w:color w:val="auto"/>
        </w:rPr>
        <w:t xml:space="preserve"> any Additional Agent under any Junior Priority Documents.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Collateral Documents</w:t>
      </w:r>
      <w:r>
        <w:rPr>
          <w:rFonts w:ascii="Arial" w:cs="Arial" w:eastAsia="Arial" w:hAnsi="Arial"/>
          <w:sz w:val="18"/>
          <w:szCs w:val="18"/>
          <w:color w:val="auto"/>
        </w:rPr>
        <w:t>” shall mean [the [ ]</w:t>
      </w:r>
      <w:r>
        <w:rPr>
          <w:rFonts w:ascii="Arial" w:cs="Arial" w:eastAsia="Arial" w:hAnsi="Arial"/>
          <w:sz w:val="15"/>
          <w:szCs w:val="15"/>
          <w:color w:val="auto"/>
        </w:rPr>
        <w:t>i</w:t>
      </w:r>
      <w:r>
        <w:rPr>
          <w:rFonts w:ascii="Arial" w:cs="Arial" w:eastAsia="Arial" w:hAnsi="Arial"/>
          <w:sz w:val="18"/>
          <w:szCs w:val="18"/>
          <w:color w:val="auto"/>
        </w:rPr>
        <w:t xml:space="preserve"> Second Lien Collateral Documents and]</w:t>
      </w:r>
      <w:r>
        <w:rPr>
          <w:rFonts w:ascii="Arial" w:cs="Arial" w:eastAsia="Arial" w:hAnsi="Arial"/>
          <w:sz w:val="15"/>
          <w:szCs w:val="15"/>
          <w:color w:val="auto"/>
        </w:rPr>
        <w:t>vii</w:t>
      </w:r>
      <w:r>
        <w:rPr>
          <w:rFonts w:ascii="Arial" w:cs="Arial" w:eastAsia="Arial" w:hAnsi="Arial"/>
          <w:sz w:val="18"/>
          <w:szCs w:val="18"/>
          <w:color w:val="auto"/>
        </w:rPr>
        <w:t xml:space="preserve"> any Additional Collateral Documents in respect of any Junior Priority Obligations.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Credit Facility</w:t>
      </w:r>
      <w:r>
        <w:rPr>
          <w:rFonts w:ascii="Arial" w:cs="Arial" w:eastAsia="Arial" w:hAnsi="Arial"/>
          <w:sz w:val="18"/>
          <w:szCs w:val="18"/>
          <w:color w:val="auto"/>
        </w:rPr>
        <w:t>” shall mean [the [ ]</w:t>
      </w:r>
      <w:r>
        <w:rPr>
          <w:rFonts w:ascii="Arial" w:cs="Arial" w:eastAsia="Arial" w:hAnsi="Arial"/>
          <w:sz w:val="15"/>
          <w:szCs w:val="15"/>
          <w:color w:val="auto"/>
        </w:rPr>
        <w:t>i</w:t>
      </w:r>
      <w:r>
        <w:rPr>
          <w:rFonts w:ascii="Arial" w:cs="Arial" w:eastAsia="Arial" w:hAnsi="Arial"/>
          <w:sz w:val="18"/>
          <w:szCs w:val="18"/>
          <w:color w:val="auto"/>
        </w:rPr>
        <w:t xml:space="preserve"> Second Lien Credit Facility and]</w:t>
      </w:r>
      <w:r>
        <w:rPr>
          <w:rFonts w:ascii="Arial" w:cs="Arial" w:eastAsia="Arial" w:hAnsi="Arial"/>
          <w:sz w:val="15"/>
          <w:szCs w:val="15"/>
          <w:color w:val="auto"/>
        </w:rPr>
        <w:t>vii</w:t>
      </w:r>
      <w:r>
        <w:rPr>
          <w:rFonts w:ascii="Arial" w:cs="Arial" w:eastAsia="Arial" w:hAnsi="Arial"/>
          <w:sz w:val="18"/>
          <w:szCs w:val="18"/>
          <w:color w:val="auto"/>
        </w:rPr>
        <w:t xml:space="preserve"> any Additional Credit Facility in respect of any Junior Priority Obligations.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Creditors</w:t>
      </w:r>
      <w:r>
        <w:rPr>
          <w:rFonts w:ascii="Arial" w:cs="Arial" w:eastAsia="Arial" w:hAnsi="Arial"/>
          <w:sz w:val="18"/>
          <w:szCs w:val="18"/>
          <w:color w:val="auto"/>
        </w:rPr>
        <w:t>” shall mean [the [ ]</w:t>
      </w:r>
      <w:r>
        <w:rPr>
          <w:rFonts w:ascii="Arial" w:cs="Arial" w:eastAsia="Arial" w:hAnsi="Arial"/>
          <w:sz w:val="15"/>
          <w:szCs w:val="15"/>
          <w:color w:val="auto"/>
        </w:rPr>
        <w:t>i</w:t>
      </w:r>
      <w:r>
        <w:rPr>
          <w:rFonts w:ascii="Arial" w:cs="Arial" w:eastAsia="Arial" w:hAnsi="Arial"/>
          <w:sz w:val="18"/>
          <w:szCs w:val="18"/>
          <w:color w:val="auto"/>
        </w:rPr>
        <w:t xml:space="preserve"> Second Lien Creditors and]</w:t>
      </w:r>
      <w:r>
        <w:rPr>
          <w:rFonts w:ascii="Arial" w:cs="Arial" w:eastAsia="Arial" w:hAnsi="Arial"/>
          <w:sz w:val="15"/>
          <w:szCs w:val="15"/>
          <w:color w:val="auto"/>
        </w:rPr>
        <w:t>vii</w:t>
      </w:r>
      <w:r>
        <w:rPr>
          <w:rFonts w:ascii="Arial" w:cs="Arial" w:eastAsia="Arial" w:hAnsi="Arial"/>
          <w:sz w:val="18"/>
          <w:szCs w:val="18"/>
          <w:color w:val="auto"/>
        </w:rPr>
        <w:t xml:space="preserve"> any Additional Credit Facility Secured Party in respect of any Junior Priority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Debt</w:t>
      </w:r>
      <w:r>
        <w:rPr>
          <w:rFonts w:ascii="Arial" w:cs="Arial" w:eastAsia="Arial" w:hAnsi="Arial"/>
          <w:sz w:val="18"/>
          <w:szCs w:val="18"/>
          <w:color w:val="auto"/>
        </w:rPr>
        <w:t>” shall mean[:</w:t>
      </w:r>
    </w:p>
    <w:p>
      <w:pPr>
        <w:spacing w:after="0" w:line="225" w:lineRule="exact"/>
        <w:rPr>
          <w:sz w:val="20"/>
          <w:szCs w:val="20"/>
          <w:color w:val="auto"/>
        </w:rPr>
      </w:pPr>
    </w:p>
    <w:p>
      <w:pPr>
        <w:ind w:left="680" w:hanging="216"/>
        <w:spacing w:after="0"/>
        <w:tabs>
          <w:tab w:leader="none" w:pos="6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all [</w:t>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Second Lien Obligations; and</w:t>
      </w:r>
    </w:p>
    <w:p>
      <w:pPr>
        <w:spacing w:after="0" w:line="225" w:lineRule="exact"/>
        <w:rPr>
          <w:rFonts w:ascii="Arial" w:cs="Arial" w:eastAsia="Arial" w:hAnsi="Arial"/>
          <w:sz w:val="18"/>
          <w:szCs w:val="18"/>
          <w:color w:val="auto"/>
        </w:rPr>
      </w:pPr>
    </w:p>
    <w:p>
      <w:pPr>
        <w:ind w:right="180" w:firstLine="464"/>
        <w:spacing w:after="0" w:line="264" w:lineRule="auto"/>
        <w:tabs>
          <w:tab w:leader="none" w:pos="721" w:val="left"/>
        </w:tabs>
        <w:numPr>
          <w:ilvl w:val="0"/>
          <w:numId w:val="5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vii</w:t>
      </w:r>
      <w:r>
        <w:rPr>
          <w:rFonts w:ascii="Arial" w:cs="Arial" w:eastAsia="Arial" w:hAnsi="Arial"/>
          <w:sz w:val="18"/>
          <w:szCs w:val="18"/>
          <w:color w:val="auto"/>
        </w:rPr>
        <w:t xml:space="preserve"> any Additional Obligations of any Loan Party so long as on or before the date on which the relevant Additional Indebtedness is incurred, such Indebtedness is designated by the Company as “Junior Priority Debt” in the relevant Additional Indebtedness Designation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7.11(a)(iii)</w:t>
      </w:r>
      <w:r>
        <w:rPr>
          <w:rFonts w:ascii="Arial" w:cs="Arial" w:eastAsia="Arial" w:hAnsi="Arial"/>
          <w:sz w:val="18"/>
          <w:szCs w:val="18"/>
          <w:color w:val="auto"/>
        </w:rPr>
        <w:t>.</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Documents</w:t>
      </w:r>
      <w:r>
        <w:rPr>
          <w:rFonts w:ascii="Arial" w:cs="Arial" w:eastAsia="Arial" w:hAnsi="Arial"/>
          <w:sz w:val="18"/>
          <w:szCs w:val="18"/>
          <w:color w:val="auto"/>
        </w:rPr>
        <w:t>” shall mean [the [ ]</w:t>
      </w:r>
      <w:r>
        <w:rPr>
          <w:rFonts w:ascii="Arial" w:cs="Arial" w:eastAsia="Arial" w:hAnsi="Arial"/>
          <w:sz w:val="15"/>
          <w:szCs w:val="15"/>
          <w:color w:val="auto"/>
        </w:rPr>
        <w:t>i</w:t>
      </w:r>
      <w:r>
        <w:rPr>
          <w:rFonts w:ascii="Arial" w:cs="Arial" w:eastAsia="Arial" w:hAnsi="Arial"/>
          <w:sz w:val="18"/>
          <w:szCs w:val="18"/>
          <w:color w:val="auto"/>
        </w:rPr>
        <w:t xml:space="preserve"> Second Lien Facility Documents and]vii any Additional Documents in respect of any Junior Priority Obligations.</w:t>
      </w:r>
    </w:p>
    <w:p>
      <w:pPr>
        <w:spacing w:after="0" w:line="170" w:lineRule="exact"/>
        <w:rPr>
          <w:sz w:val="20"/>
          <w:szCs w:val="20"/>
          <w:color w:val="auto"/>
        </w:rPr>
      </w:pPr>
    </w:p>
    <w:p>
      <w:pPr>
        <w:jc w:val="both"/>
        <w:ind w:right="1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Junior Priority Lien”</w:t>
      </w:r>
      <w:r>
        <w:rPr>
          <w:rFonts w:ascii="Arial" w:cs="Arial" w:eastAsia="Arial" w:hAnsi="Arial"/>
          <w:sz w:val="16"/>
          <w:szCs w:val="16"/>
          <w:color w:val="auto"/>
        </w:rPr>
        <w:t xml:space="preserve"> shall mean a Lien granted or purported to be granted [(a) pursuant to a [ ]</w:t>
      </w:r>
      <w:r>
        <w:rPr>
          <w:rFonts w:ascii="Arial" w:cs="Arial" w:eastAsia="Arial" w:hAnsi="Arial"/>
          <w:sz w:val="13"/>
          <w:szCs w:val="13"/>
          <w:color w:val="auto"/>
        </w:rPr>
        <w:t>i</w:t>
      </w:r>
      <w:r>
        <w:rPr>
          <w:rFonts w:ascii="Arial" w:cs="Arial" w:eastAsia="Arial" w:hAnsi="Arial"/>
          <w:sz w:val="16"/>
          <w:szCs w:val="16"/>
          <w:color w:val="auto"/>
        </w:rPr>
        <w:t xml:space="preserve"> Second Lien Collateral Document to the [ ]</w:t>
      </w:r>
      <w:r>
        <w:rPr>
          <w:rFonts w:ascii="Arial" w:cs="Arial" w:eastAsia="Arial" w:hAnsi="Arial"/>
          <w:sz w:val="13"/>
          <w:szCs w:val="13"/>
          <w:color w:val="auto"/>
        </w:rPr>
        <w:t>i</w:t>
      </w:r>
      <w:r>
        <w:rPr>
          <w:rFonts w:ascii="Arial" w:cs="Arial" w:eastAsia="Arial" w:hAnsi="Arial"/>
          <w:sz w:val="16"/>
          <w:szCs w:val="16"/>
          <w:color w:val="auto"/>
        </w:rPr>
        <w:t xml:space="preserve"> Second Lien Agent or (b)]</w:t>
      </w:r>
      <w:r>
        <w:rPr>
          <w:rFonts w:ascii="Arial" w:cs="Arial" w:eastAsia="Arial" w:hAnsi="Arial"/>
          <w:sz w:val="13"/>
          <w:szCs w:val="13"/>
          <w:color w:val="auto"/>
        </w:rPr>
        <w:t>vii</w:t>
      </w:r>
      <w:r>
        <w:rPr>
          <w:rFonts w:ascii="Arial" w:cs="Arial" w:eastAsia="Arial" w:hAnsi="Arial"/>
          <w:sz w:val="16"/>
          <w:szCs w:val="16"/>
          <w:color w:val="auto"/>
        </w:rPr>
        <w:t xml:space="preserve"> pursuant to an Additional Collateral Document to any Additional Agent for the purpose of securing Junior Priority Obligations.</w:t>
      </w:r>
    </w:p>
    <w:p>
      <w:pPr>
        <w:spacing w:after="0" w:line="124" w:lineRule="exact"/>
        <w:rPr>
          <w:sz w:val="20"/>
          <w:szCs w:val="20"/>
          <w:color w:val="auto"/>
        </w:rPr>
      </w:pPr>
    </w:p>
    <w:p>
      <w:pPr>
        <w:ind w:left="460"/>
        <w:spacing w:after="0"/>
        <w:tabs>
          <w:tab w:leader="none" w:pos="396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Obligations</w:t>
      </w:r>
      <w:r>
        <w:rPr>
          <w:rFonts w:ascii="Arial" w:cs="Arial" w:eastAsia="Arial" w:hAnsi="Arial"/>
          <w:sz w:val="18"/>
          <w:szCs w:val="18"/>
          <w:color w:val="auto"/>
        </w:rPr>
        <w:t>” shall mean [the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Second Lien Obligations and]</w:t>
      </w:r>
      <w:r>
        <w:rPr>
          <w:rFonts w:ascii="Arial" w:cs="Arial" w:eastAsia="Arial" w:hAnsi="Arial"/>
          <w:sz w:val="13"/>
          <w:szCs w:val="13"/>
          <w:color w:val="auto"/>
        </w:rPr>
        <w:t>vii</w:t>
      </w:r>
      <w:r>
        <w:rPr>
          <w:rFonts w:ascii="Arial" w:cs="Arial" w:eastAsia="Arial" w:hAnsi="Arial"/>
          <w:sz w:val="16"/>
          <w:szCs w:val="16"/>
          <w:color w:val="auto"/>
        </w:rPr>
        <w:t xml:space="preserve"> any Additional Obligations constituting Junior Priority Debt.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Priority Representative</w:t>
      </w:r>
      <w:r>
        <w:rPr>
          <w:rFonts w:ascii="Arial" w:cs="Arial" w:eastAsia="Arial" w:hAnsi="Arial"/>
          <w:sz w:val="17"/>
          <w:szCs w:val="17"/>
          <w:color w:val="auto"/>
        </w:rPr>
        <w:t>” shall mean the Junior Priority Agent designated by the Junior Priority Agents to act on behalf of the Junior Priority</w:t>
      </w:r>
    </w:p>
    <w:p>
      <w:pPr>
        <w:spacing w:after="0" w:line="3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Agents hereunder, acting in such capacity. [The Junior Priority Representative shall initially be the [ ]</w:t>
      </w:r>
      <w:r>
        <w:rPr>
          <w:rFonts w:ascii="Arial" w:cs="Arial" w:eastAsia="Arial" w:hAnsi="Arial"/>
          <w:sz w:val="14"/>
          <w:szCs w:val="14"/>
          <w:color w:val="auto"/>
        </w:rPr>
        <w:t>i</w:t>
      </w:r>
      <w:r>
        <w:rPr>
          <w:rFonts w:ascii="Arial" w:cs="Arial" w:eastAsia="Arial" w:hAnsi="Arial"/>
          <w:sz w:val="17"/>
          <w:szCs w:val="17"/>
          <w:color w:val="auto"/>
        </w:rPr>
        <w:t xml:space="preserve"> Second Lien Agent under the [ ]</w:t>
      </w:r>
      <w:r>
        <w:rPr>
          <w:rFonts w:ascii="Arial" w:cs="Arial" w:eastAsia="Arial" w:hAnsi="Arial"/>
          <w:sz w:val="14"/>
          <w:szCs w:val="14"/>
          <w:color w:val="auto"/>
        </w:rPr>
        <w:t>i</w:t>
      </w:r>
      <w:r>
        <w:rPr>
          <w:rFonts w:ascii="Arial" w:cs="Arial" w:eastAsia="Arial" w:hAnsi="Arial"/>
          <w:sz w:val="17"/>
          <w:szCs w:val="17"/>
          <w:color w:val="auto"/>
        </w:rPr>
        <w:t xml:space="preserve"> Second Lien Credit Facility while the [ ]</w:t>
      </w:r>
      <w:r>
        <w:rPr>
          <w:rFonts w:ascii="Arial" w:cs="Arial" w:eastAsia="Arial" w:hAnsi="Arial"/>
          <w:sz w:val="14"/>
          <w:szCs w:val="14"/>
          <w:color w:val="auto"/>
        </w:rPr>
        <w:t>i</w:t>
      </w:r>
      <w:r>
        <w:rPr>
          <w:rFonts w:ascii="Arial" w:cs="Arial" w:eastAsia="Arial" w:hAnsi="Arial"/>
          <w:sz w:val="17"/>
          <w:szCs w:val="17"/>
          <w:color w:val="auto"/>
        </w:rPr>
        <w:t xml:space="preserve"> Second Lien Credit Facility is in effect; if the [ ]</w:t>
      </w:r>
      <w:r>
        <w:rPr>
          <w:rFonts w:ascii="Arial" w:cs="Arial" w:eastAsia="Arial" w:hAnsi="Arial"/>
          <w:sz w:val="14"/>
          <w:szCs w:val="14"/>
          <w:color w:val="auto"/>
        </w:rPr>
        <w:t>i</w:t>
      </w:r>
      <w:r>
        <w:rPr>
          <w:rFonts w:ascii="Arial" w:cs="Arial" w:eastAsia="Arial" w:hAnsi="Arial"/>
          <w:sz w:val="17"/>
          <w:szCs w:val="17"/>
          <w:color w:val="auto"/>
        </w:rPr>
        <w:t xml:space="preserve"> Second Lien Credit Facility is not in effect, the Junior Priority Representative shall be the [ ]</w:t>
      </w:r>
      <w:r>
        <w:rPr>
          <w:rFonts w:ascii="Arial" w:cs="Arial" w:eastAsia="Arial" w:hAnsi="Arial"/>
          <w:sz w:val="14"/>
          <w:szCs w:val="14"/>
          <w:color w:val="auto"/>
        </w:rPr>
        <w:t>i</w:t>
      </w:r>
      <w:r>
        <w:rPr>
          <w:rFonts w:ascii="Arial" w:cs="Arial" w:eastAsia="Arial" w:hAnsi="Arial"/>
          <w:sz w:val="17"/>
          <w:szCs w:val="17"/>
          <w:color w:val="auto"/>
        </w:rPr>
        <w:t xml:space="preserve"> Second Lien Agent under the relevant subsequent [ ]</w:t>
      </w:r>
      <w:r>
        <w:rPr>
          <w:rFonts w:ascii="Arial" w:cs="Arial" w:eastAsia="Arial" w:hAnsi="Arial"/>
          <w:sz w:val="14"/>
          <w:szCs w:val="14"/>
          <w:color w:val="auto"/>
        </w:rPr>
        <w:t>i</w:t>
      </w:r>
      <w:r>
        <w:rPr>
          <w:rFonts w:ascii="Arial" w:cs="Arial" w:eastAsia="Arial" w:hAnsi="Arial"/>
          <w:sz w:val="17"/>
          <w:szCs w:val="17"/>
          <w:color w:val="auto"/>
        </w:rPr>
        <w:t xml:space="preserve"> Second Lien Documents acting for the Junior Priority Secured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Parties, unless the exposure of the corresponding Junior Priority Secured Parties under any other Additional Documents in respect of other Junior Priority</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Obligations exceeds the exposure of the relevant Junior Priority Secured Parties under such subsequent [ ]</w:t>
      </w:r>
      <w:r>
        <w:rPr>
          <w:rFonts w:ascii="Arial" w:cs="Arial" w:eastAsia="Arial" w:hAnsi="Arial"/>
          <w:sz w:val="15"/>
          <w:szCs w:val="15"/>
          <w:color w:val="auto"/>
        </w:rPr>
        <w:t>i</w:t>
      </w:r>
      <w:r>
        <w:rPr>
          <w:rFonts w:ascii="Arial" w:cs="Arial" w:eastAsia="Arial" w:hAnsi="Arial"/>
          <w:sz w:val="18"/>
          <w:szCs w:val="18"/>
          <w:color w:val="auto"/>
        </w:rPr>
        <w:t xml:space="preserve"> Second Lien Documents, and in such case, the Junior Priority Agent under the Junior Priority Documents under which the relevant Junior Priority Secured Parties have the greatest exposure (unless otherwise agreed in writing among the Junior Priority Agents).]</w:t>
      </w:r>
      <w:r>
        <w:rPr>
          <w:rFonts w:ascii="Arial" w:cs="Arial" w:eastAsia="Arial" w:hAnsi="Arial"/>
          <w:sz w:val="15"/>
          <w:szCs w:val="15"/>
          <w:color w:val="auto"/>
        </w:rPr>
        <w:t>vii</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457" w:name="page458"/>
    <w:bookmarkEnd w:id="4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Junior Priority Secured Parties</w:t>
      </w:r>
      <w:r>
        <w:rPr>
          <w:rFonts w:ascii="Arial" w:cs="Arial" w:eastAsia="Arial" w:hAnsi="Arial"/>
          <w:sz w:val="18"/>
          <w:szCs w:val="18"/>
          <w:color w:val="auto"/>
        </w:rPr>
        <w:t>” shall mean, at any time, all of the Junior Priority Agents and all of the Junior Priority Creditors.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hypothecation, assignment for purposes of security, security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Financing Lease having substantially the same economic effect as any of the foregoing).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0" w:type="dxa"/>
            <w:vAlign w:val="bottom"/>
            <w:gridSpan w:val="6"/>
          </w:tcPr>
          <w:p>
            <w:pPr>
              <w:ind w:left="460"/>
              <w:spacing w:after="0"/>
              <w:rPr>
                <w:sz w:val="20"/>
                <w:szCs w:val="20"/>
                <w:color w:val="auto"/>
              </w:rPr>
            </w:pPr>
            <w:r>
              <w:rPr>
                <w:rFonts w:ascii="Arial" w:cs="Arial" w:eastAsia="Arial" w:hAnsi="Arial"/>
                <w:sz w:val="18"/>
                <w:szCs w:val="18"/>
                <w:color w:val="auto"/>
                <w:w w:val="94"/>
              </w:rPr>
              <w:t>“Lien Priority” shall mean, with respect to any Lien of the Original First Lien Agent, the Original First Lien Secured Parties, the [</w:t>
            </w:r>
          </w:p>
        </w:tc>
        <w:tc>
          <w:tcPr>
            <w:tcW w:w="114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0"/>
        </w:trPr>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8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80" w:type="dxa"/>
            <w:vAlign w:val="bottom"/>
            <w:gridSpan w:val="3"/>
          </w:tcPr>
          <w:p>
            <w:pPr>
              <w:spacing w:after="0" w:line="20" w:lineRule="exact"/>
              <w:rPr>
                <w:sz w:val="1"/>
                <w:szCs w:val="1"/>
                <w:color w:val="auto"/>
              </w:rPr>
            </w:pPr>
          </w:p>
        </w:tc>
      </w:tr>
      <w:tr>
        <w:trPr>
          <w:trHeight w:val="222"/>
        </w:trPr>
        <w:tc>
          <w:tcPr>
            <w:tcW w:w="2620" w:type="dxa"/>
            <w:vAlign w:val="bottom"/>
            <w:gridSpan w:val="3"/>
          </w:tcPr>
          <w:p>
            <w:pPr>
              <w:spacing w:after="0"/>
              <w:rPr>
                <w:sz w:val="20"/>
                <w:szCs w:val="20"/>
                <w:color w:val="auto"/>
              </w:rPr>
            </w:pPr>
            <w:r>
              <w:rPr>
                <w:rFonts w:ascii="Arial" w:cs="Arial" w:eastAsia="Arial" w:hAnsi="Arial"/>
                <w:sz w:val="18"/>
                <w:szCs w:val="18"/>
                <w:color w:val="auto"/>
              </w:rPr>
              <w:t>[First/Second]</w:t>
            </w:r>
            <w:r>
              <w:rPr>
                <w:rFonts w:ascii="Arial" w:cs="Arial" w:eastAsia="Arial" w:hAnsi="Arial"/>
                <w:sz w:val="15"/>
                <w:szCs w:val="15"/>
                <w:color w:val="auto"/>
              </w:rPr>
              <w:t>ii</w:t>
            </w:r>
            <w:r>
              <w:rPr>
                <w:rFonts w:ascii="Arial" w:cs="Arial" w:eastAsia="Arial" w:hAnsi="Arial"/>
                <w:sz w:val="18"/>
                <w:szCs w:val="18"/>
                <w:color w:val="auto"/>
              </w:rPr>
              <w:t xml:space="preserve"> Lien Agent, the [</w:t>
            </w:r>
          </w:p>
        </w:tc>
        <w:tc>
          <w:tcPr>
            <w:tcW w:w="8520" w:type="dxa"/>
            <w:vAlign w:val="bottom"/>
            <w:gridSpan w:val="4"/>
          </w:tcPr>
          <w:p>
            <w:pPr>
              <w:ind w:left="140"/>
              <w:spacing w:after="0"/>
              <w:rPr>
                <w:sz w:val="20"/>
                <w:szCs w:val="20"/>
                <w:color w:val="auto"/>
              </w:rPr>
            </w:pPr>
            <w:r>
              <w:rPr>
                <w:rFonts w:ascii="Arial" w:cs="Arial" w:eastAsia="Arial" w:hAnsi="Arial"/>
                <w:sz w:val="18"/>
                <w:szCs w:val="18"/>
                <w:color w:val="auto"/>
                <w:w w:val="92"/>
              </w:rPr>
              <w:t>]</w:t>
            </w:r>
            <w:r>
              <w:rPr>
                <w:rFonts w:ascii="Arial" w:cs="Arial" w:eastAsia="Arial" w:hAnsi="Arial"/>
                <w:sz w:val="15"/>
                <w:szCs w:val="15"/>
                <w:color w:val="auto"/>
                <w:w w:val="92"/>
              </w:rPr>
              <w:t>i</w:t>
            </w:r>
            <w:r>
              <w:rPr>
                <w:rFonts w:ascii="Arial" w:cs="Arial" w:eastAsia="Arial" w:hAnsi="Arial"/>
                <w:sz w:val="18"/>
                <w:szCs w:val="18"/>
                <w:color w:val="auto"/>
                <w:w w:val="92"/>
              </w:rPr>
              <w:t xml:space="preserve"> [First/Second]</w:t>
            </w:r>
            <w:r>
              <w:rPr>
                <w:rFonts w:ascii="Arial" w:cs="Arial" w:eastAsia="Arial" w:hAnsi="Arial"/>
                <w:sz w:val="15"/>
                <w:szCs w:val="15"/>
                <w:color w:val="auto"/>
                <w:w w:val="92"/>
              </w:rPr>
              <w:t>ii</w:t>
            </w:r>
            <w:r>
              <w:rPr>
                <w:rFonts w:ascii="Arial" w:cs="Arial" w:eastAsia="Arial" w:hAnsi="Arial"/>
                <w:sz w:val="18"/>
                <w:szCs w:val="18"/>
                <w:color w:val="auto"/>
                <w:w w:val="92"/>
              </w:rPr>
              <w:t xml:space="preserve"> Lien Secured Parties or any Additional Credit Facility Secured Party in the Collateral, the order of</w:t>
            </w:r>
          </w:p>
        </w:tc>
      </w:tr>
      <w:tr>
        <w:trPr>
          <w:trHeight w:val="190"/>
        </w:trPr>
        <w:tc>
          <w:tcPr>
            <w:tcW w:w="5560" w:type="dxa"/>
            <w:vAlign w:val="bottom"/>
            <w:gridSpan w:val="5"/>
          </w:tcPr>
          <w:p>
            <w:pPr>
              <w:spacing w:after="0" w:line="190" w:lineRule="exact"/>
              <w:rPr>
                <w:sz w:val="20"/>
                <w:szCs w:val="20"/>
                <w:color w:val="auto"/>
              </w:rPr>
            </w:pPr>
            <w:r>
              <w:rPr>
                <w:rFonts w:ascii="Arial" w:cs="Arial" w:eastAsia="Arial" w:hAnsi="Arial"/>
                <w:sz w:val="18"/>
                <w:szCs w:val="18"/>
                <w:color w:val="auto"/>
              </w:rPr>
              <w:t>priority of such Lien as specified in Section 2.01.</w:t>
            </w:r>
          </w:p>
        </w:tc>
        <w:tc>
          <w:tcPr>
            <w:tcW w:w="4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412"/>
        </w:trPr>
        <w:tc>
          <w:tcPr>
            <w:tcW w:w="5560" w:type="dxa"/>
            <w:vAlign w:val="bottom"/>
            <w:gridSpan w:val="5"/>
          </w:tcPr>
          <w:p>
            <w:pPr>
              <w:ind w:left="460"/>
              <w:spacing w:after="0"/>
              <w:rPr>
                <w:sz w:val="20"/>
                <w:szCs w:val="20"/>
                <w:color w:val="auto"/>
              </w:rPr>
            </w:pPr>
            <w:r>
              <w:rPr>
                <w:rFonts w:ascii="Arial" w:cs="Arial" w:eastAsia="Arial" w:hAnsi="Arial"/>
                <w:sz w:val="18"/>
                <w:szCs w:val="18"/>
                <w:color w:val="auto"/>
                <w:w w:val="95"/>
              </w:rPr>
              <w:t>“Loan Parties” shall mean the Original First Lien Loan Parties, the [</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i</w:t>
            </w:r>
            <w:r>
              <w:rPr>
                <w:rFonts w:ascii="Arial" w:cs="Arial" w:eastAsia="Arial" w:hAnsi="Arial"/>
                <w:sz w:val="18"/>
                <w:szCs w:val="18"/>
                <w:color w:val="auto"/>
                <w:w w:val="99"/>
              </w:rPr>
              <w:t xml:space="preserve"> [First/Second]</w:t>
            </w:r>
            <w:r>
              <w:rPr>
                <w:rFonts w:ascii="Arial" w:cs="Arial" w:eastAsia="Arial" w:hAnsi="Arial"/>
                <w:sz w:val="15"/>
                <w:szCs w:val="15"/>
                <w:color w:val="auto"/>
                <w:w w:val="99"/>
              </w:rPr>
              <w:t>ii</w:t>
            </w:r>
            <w:r>
              <w:rPr>
                <w:rFonts w:ascii="Arial" w:cs="Arial" w:eastAsia="Arial" w:hAnsi="Arial"/>
                <w:sz w:val="18"/>
                <w:szCs w:val="18"/>
                <w:color w:val="auto"/>
                <w:w w:val="99"/>
              </w:rPr>
              <w:t xml:space="preserve"> Lien Loan Parties and any Additional Loan Parties.</w:t>
            </w:r>
          </w:p>
        </w:tc>
      </w:tr>
      <w:tr>
        <w:trPr>
          <w:trHeight w:val="20"/>
        </w:trPr>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shall mean Moody’s Investors Service, Inc. or any successor rating agency.</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First Lien Agent</w:t>
      </w:r>
      <w:r>
        <w:rPr>
          <w:rFonts w:ascii="Arial" w:cs="Arial" w:eastAsia="Arial" w:hAnsi="Arial"/>
          <w:sz w:val="18"/>
          <w:szCs w:val="18"/>
          <w:color w:val="auto"/>
        </w:rPr>
        <w:t>” shall mean Barclays Bank PLC Branch in its capacity as collateral agent under the Original First Lien Credit Agreement, together with its successors and assigns in such capacity from time to time, as well as any Person designated as the “Agent” or “Collateral Agent” under the Original First Lien Credit Agreement.</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First Lien Bank Products Affiliate</w:t>
      </w:r>
      <w:r>
        <w:rPr>
          <w:rFonts w:ascii="Arial" w:cs="Arial" w:eastAsia="Arial" w:hAnsi="Arial"/>
          <w:sz w:val="18"/>
          <w:szCs w:val="18"/>
          <w:color w:val="auto"/>
        </w:rPr>
        <w:t>” shall mean any Person who (a) has entered into a Bank Products Agreement with any First Lien Loan Party with the obligations of such First Lien Loan Party thereunder being secured by First Lien Collateral Documents, (b) was an Original First Lien Credit Agreement Lender or an Affiliate of an Original First Lien Credit Agreement Lender on the date hereof, or at the time of entry into such Bank Products Agreement, or at the time of the designation referred to in the following clause (c), and (c) has been designated by the Company in accordance with the terms of the Original First Lien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Person shall, with respect to any Bank Products Agreement, be at any time a Bank Products Affiliate hereunder with respect to more than one Credit Facility).</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First Lien Borrower</w:t>
      </w:r>
      <w:r>
        <w:rPr>
          <w:rFonts w:ascii="Arial" w:cs="Arial" w:eastAsia="Arial" w:hAnsi="Arial"/>
          <w:sz w:val="18"/>
          <w:szCs w:val="18"/>
          <w:color w:val="auto"/>
        </w:rPr>
        <w:t>” shall mean the Company, in its capacity as borrower under the Original First Lien Credit Agreement, together with its successors and assigns.</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First Lien Collateral Documents</w:t>
      </w:r>
      <w:r>
        <w:rPr>
          <w:rFonts w:ascii="Arial" w:cs="Arial" w:eastAsia="Arial" w:hAnsi="Arial"/>
          <w:sz w:val="16"/>
          <w:szCs w:val="16"/>
          <w:color w:val="auto"/>
        </w:rPr>
        <w:t>” shall mean all “</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as defined in the Original First Lien Credit Agreement, and all other security agreements, mortgages, deeds of trust and other collateral documents executed and delivered in connection with the Original First Lien Credit Agreement, and any other agreement, document or instrument pursuant to which a Lien is granted securing the Original First Lien Obligations or under which rights or remedies with respect to such Liens are governed, in each case as the same may be amended, modified or supplemented from time to time.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458" w:name="page459"/>
    <w:bookmarkEnd w:id="458"/>
    <w:p>
      <w:pPr>
        <w:ind w:right="10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Original First Lien Credit Agreement</w:t>
      </w:r>
      <w:r>
        <w:rPr>
          <w:rFonts w:ascii="Arial" w:cs="Arial" w:eastAsia="Arial" w:hAnsi="Arial"/>
          <w:sz w:val="17"/>
          <w:szCs w:val="17"/>
          <w:color w:val="auto"/>
        </w:rPr>
        <w:t>” shall mean (a) that certain Credit and Guaranty Agreement, dated as of April [29], 2016, by and among, inter alios, the Company, Holdings, the Original First Lien Credit Agreement Lenders party thereto and the Original First Lien Agent, as amended, restated, supplemented, waived or otherwise modified from time to time (the “</w:t>
      </w:r>
      <w:r>
        <w:rPr>
          <w:rFonts w:ascii="Arial" w:cs="Arial" w:eastAsia="Arial" w:hAnsi="Arial"/>
          <w:sz w:val="17"/>
          <w:szCs w:val="17"/>
          <w:u w:val="single" w:color="auto"/>
          <w:color w:val="auto"/>
        </w:rPr>
        <w:t>Initial Original First Lien Credit Agreement</w:t>
      </w:r>
      <w:r>
        <w:rPr>
          <w:rFonts w:ascii="Arial" w:cs="Arial" w:eastAsia="Arial" w:hAnsi="Arial"/>
          <w:sz w:val="17"/>
          <w:szCs w:val="17"/>
          <w:color w:val="auto"/>
        </w:rPr>
        <w:t>”), together with (b) if designated by the Original First Lien Borrower, any other agreement (including any credit agreement, loan agreement, indenture or other financing agreement) extending the maturity of, consolidating, restructuring, refunding, replacing or refinancing all or any portion of the Original First Lien Obligations, whether by the same or any other lender, debt holder or group of lenders or debt holders or the same or any other agent, trustee or representative therefor and whether or not increasing the amount of any Indebtedness that may be incurred thereunder.</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First Lien Credit Agreement Lender</w:t>
      </w:r>
      <w:r>
        <w:rPr>
          <w:rFonts w:ascii="Arial" w:cs="Arial" w:eastAsia="Arial" w:hAnsi="Arial"/>
          <w:sz w:val="18"/>
          <w:szCs w:val="18"/>
          <w:color w:val="auto"/>
        </w:rPr>
        <w:t>” shall mean one or more holders of Indebtedness (or commitments therefor) that is or may be incurred under the Original First Lien Credit Agreement, together with their successors, assigns and transferees, as well as any Person designated as an “Original First Lien Credit Agreement Lender” under the Original First Lien Credit Agreement.</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First Lien Documents</w:t>
      </w:r>
      <w:r>
        <w:rPr>
          <w:rFonts w:ascii="Arial" w:cs="Arial" w:eastAsia="Arial" w:hAnsi="Arial"/>
          <w:sz w:val="18"/>
          <w:szCs w:val="18"/>
          <w:color w:val="auto"/>
        </w:rPr>
        <w:t>” shall mean the Original First Lien Credit Agreement, the Original First Lien Guarantees, the Original First Lien Collateral Documents, any Bank Products Agreements between any Original First Lien Loan Party and any Original First Lien Bank Products Affiliate, any Hedging Agreements between any Original First Lien Loan Party and any First Lien Hedging Affiliate, and those other ancillary agreements as to which the Original First Lien Agent or any Original First Lien Credit Agreement Lender is a party or a beneficiary and all other agreements, instruments, documents and certificates, now or hereafter executed by or on behalf of any Original First Lien Loan Party or any of its respective Subsidiaries or Affiliates, and delivered to the Original First Lien Agent, in connection with any of the foregoing, in each case as the same may be amended, supplemented, waived or otherwise modified from time to time.</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First Lien Guarantees</w:t>
      </w:r>
      <w:r>
        <w:rPr>
          <w:rFonts w:ascii="Arial" w:cs="Arial" w:eastAsia="Arial" w:hAnsi="Arial"/>
          <w:sz w:val="18"/>
          <w:szCs w:val="18"/>
          <w:color w:val="auto"/>
        </w:rPr>
        <w:t>” shall mean all guarantees, including, without limitation, the guarantee under the Original First Lien Credit Agreement, of any Original First Lien Obligations of any Original First Lien Loan Party by any other Original First Lien Loan Party in favor of any Original First Lien Secured Party, in each case as amended, restated, supplemented, waived or otherwise modified from time to time.</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First Lien Guarantors</w:t>
      </w:r>
      <w:r>
        <w:rPr>
          <w:rFonts w:ascii="Arial" w:cs="Arial" w:eastAsia="Arial" w:hAnsi="Arial"/>
          <w:sz w:val="18"/>
          <w:szCs w:val="18"/>
          <w:color w:val="auto"/>
        </w:rPr>
        <w:t>” shall mean the collective reference to Holdings (so long as it is a guarantor under any of the Original First Lien Guarantees), each of the Company’s Subsidiaries that is a guarantor under any of the Original First Lien Guarantees and any other Person who becomes a guarantor under any of the Original First Lien Guarantees.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First Lien Hedging Affiliate</w:t>
      </w:r>
      <w:r>
        <w:rPr>
          <w:rFonts w:ascii="Arial" w:cs="Arial" w:eastAsia="Arial" w:hAnsi="Arial"/>
          <w:sz w:val="18"/>
          <w:szCs w:val="18"/>
          <w:color w:val="auto"/>
        </w:rPr>
        <w:t>” shall mean any Person who (a) has entered into a Hedging Agreement with any First Lien Loan Party with the obligations of such First Lien Loan Party thereunder being secured by the Original First Lien Collateral Documents, (b) was 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459" w:name="page460"/>
    <w:bookmarkEnd w:id="459"/>
    <w:p>
      <w:pPr>
        <w:ind w:right="6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Original First Lien Credit Agreement Lender or an Affiliate of an Original First Lien Credit Agreement Lender at the time of entry into such Hedging Agreement, or on or prior to the date hereof, or at the time of the designation referred to in the following clause (c) and (c) has been designated by the Company in accordance with the terms of the Original First Lien Collateral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Person shall, with respect to any Hedging Agreement, be at any time a Hedging Affiliate hereunder with respect to more than one Credit Facility).</w:t>
      </w:r>
    </w:p>
    <w:p>
      <w:pPr>
        <w:spacing w:after="0" w:line="171"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First Lien Loan Parties</w:t>
      </w:r>
      <w:r>
        <w:rPr>
          <w:rFonts w:ascii="Arial" w:cs="Arial" w:eastAsia="Arial" w:hAnsi="Arial"/>
          <w:sz w:val="16"/>
          <w:szCs w:val="16"/>
          <w:color w:val="auto"/>
        </w:rPr>
        <w:t>” shall mean the Original First Lien Borrower, the Original First Lien Guarantors and each other direct or indirect Subsidiary of the Company or any of its Affiliates that is now or hereafter becomes a party to any Original First Lien Document as a “loan party”.</w:t>
      </w:r>
    </w:p>
    <w:p>
      <w:pPr>
        <w:spacing w:after="0" w:line="12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First Lien Obligations</w:t>
      </w:r>
      <w:r>
        <w:rPr>
          <w:rFonts w:ascii="Arial" w:cs="Arial" w:eastAsia="Arial" w:hAnsi="Arial"/>
          <w:sz w:val="17"/>
          <w:szCs w:val="17"/>
          <w:color w:val="auto"/>
        </w:rPr>
        <w:t>” shall mean any and all loans and all other obligations, liabilities and indebtedness of every kind, nature and description, whether now existing or hereafter arising, whether arising before, during or after the commencement of any case with respect to any Original First Lien Loan Party under the Bankruptcy Code or any other Insolvency Proceeding, owing by each Original First Lien Loan Party from time to time under any Original First Lien Document to the Original First Lien Agent, any Original First Lien Credit Agreement Lender or to the extent included in the definition of “Obligations” under the Original First Lien Credit Agreement any Original First Lien Bank Products Affiliate or Original First Lien Hedging Affiliate, whether for principal, premium interest (including interest and fees which, but for the filing of a petition in bankruptcy with respect to such Original First Lien Loan Party, would have accrued on any Original First Lien Obligation, whether or not a claim is allowed against such Original First Lien Loan Party for such interest and fees in the related bankruptcy proceeding), reimbursement for amounts drawn under letters of credit, fees, expenses, indemnification or otherwise, and all other amounts owing or due under the terms of the Original First Lien Documents, as amended, restated, modified, renewed, refunded, replaced or refinanced in whole or in part from time to time.</w:t>
      </w:r>
    </w:p>
    <w:p>
      <w:pPr>
        <w:spacing w:after="0" w:line="17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First Lien Secured Parties</w:t>
      </w:r>
      <w:r>
        <w:rPr>
          <w:rFonts w:ascii="Arial" w:cs="Arial" w:eastAsia="Arial" w:hAnsi="Arial"/>
          <w:sz w:val="17"/>
          <w:szCs w:val="17"/>
          <w:color w:val="auto"/>
        </w:rPr>
        <w:t>” shall mean the Original First Lien Agent, all Original First Lien Credit Agreement Lenders, together with all Original First Lien Bank Products Affiliates and all Original First Lien Hedging Affiliates, and all successors, assigns, transferees and replacements thereof, as well as any Person designated as an “Original First Lien Secured Party” under the Original First Lien Credit Agreement.</w:t>
      </w:r>
    </w:p>
    <w:p>
      <w:pPr>
        <w:spacing w:after="0" w:line="166" w:lineRule="exact"/>
        <w:rPr>
          <w:sz w:val="20"/>
          <w:szCs w:val="20"/>
          <w:color w:val="auto"/>
        </w:rPr>
      </w:pPr>
    </w:p>
    <w:p>
      <w:pPr>
        <w:ind w:left="460"/>
        <w:spacing w:after="0"/>
        <w:tabs>
          <w:tab w:leader="none" w:pos="522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any of the Original First Lien Agent, the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or any Additional Agent, and “</w:t>
      </w:r>
      <w:r>
        <w:rPr>
          <w:rFonts w:ascii="Arial" w:cs="Arial" w:eastAsia="Arial" w:hAnsi="Arial"/>
          <w:sz w:val="16"/>
          <w:szCs w:val="16"/>
          <w:u w:val="single" w:color="auto"/>
          <w:color w:val="auto"/>
        </w:rPr>
        <w:t>Parties</w:t>
      </w:r>
      <w:r>
        <w:rPr>
          <w:rFonts w:ascii="Arial" w:cs="Arial" w:eastAsia="Arial" w:hAnsi="Arial"/>
          <w:sz w:val="16"/>
          <w:szCs w:val="16"/>
          <w:color w:val="auto"/>
        </w:rPr>
        <w:t>” shall mean all</w:t>
      </w:r>
    </w:p>
    <w:p>
      <w:pPr>
        <w:spacing w:after="0" w:line="22"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of the Original First Lien Agent, the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and any Additional Agent.</w:t>
      </w:r>
    </w:p>
    <w:p>
      <w:pPr>
        <w:spacing w:after="0" w:line="212"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shall mean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Reorganization”</w:t>
      </w:r>
      <w:r>
        <w:rPr>
          <w:rFonts w:ascii="Arial" w:cs="Arial" w:eastAsia="Arial" w:hAnsi="Arial"/>
          <w:sz w:val="18"/>
          <w:szCs w:val="18"/>
          <w:color w:val="auto"/>
        </w:rPr>
        <w:t xml:space="preserve"> shall mean any plan of reorganization, plan of liquidation, agreement for composition, or other type of plan of arrangement proposed in or in connection with any Insolvency Proceeding.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460" w:name="page461"/>
    <w:bookmarkEnd w:id="460"/>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Proceeds</w:t>
      </w:r>
      <w:r>
        <w:rPr>
          <w:rFonts w:ascii="Arial" w:cs="Arial" w:eastAsia="Arial" w:hAnsi="Arial"/>
          <w:sz w:val="18"/>
          <w:szCs w:val="18"/>
          <w:color w:val="auto"/>
        </w:rPr>
        <w:t>” shall mean (a) all “proceeds”, as defined in Article 9 of the Uniform Commercial Code, with respect to the Collateral and (b) whatever is recoverable or recovered when any Collateral is sold, exchanged, collected, or disposed of, whether voluntarily or involuntarily.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shall mean any interest in any kind of property or asset, whether real, personal or mixed, or tangible or intangible.</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Senior Priority Holders</w:t>
      </w:r>
      <w:r>
        <w:rPr>
          <w:rFonts w:ascii="Arial" w:cs="Arial" w:eastAsia="Arial" w:hAnsi="Arial"/>
          <w:sz w:val="16"/>
          <w:szCs w:val="16"/>
          <w:color w:val="auto"/>
        </w:rPr>
        <w:t xml:space="preserve">” shall mean Senior Priority Secured Parties holding, in the aggregate, in excess of 50% of the aggregate principal amount of the Senior Priority Obligations (other than Senior Priority Obligations in respect of Bank Products Agreements or Hedging Agreements at any time and for so long as there are any outstanding Senior Priority Obligations in respect of any Senior Priority Credit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the matter being consented to or the action being taken by the Senior Priority Representative is the subordination of Liens to other Liens, or the consent to a sale of all or substantially all of the Collateral, then “Requisite Senior Priority Holders” shall mean those Senior Priority Secured Parties necessary to validly consent to the requested action in accordance with the applicable Senior Priority Documents and (y) except as may be separately otherwise agreed in writing by and between or among each Senior Priority Agent, on behalf of itself and the Senior Priority Creditors represented thereby, if the matter being consented to or the action being taken by the Senior Priority Representative will affect any Series of Senior Priority Debt in a manner different and materially adverse relative to the manner such matter or action affects any other Series of Senior Priority Debt (except to the extent expressly set forth in this Agreement), then “Requisite Senior Priority Holders” shall mean (1) Senior Priority Secured Parties holding, in the aggregate, in excess of 50% of the aggregate principal amount of the Senior Priority Obligations (other than Senior Priority Obligations in respect of Bank Products Agreements or Hedging Agreements at any time and for so long as there are any outstanding Senior Priority Obligations in respect of any Senior Priority Credit Facility) and (2) Senior Priority Secured Parties holding, in the aggregate, in excess of 50% of the aggregate principal amount of each applicable detrimentally affected Series of Senior Priority Debt (other than Senior Priority Obligations in respect of Bank Products Agreements or Hedging Agreements at any time and for so long as there are any outstanding Senior Priority Obligations in respect of any Senior Priority Credit Facility).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shall mean Standard &amp; Poor’s, a division of The McGraw-Hill Companies,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mean the Senior Priority Secured Parties and the Junior Priority Secured Parties.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Intervening Creditor</w:t>
      </w:r>
      <w:r>
        <w:rPr>
          <w:rFonts w:ascii="Arial" w:cs="Arial" w:eastAsia="Arial" w:hAnsi="Arial"/>
          <w:sz w:val="18"/>
          <w:szCs w:val="18"/>
          <w:color w:val="auto"/>
        </w:rPr>
        <w:t xml:space="preserve">” shall have the meaning assigned thereto in </w:t>
      </w:r>
      <w:r>
        <w:rPr>
          <w:rFonts w:ascii="Arial" w:cs="Arial" w:eastAsia="Arial" w:hAnsi="Arial"/>
          <w:sz w:val="18"/>
          <w:szCs w:val="18"/>
          <w:u w:val="single" w:color="auto"/>
          <w:color w:val="auto"/>
        </w:rPr>
        <w:t>Section 4.01(g)</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gridSpan w:val="4"/>
          </w:tcPr>
          <w:p>
            <w:pPr>
              <w:ind w:left="460"/>
              <w:spacing w:after="0"/>
              <w:rPr>
                <w:sz w:val="20"/>
                <w:szCs w:val="20"/>
                <w:color w:val="auto"/>
              </w:rPr>
            </w:pPr>
            <w:r>
              <w:rPr>
                <w:rFonts w:ascii="Arial" w:cs="Arial" w:eastAsia="Arial" w:hAnsi="Arial"/>
                <w:sz w:val="18"/>
                <w:szCs w:val="18"/>
                <w:color w:val="auto"/>
                <w:w w:val="96"/>
              </w:rPr>
              <w:t>“Senior Priority Agent” shall mean any of the Original First Lien Agent[, the [</w:t>
            </w:r>
          </w:p>
        </w:tc>
        <w:tc>
          <w:tcPr>
            <w:tcW w:w="4940" w:type="dxa"/>
            <w:vAlign w:val="bottom"/>
            <w:gridSpan w:val="2"/>
          </w:tcPr>
          <w:p>
            <w:pPr>
              <w:ind w:left="180"/>
              <w:spacing w:after="0"/>
              <w:rPr>
                <w:sz w:val="20"/>
                <w:szCs w:val="20"/>
                <w:color w:val="auto"/>
              </w:rPr>
            </w:pPr>
            <w:r>
              <w:rPr>
                <w:rFonts w:ascii="Arial" w:cs="Arial" w:eastAsia="Arial" w:hAnsi="Arial"/>
                <w:sz w:val="18"/>
                <w:szCs w:val="18"/>
                <w:color w:val="auto"/>
                <w:w w:val="97"/>
              </w:rPr>
              <w:t>] First Lien Agent]</w:t>
            </w:r>
            <w:r>
              <w:rPr>
                <w:rFonts w:ascii="Arial" w:cs="Arial" w:eastAsia="Arial" w:hAnsi="Arial"/>
                <w:sz w:val="15"/>
                <w:szCs w:val="15"/>
                <w:color w:val="auto"/>
                <w:w w:val="97"/>
              </w:rPr>
              <w:t>vii</w:t>
            </w:r>
            <w:r>
              <w:rPr>
                <w:rFonts w:ascii="Arial" w:cs="Arial" w:eastAsia="Arial" w:hAnsi="Arial"/>
                <w:sz w:val="18"/>
                <w:szCs w:val="18"/>
                <w:color w:val="auto"/>
                <w:w w:val="97"/>
              </w:rPr>
              <w:t xml:space="preserve"> or any Additional Agent under any Senior</w:t>
            </w:r>
          </w:p>
        </w:tc>
      </w:tr>
      <w:tr>
        <w:trPr>
          <w:trHeight w:val="20"/>
        </w:trPr>
        <w:tc>
          <w:tcPr>
            <w:tcW w:w="5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37"/>
        </w:trPr>
        <w:tc>
          <w:tcPr>
            <w:tcW w:w="6300" w:type="dxa"/>
            <w:vAlign w:val="bottom"/>
            <w:gridSpan w:val="4"/>
          </w:tcPr>
          <w:p>
            <w:pPr>
              <w:spacing w:after="0"/>
              <w:rPr>
                <w:sz w:val="20"/>
                <w:szCs w:val="20"/>
                <w:color w:val="auto"/>
              </w:rPr>
            </w:pPr>
            <w:r>
              <w:rPr>
                <w:rFonts w:ascii="Arial" w:cs="Arial" w:eastAsia="Arial" w:hAnsi="Arial"/>
                <w:sz w:val="18"/>
                <w:szCs w:val="18"/>
                <w:color w:val="auto"/>
              </w:rPr>
              <w:t>Priority Documents.</w:t>
            </w:r>
          </w:p>
        </w:tc>
        <w:tc>
          <w:tcPr>
            <w:tcW w:w="17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2"/>
        </w:trPr>
        <w:tc>
          <w:tcPr>
            <w:tcW w:w="8060" w:type="dxa"/>
            <w:vAlign w:val="bottom"/>
            <w:gridSpan w:val="5"/>
          </w:tcPr>
          <w:p>
            <w:pPr>
              <w:ind w:left="460"/>
              <w:spacing w:after="0"/>
              <w:rPr>
                <w:sz w:val="20"/>
                <w:szCs w:val="20"/>
                <w:color w:val="auto"/>
              </w:rPr>
            </w:pPr>
            <w:r>
              <w:rPr>
                <w:rFonts w:ascii="Arial" w:cs="Arial" w:eastAsia="Arial" w:hAnsi="Arial"/>
                <w:sz w:val="18"/>
                <w:szCs w:val="18"/>
                <w:color w:val="auto"/>
                <w:w w:val="95"/>
              </w:rPr>
              <w:t>“Senior Priority Collateral Documents” shall mean the Original First Lien Collateral Documents[, the [</w:t>
            </w:r>
          </w:p>
        </w:tc>
        <w:tc>
          <w:tcPr>
            <w:tcW w:w="3180" w:type="dxa"/>
            <w:vAlign w:val="bottom"/>
          </w:tcPr>
          <w:p>
            <w:pPr>
              <w:ind w:left="180"/>
              <w:spacing w:after="0"/>
              <w:rPr>
                <w:sz w:val="20"/>
                <w:szCs w:val="20"/>
                <w:color w:val="auto"/>
              </w:rPr>
            </w:pPr>
            <w:r>
              <w:rPr>
                <w:rFonts w:ascii="Arial" w:cs="Arial" w:eastAsia="Arial" w:hAnsi="Arial"/>
                <w:sz w:val="18"/>
                <w:szCs w:val="18"/>
                <w:color w:val="auto"/>
                <w:w w:val="93"/>
              </w:rPr>
              <w:t>] First Lien Collateral Documents]</w:t>
            </w:r>
            <w:r>
              <w:rPr>
                <w:rFonts w:ascii="Arial" w:cs="Arial" w:eastAsia="Arial" w:hAnsi="Arial"/>
                <w:sz w:val="15"/>
                <w:szCs w:val="15"/>
                <w:color w:val="auto"/>
                <w:w w:val="93"/>
              </w:rPr>
              <w:t>viii</w:t>
            </w:r>
            <w:r>
              <w:rPr>
                <w:rFonts w:ascii="Arial" w:cs="Arial" w:eastAsia="Arial" w:hAnsi="Arial"/>
                <w:sz w:val="18"/>
                <w:szCs w:val="18"/>
                <w:color w:val="auto"/>
                <w:w w:val="93"/>
              </w:rPr>
              <w:t xml:space="preserve"> and</w:t>
            </w:r>
          </w:p>
        </w:tc>
      </w:tr>
      <w:tr>
        <w:trPr>
          <w:trHeight w:val="20"/>
        </w:trPr>
        <w:tc>
          <w:tcPr>
            <w:tcW w:w="540" w:type="dxa"/>
            <w:vAlign w:val="bottom"/>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37"/>
        </w:trPr>
        <w:tc>
          <w:tcPr>
            <w:tcW w:w="6300" w:type="dxa"/>
            <w:vAlign w:val="bottom"/>
            <w:gridSpan w:val="4"/>
          </w:tcPr>
          <w:p>
            <w:pPr>
              <w:spacing w:after="0"/>
              <w:rPr>
                <w:sz w:val="20"/>
                <w:szCs w:val="20"/>
                <w:color w:val="auto"/>
              </w:rPr>
            </w:pPr>
            <w:r>
              <w:rPr>
                <w:rFonts w:ascii="Arial" w:cs="Arial" w:eastAsia="Arial" w:hAnsi="Arial"/>
                <w:sz w:val="18"/>
                <w:szCs w:val="18"/>
                <w:color w:val="auto"/>
              </w:rPr>
              <w:t>any Additional Collateral Documents in respect of Senior Priority Obligations.</w:t>
            </w:r>
          </w:p>
        </w:tc>
        <w:tc>
          <w:tcPr>
            <w:tcW w:w="17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65"/>
        </w:trPr>
        <w:tc>
          <w:tcPr>
            <w:tcW w:w="6300" w:type="dxa"/>
            <w:vAlign w:val="bottom"/>
            <w:gridSpan w:val="4"/>
          </w:tcPr>
          <w:p>
            <w:pPr>
              <w:ind w:left="5620"/>
              <w:spacing w:after="0"/>
              <w:rPr>
                <w:sz w:val="20"/>
                <w:szCs w:val="20"/>
                <w:color w:val="auto"/>
              </w:rPr>
            </w:pPr>
            <w:r>
              <w:rPr>
                <w:rFonts w:ascii="Arial" w:cs="Arial" w:eastAsia="Arial" w:hAnsi="Arial"/>
                <w:sz w:val="18"/>
                <w:szCs w:val="18"/>
                <w:color w:val="auto"/>
              </w:rPr>
              <w:t>19</w:t>
            </w:r>
          </w:p>
        </w:tc>
        <w:tc>
          <w:tcPr>
            <w:tcW w:w="176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61" w:name="page462"/>
    <w:bookmarkEnd w:id="461"/>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Senior Priority Credit Facility</w:t>
      </w:r>
      <w:r>
        <w:rPr>
          <w:rFonts w:ascii="Arial" w:cs="Arial" w:eastAsia="Arial" w:hAnsi="Arial"/>
          <w:sz w:val="18"/>
          <w:szCs w:val="18"/>
          <w:color w:val="auto"/>
        </w:rPr>
        <w:t>” shall mean the Original First Lien Credit Agreement[, the [ ] First Lien Credit Agreement]</w:t>
      </w:r>
      <w:r>
        <w:rPr>
          <w:rFonts w:ascii="Arial" w:cs="Arial" w:eastAsia="Arial" w:hAnsi="Arial"/>
          <w:sz w:val="15"/>
          <w:szCs w:val="15"/>
          <w:color w:val="auto"/>
        </w:rPr>
        <w:t>viii</w:t>
      </w:r>
      <w:r>
        <w:rPr>
          <w:rFonts w:ascii="Arial" w:cs="Arial" w:eastAsia="Arial" w:hAnsi="Arial"/>
          <w:sz w:val="18"/>
          <w:szCs w:val="18"/>
          <w:color w:val="auto"/>
        </w:rPr>
        <w:t xml:space="preserve"> and any Additional Credit Facility in respect of any Senior Priority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Indebtedness that is Senior Priority Debt incurred under such facility agreement meets the requirements of Additional Indebtedness.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5"/>
          </w:tcPr>
          <w:p>
            <w:pPr>
              <w:ind w:left="460"/>
              <w:spacing w:after="0"/>
              <w:rPr>
                <w:sz w:val="20"/>
                <w:szCs w:val="20"/>
                <w:color w:val="auto"/>
              </w:rPr>
            </w:pPr>
            <w:r>
              <w:rPr>
                <w:rFonts w:ascii="Arial" w:cs="Arial" w:eastAsia="Arial" w:hAnsi="Arial"/>
                <w:sz w:val="18"/>
                <w:szCs w:val="18"/>
                <w:color w:val="auto"/>
                <w:w w:val="95"/>
              </w:rPr>
              <w:t>“Senior Priority Creditors” shall mean the Original First Lien Secured Parties[, the [</w:t>
            </w:r>
          </w:p>
        </w:tc>
        <w:tc>
          <w:tcPr>
            <w:tcW w:w="4340" w:type="dxa"/>
            <w:vAlign w:val="bottom"/>
          </w:tcPr>
          <w:p>
            <w:pPr>
              <w:ind w:left="180"/>
              <w:spacing w:after="0"/>
              <w:rPr>
                <w:sz w:val="20"/>
                <w:szCs w:val="20"/>
                <w:color w:val="auto"/>
              </w:rPr>
            </w:pPr>
            <w:r>
              <w:rPr>
                <w:rFonts w:ascii="Arial" w:cs="Arial" w:eastAsia="Arial" w:hAnsi="Arial"/>
                <w:sz w:val="18"/>
                <w:szCs w:val="18"/>
                <w:color w:val="auto"/>
                <w:w w:val="92"/>
              </w:rPr>
              <w:t>] First Lien Secured Parties]</w:t>
            </w:r>
            <w:r>
              <w:rPr>
                <w:rFonts w:ascii="Arial" w:cs="Arial" w:eastAsia="Arial" w:hAnsi="Arial"/>
                <w:sz w:val="15"/>
                <w:szCs w:val="15"/>
                <w:color w:val="auto"/>
                <w:w w:val="92"/>
              </w:rPr>
              <w:t>viii</w:t>
            </w:r>
            <w:r>
              <w:rPr>
                <w:rFonts w:ascii="Arial" w:cs="Arial" w:eastAsia="Arial" w:hAnsi="Arial"/>
                <w:sz w:val="18"/>
                <w:szCs w:val="18"/>
                <w:color w:val="auto"/>
                <w:w w:val="92"/>
              </w:rPr>
              <w:t xml:space="preserve"> and any Additional Credit</w:t>
            </w:r>
          </w:p>
        </w:tc>
      </w:tr>
      <w:tr>
        <w:trPr>
          <w:trHeight w:val="20"/>
        </w:trPr>
        <w:tc>
          <w:tcPr>
            <w:tcW w:w="54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37"/>
        </w:trPr>
        <w:tc>
          <w:tcPr>
            <w:tcW w:w="6700" w:type="dxa"/>
            <w:vAlign w:val="bottom"/>
            <w:gridSpan w:val="5"/>
          </w:tcPr>
          <w:p>
            <w:pPr>
              <w:spacing w:after="0"/>
              <w:rPr>
                <w:sz w:val="20"/>
                <w:szCs w:val="20"/>
                <w:color w:val="auto"/>
              </w:rPr>
            </w:pPr>
            <w:r>
              <w:rPr>
                <w:rFonts w:ascii="Arial" w:cs="Arial" w:eastAsia="Arial" w:hAnsi="Arial"/>
                <w:sz w:val="18"/>
                <w:szCs w:val="18"/>
                <w:color w:val="auto"/>
              </w:rPr>
              <w:t>Facility Secured Party in respect of any Senior Priority Obligations.</w:t>
            </w:r>
          </w:p>
        </w:tc>
        <w:tc>
          <w:tcPr>
            <w:tcW w:w="4340" w:type="dxa"/>
            <w:vAlign w:val="bottom"/>
          </w:tcPr>
          <w:p>
            <w:pPr>
              <w:spacing w:after="0"/>
              <w:rPr>
                <w:sz w:val="20"/>
                <w:szCs w:val="20"/>
                <w:color w:val="auto"/>
              </w:rPr>
            </w:pPr>
          </w:p>
        </w:tc>
      </w:tr>
      <w:tr>
        <w:trPr>
          <w:trHeight w:val="392"/>
        </w:trPr>
        <w:tc>
          <w:tcPr>
            <w:tcW w:w="6700" w:type="dxa"/>
            <w:vAlign w:val="bottom"/>
            <w:gridSpan w:val="5"/>
          </w:tcPr>
          <w:p>
            <w:pPr>
              <w:ind w:left="460"/>
              <w:spacing w:after="0"/>
              <w:rPr>
                <w:sz w:val="20"/>
                <w:szCs w:val="20"/>
                <w:color w:val="auto"/>
              </w:rPr>
            </w:pPr>
            <w:r>
              <w:rPr>
                <w:rFonts w:ascii="Arial" w:cs="Arial" w:eastAsia="Arial" w:hAnsi="Arial"/>
                <w:sz w:val="18"/>
                <w:szCs w:val="18"/>
                <w:color w:val="auto"/>
              </w:rPr>
              <w:t>“Senior Priority Debt” shall mean:</w:t>
            </w:r>
          </w:p>
        </w:tc>
        <w:tc>
          <w:tcPr>
            <w:tcW w:w="434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53"/>
        </w:trPr>
        <w:tc>
          <w:tcPr>
            <w:tcW w:w="6700" w:type="dxa"/>
            <w:vAlign w:val="bottom"/>
            <w:gridSpan w:val="5"/>
          </w:tcPr>
          <w:p>
            <w:pPr>
              <w:ind w:left="460"/>
              <w:spacing w:after="0"/>
              <w:rPr>
                <w:sz w:val="20"/>
                <w:szCs w:val="20"/>
                <w:color w:val="auto"/>
              </w:rPr>
            </w:pPr>
            <w:r>
              <w:rPr>
                <w:rFonts w:ascii="Arial" w:cs="Arial" w:eastAsia="Arial" w:hAnsi="Arial"/>
                <w:sz w:val="18"/>
                <w:szCs w:val="18"/>
                <w:color w:val="auto"/>
              </w:rPr>
              <w:t>(i) all Original First Lien Obligations;</w:t>
            </w:r>
          </w:p>
        </w:tc>
        <w:tc>
          <w:tcPr>
            <w:tcW w:w="4340" w:type="dxa"/>
            <w:vAlign w:val="bottom"/>
          </w:tcPr>
          <w:p>
            <w:pPr>
              <w:spacing w:after="0"/>
              <w:rPr>
                <w:sz w:val="24"/>
                <w:szCs w:val="24"/>
                <w:color w:val="auto"/>
              </w:rPr>
            </w:pPr>
          </w:p>
        </w:tc>
      </w:tr>
      <w:tr>
        <w:trPr>
          <w:trHeight w:val="432"/>
        </w:trPr>
        <w:tc>
          <w:tcPr>
            <w:tcW w:w="1260" w:type="dxa"/>
            <w:vAlign w:val="bottom"/>
            <w:gridSpan w:val="2"/>
          </w:tcPr>
          <w:p>
            <w:pPr>
              <w:ind w:left="460"/>
              <w:spacing w:after="0"/>
              <w:rPr>
                <w:sz w:val="20"/>
                <w:szCs w:val="20"/>
                <w:color w:val="auto"/>
              </w:rPr>
            </w:pPr>
            <w:r>
              <w:rPr>
                <w:rFonts w:ascii="Arial" w:cs="Arial" w:eastAsia="Arial" w:hAnsi="Arial"/>
                <w:sz w:val="18"/>
                <w:szCs w:val="18"/>
                <w:color w:val="auto"/>
              </w:rPr>
              <w:t>[(ii) all [</w:t>
            </w:r>
          </w:p>
        </w:tc>
        <w:tc>
          <w:tcPr>
            <w:tcW w:w="5440" w:type="dxa"/>
            <w:vAlign w:val="bottom"/>
            <w:gridSpan w:val="3"/>
          </w:tcPr>
          <w:p>
            <w:pPr>
              <w:ind w:left="180"/>
              <w:spacing w:after="0"/>
              <w:rPr>
                <w:sz w:val="20"/>
                <w:szCs w:val="20"/>
                <w:color w:val="auto"/>
              </w:rPr>
            </w:pPr>
            <w:r>
              <w:rPr>
                <w:rFonts w:ascii="Arial" w:cs="Arial" w:eastAsia="Arial" w:hAnsi="Arial"/>
                <w:sz w:val="18"/>
                <w:szCs w:val="18"/>
                <w:color w:val="auto"/>
              </w:rPr>
              <w:t>] First Lien Obligations;]</w:t>
            </w:r>
            <w:r>
              <w:rPr>
                <w:rFonts w:ascii="Arial" w:cs="Arial" w:eastAsia="Arial" w:hAnsi="Arial"/>
                <w:sz w:val="15"/>
                <w:szCs w:val="15"/>
                <w:color w:val="auto"/>
              </w:rPr>
              <w:t>viii</w:t>
            </w:r>
            <w:r>
              <w:rPr>
                <w:rFonts w:ascii="Arial" w:cs="Arial" w:eastAsia="Arial" w:hAnsi="Arial"/>
                <w:sz w:val="18"/>
                <w:szCs w:val="18"/>
                <w:color w:val="auto"/>
              </w:rPr>
              <w:t xml:space="preserve"> and</w:t>
            </w:r>
          </w:p>
        </w:tc>
        <w:tc>
          <w:tcPr>
            <w:tcW w:w="4340" w:type="dxa"/>
            <w:vAlign w:val="bottom"/>
          </w:tcPr>
          <w:p>
            <w:pPr>
              <w:spacing w:after="0"/>
              <w:rPr>
                <w:sz w:val="24"/>
                <w:szCs w:val="24"/>
                <w:color w:val="auto"/>
              </w:rPr>
            </w:pPr>
          </w:p>
        </w:tc>
      </w:tr>
    </w:tbl>
    <w:p>
      <w:pPr>
        <w:spacing w:after="0" w:line="20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[(ii/iii)] any Additional Obligations of any Loan Party so long as on or before the date on which the relevant Additional Indebtedness is incurred, such Indebtedness is designated by the Company as “Senior Priority Debt” in the relevant Additional Indebtedness Designation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7.11(a)(iii)</w:t>
      </w:r>
      <w:r>
        <w:rPr>
          <w:rFonts w:ascii="Arial" w:cs="Arial" w:eastAsia="Arial" w:hAnsi="Arial"/>
          <w:sz w:val="18"/>
          <w:szCs w:val="18"/>
          <w:color w:val="auto"/>
        </w:rPr>
        <w:t>.</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Documents</w:t>
      </w:r>
      <w:r>
        <w:rPr>
          <w:rFonts w:ascii="Arial" w:cs="Arial" w:eastAsia="Arial" w:hAnsi="Arial"/>
          <w:sz w:val="18"/>
          <w:szCs w:val="18"/>
          <w:color w:val="auto"/>
        </w:rPr>
        <w:t>” shall mean the Original First Lien Documents[, the [ ] First Lien Documents]</w:t>
      </w:r>
      <w:r>
        <w:rPr>
          <w:rFonts w:ascii="Arial" w:cs="Arial" w:eastAsia="Arial" w:hAnsi="Arial"/>
          <w:sz w:val="15"/>
          <w:szCs w:val="15"/>
          <w:color w:val="auto"/>
        </w:rPr>
        <w:t>viii</w:t>
      </w:r>
      <w:r>
        <w:rPr>
          <w:rFonts w:ascii="Arial" w:cs="Arial" w:eastAsia="Arial" w:hAnsi="Arial"/>
          <w:sz w:val="18"/>
          <w:szCs w:val="18"/>
          <w:color w:val="auto"/>
        </w:rPr>
        <w:t xml:space="preserve"> and any Additional Documents in respect of any Senior Priority Obligations.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Lien”</w:t>
      </w:r>
      <w:r>
        <w:rPr>
          <w:rFonts w:ascii="Arial" w:cs="Arial" w:eastAsia="Arial" w:hAnsi="Arial"/>
          <w:sz w:val="18"/>
          <w:szCs w:val="18"/>
          <w:color w:val="auto"/>
        </w:rPr>
        <w:t xml:space="preserve"> shall mean a Lien granted (a) by an Original First Lien Collateral Document to the Original First Lien Agent[, (b) a [ ] First Lien Collateral Document to [ ] First Lien Agent]viii or [(b/c)] by an Additional Collateral Document to any Additional Agent for the purpose of securing Senior Priority Obligations.</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Obligations</w:t>
      </w:r>
      <w:r>
        <w:rPr>
          <w:rFonts w:ascii="Arial" w:cs="Arial" w:eastAsia="Arial" w:hAnsi="Arial"/>
          <w:sz w:val="18"/>
          <w:szCs w:val="18"/>
          <w:color w:val="auto"/>
        </w:rPr>
        <w:t>” shall mean the Original First Lien Obligations[, the [ ] First Lien Obligations]</w:t>
      </w:r>
      <w:r>
        <w:rPr>
          <w:rFonts w:ascii="Arial" w:cs="Arial" w:eastAsia="Arial" w:hAnsi="Arial"/>
          <w:sz w:val="15"/>
          <w:szCs w:val="15"/>
          <w:color w:val="auto"/>
        </w:rPr>
        <w:t>viii</w:t>
      </w:r>
      <w:r>
        <w:rPr>
          <w:rFonts w:ascii="Arial" w:cs="Arial" w:eastAsia="Arial" w:hAnsi="Arial"/>
          <w:sz w:val="18"/>
          <w:szCs w:val="18"/>
          <w:color w:val="auto"/>
        </w:rPr>
        <w:t xml:space="preserve"> and any Additional Obligations constituting Senior Priority Debt.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Recovery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Priority Representative</w:t>
      </w:r>
      <w:r>
        <w:rPr>
          <w:rFonts w:ascii="Arial" w:cs="Arial" w:eastAsia="Arial" w:hAnsi="Arial"/>
          <w:sz w:val="16"/>
          <w:szCs w:val="16"/>
          <w:color w:val="auto"/>
        </w:rPr>
        <w:t>” shall mean the Original First Lien Agent acting for the Senior Priority Secured Parties, until the Discharge of Original</w:t>
      </w:r>
    </w:p>
    <w:p>
      <w:pPr>
        <w:spacing w:after="0" w:line="45" w:lineRule="exact"/>
        <w:rPr>
          <w:sz w:val="20"/>
          <w:szCs w:val="20"/>
          <w:color w:val="auto"/>
        </w:rPr>
      </w:pPr>
    </w:p>
    <w:p>
      <w:pPr>
        <w:spacing w:after="0"/>
        <w:tabs>
          <w:tab w:leader="none" w:pos="6680" w:val="left"/>
        </w:tabs>
        <w:rPr>
          <w:sz w:val="20"/>
          <w:szCs w:val="20"/>
          <w:color w:val="auto"/>
        </w:rPr>
      </w:pPr>
      <w:r>
        <w:rPr>
          <w:rFonts w:ascii="Arial" w:cs="Arial" w:eastAsia="Arial" w:hAnsi="Arial"/>
          <w:sz w:val="18"/>
          <w:szCs w:val="18"/>
          <w:color w:val="auto"/>
        </w:rPr>
        <w:t>First Lien Obligations, and thereafter (unless otherwise agreed in writing between [the [</w:t>
      </w:r>
      <w:r>
        <w:rPr>
          <w:sz w:val="20"/>
          <w:szCs w:val="20"/>
          <w:color w:val="auto"/>
        </w:rPr>
        <w:tab/>
      </w:r>
      <w:r>
        <w:rPr>
          <w:rFonts w:ascii="Arial" w:cs="Arial" w:eastAsia="Arial" w:hAnsi="Arial"/>
          <w:sz w:val="16"/>
          <w:szCs w:val="16"/>
          <w:color w:val="auto"/>
        </w:rPr>
        <w:t>] First Lien Agent and]</w:t>
      </w:r>
      <w:r>
        <w:rPr>
          <w:rFonts w:ascii="Arial" w:cs="Arial" w:eastAsia="Arial" w:hAnsi="Arial"/>
          <w:sz w:val="13"/>
          <w:szCs w:val="13"/>
          <w:color w:val="auto"/>
        </w:rPr>
        <w:t>viii</w:t>
      </w:r>
      <w:r>
        <w:rPr>
          <w:rFonts w:ascii="Arial" w:cs="Arial" w:eastAsia="Arial" w:hAnsi="Arial"/>
          <w:sz w:val="16"/>
          <w:szCs w:val="16"/>
          <w:color w:val="auto"/>
        </w:rPr>
        <w:t xml:space="preserve"> any Additional Agents under any</w:t>
      </w:r>
    </w:p>
    <w:p>
      <w:pPr>
        <w:spacing w:after="0" w:line="10"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Senior Priority Documents), [the [ ] First Lien Agent or] viii any Additional Agent under any Senior Priority Documents (or, if there are then in effect Senior Priority Documents with respect to more than one Series of Senior Priority Debt, the Senior Priority Documents under which the greatest principal amount of Senior Priority Obligations is outstanding at the time) acting for the Senior Priority Secured Parties.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Secured Parties</w:t>
      </w:r>
      <w:r>
        <w:rPr>
          <w:rFonts w:ascii="Arial" w:cs="Arial" w:eastAsia="Arial" w:hAnsi="Arial"/>
          <w:sz w:val="18"/>
          <w:szCs w:val="18"/>
          <w:color w:val="auto"/>
        </w:rPr>
        <w:t>” shall mean, at any time, all of the Senior Priority Agents and all of the Senior Priority Creditors.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of Junior Priority Debt</w:t>
      </w:r>
      <w:r>
        <w:rPr>
          <w:rFonts w:ascii="Arial" w:cs="Arial" w:eastAsia="Arial" w:hAnsi="Arial"/>
          <w:sz w:val="18"/>
          <w:szCs w:val="18"/>
          <w:color w:val="auto"/>
        </w:rPr>
        <w:t>” shall mean, severally, [(a) the Indebtedness outstanding under the [ ]</w:t>
      </w:r>
      <w:r>
        <w:rPr>
          <w:rFonts w:ascii="Arial" w:cs="Arial" w:eastAsia="Arial" w:hAnsi="Arial"/>
          <w:sz w:val="15"/>
          <w:szCs w:val="15"/>
          <w:color w:val="auto"/>
        </w:rPr>
        <w:t>i</w:t>
      </w:r>
      <w:r>
        <w:rPr>
          <w:rFonts w:ascii="Arial" w:cs="Arial" w:eastAsia="Arial" w:hAnsi="Arial"/>
          <w:sz w:val="18"/>
          <w:szCs w:val="18"/>
          <w:color w:val="auto"/>
        </w:rPr>
        <w:t xml:space="preserve"> Second Lien Credit Facility and (b) ]vii the Indebtedness outstanding under any Additional Credit Facility in respect of or constituting Junior Priority Debt.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462" w:name="page463"/>
    <w:bookmarkEnd w:id="462"/>
    <w:p>
      <w:pPr>
        <w:jc w:val="center"/>
        <w:ind w:right="1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Series of Senior Priority Debt</w:t>
      </w:r>
      <w:r>
        <w:rPr>
          <w:rFonts w:ascii="Arial" w:cs="Arial" w:eastAsia="Arial" w:hAnsi="Arial"/>
          <w:sz w:val="17"/>
          <w:szCs w:val="17"/>
          <w:color w:val="auto"/>
        </w:rPr>
        <w:t>” shall mean, severally, (a) the Indebtedness outstanding under the Original First Lien Credit Agreement[, (b) the</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Indebtedness outstanding under the [ ] First Lien Credit Agreement,]viii and [(b/c)] the Indebtedness outstanding under any Additional Credit Facility in respect of or constituting Senior Priority Debt.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shall mean a corporation, partnership, limited liability company, or other entity (a)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limited liability company or other entity are at the time owned by such Person, or (b) the management of which is otherwise controlled, directly or indirectly through one or more intermediaries, or both, by such Person and, in the case of this clause (b), which is treated as a consolidated subsidiary for accounting purposes.</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xml:space="preserve">” shall mean the Uniform Commercial Code as the same may, from time to time, be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the Uniform Commercial Code is used to define any term in any security document and such term is defined differently in differing Articles of the Uniform Commercial Code, the definition of such term contained in Article 9 shall govern;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the event that, by reason of mandatory provisions of law, any or all of the attachment, perfection, publication or priority of, or remedies with respect to, Liens of any Party is governed by the Uniform Commercial Code or foreign personal property security laws as enacted and in effect in a jurisdiction other than the State of New York, the term “Uniform Commercial Code” will mean the Uniform Commercial Code or such foreign personal property security laws as enacted and in effect in such other jurisdiction solely for purposes of the provisions thereof relating to such attachment, perfection, priority or remedies and for purposes of definitions related to such provisions.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shall mean the United States of America.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2000" w:type="dxa"/>
            <w:vAlign w:val="bottom"/>
            <w:gridSpan w:val="2"/>
          </w:tcPr>
          <w:p>
            <w:pPr>
              <w:ind w:left="60"/>
              <w:spacing w:after="0"/>
              <w:rPr>
                <w:sz w:val="20"/>
                <w:szCs w:val="20"/>
                <w:color w:val="auto"/>
              </w:rPr>
            </w:pPr>
            <w:r>
              <w:rPr>
                <w:rFonts w:ascii="Arial" w:cs="Arial" w:eastAsia="Arial" w:hAnsi="Arial"/>
                <w:sz w:val="18"/>
                <w:szCs w:val="18"/>
                <w:color w:val="auto"/>
                <w:w w:val="98"/>
              </w:rPr>
              <w:t>Lien Agent” shall mean [</w:t>
            </w:r>
          </w:p>
        </w:tc>
        <w:tc>
          <w:tcPr>
            <w:tcW w:w="140" w:type="dxa"/>
            <w:vAlign w:val="bottom"/>
          </w:tcPr>
          <w:p>
            <w:pPr>
              <w:spacing w:after="0"/>
              <w:rPr>
                <w:sz w:val="18"/>
                <w:szCs w:val="18"/>
                <w:color w:val="auto"/>
              </w:rPr>
            </w:pPr>
          </w:p>
        </w:tc>
        <w:tc>
          <w:tcPr>
            <w:tcW w:w="7020" w:type="dxa"/>
            <w:vAlign w:val="bottom"/>
            <w:gridSpan w:val="7"/>
          </w:tcPr>
          <w:p>
            <w:pPr>
              <w:ind w:left="100"/>
              <w:spacing w:after="0"/>
              <w:rPr>
                <w:sz w:val="20"/>
                <w:szCs w:val="20"/>
                <w:color w:val="auto"/>
              </w:rPr>
            </w:pPr>
            <w:r>
              <w:rPr>
                <w:rFonts w:ascii="Arial" w:cs="Arial" w:eastAsia="Arial" w:hAnsi="Arial"/>
                <w:sz w:val="18"/>
                <w:szCs w:val="18"/>
                <w:color w:val="auto"/>
                <w:w w:val="90"/>
              </w:rPr>
              <w:t>] in its capacity as collateral agent (or trustee by a joinder agreement substantially in the form of</w:t>
            </w:r>
          </w:p>
        </w:tc>
      </w:tr>
      <w:tr>
        <w:trPr>
          <w:trHeight w:val="20"/>
        </w:trPr>
        <w:tc>
          <w:tcPr>
            <w:tcW w:w="4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09"/>
        </w:trPr>
        <w:tc>
          <w:tcPr>
            <w:tcW w:w="9280" w:type="dxa"/>
            <w:vAlign w:val="bottom"/>
            <w:gridSpan w:val="14"/>
          </w:tcPr>
          <w:p>
            <w:pPr>
              <w:spacing w:after="0"/>
              <w:rPr>
                <w:sz w:val="20"/>
                <w:szCs w:val="20"/>
                <w:color w:val="auto"/>
              </w:rPr>
            </w:pPr>
            <w:r>
              <w:rPr>
                <w:rFonts w:ascii="Arial" w:cs="Arial" w:eastAsia="Arial" w:hAnsi="Arial"/>
                <w:sz w:val="18"/>
                <w:szCs w:val="18"/>
                <w:color w:val="auto"/>
                <w:w w:val="92"/>
              </w:rPr>
              <w:t>Exhibit D attached hereto or otherwise in form and substance reasonably satisfactory to any Senior Priority Agent) under the [</w:t>
            </w: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w:t>
            </w:r>
          </w:p>
        </w:tc>
      </w:tr>
      <w:tr>
        <w:trPr>
          <w:trHeight w:val="216"/>
        </w:trPr>
        <w:tc>
          <w:tcPr>
            <w:tcW w:w="8160" w:type="dxa"/>
            <w:vAlign w:val="bottom"/>
            <w:gridSpan w:val="13"/>
          </w:tcPr>
          <w:p>
            <w:pPr>
              <w:spacing w:after="0"/>
              <w:rPr>
                <w:sz w:val="20"/>
                <w:szCs w:val="20"/>
                <w:color w:val="auto"/>
              </w:rPr>
            </w:pPr>
            <w:r>
              <w:rPr>
                <w:rFonts w:ascii="Arial" w:cs="Arial" w:eastAsia="Arial" w:hAnsi="Arial"/>
                <w:sz w:val="18"/>
                <w:szCs w:val="18"/>
                <w:color w:val="auto"/>
                <w:w w:val="92"/>
              </w:rPr>
              <w:t>Credit Facility, together with its successors and assigns in such capacity from time to time, whether under the [</w:t>
            </w:r>
          </w:p>
        </w:tc>
        <w:tc>
          <w:tcPr>
            <w:tcW w:w="3220" w:type="dxa"/>
            <w:vAlign w:val="bottom"/>
            <w:gridSpan w:val="4"/>
          </w:tcPr>
          <w:p>
            <w:pPr>
              <w:ind w:left="18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i</w:t>
            </w:r>
            <w:r>
              <w:rPr>
                <w:rFonts w:ascii="Arial" w:cs="Arial" w:eastAsia="Arial" w:hAnsi="Arial"/>
                <w:sz w:val="18"/>
                <w:szCs w:val="18"/>
                <w:color w:val="auto"/>
                <w:w w:val="98"/>
              </w:rPr>
              <w:t xml:space="preserve"> [First/Second]</w:t>
            </w:r>
            <w:r>
              <w:rPr>
                <w:rFonts w:ascii="Arial" w:cs="Arial" w:eastAsia="Arial" w:hAnsi="Arial"/>
                <w:sz w:val="15"/>
                <w:szCs w:val="15"/>
                <w:color w:val="auto"/>
                <w:w w:val="98"/>
              </w:rPr>
              <w:t>ii</w:t>
            </w:r>
            <w:r>
              <w:rPr>
                <w:rFonts w:ascii="Arial" w:cs="Arial" w:eastAsia="Arial" w:hAnsi="Arial"/>
                <w:sz w:val="18"/>
                <w:szCs w:val="18"/>
                <w:color w:val="auto"/>
                <w:w w:val="98"/>
              </w:rPr>
              <w:t xml:space="preserve"> Lien Credit Facility or</w:t>
            </w:r>
          </w:p>
        </w:tc>
      </w:tr>
      <w:tr>
        <w:trPr>
          <w:trHeight w:val="216"/>
        </w:trPr>
        <w:tc>
          <w:tcPr>
            <w:tcW w:w="1300" w:type="dxa"/>
            <w:vAlign w:val="bottom"/>
            <w:gridSpan w:val="5"/>
          </w:tcPr>
          <w:p>
            <w:pPr>
              <w:spacing w:after="0"/>
              <w:rPr>
                <w:sz w:val="20"/>
                <w:szCs w:val="20"/>
                <w:color w:val="auto"/>
              </w:rPr>
            </w:pPr>
            <w:r>
              <w:rPr>
                <w:rFonts w:ascii="Arial" w:cs="Arial" w:eastAsia="Arial" w:hAnsi="Arial"/>
                <w:sz w:val="18"/>
                <w:szCs w:val="18"/>
                <w:color w:val="auto"/>
                <w:w w:val="93"/>
              </w:rPr>
              <w:t>any subsequent [</w:t>
            </w:r>
          </w:p>
        </w:tc>
        <w:tc>
          <w:tcPr>
            <w:tcW w:w="9320" w:type="dxa"/>
            <w:vAlign w:val="bottom"/>
            <w:gridSpan w:val="10"/>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Credit Facility, as well as any Person designated as the “Agent” or “Collateral Agent” under any [</w:t>
            </w:r>
          </w:p>
        </w:tc>
        <w:tc>
          <w:tcPr>
            <w:tcW w:w="1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c>
          <w:tcPr>
            <w:tcW w:w="600" w:type="dxa"/>
            <w:vAlign w:val="bottom"/>
          </w:tcPr>
          <w:p>
            <w:pPr>
              <w:spacing w:after="0"/>
              <w:rPr>
                <w:sz w:val="18"/>
                <w:szCs w:val="18"/>
                <w:color w:val="auto"/>
              </w:rPr>
            </w:pPr>
          </w:p>
        </w:tc>
      </w:tr>
      <w:tr>
        <w:trPr>
          <w:trHeight w:val="230"/>
        </w:trPr>
        <w:tc>
          <w:tcPr>
            <w:tcW w:w="4220" w:type="dxa"/>
            <w:vAlign w:val="bottom"/>
            <w:gridSpan w:val="9"/>
          </w:tcPr>
          <w:p>
            <w:pPr>
              <w:spacing w:after="0"/>
              <w:rPr>
                <w:sz w:val="20"/>
                <w:szCs w:val="20"/>
                <w:color w:val="auto"/>
              </w:rPr>
            </w:pPr>
            <w:r>
              <w:rPr>
                <w:rFonts w:ascii="Arial" w:cs="Arial" w:eastAsia="Arial" w:hAnsi="Arial"/>
                <w:sz w:val="18"/>
                <w:szCs w:val="18"/>
                <w:color w:val="auto"/>
              </w:rPr>
              <w:t>[First/Second]</w:t>
            </w:r>
            <w:r>
              <w:rPr>
                <w:rFonts w:ascii="Arial" w:cs="Arial" w:eastAsia="Arial" w:hAnsi="Arial"/>
                <w:sz w:val="15"/>
                <w:szCs w:val="15"/>
                <w:color w:val="auto"/>
              </w:rPr>
              <w:t>ii</w:t>
            </w:r>
            <w:r>
              <w:rPr>
                <w:rFonts w:ascii="Arial" w:cs="Arial" w:eastAsia="Arial" w:hAnsi="Arial"/>
                <w:sz w:val="18"/>
                <w:szCs w:val="18"/>
                <w:color w:val="auto"/>
              </w:rPr>
              <w:t xml:space="preserve"> Lien Credit Facility.</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65"/>
        </w:trPr>
        <w:tc>
          <w:tcPr>
            <w:tcW w:w="4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8560" w:type="dxa"/>
            <w:vAlign w:val="bottom"/>
            <w:gridSpan w:val="9"/>
          </w:tcPr>
          <w:p>
            <w:pPr>
              <w:ind w:left="60"/>
              <w:spacing w:after="0"/>
              <w:rPr>
                <w:sz w:val="20"/>
                <w:szCs w:val="20"/>
                <w:color w:val="auto"/>
              </w:rPr>
            </w:pPr>
            <w:r>
              <w:rPr>
                <w:rFonts w:ascii="Arial" w:cs="Arial" w:eastAsia="Arial" w:hAnsi="Arial"/>
                <w:sz w:val="18"/>
                <w:szCs w:val="18"/>
                <w:color w:val="auto"/>
                <w:w w:val="91"/>
              </w:rPr>
              <w:t>Lien Bank Products Affiliate” shall mean any Person who (a) has entered into a Bank Products Agreement with any [</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0"/>
        </w:trPr>
        <w:tc>
          <w:tcPr>
            <w:tcW w:w="4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4660" w:type="dxa"/>
            <w:vAlign w:val="bottom"/>
            <w:gridSpan w:val="11"/>
          </w:tcPr>
          <w:p>
            <w:pPr>
              <w:spacing w:after="0"/>
              <w:rPr>
                <w:sz w:val="20"/>
                <w:szCs w:val="20"/>
                <w:color w:val="auto"/>
              </w:rPr>
            </w:pPr>
            <w:r>
              <w:rPr>
                <w:rFonts w:ascii="Arial" w:cs="Arial" w:eastAsia="Arial" w:hAnsi="Arial"/>
                <w:sz w:val="18"/>
                <w:szCs w:val="18"/>
                <w:color w:val="auto"/>
                <w:w w:val="96"/>
              </w:rPr>
              <w:t>[First/Second]</w:t>
            </w:r>
            <w:r>
              <w:rPr>
                <w:rFonts w:ascii="Arial" w:cs="Arial" w:eastAsia="Arial" w:hAnsi="Arial"/>
                <w:sz w:val="15"/>
                <w:szCs w:val="15"/>
                <w:color w:val="auto"/>
                <w:w w:val="96"/>
              </w:rPr>
              <w:t>ii</w:t>
            </w:r>
            <w:r>
              <w:rPr>
                <w:rFonts w:ascii="Arial" w:cs="Arial" w:eastAsia="Arial" w:hAnsi="Arial"/>
                <w:sz w:val="18"/>
                <w:szCs w:val="18"/>
                <w:color w:val="auto"/>
                <w:w w:val="96"/>
              </w:rPr>
              <w:t xml:space="preserve"> Lien Loan Party with the obligations of such [</w:t>
            </w:r>
          </w:p>
        </w:tc>
        <w:tc>
          <w:tcPr>
            <w:tcW w:w="5960" w:type="dxa"/>
            <w:vAlign w:val="bottom"/>
            <w:gridSpan w:val="4"/>
          </w:tcPr>
          <w:p>
            <w:pPr>
              <w:ind w:left="18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Loan Party thereunder being secured by one or more [</w:t>
            </w:r>
          </w:p>
        </w:tc>
        <w:tc>
          <w:tcPr>
            <w:tcW w:w="1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16"/>
        </w:trPr>
        <w:tc>
          <w:tcPr>
            <w:tcW w:w="4220" w:type="dxa"/>
            <w:vAlign w:val="bottom"/>
            <w:gridSpan w:val="9"/>
          </w:tcPr>
          <w:p>
            <w:pPr>
              <w:spacing w:after="0"/>
              <w:rPr>
                <w:sz w:val="20"/>
                <w:szCs w:val="20"/>
                <w:color w:val="auto"/>
              </w:rPr>
            </w:pPr>
            <w:r>
              <w:rPr>
                <w:rFonts w:ascii="Arial" w:cs="Arial" w:eastAsia="Arial" w:hAnsi="Arial"/>
                <w:sz w:val="18"/>
                <w:szCs w:val="18"/>
                <w:color w:val="auto"/>
                <w:w w:val="98"/>
              </w:rPr>
              <w:t>[First/Second]</w:t>
            </w:r>
            <w:r>
              <w:rPr>
                <w:rFonts w:ascii="Arial" w:cs="Arial" w:eastAsia="Arial" w:hAnsi="Arial"/>
                <w:sz w:val="15"/>
                <w:szCs w:val="15"/>
                <w:color w:val="auto"/>
                <w:w w:val="98"/>
              </w:rPr>
              <w:t>ii</w:t>
            </w:r>
            <w:r>
              <w:rPr>
                <w:rFonts w:ascii="Arial" w:cs="Arial" w:eastAsia="Arial" w:hAnsi="Arial"/>
                <w:sz w:val="18"/>
                <w:szCs w:val="18"/>
                <w:color w:val="auto"/>
                <w:w w:val="98"/>
              </w:rPr>
              <w:t xml:space="preserve"> Lien Collateral Documents, (b) was a [</w:t>
            </w:r>
          </w:p>
        </w:tc>
        <w:tc>
          <w:tcPr>
            <w:tcW w:w="2680" w:type="dxa"/>
            <w:vAlign w:val="bottom"/>
            <w:gridSpan w:val="3"/>
          </w:tcPr>
          <w:p>
            <w:pPr>
              <w:jc w:val="right"/>
              <w:ind w:right="9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i</w:t>
            </w:r>
            <w:r>
              <w:rPr>
                <w:rFonts w:ascii="Arial" w:cs="Arial" w:eastAsia="Arial" w:hAnsi="Arial"/>
                <w:sz w:val="18"/>
                <w:szCs w:val="18"/>
                <w:color w:val="auto"/>
                <w:w w:val="98"/>
              </w:rPr>
              <w:t xml:space="preserve"> [First/Second]</w:t>
            </w:r>
            <w:r>
              <w:rPr>
                <w:rFonts w:ascii="Arial" w:cs="Arial" w:eastAsia="Arial" w:hAnsi="Arial"/>
                <w:sz w:val="15"/>
                <w:szCs w:val="15"/>
                <w:color w:val="auto"/>
                <w:w w:val="98"/>
              </w:rPr>
              <w:t>ii</w:t>
            </w:r>
            <w:r>
              <w:rPr>
                <w:rFonts w:ascii="Arial" w:cs="Arial" w:eastAsia="Arial" w:hAnsi="Arial"/>
                <w:sz w:val="18"/>
                <w:szCs w:val="18"/>
                <w:color w:val="auto"/>
                <w:w w:val="98"/>
              </w:rPr>
              <w:t xml:space="preserve"> Lien Agent, a [</w:t>
            </w:r>
          </w:p>
        </w:tc>
        <w:tc>
          <w:tcPr>
            <w:tcW w:w="3880" w:type="dxa"/>
            <w:vAlign w:val="bottom"/>
            <w:gridSpan w:val="4"/>
          </w:tcPr>
          <w:p>
            <w:pPr>
              <w:ind w:left="18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Credit Facility Lender or an</w:t>
            </w:r>
          </w:p>
        </w:tc>
        <w:tc>
          <w:tcPr>
            <w:tcW w:w="600" w:type="dxa"/>
            <w:vAlign w:val="bottom"/>
          </w:tcPr>
          <w:p>
            <w:pPr>
              <w:spacing w:after="0"/>
              <w:rPr>
                <w:sz w:val="18"/>
                <w:szCs w:val="18"/>
                <w:color w:val="auto"/>
              </w:rPr>
            </w:pPr>
          </w:p>
        </w:tc>
      </w:tr>
      <w:tr>
        <w:trPr>
          <w:trHeight w:val="216"/>
        </w:trPr>
        <w:tc>
          <w:tcPr>
            <w:tcW w:w="1300" w:type="dxa"/>
            <w:vAlign w:val="bottom"/>
            <w:gridSpan w:val="5"/>
          </w:tcPr>
          <w:p>
            <w:pPr>
              <w:spacing w:after="0"/>
              <w:rPr>
                <w:sz w:val="20"/>
                <w:szCs w:val="20"/>
                <w:color w:val="auto"/>
              </w:rPr>
            </w:pPr>
            <w:r>
              <w:rPr>
                <w:rFonts w:ascii="Arial" w:cs="Arial" w:eastAsia="Arial" w:hAnsi="Arial"/>
                <w:sz w:val="18"/>
                <w:szCs w:val="18"/>
                <w:color w:val="auto"/>
              </w:rPr>
              <w:t>Affiliate of a [</w:t>
            </w:r>
          </w:p>
        </w:tc>
        <w:tc>
          <w:tcPr>
            <w:tcW w:w="10080" w:type="dxa"/>
            <w:vAlign w:val="bottom"/>
            <w:gridSpan w:val="1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5"/>
                <w:szCs w:val="15"/>
                <w:color w:val="auto"/>
                <w:w w:val="91"/>
              </w:rPr>
              <w:t>i</w:t>
            </w:r>
            <w:r>
              <w:rPr>
                <w:rFonts w:ascii="Arial" w:cs="Arial" w:eastAsia="Arial" w:hAnsi="Arial"/>
                <w:sz w:val="18"/>
                <w:szCs w:val="18"/>
                <w:color w:val="auto"/>
                <w:w w:val="91"/>
              </w:rPr>
              <w:t xml:space="preserve"> [First/Second]</w:t>
            </w:r>
            <w:r>
              <w:rPr>
                <w:rFonts w:ascii="Arial" w:cs="Arial" w:eastAsia="Arial" w:hAnsi="Arial"/>
                <w:sz w:val="15"/>
                <w:szCs w:val="15"/>
                <w:color w:val="auto"/>
                <w:w w:val="91"/>
              </w:rPr>
              <w:t>ii</w:t>
            </w:r>
            <w:r>
              <w:rPr>
                <w:rFonts w:ascii="Arial" w:cs="Arial" w:eastAsia="Arial" w:hAnsi="Arial"/>
                <w:sz w:val="18"/>
                <w:szCs w:val="18"/>
                <w:color w:val="auto"/>
                <w:w w:val="91"/>
              </w:rPr>
              <w:t xml:space="preserve"> Lien Credit Facility Lender on the date hereof, or at the time of entry into such Bank Products Agreement, or at the time</w:t>
            </w:r>
          </w:p>
        </w:tc>
      </w:tr>
      <w:tr>
        <w:trPr>
          <w:trHeight w:val="230"/>
        </w:trPr>
        <w:tc>
          <w:tcPr>
            <w:tcW w:w="10620" w:type="dxa"/>
            <w:vAlign w:val="bottom"/>
            <w:gridSpan w:val="15"/>
          </w:tcPr>
          <w:p>
            <w:pPr>
              <w:spacing w:after="0"/>
              <w:rPr>
                <w:sz w:val="20"/>
                <w:szCs w:val="20"/>
                <w:color w:val="auto"/>
              </w:rPr>
            </w:pPr>
            <w:r>
              <w:rPr>
                <w:rFonts w:ascii="Arial" w:cs="Arial" w:eastAsia="Arial" w:hAnsi="Arial"/>
                <w:sz w:val="18"/>
                <w:szCs w:val="18"/>
                <w:color w:val="auto"/>
                <w:w w:val="90"/>
              </w:rPr>
              <w:t>of the designation referred to in the following clause (c), and (c) has been designated by the Company in accordance with the terms of one or more</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65"/>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jc w:val="right"/>
              <w:ind w:right="1010"/>
              <w:spacing w:after="0"/>
              <w:rPr>
                <w:sz w:val="20"/>
                <w:szCs w:val="20"/>
                <w:color w:val="auto"/>
              </w:rPr>
            </w:pPr>
            <w:r>
              <w:rPr>
                <w:rFonts w:ascii="Arial" w:cs="Arial" w:eastAsia="Arial" w:hAnsi="Arial"/>
                <w:sz w:val="18"/>
                <w:szCs w:val="18"/>
                <w:color w:val="auto"/>
              </w:rPr>
              <w:t>21</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463" w:name="page464"/>
    <w:bookmarkEnd w:id="463"/>
    <w:p>
      <w:pPr>
        <w:ind w:right="460" w:firstLine="8"/>
        <w:spacing w:after="0" w:line="277" w:lineRule="auto"/>
        <w:tabs>
          <w:tab w:leader="none" w:pos="420" w:val="left"/>
        </w:tabs>
        <w:numPr>
          <w:ilvl w:val="0"/>
          <w:numId w:val="5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Person shall, with respect to any Bank Products Agreement, be at any time a Bank Products Affiliate hereunder with respect to more than one Credit Facility).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8760" w:type="dxa"/>
            <w:vAlign w:val="bottom"/>
            <w:gridSpan w:val="6"/>
          </w:tcPr>
          <w:p>
            <w:pPr>
              <w:ind w:left="60"/>
              <w:spacing w:after="0"/>
              <w:rPr>
                <w:sz w:val="20"/>
                <w:szCs w:val="20"/>
                <w:color w:val="auto"/>
              </w:rPr>
            </w:pPr>
            <w:r>
              <w:rPr>
                <w:rFonts w:ascii="Arial" w:cs="Arial" w:eastAsia="Arial" w:hAnsi="Arial"/>
                <w:sz w:val="18"/>
                <w:szCs w:val="18"/>
                <w:color w:val="auto"/>
                <w:w w:val="93"/>
              </w:rPr>
              <w:t>Lien Borrower” shall mean the Company, in its capacity as borrower under the [  ]</w:t>
            </w:r>
            <w:r>
              <w:rPr>
                <w:rFonts w:ascii="Arial" w:cs="Arial" w:eastAsia="Arial" w:hAnsi="Arial"/>
                <w:sz w:val="15"/>
                <w:szCs w:val="15"/>
                <w:color w:val="auto"/>
                <w:w w:val="93"/>
              </w:rPr>
              <w:t>i</w:t>
            </w:r>
            <w:r>
              <w:rPr>
                <w:rFonts w:ascii="Arial" w:cs="Arial" w:eastAsia="Arial" w:hAnsi="Arial"/>
                <w:sz w:val="18"/>
                <w:szCs w:val="18"/>
                <w:color w:val="auto"/>
                <w:w w:val="93"/>
              </w:rPr>
              <w:t xml:space="preserve"> [First/Second]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Credit Facility,</w:t>
            </w:r>
          </w:p>
        </w:tc>
      </w:tr>
      <w:tr>
        <w:trPr>
          <w:trHeight w:val="20"/>
        </w:trPr>
        <w:tc>
          <w:tcPr>
            <w:tcW w:w="4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4"/>
        </w:trPr>
        <w:tc>
          <w:tcPr>
            <w:tcW w:w="8640" w:type="dxa"/>
            <w:vAlign w:val="bottom"/>
            <w:gridSpan w:val="11"/>
          </w:tcPr>
          <w:p>
            <w:pPr>
              <w:spacing w:after="0"/>
              <w:rPr>
                <w:sz w:val="20"/>
                <w:szCs w:val="20"/>
                <w:color w:val="auto"/>
              </w:rPr>
            </w:pPr>
            <w:r>
              <w:rPr>
                <w:rFonts w:ascii="Arial" w:cs="Arial" w:eastAsia="Arial" w:hAnsi="Arial"/>
                <w:sz w:val="18"/>
                <w:szCs w:val="18"/>
                <w:color w:val="auto"/>
              </w:rPr>
              <w:t>together with its successors and assigns.</w:t>
            </w:r>
          </w:p>
        </w:tc>
        <w:tc>
          <w:tcPr>
            <w:tcW w:w="2340" w:type="dxa"/>
            <w:vAlign w:val="bottom"/>
          </w:tcPr>
          <w:p>
            <w:pPr>
              <w:spacing w:after="0"/>
              <w:rPr>
                <w:sz w:val="19"/>
                <w:szCs w:val="19"/>
                <w:color w:val="auto"/>
              </w:rPr>
            </w:pPr>
          </w:p>
        </w:tc>
      </w:tr>
      <w:tr>
        <w:trPr>
          <w:trHeight w:val="365"/>
        </w:trPr>
        <w:tc>
          <w:tcPr>
            <w:tcW w:w="4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6420" w:type="dxa"/>
            <w:vAlign w:val="bottom"/>
            <w:gridSpan w:val="5"/>
          </w:tcPr>
          <w:p>
            <w:pPr>
              <w:ind w:left="60"/>
              <w:spacing w:after="0"/>
              <w:rPr>
                <w:sz w:val="20"/>
                <w:szCs w:val="20"/>
                <w:color w:val="auto"/>
              </w:rPr>
            </w:pPr>
            <w:r>
              <w:rPr>
                <w:rFonts w:ascii="Arial" w:cs="Arial" w:eastAsia="Arial" w:hAnsi="Arial"/>
                <w:sz w:val="18"/>
                <w:szCs w:val="18"/>
                <w:color w:val="auto"/>
                <w:w w:val="94"/>
              </w:rPr>
              <w:t>Lien Collateral Documents” shall mean all “Collateral Documents” as defined in the [</w:t>
            </w:r>
          </w:p>
        </w:tc>
        <w:tc>
          <w:tcPr>
            <w:tcW w:w="2340" w:type="dxa"/>
            <w:vAlign w:val="bottom"/>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Credit</w:t>
            </w:r>
          </w:p>
        </w:tc>
      </w:tr>
      <w:tr>
        <w:trPr>
          <w:trHeight w:val="20"/>
        </w:trPr>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Facility, and all other security agreements (including, without limitation, aircraft security agreements), mortgages, deeds of trust and other collateral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8"/>
          </w:tcPr>
          <w:p>
            <w:pPr>
              <w:spacing w:after="0"/>
              <w:rPr>
                <w:sz w:val="20"/>
                <w:szCs w:val="20"/>
                <w:color w:val="auto"/>
              </w:rPr>
            </w:pPr>
            <w:r>
              <w:rPr>
                <w:rFonts w:ascii="Arial" w:cs="Arial" w:eastAsia="Arial" w:hAnsi="Arial"/>
                <w:sz w:val="18"/>
                <w:szCs w:val="18"/>
                <w:color w:val="auto"/>
                <w:w w:val="94"/>
              </w:rPr>
              <w:t>documents executed and delivered in connection with any [</w:t>
            </w:r>
          </w:p>
        </w:tc>
        <w:tc>
          <w:tcPr>
            <w:tcW w:w="6700" w:type="dxa"/>
            <w:vAlign w:val="bottom"/>
            <w:gridSpan w:val="3"/>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color w:val="auto"/>
                <w:w w:val="93"/>
              </w:rPr>
              <w:t>i</w:t>
            </w:r>
            <w:r>
              <w:rPr>
                <w:rFonts w:ascii="Arial" w:cs="Arial" w:eastAsia="Arial" w:hAnsi="Arial"/>
                <w:sz w:val="18"/>
                <w:szCs w:val="18"/>
                <w:color w:val="auto"/>
                <w:w w:val="93"/>
              </w:rPr>
              <w:t xml:space="preserve"> [First/Second]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Credit Facility, and any other agreement, document or instrument</w:t>
            </w:r>
          </w:p>
        </w:tc>
      </w:tr>
      <w:tr>
        <w:trPr>
          <w:trHeight w:val="216"/>
        </w:trPr>
        <w:tc>
          <w:tcPr>
            <w:tcW w:w="3700" w:type="dxa"/>
            <w:vAlign w:val="bottom"/>
            <w:gridSpan w:val="7"/>
          </w:tcPr>
          <w:p>
            <w:pPr>
              <w:spacing w:after="0"/>
              <w:rPr>
                <w:sz w:val="20"/>
                <w:szCs w:val="20"/>
                <w:color w:val="auto"/>
              </w:rPr>
            </w:pPr>
            <w:r>
              <w:rPr>
                <w:rFonts w:ascii="Arial" w:cs="Arial" w:eastAsia="Arial" w:hAnsi="Arial"/>
                <w:sz w:val="18"/>
                <w:szCs w:val="18"/>
                <w:color w:val="auto"/>
                <w:w w:val="92"/>
              </w:rPr>
              <w:t>pursuant to which a Lien is granted securing any [</w:t>
            </w:r>
          </w:p>
        </w:tc>
        <w:tc>
          <w:tcPr>
            <w:tcW w:w="7460" w:type="dxa"/>
            <w:vAlign w:val="bottom"/>
            <w:gridSpan w:val="4"/>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5"/>
                <w:szCs w:val="15"/>
                <w:color w:val="auto"/>
                <w:w w:val="91"/>
              </w:rPr>
              <w:t>i</w:t>
            </w:r>
            <w:r>
              <w:rPr>
                <w:rFonts w:ascii="Arial" w:cs="Arial" w:eastAsia="Arial" w:hAnsi="Arial"/>
                <w:sz w:val="18"/>
                <w:szCs w:val="18"/>
                <w:color w:val="auto"/>
                <w:w w:val="91"/>
              </w:rPr>
              <w:t xml:space="preserve"> [First/Second]</w:t>
            </w:r>
            <w:r>
              <w:rPr>
                <w:rFonts w:ascii="Arial" w:cs="Arial" w:eastAsia="Arial" w:hAnsi="Arial"/>
                <w:sz w:val="15"/>
                <w:szCs w:val="15"/>
                <w:color w:val="auto"/>
                <w:w w:val="91"/>
              </w:rPr>
              <w:t>ii</w:t>
            </w:r>
            <w:r>
              <w:rPr>
                <w:rFonts w:ascii="Arial" w:cs="Arial" w:eastAsia="Arial" w:hAnsi="Arial"/>
                <w:sz w:val="18"/>
                <w:szCs w:val="18"/>
                <w:color w:val="auto"/>
                <w:w w:val="91"/>
              </w:rPr>
              <w:t xml:space="preserve"> Lien Obligations or under which rights or remedies with respect to such Liens are</w:t>
            </w:r>
          </w:p>
        </w:tc>
      </w:tr>
      <w:tr>
        <w:trPr>
          <w:trHeight w:val="230"/>
        </w:trPr>
        <w:tc>
          <w:tcPr>
            <w:tcW w:w="10200" w:type="dxa"/>
            <w:vAlign w:val="bottom"/>
            <w:gridSpan w:val="10"/>
          </w:tcPr>
          <w:p>
            <w:pPr>
              <w:spacing w:after="0"/>
              <w:rPr>
                <w:sz w:val="20"/>
                <w:szCs w:val="20"/>
                <w:color w:val="auto"/>
              </w:rPr>
            </w:pPr>
            <w:r>
              <w:rPr>
                <w:rFonts w:ascii="Arial" w:cs="Arial" w:eastAsia="Arial" w:hAnsi="Arial"/>
                <w:sz w:val="18"/>
                <w:szCs w:val="18"/>
                <w:color w:val="auto"/>
              </w:rPr>
              <w:t>governed, in each case as the same may be amended, modified or supplemented from time to time.</w:t>
            </w:r>
          </w:p>
        </w:tc>
        <w:tc>
          <w:tcPr>
            <w:tcW w:w="960" w:type="dxa"/>
            <w:vAlign w:val="bottom"/>
          </w:tcPr>
          <w:p>
            <w:pPr>
              <w:spacing w:after="0"/>
              <w:rPr>
                <w:sz w:val="20"/>
                <w:szCs w:val="20"/>
                <w:color w:val="auto"/>
              </w:rPr>
            </w:pPr>
          </w:p>
        </w:tc>
      </w:tr>
      <w:tr>
        <w:trPr>
          <w:trHeight w:val="365"/>
        </w:trPr>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3320" w:type="dxa"/>
            <w:vAlign w:val="bottom"/>
            <w:gridSpan w:val="3"/>
          </w:tcPr>
          <w:p>
            <w:pPr>
              <w:ind w:left="60"/>
              <w:spacing w:after="0"/>
              <w:rPr>
                <w:sz w:val="20"/>
                <w:szCs w:val="20"/>
                <w:color w:val="auto"/>
              </w:rPr>
            </w:pPr>
            <w:r>
              <w:rPr>
                <w:rFonts w:ascii="Arial" w:cs="Arial" w:eastAsia="Arial" w:hAnsi="Arial"/>
                <w:sz w:val="18"/>
                <w:szCs w:val="18"/>
                <w:color w:val="auto"/>
                <w:w w:val="99"/>
              </w:rPr>
              <w:t>Lien Credit Facility” shall mean (a) if the [</w:t>
            </w:r>
          </w:p>
        </w:tc>
        <w:tc>
          <w:tcPr>
            <w:tcW w:w="4660" w:type="dxa"/>
            <w:vAlign w:val="bottom"/>
          </w:tcPr>
          <w:p>
            <w:pPr>
              <w:ind w:left="180"/>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i</w:t>
            </w:r>
            <w:r>
              <w:rPr>
                <w:rFonts w:ascii="Arial" w:cs="Arial" w:eastAsia="Arial" w:hAnsi="Arial"/>
                <w:sz w:val="18"/>
                <w:szCs w:val="18"/>
                <w:color w:val="auto"/>
                <w:w w:val="97"/>
              </w:rPr>
              <w:t xml:space="preserve"> [First/Second]</w:t>
            </w:r>
            <w:r>
              <w:rPr>
                <w:rFonts w:ascii="Arial" w:cs="Arial" w:eastAsia="Arial" w:hAnsi="Arial"/>
                <w:sz w:val="15"/>
                <w:szCs w:val="15"/>
                <w:color w:val="auto"/>
                <w:w w:val="97"/>
              </w:rPr>
              <w:t>ii</w:t>
            </w:r>
            <w:r>
              <w:rPr>
                <w:rFonts w:ascii="Arial" w:cs="Arial" w:eastAsia="Arial" w:hAnsi="Arial"/>
                <w:sz w:val="18"/>
                <w:szCs w:val="18"/>
                <w:color w:val="auto"/>
                <w:w w:val="97"/>
              </w:rPr>
              <w:t xml:space="preserve"> Lien Credit Facility is then in effect, the [</w:t>
            </w:r>
          </w:p>
        </w:tc>
        <w:tc>
          <w:tcPr>
            <w:tcW w:w="96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0"/>
        </w:trPr>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[First/Second]</w:t>
      </w:r>
      <w:r>
        <w:rPr>
          <w:rFonts w:ascii="Arial" w:cs="Arial" w:eastAsia="Arial" w:hAnsi="Arial"/>
          <w:sz w:val="13"/>
          <w:szCs w:val="13"/>
          <w:color w:val="auto"/>
        </w:rPr>
        <w:t>ii</w:t>
      </w:r>
      <w:r>
        <w:rPr>
          <w:rFonts w:ascii="Arial" w:cs="Arial" w:eastAsia="Arial" w:hAnsi="Arial"/>
          <w:sz w:val="16"/>
          <w:szCs w:val="16"/>
          <w:color w:val="auto"/>
        </w:rPr>
        <w:t xml:space="preserve"> Lien Credit Facility, and (b) thereafter, if designated by the Company, any other credit agreement, loan agreement, note agreement, promissory note, indenture or other agreement or instrument evidencing or governing the terms of any indebtedness or other financial accommodation that complies with clause (a)(ii) of the definition of “Additional Indebtedness” and that has been incurred to refund, refinance, restructure, replace, renew, repay, increase or extend (whether in whole or in part and whether with the original agent and creditors or other agents and creditors or otherwise) the indebtedness</w:t>
      </w:r>
    </w:p>
    <w:p>
      <w:pPr>
        <w:ind w:right="40"/>
        <w:spacing w:after="0" w:line="265" w:lineRule="auto"/>
        <w:rPr>
          <w:sz w:val="20"/>
          <w:szCs w:val="20"/>
          <w:color w:val="auto"/>
        </w:rPr>
      </w:pPr>
      <w:r>
        <w:rPr>
          <w:rFonts w:ascii="Arial" w:cs="Arial" w:eastAsia="Arial" w:hAnsi="Arial"/>
          <w:sz w:val="17"/>
          <w:szCs w:val="17"/>
          <w:color w:val="auto"/>
        </w:rPr>
        <w:t>and other obligations outstanding under (x) the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Credit Facility or (y) any subsequent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Credit Facility (in each case, as amended, restated, supplemented, waived or otherwise modified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requisite creditors party to such</w:t>
      </w:r>
    </w:p>
    <w:p>
      <w:pPr>
        <w:jc w:val="both"/>
        <w:ind w:firstLine="8"/>
        <w:spacing w:after="0" w:line="281" w:lineRule="auto"/>
        <w:tabs>
          <w:tab w:leader="none" w:pos="42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Credit Facility (or their agent or other representative on their behalf) shall agree, by a joinder agreement substantially in the form of Exhibit C attached hereto or otherwise in form and substance reasonably satisfactory to any Senior Priority Agent (other than any Designated Agent) (or, if</w:t>
      </w:r>
    </w:p>
    <w:tbl>
      <w:tblPr>
        <w:tblLayout w:type="fixed"/>
        <w:tblInd w:w="0" w:type="dxa"/>
        <w:tblCellMar>
          <w:top w:w="0" w:type="dxa"/>
          <w:left w:w="0" w:type="dxa"/>
          <w:bottom w:w="0" w:type="dxa"/>
          <w:right w:w="0" w:type="dxa"/>
        </w:tblCellMar>
      </w:tblPr>
      <w:tr>
        <w:trPr>
          <w:trHeight w:val="204"/>
        </w:trPr>
        <w:tc>
          <w:tcPr>
            <w:tcW w:w="10520" w:type="dxa"/>
            <w:vAlign w:val="bottom"/>
            <w:gridSpan w:val="18"/>
          </w:tcPr>
          <w:p>
            <w:pPr>
              <w:spacing w:after="0" w:line="204" w:lineRule="exact"/>
              <w:rPr>
                <w:sz w:val="20"/>
                <w:szCs w:val="20"/>
                <w:color w:val="auto"/>
              </w:rPr>
            </w:pPr>
            <w:r>
              <w:rPr>
                <w:rFonts w:ascii="Arial" w:cs="Arial" w:eastAsia="Arial" w:hAnsi="Arial"/>
                <w:sz w:val="18"/>
                <w:szCs w:val="18"/>
                <w:color w:val="auto"/>
                <w:w w:val="92"/>
              </w:rPr>
              <w:t>there is no continuing Senior Priority Agent other than any Designated Agent, as designated by the Company), that the obligations under such [</w:t>
            </w:r>
          </w:p>
        </w:tc>
        <w:tc>
          <w:tcPr>
            <w:tcW w:w="660" w:type="dxa"/>
            <w:vAlign w:val="bottom"/>
          </w:tcPr>
          <w:p>
            <w:pPr>
              <w:ind w:left="180"/>
              <w:spacing w:after="0" w:line="204" w:lineRule="exact"/>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16"/>
        </w:trPr>
        <w:tc>
          <w:tcPr>
            <w:tcW w:w="8740" w:type="dxa"/>
            <w:vAlign w:val="bottom"/>
            <w:gridSpan w:val="17"/>
          </w:tcPr>
          <w:p>
            <w:pPr>
              <w:spacing w:after="0"/>
              <w:rPr>
                <w:sz w:val="20"/>
                <w:szCs w:val="20"/>
                <w:color w:val="auto"/>
              </w:rPr>
            </w:pPr>
            <w:r>
              <w:rPr>
                <w:rFonts w:ascii="Arial" w:cs="Arial" w:eastAsia="Arial" w:hAnsi="Arial"/>
                <w:sz w:val="18"/>
                <w:szCs w:val="18"/>
                <w:color w:val="auto"/>
                <w:w w:val="95"/>
              </w:rPr>
              <w:t>[First/Second]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Credit Facility are subject to the terms and provisions of this Agreement. Any reference to the [</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w:t>
            </w:r>
          </w:p>
        </w:tc>
      </w:tr>
      <w:tr>
        <w:trPr>
          <w:trHeight w:val="230"/>
        </w:trPr>
        <w:tc>
          <w:tcPr>
            <w:tcW w:w="3320" w:type="dxa"/>
            <w:vAlign w:val="bottom"/>
            <w:gridSpan w:val="12"/>
          </w:tcPr>
          <w:p>
            <w:pPr>
              <w:spacing w:after="0"/>
              <w:rPr>
                <w:sz w:val="20"/>
                <w:szCs w:val="20"/>
                <w:color w:val="auto"/>
              </w:rPr>
            </w:pPr>
            <w:r>
              <w:rPr>
                <w:rFonts w:ascii="Arial" w:cs="Arial" w:eastAsia="Arial" w:hAnsi="Arial"/>
                <w:sz w:val="18"/>
                <w:szCs w:val="18"/>
                <w:color w:val="auto"/>
                <w:w w:val="93"/>
              </w:rPr>
              <w:t>Facility shall be deemed a reference to any [</w:t>
            </w:r>
          </w:p>
        </w:tc>
        <w:tc>
          <w:tcPr>
            <w:tcW w:w="5420" w:type="dxa"/>
            <w:vAlign w:val="bottom"/>
            <w:gridSpan w:val="5"/>
          </w:tcPr>
          <w:p>
            <w:pPr>
              <w:jc w:val="right"/>
              <w:ind w:right="107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i</w:t>
            </w:r>
            <w:r>
              <w:rPr>
                <w:rFonts w:ascii="Arial" w:cs="Arial" w:eastAsia="Arial" w:hAnsi="Arial"/>
                <w:sz w:val="18"/>
                <w:szCs w:val="18"/>
                <w:color w:val="auto"/>
                <w:w w:val="98"/>
              </w:rPr>
              <w:t xml:space="preserve"> [First/Second]</w:t>
            </w:r>
            <w:r>
              <w:rPr>
                <w:rFonts w:ascii="Arial" w:cs="Arial" w:eastAsia="Arial" w:hAnsi="Arial"/>
                <w:sz w:val="15"/>
                <w:szCs w:val="15"/>
                <w:color w:val="auto"/>
                <w:w w:val="98"/>
              </w:rPr>
              <w:t>ii</w:t>
            </w:r>
            <w:r>
              <w:rPr>
                <w:rFonts w:ascii="Arial" w:cs="Arial" w:eastAsia="Arial" w:hAnsi="Arial"/>
                <w:sz w:val="18"/>
                <w:szCs w:val="18"/>
                <w:color w:val="auto"/>
                <w:w w:val="98"/>
              </w:rPr>
              <w:t xml:space="preserve"> Lien Credit Facility then in existence.</w:t>
            </w:r>
          </w:p>
        </w:tc>
        <w:tc>
          <w:tcPr>
            <w:tcW w:w="17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65"/>
        </w:trPr>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40" w:type="dxa"/>
            <w:vAlign w:val="bottom"/>
            <w:gridSpan w:val="5"/>
          </w:tcPr>
          <w:p>
            <w:pPr>
              <w:ind w:left="16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8960" w:type="dxa"/>
            <w:vAlign w:val="bottom"/>
            <w:gridSpan w:val="10"/>
          </w:tcPr>
          <w:p>
            <w:pPr>
              <w:ind w:left="60"/>
              <w:spacing w:after="0"/>
              <w:rPr>
                <w:sz w:val="20"/>
                <w:szCs w:val="20"/>
                <w:color w:val="auto"/>
              </w:rPr>
            </w:pPr>
            <w:r>
              <w:rPr>
                <w:rFonts w:ascii="Arial" w:cs="Arial" w:eastAsia="Arial" w:hAnsi="Arial"/>
                <w:sz w:val="18"/>
                <w:szCs w:val="18"/>
                <w:color w:val="auto"/>
                <w:w w:val="91"/>
              </w:rPr>
              <w:t>Lien Credit Facility Lenders” shall mean one or more holders of Indebtedness (or commitments therefor) that is or may be</w:t>
            </w:r>
          </w:p>
        </w:tc>
      </w:tr>
      <w:tr>
        <w:trPr>
          <w:trHeight w:val="20"/>
        </w:trPr>
        <w:tc>
          <w:tcPr>
            <w:tcW w:w="54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r>
      <w:tr>
        <w:trPr>
          <w:trHeight w:val="209"/>
        </w:trPr>
        <w:tc>
          <w:tcPr>
            <w:tcW w:w="1780" w:type="dxa"/>
            <w:vAlign w:val="bottom"/>
            <w:gridSpan w:val="6"/>
          </w:tcPr>
          <w:p>
            <w:pPr>
              <w:spacing w:after="0"/>
              <w:rPr>
                <w:sz w:val="20"/>
                <w:szCs w:val="20"/>
                <w:color w:val="auto"/>
              </w:rPr>
            </w:pPr>
            <w:r>
              <w:rPr>
                <w:rFonts w:ascii="Arial" w:cs="Arial" w:eastAsia="Arial" w:hAnsi="Arial"/>
                <w:sz w:val="18"/>
                <w:szCs w:val="18"/>
                <w:color w:val="auto"/>
              </w:rPr>
              <w:t>incurred under the [</w:t>
            </w:r>
          </w:p>
        </w:tc>
        <w:tc>
          <w:tcPr>
            <w:tcW w:w="9400" w:type="dxa"/>
            <w:vAlign w:val="bottom"/>
            <w:gridSpan w:val="1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5"/>
                <w:szCs w:val="15"/>
                <w:color w:val="auto"/>
                <w:w w:val="90"/>
              </w:rPr>
              <w:t>i</w:t>
            </w:r>
            <w:r>
              <w:rPr>
                <w:rFonts w:ascii="Arial" w:cs="Arial" w:eastAsia="Arial" w:hAnsi="Arial"/>
                <w:sz w:val="18"/>
                <w:szCs w:val="18"/>
                <w:color w:val="auto"/>
                <w:w w:val="90"/>
              </w:rPr>
              <w:t xml:space="preserve"> [First/Second]</w:t>
            </w:r>
            <w:r>
              <w:rPr>
                <w:rFonts w:ascii="Arial" w:cs="Arial" w:eastAsia="Arial" w:hAnsi="Arial"/>
                <w:sz w:val="15"/>
                <w:szCs w:val="15"/>
                <w:color w:val="auto"/>
                <w:w w:val="90"/>
              </w:rPr>
              <w:t>ii</w:t>
            </w:r>
            <w:r>
              <w:rPr>
                <w:rFonts w:ascii="Arial" w:cs="Arial" w:eastAsia="Arial" w:hAnsi="Arial"/>
                <w:sz w:val="18"/>
                <w:szCs w:val="18"/>
                <w:color w:val="auto"/>
                <w:w w:val="90"/>
              </w:rPr>
              <w:t xml:space="preserve"> Lien Credit Facility, together with their successors, assigns and transferees, as well as any Person designated as</w:t>
            </w:r>
          </w:p>
        </w:tc>
      </w:tr>
      <w:tr>
        <w:trPr>
          <w:trHeight w:val="190"/>
        </w:trPr>
        <w:tc>
          <w:tcPr>
            <w:tcW w:w="640" w:type="dxa"/>
            <w:vAlign w:val="bottom"/>
            <w:gridSpan w:val="2"/>
          </w:tcPr>
          <w:p>
            <w:pPr>
              <w:spacing w:after="0" w:line="190" w:lineRule="exact"/>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w:t>
            </w:r>
          </w:p>
        </w:tc>
        <w:tc>
          <w:tcPr>
            <w:tcW w:w="4260" w:type="dxa"/>
            <w:vAlign w:val="bottom"/>
            <w:gridSpan w:val="13"/>
          </w:tcPr>
          <w:p>
            <w:pPr>
              <w:ind w:left="20"/>
              <w:spacing w:after="0" w:line="190" w:lineRule="exact"/>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Credit Facility Lender” under any [</w:t>
            </w:r>
          </w:p>
        </w:tc>
        <w:tc>
          <w:tcPr>
            <w:tcW w:w="3840" w:type="dxa"/>
            <w:vAlign w:val="bottom"/>
            <w:gridSpan w:val="2"/>
          </w:tcPr>
          <w:p>
            <w:pPr>
              <w:jc w:val="right"/>
              <w:ind w:right="650"/>
              <w:spacing w:after="0" w:line="190" w:lineRule="exact"/>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 Facility.</w:t>
            </w:r>
          </w:p>
        </w:tc>
        <w:tc>
          <w:tcPr>
            <w:tcW w:w="17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385"/>
        </w:trPr>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40" w:type="dxa"/>
            <w:vAlign w:val="bottom"/>
            <w:gridSpan w:val="5"/>
          </w:tcPr>
          <w:p>
            <w:pPr>
              <w:ind w:left="16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2680" w:type="dxa"/>
            <w:vAlign w:val="bottom"/>
            <w:gridSpan w:val="6"/>
          </w:tcPr>
          <w:p>
            <w:pPr>
              <w:ind w:left="60"/>
              <w:spacing w:after="0"/>
              <w:rPr>
                <w:sz w:val="20"/>
                <w:szCs w:val="20"/>
                <w:color w:val="auto"/>
              </w:rPr>
            </w:pPr>
            <w:r>
              <w:rPr>
                <w:rFonts w:ascii="Arial" w:cs="Arial" w:eastAsia="Arial" w:hAnsi="Arial"/>
                <w:sz w:val="18"/>
                <w:szCs w:val="18"/>
                <w:color w:val="auto"/>
              </w:rPr>
              <w:t>Lien Creditors” shall mean all [</w:t>
            </w:r>
          </w:p>
        </w:tc>
        <w:tc>
          <w:tcPr>
            <w:tcW w:w="3840" w:type="dxa"/>
            <w:vAlign w:val="bottom"/>
            <w:gridSpan w:val="2"/>
          </w:tcPr>
          <w:p>
            <w:pPr>
              <w:jc w:val="center"/>
              <w:ind w:right="1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Credit Facility Lenders, all [</w:t>
            </w: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i</w:t>
            </w:r>
            <w:r>
              <w:rPr>
                <w:rFonts w:ascii="Arial" w:cs="Arial" w:eastAsia="Arial" w:hAnsi="Arial"/>
                <w:sz w:val="18"/>
                <w:szCs w:val="18"/>
                <w:color w:val="auto"/>
                <w:w w:val="99"/>
              </w:rPr>
              <w:t xml:space="preserve"> [First/Second]</w:t>
            </w:r>
            <w:r>
              <w:rPr>
                <w:rFonts w:ascii="Arial" w:cs="Arial" w:eastAsia="Arial" w:hAnsi="Arial"/>
                <w:sz w:val="15"/>
                <w:szCs w:val="15"/>
                <w:color w:val="auto"/>
                <w:w w:val="99"/>
              </w:rPr>
              <w:t>ii</w:t>
            </w:r>
            <w:r>
              <w:rPr>
                <w:rFonts w:ascii="Arial" w:cs="Arial" w:eastAsia="Arial" w:hAnsi="Arial"/>
                <w:sz w:val="18"/>
                <w:szCs w:val="18"/>
                <w:color w:val="auto"/>
                <w:w w:val="99"/>
              </w:rPr>
              <w:t xml:space="preserve"> Lien Bank</w:t>
            </w:r>
          </w:p>
        </w:tc>
      </w:tr>
      <w:tr>
        <w:trPr>
          <w:trHeight w:val="20"/>
        </w:trPr>
        <w:tc>
          <w:tcPr>
            <w:tcW w:w="540" w:type="dxa"/>
            <w:vAlign w:val="bottom"/>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60" w:type="dxa"/>
            <w:vAlign w:val="bottom"/>
            <w:gridSpan w:val="7"/>
          </w:tcPr>
          <w:p>
            <w:pPr>
              <w:spacing w:after="0" w:line="20" w:lineRule="exact"/>
              <w:rPr>
                <w:sz w:val="1"/>
                <w:szCs w:val="1"/>
                <w:color w:val="auto"/>
              </w:rPr>
            </w:pPr>
          </w:p>
        </w:tc>
      </w:tr>
      <w:tr>
        <w:trPr>
          <w:trHeight w:val="209"/>
        </w:trPr>
        <w:tc>
          <w:tcPr>
            <w:tcW w:w="2140" w:type="dxa"/>
            <w:vAlign w:val="bottom"/>
            <w:gridSpan w:val="8"/>
          </w:tcPr>
          <w:p>
            <w:pPr>
              <w:spacing w:after="0"/>
              <w:rPr>
                <w:sz w:val="20"/>
                <w:szCs w:val="20"/>
                <w:color w:val="auto"/>
              </w:rPr>
            </w:pPr>
            <w:r>
              <w:rPr>
                <w:rFonts w:ascii="Arial" w:cs="Arial" w:eastAsia="Arial" w:hAnsi="Arial"/>
                <w:sz w:val="18"/>
                <w:szCs w:val="18"/>
                <w:color w:val="auto"/>
                <w:w w:val="99"/>
              </w:rPr>
              <w:t>Products Affiliates and all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40" w:type="dxa"/>
            <w:vAlign w:val="bottom"/>
            <w:gridSpan w:val="8"/>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5"/>
                <w:szCs w:val="15"/>
                <w:color w:val="auto"/>
                <w:w w:val="90"/>
              </w:rPr>
              <w:t>i</w:t>
            </w:r>
            <w:r>
              <w:rPr>
                <w:rFonts w:ascii="Arial" w:cs="Arial" w:eastAsia="Arial" w:hAnsi="Arial"/>
                <w:sz w:val="18"/>
                <w:szCs w:val="18"/>
                <w:color w:val="auto"/>
                <w:w w:val="90"/>
              </w:rPr>
              <w:t xml:space="preserve"> [First/Second]</w:t>
            </w:r>
            <w:r>
              <w:rPr>
                <w:rFonts w:ascii="Arial" w:cs="Arial" w:eastAsia="Arial" w:hAnsi="Arial"/>
                <w:sz w:val="15"/>
                <w:szCs w:val="15"/>
                <w:color w:val="auto"/>
                <w:w w:val="90"/>
              </w:rPr>
              <w:t>ii</w:t>
            </w:r>
            <w:r>
              <w:rPr>
                <w:rFonts w:ascii="Arial" w:cs="Arial" w:eastAsia="Arial" w:hAnsi="Arial"/>
                <w:sz w:val="18"/>
                <w:szCs w:val="18"/>
                <w:color w:val="auto"/>
                <w:w w:val="90"/>
              </w:rPr>
              <w:t xml:space="preserve"> Lien Hedging Affiliates, and all successors, assigns, transferees and replacements thereof, as well as any</w:t>
            </w:r>
          </w:p>
        </w:tc>
      </w:tr>
      <w:tr>
        <w:trPr>
          <w:trHeight w:val="230"/>
        </w:trPr>
        <w:tc>
          <w:tcPr>
            <w:tcW w:w="2140" w:type="dxa"/>
            <w:vAlign w:val="bottom"/>
            <w:gridSpan w:val="8"/>
          </w:tcPr>
          <w:p>
            <w:pPr>
              <w:spacing w:after="0"/>
              <w:rPr>
                <w:sz w:val="20"/>
                <w:szCs w:val="20"/>
                <w:color w:val="auto"/>
              </w:rPr>
            </w:pPr>
            <w:r>
              <w:rPr>
                <w:rFonts w:ascii="Arial" w:cs="Arial" w:eastAsia="Arial" w:hAnsi="Arial"/>
                <w:sz w:val="18"/>
                <w:szCs w:val="18"/>
                <w:color w:val="auto"/>
                <w:w w:val="94"/>
              </w:rPr>
              <w:t>Person designated as a[n]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80" w:type="dxa"/>
            <w:vAlign w:val="bottom"/>
            <w:gridSpan w:val="5"/>
          </w:tcPr>
          <w:p>
            <w:pPr>
              <w:ind w:left="4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Creditor” under any [</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 Facility.</w:t>
            </w:r>
          </w:p>
        </w:tc>
        <w:tc>
          <w:tcPr>
            <w:tcW w:w="17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65"/>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20" w:type="dxa"/>
            <w:vAlign w:val="bottom"/>
          </w:tcPr>
          <w:p>
            <w:pPr>
              <w:jc w:val="right"/>
              <w:ind w:right="2850"/>
              <w:spacing w:after="0"/>
              <w:rPr>
                <w:sz w:val="20"/>
                <w:szCs w:val="20"/>
                <w:color w:val="auto"/>
              </w:rPr>
            </w:pPr>
            <w:r>
              <w:rPr>
                <w:rFonts w:ascii="Arial" w:cs="Arial" w:eastAsia="Arial" w:hAnsi="Arial"/>
                <w:sz w:val="18"/>
                <w:szCs w:val="18"/>
                <w:color w:val="auto"/>
                <w:w w:val="79"/>
              </w:rPr>
              <w:t>22</w:t>
            </w:r>
          </w:p>
        </w:tc>
        <w:tc>
          <w:tcPr>
            <w:tcW w:w="17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00"/>
          </w:cols>
          <w:pgMar w:left="240" w:top="273" w:right="259" w:bottom="1440" w:gutter="0" w:footer="0" w:header="0"/>
        </w:sectPr>
      </w:pPr>
    </w:p>
    <w:bookmarkStart w:id="464" w:name="page465"/>
    <w:bookmarkEnd w:id="4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2580" w:type="dxa"/>
            <w:vAlign w:val="bottom"/>
            <w:gridSpan w:val="6"/>
          </w:tcPr>
          <w:p>
            <w:pPr>
              <w:ind w:left="60"/>
              <w:spacing w:after="0"/>
              <w:rPr>
                <w:sz w:val="20"/>
                <w:szCs w:val="20"/>
                <w:color w:val="auto"/>
              </w:rPr>
            </w:pPr>
            <w:r>
              <w:rPr>
                <w:rFonts w:ascii="Arial" w:cs="Arial" w:eastAsia="Arial" w:hAnsi="Arial"/>
                <w:sz w:val="18"/>
                <w:szCs w:val="18"/>
                <w:color w:val="auto"/>
                <w:w w:val="93"/>
              </w:rPr>
              <w:t>Lien Documents” shall mean the [</w:t>
            </w:r>
          </w:p>
        </w:tc>
        <w:tc>
          <w:tcPr>
            <w:tcW w:w="3700" w:type="dxa"/>
            <w:vAlign w:val="bottom"/>
            <w:gridSpan w:val="5"/>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 Facility, the [</w:t>
            </w:r>
          </w:p>
        </w:tc>
        <w:tc>
          <w:tcPr>
            <w:tcW w:w="2900" w:type="dxa"/>
            <w:vAlign w:val="bottom"/>
            <w:gridSpan w:val="5"/>
          </w:tcPr>
          <w:p>
            <w:pPr>
              <w:jc w:val="right"/>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Guarantees, the</w:t>
            </w:r>
          </w:p>
        </w:tc>
      </w:tr>
      <w:tr>
        <w:trPr>
          <w:trHeight w:val="20"/>
        </w:trPr>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060" w:type="dxa"/>
            <w:vAlign w:val="bottom"/>
            <w:gridSpan w:val="16"/>
          </w:tcPr>
          <w:p>
            <w:pPr>
              <w:ind w:left="18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Collateral Documents, any Bank Products Agreements between any [</w:t>
            </w:r>
          </w:p>
        </w:tc>
        <w:tc>
          <w:tcPr>
            <w:tcW w:w="3360" w:type="dxa"/>
            <w:vAlign w:val="bottom"/>
            <w:gridSpan w:val="5"/>
          </w:tcPr>
          <w:p>
            <w:pPr>
              <w:ind w:left="16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color w:val="auto"/>
                <w:w w:val="93"/>
              </w:rPr>
              <w:t>i</w:t>
            </w:r>
            <w:r>
              <w:rPr>
                <w:rFonts w:ascii="Arial" w:cs="Arial" w:eastAsia="Arial" w:hAnsi="Arial"/>
                <w:sz w:val="18"/>
                <w:szCs w:val="18"/>
                <w:color w:val="auto"/>
                <w:w w:val="93"/>
              </w:rPr>
              <w:t xml:space="preserve"> [First/Second]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Loan Party and any [</w:t>
            </w:r>
          </w:p>
        </w:tc>
        <w:tc>
          <w:tcPr>
            <w:tcW w:w="120" w:type="dxa"/>
            <w:vAlign w:val="bottom"/>
          </w:tcPr>
          <w:p>
            <w:pPr>
              <w:spacing w:after="0"/>
              <w:rPr>
                <w:sz w:val="18"/>
                <w:szCs w:val="18"/>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16"/>
        </w:trPr>
        <w:tc>
          <w:tcPr>
            <w:tcW w:w="6300" w:type="dxa"/>
            <w:vAlign w:val="bottom"/>
            <w:gridSpan w:val="16"/>
          </w:tcPr>
          <w:p>
            <w:pPr>
              <w:spacing w:after="0"/>
              <w:rPr>
                <w:sz w:val="20"/>
                <w:szCs w:val="20"/>
                <w:color w:val="auto"/>
              </w:rPr>
            </w:pPr>
            <w:r>
              <w:rPr>
                <w:rFonts w:ascii="Arial" w:cs="Arial" w:eastAsia="Arial" w:hAnsi="Arial"/>
                <w:sz w:val="18"/>
                <w:szCs w:val="18"/>
                <w:color w:val="auto"/>
                <w:w w:val="93"/>
              </w:rPr>
              <w:t>[First/Second]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Bank Products Affiliate, any Hedging Agreements between any [</w:t>
            </w:r>
          </w:p>
        </w:tc>
        <w:tc>
          <w:tcPr>
            <w:tcW w:w="3700" w:type="dxa"/>
            <w:vAlign w:val="bottom"/>
            <w:gridSpan w:val="5"/>
          </w:tcPr>
          <w:p>
            <w:pPr>
              <w:ind w:left="300"/>
              <w:spacing w:after="0"/>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i</w:t>
            </w:r>
            <w:r>
              <w:rPr>
                <w:rFonts w:ascii="Arial" w:cs="Arial" w:eastAsia="Arial" w:hAnsi="Arial"/>
                <w:sz w:val="18"/>
                <w:szCs w:val="18"/>
                <w:color w:val="auto"/>
                <w:w w:val="99"/>
              </w:rPr>
              <w:t xml:space="preserve"> [First/Second]</w:t>
            </w:r>
            <w:r>
              <w:rPr>
                <w:rFonts w:ascii="Arial" w:cs="Arial" w:eastAsia="Arial" w:hAnsi="Arial"/>
                <w:sz w:val="15"/>
                <w:szCs w:val="15"/>
                <w:color w:val="auto"/>
                <w:w w:val="99"/>
              </w:rPr>
              <w:t>ii</w:t>
            </w:r>
            <w:r>
              <w:rPr>
                <w:rFonts w:ascii="Arial" w:cs="Arial" w:eastAsia="Arial" w:hAnsi="Arial"/>
                <w:sz w:val="18"/>
                <w:szCs w:val="18"/>
                <w:color w:val="auto"/>
                <w:w w:val="99"/>
              </w:rPr>
              <w:t xml:space="preserve"> Lien Loan Party and any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p>
        </w:tc>
      </w:tr>
      <w:tr>
        <w:trPr>
          <w:trHeight w:val="216"/>
        </w:trPr>
        <w:tc>
          <w:tcPr>
            <w:tcW w:w="5580" w:type="dxa"/>
            <w:vAlign w:val="bottom"/>
            <w:gridSpan w:val="15"/>
          </w:tcPr>
          <w:p>
            <w:pPr>
              <w:spacing w:after="0"/>
              <w:rPr>
                <w:sz w:val="20"/>
                <w:szCs w:val="20"/>
                <w:color w:val="auto"/>
              </w:rPr>
            </w:pPr>
            <w:r>
              <w:rPr>
                <w:rFonts w:ascii="Arial" w:cs="Arial" w:eastAsia="Arial" w:hAnsi="Arial"/>
                <w:sz w:val="18"/>
                <w:szCs w:val="18"/>
                <w:color w:val="auto"/>
                <w:w w:val="96"/>
              </w:rPr>
              <w:t>Lien Hedging Affiliate, those other ancillary agreements as to which the [</w:t>
            </w:r>
          </w:p>
        </w:tc>
        <w:tc>
          <w:tcPr>
            <w:tcW w:w="2920" w:type="dxa"/>
            <w:vAlign w:val="bottom"/>
            <w:gridSpan w:val="4"/>
          </w:tcPr>
          <w:p>
            <w:pPr>
              <w:ind w:left="100"/>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i</w:t>
            </w:r>
            <w:r>
              <w:rPr>
                <w:rFonts w:ascii="Arial" w:cs="Arial" w:eastAsia="Arial" w:hAnsi="Arial"/>
                <w:sz w:val="18"/>
                <w:szCs w:val="18"/>
                <w:color w:val="auto"/>
                <w:w w:val="97"/>
              </w:rPr>
              <w:t xml:space="preserve"> [First/Second]</w:t>
            </w:r>
            <w:r>
              <w:rPr>
                <w:rFonts w:ascii="Arial" w:cs="Arial" w:eastAsia="Arial" w:hAnsi="Arial"/>
                <w:sz w:val="15"/>
                <w:szCs w:val="15"/>
                <w:color w:val="auto"/>
                <w:w w:val="97"/>
              </w:rPr>
              <w:t>ii</w:t>
            </w:r>
            <w:r>
              <w:rPr>
                <w:rFonts w:ascii="Arial" w:cs="Arial" w:eastAsia="Arial" w:hAnsi="Arial"/>
                <w:sz w:val="18"/>
                <w:szCs w:val="18"/>
                <w:color w:val="auto"/>
                <w:w w:val="97"/>
              </w:rPr>
              <w:t xml:space="preserve"> Lien Agent or any [</w:t>
            </w:r>
          </w:p>
        </w:tc>
        <w:tc>
          <w:tcPr>
            <w:tcW w:w="2900" w:type="dxa"/>
            <w:vAlign w:val="bottom"/>
            <w:gridSpan w:val="5"/>
          </w:tcPr>
          <w:p>
            <w:pPr>
              <w:jc w:val="right"/>
              <w:ind w:right="29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Secured</w:t>
            </w:r>
          </w:p>
        </w:tc>
      </w:tr>
      <w:tr>
        <w:trPr>
          <w:trHeight w:val="216"/>
        </w:trPr>
        <w:tc>
          <w:tcPr>
            <w:tcW w:w="10780" w:type="dxa"/>
            <w:vAlign w:val="bottom"/>
            <w:gridSpan w:val="23"/>
          </w:tcPr>
          <w:p>
            <w:pPr>
              <w:spacing w:after="0"/>
              <w:rPr>
                <w:sz w:val="20"/>
                <w:szCs w:val="20"/>
                <w:color w:val="auto"/>
              </w:rPr>
            </w:pPr>
            <w:r>
              <w:rPr>
                <w:rFonts w:ascii="Arial" w:cs="Arial" w:eastAsia="Arial" w:hAnsi="Arial"/>
                <w:sz w:val="18"/>
                <w:szCs w:val="18"/>
                <w:color w:val="auto"/>
                <w:w w:val="90"/>
              </w:rPr>
              <w:t>Party is a party or a beneficiary and all other agreements, instruments, documents and certificates, now or hereafter executed by or on behalf of any [</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16"/>
        </w:trPr>
        <w:tc>
          <w:tcPr>
            <w:tcW w:w="7800" w:type="dxa"/>
            <w:vAlign w:val="bottom"/>
            <w:gridSpan w:val="18"/>
          </w:tcPr>
          <w:p>
            <w:pPr>
              <w:spacing w:after="0"/>
              <w:rPr>
                <w:sz w:val="20"/>
                <w:szCs w:val="20"/>
                <w:color w:val="auto"/>
              </w:rPr>
            </w:pPr>
            <w:r>
              <w:rPr>
                <w:rFonts w:ascii="Arial" w:cs="Arial" w:eastAsia="Arial" w:hAnsi="Arial"/>
                <w:sz w:val="18"/>
                <w:szCs w:val="18"/>
                <w:color w:val="auto"/>
                <w:w w:val="96"/>
              </w:rPr>
              <w:t>[First/Second]</w:t>
            </w:r>
            <w:r>
              <w:rPr>
                <w:rFonts w:ascii="Arial" w:cs="Arial" w:eastAsia="Arial" w:hAnsi="Arial"/>
                <w:sz w:val="15"/>
                <w:szCs w:val="15"/>
                <w:color w:val="auto"/>
                <w:w w:val="96"/>
              </w:rPr>
              <w:t>ii</w:t>
            </w:r>
            <w:r>
              <w:rPr>
                <w:rFonts w:ascii="Arial" w:cs="Arial" w:eastAsia="Arial" w:hAnsi="Arial"/>
                <w:sz w:val="18"/>
                <w:szCs w:val="18"/>
                <w:color w:val="auto"/>
                <w:w w:val="96"/>
              </w:rPr>
              <w:t xml:space="preserve"> Lien Loan Party or any of its respective Subsidiaries or Affiliates, and delivered to the [</w:t>
            </w:r>
          </w:p>
        </w:tc>
        <w:tc>
          <w:tcPr>
            <w:tcW w:w="3600" w:type="dxa"/>
            <w:vAlign w:val="bottom"/>
            <w:gridSpan w:val="6"/>
          </w:tcPr>
          <w:p>
            <w:pPr>
              <w:jc w:val="right"/>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Agent, in connection with</w:t>
            </w:r>
          </w:p>
        </w:tc>
      </w:tr>
      <w:tr>
        <w:trPr>
          <w:trHeight w:val="216"/>
        </w:trPr>
        <w:tc>
          <w:tcPr>
            <w:tcW w:w="2140" w:type="dxa"/>
            <w:vAlign w:val="bottom"/>
            <w:gridSpan w:val="7"/>
          </w:tcPr>
          <w:p>
            <w:pPr>
              <w:spacing w:after="0"/>
              <w:rPr>
                <w:sz w:val="20"/>
                <w:szCs w:val="20"/>
                <w:color w:val="auto"/>
              </w:rPr>
            </w:pPr>
            <w:r>
              <w:rPr>
                <w:rFonts w:ascii="Arial" w:cs="Arial" w:eastAsia="Arial" w:hAnsi="Arial"/>
                <w:sz w:val="18"/>
                <w:szCs w:val="18"/>
                <w:color w:val="auto"/>
                <w:w w:val="94"/>
              </w:rPr>
              <w:t>any of the foregoing or any [</w:t>
            </w:r>
          </w:p>
        </w:tc>
        <w:tc>
          <w:tcPr>
            <w:tcW w:w="80" w:type="dxa"/>
            <w:vAlign w:val="bottom"/>
          </w:tcPr>
          <w:p>
            <w:pPr>
              <w:spacing w:after="0"/>
              <w:rPr>
                <w:sz w:val="18"/>
                <w:szCs w:val="18"/>
                <w:color w:val="auto"/>
              </w:rPr>
            </w:pPr>
          </w:p>
        </w:tc>
        <w:tc>
          <w:tcPr>
            <w:tcW w:w="9180" w:type="dxa"/>
            <w:vAlign w:val="bottom"/>
            <w:gridSpan w:val="16"/>
          </w:tcPr>
          <w:p>
            <w:pPr>
              <w:jc w:val="right"/>
              <w:ind w:right="410"/>
              <w:spacing w:after="0"/>
              <w:rPr>
                <w:sz w:val="20"/>
                <w:szCs w:val="20"/>
                <w:color w:val="auto"/>
              </w:rPr>
            </w:pPr>
            <w:r>
              <w:rPr>
                <w:rFonts w:ascii="Arial" w:cs="Arial" w:eastAsia="Arial" w:hAnsi="Arial"/>
                <w:sz w:val="18"/>
                <w:szCs w:val="18"/>
                <w:color w:val="auto"/>
                <w:w w:val="92"/>
              </w:rPr>
              <w:t>]</w:t>
            </w:r>
            <w:r>
              <w:rPr>
                <w:rFonts w:ascii="Arial" w:cs="Arial" w:eastAsia="Arial" w:hAnsi="Arial"/>
                <w:sz w:val="15"/>
                <w:szCs w:val="15"/>
                <w:color w:val="auto"/>
                <w:w w:val="92"/>
              </w:rPr>
              <w:t>i</w:t>
            </w:r>
            <w:r>
              <w:rPr>
                <w:rFonts w:ascii="Arial" w:cs="Arial" w:eastAsia="Arial" w:hAnsi="Arial"/>
                <w:sz w:val="18"/>
                <w:szCs w:val="18"/>
                <w:color w:val="auto"/>
                <w:w w:val="92"/>
              </w:rPr>
              <w:t xml:space="preserve"> [First/Second]</w:t>
            </w:r>
            <w:r>
              <w:rPr>
                <w:rFonts w:ascii="Arial" w:cs="Arial" w:eastAsia="Arial" w:hAnsi="Arial"/>
                <w:sz w:val="15"/>
                <w:szCs w:val="15"/>
                <w:color w:val="auto"/>
                <w:w w:val="92"/>
              </w:rPr>
              <w:t>ii</w:t>
            </w:r>
            <w:r>
              <w:rPr>
                <w:rFonts w:ascii="Arial" w:cs="Arial" w:eastAsia="Arial" w:hAnsi="Arial"/>
                <w:sz w:val="18"/>
                <w:szCs w:val="18"/>
                <w:color w:val="auto"/>
                <w:w w:val="92"/>
              </w:rPr>
              <w:t xml:space="preserve"> Lien Credit Facility, in each case as the same may be amended, supplemented, waived or otherwise</w:t>
            </w:r>
          </w:p>
        </w:tc>
      </w:tr>
      <w:tr>
        <w:trPr>
          <w:trHeight w:val="230"/>
        </w:trPr>
        <w:tc>
          <w:tcPr>
            <w:tcW w:w="2140" w:type="dxa"/>
            <w:vAlign w:val="bottom"/>
            <w:gridSpan w:val="7"/>
          </w:tcPr>
          <w:p>
            <w:pPr>
              <w:spacing w:after="0"/>
              <w:rPr>
                <w:sz w:val="20"/>
                <w:szCs w:val="20"/>
                <w:color w:val="auto"/>
              </w:rPr>
            </w:pPr>
            <w:r>
              <w:rPr>
                <w:rFonts w:ascii="Arial" w:cs="Arial" w:eastAsia="Arial" w:hAnsi="Arial"/>
                <w:sz w:val="18"/>
                <w:szCs w:val="18"/>
                <w:color w:val="auto"/>
                <w:w w:val="99"/>
              </w:rPr>
              <w:t>modified from time to time.</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5"/>
        </w:trPr>
        <w:tc>
          <w:tcPr>
            <w:tcW w:w="240" w:type="dxa"/>
            <w:vAlign w:val="bottom"/>
          </w:tcPr>
          <w:p>
            <w:pPr>
              <w:spacing w:after="0"/>
              <w:rPr>
                <w:sz w:val="24"/>
                <w:szCs w:val="24"/>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4080" w:type="dxa"/>
            <w:vAlign w:val="bottom"/>
            <w:gridSpan w:val="8"/>
          </w:tcPr>
          <w:p>
            <w:pPr>
              <w:ind w:left="60"/>
              <w:spacing w:after="0"/>
              <w:rPr>
                <w:sz w:val="20"/>
                <w:szCs w:val="20"/>
                <w:color w:val="auto"/>
              </w:rPr>
            </w:pPr>
            <w:r>
              <w:rPr>
                <w:rFonts w:ascii="Arial" w:cs="Arial" w:eastAsia="Arial" w:hAnsi="Arial"/>
                <w:sz w:val="18"/>
                <w:szCs w:val="18"/>
                <w:color w:val="auto"/>
                <w:w w:val="96"/>
              </w:rPr>
              <w:t>Lien Guarantees” shall mean the guarantees of the [</w:t>
            </w:r>
          </w:p>
        </w:tc>
        <w:tc>
          <w:tcPr>
            <w:tcW w:w="5100" w:type="dxa"/>
            <w:vAlign w:val="bottom"/>
            <w:gridSpan w:val="8"/>
          </w:tcPr>
          <w:p>
            <w:pPr>
              <w:jc w:val="right"/>
              <w:ind w:right="270"/>
              <w:spacing w:after="0"/>
              <w:rPr>
                <w:sz w:val="20"/>
                <w:szCs w:val="20"/>
                <w:color w:val="auto"/>
              </w:rPr>
            </w:pPr>
            <w:r>
              <w:rPr>
                <w:rFonts w:ascii="Arial" w:cs="Arial" w:eastAsia="Arial" w:hAnsi="Arial"/>
                <w:sz w:val="18"/>
                <w:szCs w:val="18"/>
                <w:color w:val="auto"/>
                <w:w w:val="91"/>
              </w:rPr>
              <w:t>]</w:t>
            </w:r>
            <w:r>
              <w:rPr>
                <w:rFonts w:ascii="Arial" w:cs="Arial" w:eastAsia="Arial" w:hAnsi="Arial"/>
                <w:sz w:val="15"/>
                <w:szCs w:val="15"/>
                <w:color w:val="auto"/>
                <w:w w:val="91"/>
              </w:rPr>
              <w:t>i</w:t>
            </w:r>
            <w:r>
              <w:rPr>
                <w:rFonts w:ascii="Arial" w:cs="Arial" w:eastAsia="Arial" w:hAnsi="Arial"/>
                <w:sz w:val="18"/>
                <w:szCs w:val="18"/>
                <w:color w:val="auto"/>
                <w:w w:val="91"/>
              </w:rPr>
              <w:t xml:space="preserve"> [First/Second]</w:t>
            </w:r>
            <w:r>
              <w:rPr>
                <w:rFonts w:ascii="Arial" w:cs="Arial" w:eastAsia="Arial" w:hAnsi="Arial"/>
                <w:sz w:val="15"/>
                <w:szCs w:val="15"/>
                <w:color w:val="auto"/>
                <w:w w:val="91"/>
              </w:rPr>
              <w:t>ii</w:t>
            </w:r>
            <w:r>
              <w:rPr>
                <w:rFonts w:ascii="Arial" w:cs="Arial" w:eastAsia="Arial" w:hAnsi="Arial"/>
                <w:sz w:val="18"/>
                <w:szCs w:val="18"/>
                <w:color w:val="auto"/>
                <w:w w:val="91"/>
              </w:rPr>
              <w:t xml:space="preserve"> Lien Guarantors pursuant to the Guarantee and</w:t>
            </w:r>
          </w:p>
        </w:tc>
      </w:tr>
      <w:tr>
        <w:trPr>
          <w:trHeight w:val="20"/>
        </w:trPr>
        <w:tc>
          <w:tcPr>
            <w:tcW w:w="54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r>
      <w:tr>
        <w:trPr>
          <w:trHeight w:val="209"/>
        </w:trPr>
        <w:tc>
          <w:tcPr>
            <w:tcW w:w="3920" w:type="dxa"/>
            <w:vAlign w:val="bottom"/>
            <w:gridSpan w:val="12"/>
          </w:tcPr>
          <w:p>
            <w:pPr>
              <w:spacing w:after="0"/>
              <w:rPr>
                <w:sz w:val="20"/>
                <w:szCs w:val="20"/>
                <w:color w:val="auto"/>
              </w:rPr>
            </w:pPr>
            <w:r>
              <w:rPr>
                <w:rFonts w:ascii="Arial" w:cs="Arial" w:eastAsia="Arial" w:hAnsi="Arial"/>
                <w:sz w:val="18"/>
                <w:szCs w:val="18"/>
                <w:color w:val="auto"/>
              </w:rPr>
              <w:t>Collateral Agreement (as defined in the Original [</w:t>
            </w:r>
          </w:p>
        </w:tc>
        <w:tc>
          <w:tcPr>
            <w:tcW w:w="5420" w:type="dxa"/>
            <w:vAlign w:val="bottom"/>
            <w:gridSpan w:val="8"/>
          </w:tcPr>
          <w:p>
            <w:pPr>
              <w:ind w:left="40"/>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i</w:t>
            </w:r>
            <w:r>
              <w:rPr>
                <w:rFonts w:ascii="Arial" w:cs="Arial" w:eastAsia="Arial" w:hAnsi="Arial"/>
                <w:sz w:val="18"/>
                <w:szCs w:val="18"/>
                <w:color w:val="auto"/>
                <w:w w:val="96"/>
              </w:rPr>
              <w:t xml:space="preserve"> [First/Second]</w:t>
            </w:r>
            <w:r>
              <w:rPr>
                <w:rFonts w:ascii="Arial" w:cs="Arial" w:eastAsia="Arial" w:hAnsi="Arial"/>
                <w:sz w:val="15"/>
                <w:szCs w:val="15"/>
                <w:color w:val="auto"/>
                <w:w w:val="96"/>
              </w:rPr>
              <w:t>ii</w:t>
            </w:r>
            <w:r>
              <w:rPr>
                <w:rFonts w:ascii="Arial" w:cs="Arial" w:eastAsia="Arial" w:hAnsi="Arial"/>
                <w:sz w:val="18"/>
                <w:szCs w:val="18"/>
                <w:color w:val="auto"/>
                <w:w w:val="96"/>
              </w:rPr>
              <w:t xml:space="preserve"> Lien Credit Facility), and all other guarantees of any [</w:t>
            </w:r>
          </w:p>
        </w:tc>
        <w:tc>
          <w:tcPr>
            <w:tcW w:w="2060" w:type="dxa"/>
            <w:vAlign w:val="bottom"/>
            <w:gridSpan w:val="4"/>
          </w:tcPr>
          <w:p>
            <w:pPr>
              <w:jc w:val="right"/>
              <w:ind w:right="15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w:t>
            </w:r>
          </w:p>
        </w:tc>
      </w:tr>
      <w:tr>
        <w:trPr>
          <w:trHeight w:val="216"/>
        </w:trPr>
        <w:tc>
          <w:tcPr>
            <w:tcW w:w="1540" w:type="dxa"/>
            <w:vAlign w:val="bottom"/>
            <w:gridSpan w:val="6"/>
          </w:tcPr>
          <w:p>
            <w:pPr>
              <w:spacing w:after="0"/>
              <w:rPr>
                <w:sz w:val="20"/>
                <w:szCs w:val="20"/>
                <w:color w:val="auto"/>
              </w:rPr>
            </w:pPr>
            <w:r>
              <w:rPr>
                <w:rFonts w:ascii="Arial" w:cs="Arial" w:eastAsia="Arial" w:hAnsi="Arial"/>
                <w:sz w:val="18"/>
                <w:szCs w:val="18"/>
                <w:color w:val="auto"/>
                <w:w w:val="98"/>
              </w:rPr>
              <w:t>Obligations of any [</w:t>
            </w:r>
          </w:p>
        </w:tc>
        <w:tc>
          <w:tcPr>
            <w:tcW w:w="4040" w:type="dxa"/>
            <w:vAlign w:val="bottom"/>
            <w:gridSpan w:val="9"/>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Loan Party in favor of any [</w:t>
            </w:r>
          </w:p>
        </w:tc>
        <w:tc>
          <w:tcPr>
            <w:tcW w:w="5820" w:type="dxa"/>
            <w:vAlign w:val="bottom"/>
            <w:gridSpan w:val="9"/>
          </w:tcPr>
          <w:p>
            <w:pPr>
              <w:jc w:val="right"/>
              <w:ind w:right="37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Secured Party, in each case as the same may be</w:t>
            </w:r>
          </w:p>
        </w:tc>
      </w:tr>
      <w:tr>
        <w:trPr>
          <w:trHeight w:val="230"/>
        </w:trPr>
        <w:tc>
          <w:tcPr>
            <w:tcW w:w="5580" w:type="dxa"/>
            <w:vAlign w:val="bottom"/>
            <w:gridSpan w:val="15"/>
          </w:tcPr>
          <w:p>
            <w:pPr>
              <w:spacing w:after="0"/>
              <w:rPr>
                <w:sz w:val="20"/>
                <w:szCs w:val="20"/>
                <w:color w:val="auto"/>
              </w:rPr>
            </w:pPr>
            <w:r>
              <w:rPr>
                <w:rFonts w:ascii="Arial" w:cs="Arial" w:eastAsia="Arial" w:hAnsi="Arial"/>
                <w:sz w:val="18"/>
                <w:szCs w:val="18"/>
                <w:color w:val="auto"/>
                <w:w w:val="95"/>
              </w:rPr>
              <w:t>amended, supplemented, waived or otherwise modified from time to time.</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5"/>
        </w:trPr>
        <w:tc>
          <w:tcPr>
            <w:tcW w:w="240" w:type="dxa"/>
            <w:vAlign w:val="bottom"/>
          </w:tcPr>
          <w:p>
            <w:pPr>
              <w:spacing w:after="0"/>
              <w:rPr>
                <w:sz w:val="24"/>
                <w:szCs w:val="24"/>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8440" w:type="dxa"/>
            <w:vAlign w:val="bottom"/>
            <w:gridSpan w:val="14"/>
          </w:tcPr>
          <w:p>
            <w:pPr>
              <w:ind w:left="60"/>
              <w:spacing w:after="0"/>
              <w:rPr>
                <w:sz w:val="20"/>
                <w:szCs w:val="20"/>
                <w:color w:val="auto"/>
              </w:rPr>
            </w:pPr>
            <w:r>
              <w:rPr>
                <w:rFonts w:ascii="Arial" w:cs="Arial" w:eastAsia="Arial" w:hAnsi="Arial"/>
                <w:sz w:val="18"/>
                <w:szCs w:val="18"/>
                <w:color w:val="auto"/>
                <w:w w:val="94"/>
              </w:rPr>
              <w:t>Lien Guarantors” shall mean the collective reference to Holdings (so long as it is a Guarantor under any of the [</w:t>
            </w:r>
          </w:p>
        </w:tc>
        <w:tc>
          <w:tcPr>
            <w:tcW w:w="120" w:type="dxa"/>
            <w:vAlign w:val="bottom"/>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p>
        </w:tc>
        <w:tc>
          <w:tcPr>
            <w:tcW w:w="620" w:type="dxa"/>
            <w:vAlign w:val="bottom"/>
          </w:tcPr>
          <w:p>
            <w:pPr>
              <w:spacing w:after="0"/>
              <w:rPr>
                <w:sz w:val="24"/>
                <w:szCs w:val="24"/>
                <w:color w:val="auto"/>
              </w:rPr>
            </w:pPr>
          </w:p>
        </w:tc>
      </w:tr>
      <w:tr>
        <w:trPr>
          <w:trHeight w:val="20"/>
        </w:trPr>
        <w:tc>
          <w:tcPr>
            <w:tcW w:w="54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r>
      <w:tr>
        <w:trPr>
          <w:trHeight w:val="209"/>
        </w:trPr>
        <w:tc>
          <w:tcPr>
            <w:tcW w:w="7800" w:type="dxa"/>
            <w:vAlign w:val="bottom"/>
            <w:gridSpan w:val="18"/>
          </w:tcPr>
          <w:p>
            <w:pPr>
              <w:spacing w:after="0"/>
              <w:rPr>
                <w:sz w:val="20"/>
                <w:szCs w:val="20"/>
                <w:color w:val="auto"/>
              </w:rPr>
            </w:pPr>
            <w:r>
              <w:rPr>
                <w:rFonts w:ascii="Arial" w:cs="Arial" w:eastAsia="Arial" w:hAnsi="Arial"/>
                <w:sz w:val="18"/>
                <w:szCs w:val="18"/>
                <w:color w:val="auto"/>
                <w:w w:val="91"/>
              </w:rPr>
              <w:t>[First/Second]</w:t>
            </w:r>
            <w:r>
              <w:rPr>
                <w:rFonts w:ascii="Arial" w:cs="Arial" w:eastAsia="Arial" w:hAnsi="Arial"/>
                <w:sz w:val="15"/>
                <w:szCs w:val="15"/>
                <w:color w:val="auto"/>
                <w:w w:val="91"/>
              </w:rPr>
              <w:t>ii</w:t>
            </w:r>
            <w:r>
              <w:rPr>
                <w:rFonts w:ascii="Arial" w:cs="Arial" w:eastAsia="Arial" w:hAnsi="Arial"/>
                <w:sz w:val="18"/>
                <w:szCs w:val="18"/>
                <w:color w:val="auto"/>
                <w:w w:val="91"/>
              </w:rPr>
              <w:t xml:space="preserve"> Lien Guarantees), each of the Company’s Subsidiaries that is a guarantor under any of the [</w:t>
            </w:r>
          </w:p>
        </w:tc>
        <w:tc>
          <w:tcPr>
            <w:tcW w:w="3600" w:type="dxa"/>
            <w:vAlign w:val="bottom"/>
            <w:gridSpan w:val="6"/>
          </w:tcPr>
          <w:p>
            <w:pPr>
              <w:jc w:val="right"/>
              <w:ind w:right="110"/>
              <w:spacing w:after="0"/>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i</w:t>
            </w:r>
            <w:r>
              <w:rPr>
                <w:rFonts w:ascii="Arial" w:cs="Arial" w:eastAsia="Arial" w:hAnsi="Arial"/>
                <w:sz w:val="18"/>
                <w:szCs w:val="18"/>
                <w:color w:val="auto"/>
                <w:w w:val="99"/>
              </w:rPr>
              <w:t xml:space="preserve"> [First/Second]</w:t>
            </w:r>
            <w:r>
              <w:rPr>
                <w:rFonts w:ascii="Arial" w:cs="Arial" w:eastAsia="Arial" w:hAnsi="Arial"/>
                <w:sz w:val="15"/>
                <w:szCs w:val="15"/>
                <w:color w:val="auto"/>
                <w:w w:val="99"/>
              </w:rPr>
              <w:t>ii</w:t>
            </w:r>
            <w:r>
              <w:rPr>
                <w:rFonts w:ascii="Arial" w:cs="Arial" w:eastAsia="Arial" w:hAnsi="Arial"/>
                <w:sz w:val="18"/>
                <w:szCs w:val="18"/>
                <w:color w:val="auto"/>
                <w:w w:val="99"/>
              </w:rPr>
              <w:t xml:space="preserve"> Lien Guarantees and any</w:t>
            </w:r>
          </w:p>
        </w:tc>
      </w:tr>
      <w:tr>
        <w:trPr>
          <w:trHeight w:val="230"/>
        </w:trPr>
        <w:tc>
          <w:tcPr>
            <w:tcW w:w="7300" w:type="dxa"/>
            <w:vAlign w:val="bottom"/>
            <w:gridSpan w:val="17"/>
          </w:tcPr>
          <w:p>
            <w:pPr>
              <w:spacing w:after="0"/>
              <w:rPr>
                <w:sz w:val="20"/>
                <w:szCs w:val="20"/>
                <w:color w:val="auto"/>
              </w:rPr>
            </w:pPr>
            <w:r>
              <w:rPr>
                <w:rFonts w:ascii="Arial" w:cs="Arial" w:eastAsia="Arial" w:hAnsi="Arial"/>
                <w:sz w:val="18"/>
                <w:szCs w:val="18"/>
                <w:color w:val="auto"/>
                <w:w w:val="97"/>
              </w:rPr>
              <w:t>other Person who becomes a guarantor under any of the [  ]</w:t>
            </w:r>
            <w:r>
              <w:rPr>
                <w:rFonts w:ascii="Arial" w:cs="Arial" w:eastAsia="Arial" w:hAnsi="Arial"/>
                <w:sz w:val="15"/>
                <w:szCs w:val="15"/>
                <w:color w:val="auto"/>
                <w:w w:val="97"/>
              </w:rPr>
              <w:t>i</w:t>
            </w:r>
            <w:r>
              <w:rPr>
                <w:rFonts w:ascii="Arial" w:cs="Arial" w:eastAsia="Arial" w:hAnsi="Arial"/>
                <w:sz w:val="18"/>
                <w:szCs w:val="18"/>
                <w:color w:val="auto"/>
                <w:w w:val="97"/>
              </w:rPr>
              <w:t xml:space="preserve"> [First/Second]</w:t>
            </w:r>
            <w:r>
              <w:rPr>
                <w:rFonts w:ascii="Arial" w:cs="Arial" w:eastAsia="Arial" w:hAnsi="Arial"/>
                <w:sz w:val="15"/>
                <w:szCs w:val="15"/>
                <w:color w:val="auto"/>
                <w:w w:val="97"/>
              </w:rPr>
              <w:t>ii</w:t>
            </w:r>
            <w:r>
              <w:rPr>
                <w:rFonts w:ascii="Arial" w:cs="Arial" w:eastAsia="Arial" w:hAnsi="Arial"/>
                <w:sz w:val="18"/>
                <w:szCs w:val="18"/>
                <w:color w:val="auto"/>
                <w:w w:val="97"/>
              </w:rPr>
              <w:t xml:space="preserve"> Lien Guarantees.</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5"/>
        </w:trPr>
        <w:tc>
          <w:tcPr>
            <w:tcW w:w="240" w:type="dxa"/>
            <w:vAlign w:val="bottom"/>
          </w:tcPr>
          <w:p>
            <w:pPr>
              <w:spacing w:after="0"/>
              <w:rPr>
                <w:sz w:val="24"/>
                <w:szCs w:val="24"/>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7780" w:type="dxa"/>
            <w:vAlign w:val="bottom"/>
            <w:gridSpan w:val="13"/>
          </w:tcPr>
          <w:p>
            <w:pPr>
              <w:ind w:left="60"/>
              <w:spacing w:after="0"/>
              <w:rPr>
                <w:sz w:val="20"/>
                <w:szCs w:val="20"/>
                <w:color w:val="auto"/>
              </w:rPr>
            </w:pPr>
            <w:r>
              <w:rPr>
                <w:rFonts w:ascii="Arial" w:cs="Arial" w:eastAsia="Arial" w:hAnsi="Arial"/>
                <w:sz w:val="18"/>
                <w:szCs w:val="18"/>
                <w:color w:val="auto"/>
                <w:w w:val="93"/>
              </w:rPr>
              <w:t>Lien Hedging Affiliate” shall mean any Person who (a) has entered into a Hedging Agreement with any [</w:t>
            </w:r>
          </w:p>
        </w:tc>
        <w:tc>
          <w:tcPr>
            <w:tcW w:w="66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54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4520" w:type="dxa"/>
            <w:vAlign w:val="bottom"/>
            <w:gridSpan w:val="13"/>
          </w:tcPr>
          <w:p>
            <w:pPr>
              <w:spacing w:after="0"/>
              <w:rPr>
                <w:sz w:val="20"/>
                <w:szCs w:val="20"/>
                <w:color w:val="auto"/>
              </w:rPr>
            </w:pPr>
            <w:r>
              <w:rPr>
                <w:rFonts w:ascii="Arial" w:cs="Arial" w:eastAsia="Arial" w:hAnsi="Arial"/>
                <w:sz w:val="18"/>
                <w:szCs w:val="18"/>
                <w:color w:val="auto"/>
                <w:w w:val="93"/>
              </w:rPr>
              <w:t>[First/Second]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Loan Party with the obligations of such [</w:t>
            </w:r>
          </w:p>
        </w:tc>
        <w:tc>
          <w:tcPr>
            <w:tcW w:w="280" w:type="dxa"/>
            <w:vAlign w:val="bottom"/>
          </w:tcPr>
          <w:p>
            <w:pPr>
              <w:spacing w:after="0"/>
              <w:rPr>
                <w:sz w:val="18"/>
                <w:szCs w:val="18"/>
                <w:color w:val="auto"/>
              </w:rPr>
            </w:pPr>
          </w:p>
        </w:tc>
        <w:tc>
          <w:tcPr>
            <w:tcW w:w="5860" w:type="dxa"/>
            <w:vAlign w:val="bottom"/>
            <w:gridSpan w:val="8"/>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Loan Party thereunder being secured by one or more [</w:t>
            </w:r>
          </w:p>
        </w:tc>
        <w:tc>
          <w:tcPr>
            <w:tcW w:w="12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p>
        </w:tc>
      </w:tr>
      <w:tr>
        <w:trPr>
          <w:trHeight w:val="216"/>
        </w:trPr>
        <w:tc>
          <w:tcPr>
            <w:tcW w:w="4520" w:type="dxa"/>
            <w:vAlign w:val="bottom"/>
            <w:gridSpan w:val="13"/>
          </w:tcPr>
          <w:p>
            <w:pPr>
              <w:spacing w:after="0"/>
              <w:rPr>
                <w:sz w:val="20"/>
                <w:szCs w:val="20"/>
                <w:color w:val="auto"/>
              </w:rPr>
            </w:pPr>
            <w:r>
              <w:rPr>
                <w:rFonts w:ascii="Arial" w:cs="Arial" w:eastAsia="Arial" w:hAnsi="Arial"/>
                <w:sz w:val="18"/>
                <w:szCs w:val="18"/>
                <w:color w:val="auto"/>
              </w:rPr>
              <w:t>[First/Second]</w:t>
            </w:r>
            <w:r>
              <w:rPr>
                <w:rFonts w:ascii="Arial" w:cs="Arial" w:eastAsia="Arial" w:hAnsi="Arial"/>
                <w:sz w:val="15"/>
                <w:szCs w:val="15"/>
                <w:color w:val="auto"/>
              </w:rPr>
              <w:t>ii</w:t>
            </w:r>
            <w:r>
              <w:rPr>
                <w:rFonts w:ascii="Arial" w:cs="Arial" w:eastAsia="Arial" w:hAnsi="Arial"/>
                <w:sz w:val="18"/>
                <w:szCs w:val="18"/>
                <w:color w:val="auto"/>
              </w:rPr>
              <w:t xml:space="preserve"> Lien Collateral Documents, (b) was a[n] [</w:t>
            </w:r>
          </w:p>
        </w:tc>
        <w:tc>
          <w:tcPr>
            <w:tcW w:w="2780" w:type="dxa"/>
            <w:vAlign w:val="bottom"/>
            <w:gridSpan w:val="4"/>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 a[n] [</w:t>
            </w:r>
          </w:p>
        </w:tc>
        <w:tc>
          <w:tcPr>
            <w:tcW w:w="4100" w:type="dxa"/>
            <w:vAlign w:val="bottom"/>
            <w:gridSpan w:val="7"/>
          </w:tcPr>
          <w:p>
            <w:pPr>
              <w:jc w:val="right"/>
              <w:ind w:right="110"/>
              <w:spacing w:after="0"/>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i</w:t>
            </w:r>
            <w:r>
              <w:rPr>
                <w:rFonts w:ascii="Arial" w:cs="Arial" w:eastAsia="Arial" w:hAnsi="Arial"/>
                <w:sz w:val="18"/>
                <w:szCs w:val="18"/>
                <w:color w:val="auto"/>
                <w:w w:val="99"/>
              </w:rPr>
              <w:t xml:space="preserve"> [First/Second]</w:t>
            </w:r>
            <w:r>
              <w:rPr>
                <w:rFonts w:ascii="Arial" w:cs="Arial" w:eastAsia="Arial" w:hAnsi="Arial"/>
                <w:sz w:val="15"/>
                <w:szCs w:val="15"/>
                <w:color w:val="auto"/>
                <w:w w:val="99"/>
              </w:rPr>
              <w:t>ii</w:t>
            </w:r>
            <w:r>
              <w:rPr>
                <w:rFonts w:ascii="Arial" w:cs="Arial" w:eastAsia="Arial" w:hAnsi="Arial"/>
                <w:sz w:val="18"/>
                <w:szCs w:val="18"/>
                <w:color w:val="auto"/>
                <w:w w:val="99"/>
              </w:rPr>
              <w:t xml:space="preserve"> Lien Credit Facility Lender or an</w:t>
            </w:r>
          </w:p>
        </w:tc>
      </w:tr>
      <w:tr>
        <w:trPr>
          <w:trHeight w:val="230"/>
        </w:trPr>
        <w:tc>
          <w:tcPr>
            <w:tcW w:w="1540" w:type="dxa"/>
            <w:vAlign w:val="bottom"/>
            <w:gridSpan w:val="6"/>
          </w:tcPr>
          <w:p>
            <w:pPr>
              <w:spacing w:after="0"/>
              <w:rPr>
                <w:sz w:val="20"/>
                <w:szCs w:val="20"/>
                <w:color w:val="auto"/>
              </w:rPr>
            </w:pPr>
            <w:r>
              <w:rPr>
                <w:rFonts w:ascii="Arial" w:cs="Arial" w:eastAsia="Arial" w:hAnsi="Arial"/>
                <w:sz w:val="18"/>
                <w:szCs w:val="18"/>
                <w:color w:val="auto"/>
              </w:rPr>
              <w:t>Affiliate of a[n] [</w:t>
            </w:r>
          </w:p>
        </w:tc>
        <w:tc>
          <w:tcPr>
            <w:tcW w:w="9860" w:type="dxa"/>
            <w:vAlign w:val="bottom"/>
            <w:gridSpan w:val="18"/>
          </w:tcPr>
          <w:p>
            <w:pPr>
              <w:jc w:val="right"/>
              <w:ind w:right="30"/>
              <w:spacing w:after="0"/>
              <w:rPr>
                <w:sz w:val="20"/>
                <w:szCs w:val="20"/>
                <w:color w:val="auto"/>
              </w:rPr>
            </w:pPr>
            <w:r>
              <w:rPr>
                <w:rFonts w:ascii="Arial" w:cs="Arial" w:eastAsia="Arial" w:hAnsi="Arial"/>
                <w:sz w:val="18"/>
                <w:szCs w:val="18"/>
                <w:color w:val="auto"/>
                <w:w w:val="92"/>
              </w:rPr>
              <w:t>]</w:t>
            </w:r>
            <w:r>
              <w:rPr>
                <w:rFonts w:ascii="Arial" w:cs="Arial" w:eastAsia="Arial" w:hAnsi="Arial"/>
                <w:sz w:val="15"/>
                <w:szCs w:val="15"/>
                <w:color w:val="auto"/>
                <w:w w:val="92"/>
              </w:rPr>
              <w:t>i</w:t>
            </w:r>
            <w:r>
              <w:rPr>
                <w:rFonts w:ascii="Arial" w:cs="Arial" w:eastAsia="Arial" w:hAnsi="Arial"/>
                <w:sz w:val="18"/>
                <w:szCs w:val="18"/>
                <w:color w:val="auto"/>
                <w:w w:val="92"/>
              </w:rPr>
              <w:t xml:space="preserve"> [First/Second]</w:t>
            </w:r>
            <w:r>
              <w:rPr>
                <w:rFonts w:ascii="Arial" w:cs="Arial" w:eastAsia="Arial" w:hAnsi="Arial"/>
                <w:sz w:val="15"/>
                <w:szCs w:val="15"/>
                <w:color w:val="auto"/>
                <w:w w:val="92"/>
              </w:rPr>
              <w:t>ii</w:t>
            </w:r>
            <w:r>
              <w:rPr>
                <w:rFonts w:ascii="Arial" w:cs="Arial" w:eastAsia="Arial" w:hAnsi="Arial"/>
                <w:sz w:val="18"/>
                <w:szCs w:val="18"/>
                <w:color w:val="auto"/>
                <w:w w:val="92"/>
              </w:rPr>
              <w:t xml:space="preserve"> Lien Credit Facility Lender at the time of entry into such Hedging Agreement, or on or prior to the date hereof, or at</w:t>
            </w:r>
          </w:p>
        </w:tc>
      </w:tr>
    </w:tbl>
    <w:p>
      <w:pPr>
        <w:spacing w:after="0"/>
        <w:rPr>
          <w:sz w:val="20"/>
          <w:szCs w:val="20"/>
          <w:color w:val="auto"/>
        </w:rPr>
      </w:pPr>
      <w:r>
        <w:rPr>
          <w:rFonts w:ascii="Arial" w:cs="Arial" w:eastAsia="Arial" w:hAnsi="Arial"/>
          <w:sz w:val="16"/>
          <w:szCs w:val="16"/>
          <w:color w:val="auto"/>
        </w:rPr>
        <w:t>the time of the designation referred to in the following clause (c), and (c) has been designated by the Company in accordance with the terms of one or more</w:t>
      </w:r>
    </w:p>
    <w:p>
      <w:pPr>
        <w:spacing w:after="0" w:line="31" w:lineRule="exact"/>
        <w:rPr>
          <w:sz w:val="20"/>
          <w:szCs w:val="20"/>
          <w:color w:val="auto"/>
        </w:rPr>
      </w:pPr>
    </w:p>
    <w:p>
      <w:pPr>
        <w:ind w:firstLine="8"/>
        <w:spacing w:after="0" w:line="262" w:lineRule="auto"/>
        <w:tabs>
          <w:tab w:leader="none" w:pos="4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Person shall, with respect to any Hedging Agreement, be at any time a Hedging Affiliate hereunder with respect to more than one Credit Facility).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80" w:type="dxa"/>
            <w:vAlign w:val="bottom"/>
            <w:gridSpan w:val="6"/>
          </w:tcPr>
          <w:p>
            <w:pPr>
              <w:jc w:val="right"/>
              <w:ind w:righ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u w:val="single" w:color="auto"/>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Loan Parties” shall mean the [  ]</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Borrower, the [</w:t>
            </w: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w w:val="91"/>
              </w:rPr>
              <w:t>]</w:t>
            </w:r>
            <w:r>
              <w:rPr>
                <w:rFonts w:ascii="Arial" w:cs="Arial" w:eastAsia="Arial" w:hAnsi="Arial"/>
                <w:sz w:val="15"/>
                <w:szCs w:val="15"/>
                <w:color w:val="auto"/>
                <w:w w:val="91"/>
              </w:rPr>
              <w:t>i</w:t>
            </w:r>
            <w:r>
              <w:rPr>
                <w:rFonts w:ascii="Arial" w:cs="Arial" w:eastAsia="Arial" w:hAnsi="Arial"/>
                <w:sz w:val="18"/>
                <w:szCs w:val="18"/>
                <w:color w:val="auto"/>
                <w:w w:val="91"/>
              </w:rPr>
              <w:t xml:space="preserve"> [First/Second]</w:t>
            </w:r>
            <w:r>
              <w:rPr>
                <w:rFonts w:ascii="Arial" w:cs="Arial" w:eastAsia="Arial" w:hAnsi="Arial"/>
                <w:sz w:val="15"/>
                <w:szCs w:val="15"/>
                <w:color w:val="auto"/>
                <w:w w:val="91"/>
              </w:rPr>
              <w:t>ii</w:t>
            </w:r>
            <w:r>
              <w:rPr>
                <w:rFonts w:ascii="Arial" w:cs="Arial" w:eastAsia="Arial" w:hAnsi="Arial"/>
                <w:sz w:val="18"/>
                <w:szCs w:val="18"/>
                <w:color w:val="auto"/>
                <w:w w:val="91"/>
              </w:rPr>
              <w:t xml:space="preserve"> Lien Guarantors and each</w:t>
            </w:r>
          </w:p>
        </w:tc>
      </w:tr>
      <w:tr>
        <w:trPr>
          <w:trHeight w:val="20"/>
        </w:trPr>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2"/>
        </w:trPr>
        <w:tc>
          <w:tcPr>
            <w:tcW w:w="8980" w:type="dxa"/>
            <w:vAlign w:val="bottom"/>
            <w:gridSpan w:val="9"/>
          </w:tcPr>
          <w:p>
            <w:pPr>
              <w:spacing w:after="0"/>
              <w:rPr>
                <w:sz w:val="20"/>
                <w:szCs w:val="20"/>
                <w:color w:val="auto"/>
              </w:rPr>
            </w:pPr>
            <w:r>
              <w:rPr>
                <w:rFonts w:ascii="Arial" w:cs="Arial" w:eastAsia="Arial" w:hAnsi="Arial"/>
                <w:sz w:val="18"/>
                <w:szCs w:val="18"/>
                <w:color w:val="auto"/>
                <w:w w:val="93"/>
              </w:rPr>
              <w:t>other direct or indirect Subsidiary of the Company or any of its Affiliates that is now or hereafter becomes a party to any [</w:t>
            </w:r>
          </w:p>
        </w:tc>
        <w:tc>
          <w:tcPr>
            <w:tcW w:w="232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w:t>
            </w: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w w:val="98"/>
              </w:rPr>
              <w:t>Document.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65"/>
        </w:trPr>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80" w:type="dxa"/>
            <w:vAlign w:val="bottom"/>
            <w:gridSpan w:val="6"/>
          </w:tcPr>
          <w:p>
            <w:pPr>
              <w:jc w:val="right"/>
              <w:ind w:right="2160"/>
              <w:spacing w:after="0"/>
              <w:rPr>
                <w:sz w:val="20"/>
                <w:szCs w:val="20"/>
                <w:color w:val="auto"/>
              </w:rPr>
            </w:pPr>
            <w:r>
              <w:rPr>
                <w:rFonts w:ascii="Arial" w:cs="Arial" w:eastAsia="Arial" w:hAnsi="Arial"/>
                <w:sz w:val="18"/>
                <w:szCs w:val="18"/>
                <w:color w:val="auto"/>
              </w:rPr>
              <w:t>23</w:t>
            </w: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00"/>
          </w:cols>
          <w:pgMar w:left="240" w:top="223" w:right="259" w:bottom="1440" w:gutter="0" w:footer="0" w:header="0"/>
        </w:sectPr>
      </w:pPr>
    </w:p>
    <w:bookmarkStart w:id="465" w:name="page466"/>
    <w:bookmarkEnd w:id="4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u w:val="single" w:color="auto"/>
                <w:color w:val="auto"/>
                <w:w w:val="93"/>
              </w:rPr>
              <w:t>i</w:t>
            </w:r>
            <w:r>
              <w:rPr>
                <w:rFonts w:ascii="Arial" w:cs="Arial" w:eastAsia="Arial" w:hAnsi="Arial"/>
                <w:sz w:val="18"/>
                <w:szCs w:val="18"/>
                <w:color w:val="auto"/>
                <w:w w:val="93"/>
              </w:rPr>
              <w:t xml:space="preserve"> [First/Second]</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ii</w:t>
            </w:r>
          </w:p>
        </w:tc>
        <w:tc>
          <w:tcPr>
            <w:tcW w:w="9140" w:type="dxa"/>
            <w:vAlign w:val="bottom"/>
            <w:gridSpan w:val="6"/>
          </w:tcPr>
          <w:p>
            <w:pPr>
              <w:jc w:val="right"/>
              <w:spacing w:after="0"/>
              <w:rPr>
                <w:sz w:val="20"/>
                <w:szCs w:val="20"/>
                <w:color w:val="auto"/>
              </w:rPr>
            </w:pPr>
            <w:r>
              <w:rPr>
                <w:rFonts w:ascii="Arial" w:cs="Arial" w:eastAsia="Arial" w:hAnsi="Arial"/>
                <w:sz w:val="18"/>
                <w:szCs w:val="18"/>
                <w:color w:val="auto"/>
                <w:w w:val="91"/>
              </w:rPr>
              <w:t>Lien Obligations” shall mean any and all loans and all other obligations, liabilities and indebtedness of every kind, nature and</w:t>
            </w:r>
          </w:p>
        </w:tc>
      </w:tr>
      <w:tr>
        <w:trPr>
          <w:trHeight w:val="20"/>
        </w:trPr>
        <w:tc>
          <w:tcPr>
            <w:tcW w:w="5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0700" w:type="dxa"/>
            <w:vAlign w:val="bottom"/>
            <w:gridSpan w:val="12"/>
          </w:tcPr>
          <w:p>
            <w:pPr>
              <w:spacing w:after="0"/>
              <w:rPr>
                <w:sz w:val="20"/>
                <w:szCs w:val="20"/>
                <w:color w:val="auto"/>
              </w:rPr>
            </w:pPr>
            <w:r>
              <w:rPr>
                <w:rFonts w:ascii="Arial" w:cs="Arial" w:eastAsia="Arial" w:hAnsi="Arial"/>
                <w:sz w:val="18"/>
                <w:szCs w:val="18"/>
                <w:color w:val="auto"/>
                <w:w w:val="92"/>
              </w:rPr>
              <w:t>description, whether now existing or hereafter arising, whether arising before, during or after the commencement of any case with respect to any [</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16"/>
        </w:trPr>
        <w:tc>
          <w:tcPr>
            <w:tcW w:w="8520" w:type="dxa"/>
            <w:vAlign w:val="bottom"/>
            <w:gridSpan w:val="11"/>
          </w:tcPr>
          <w:p>
            <w:pPr>
              <w:spacing w:after="0"/>
              <w:rPr>
                <w:sz w:val="20"/>
                <w:szCs w:val="20"/>
                <w:color w:val="auto"/>
              </w:rPr>
            </w:pPr>
            <w:r>
              <w:rPr>
                <w:rFonts w:ascii="Arial" w:cs="Arial" w:eastAsia="Arial" w:hAnsi="Arial"/>
                <w:sz w:val="18"/>
                <w:szCs w:val="18"/>
                <w:color w:val="auto"/>
                <w:w w:val="94"/>
              </w:rPr>
              <w:t>[First/Second]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Loan Party under the Bankruptcy Code or any other Insolvency Proceeding, owing by each [</w:t>
            </w:r>
          </w:p>
        </w:tc>
        <w:tc>
          <w:tcPr>
            <w:tcW w:w="2840" w:type="dxa"/>
            <w:vAlign w:val="bottom"/>
            <w:gridSpan w:val="2"/>
          </w:tcPr>
          <w:p>
            <w:pPr>
              <w:jc w:val="right"/>
              <w:ind w:right="210"/>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i</w:t>
            </w:r>
            <w:r>
              <w:rPr>
                <w:rFonts w:ascii="Arial" w:cs="Arial" w:eastAsia="Arial" w:hAnsi="Arial"/>
                <w:sz w:val="18"/>
                <w:szCs w:val="18"/>
                <w:color w:val="auto"/>
                <w:w w:val="96"/>
              </w:rPr>
              <w:t xml:space="preserve"> [First/Second]</w:t>
            </w:r>
            <w:r>
              <w:rPr>
                <w:rFonts w:ascii="Arial" w:cs="Arial" w:eastAsia="Arial" w:hAnsi="Arial"/>
                <w:sz w:val="15"/>
                <w:szCs w:val="15"/>
                <w:color w:val="auto"/>
                <w:w w:val="96"/>
              </w:rPr>
              <w:t>ii</w:t>
            </w:r>
            <w:r>
              <w:rPr>
                <w:rFonts w:ascii="Arial" w:cs="Arial" w:eastAsia="Arial" w:hAnsi="Arial"/>
                <w:sz w:val="18"/>
                <w:szCs w:val="18"/>
                <w:color w:val="auto"/>
                <w:w w:val="96"/>
              </w:rPr>
              <w:t xml:space="preserve"> Lien Loan Party</w:t>
            </w:r>
          </w:p>
        </w:tc>
      </w:tr>
      <w:tr>
        <w:trPr>
          <w:trHeight w:val="216"/>
        </w:trPr>
        <w:tc>
          <w:tcPr>
            <w:tcW w:w="2140" w:type="dxa"/>
            <w:vAlign w:val="bottom"/>
            <w:gridSpan w:val="6"/>
          </w:tcPr>
          <w:p>
            <w:pPr>
              <w:spacing w:after="0"/>
              <w:rPr>
                <w:sz w:val="20"/>
                <w:szCs w:val="20"/>
                <w:color w:val="auto"/>
              </w:rPr>
            </w:pPr>
            <w:r>
              <w:rPr>
                <w:rFonts w:ascii="Arial" w:cs="Arial" w:eastAsia="Arial" w:hAnsi="Arial"/>
                <w:sz w:val="18"/>
                <w:szCs w:val="18"/>
                <w:color w:val="auto"/>
                <w:w w:val="92"/>
              </w:rPr>
              <w:t>from time to time under any [</w:t>
            </w:r>
          </w:p>
        </w:tc>
        <w:tc>
          <w:tcPr>
            <w:tcW w:w="80" w:type="dxa"/>
            <w:vAlign w:val="bottom"/>
          </w:tcPr>
          <w:p>
            <w:pPr>
              <w:spacing w:after="0"/>
              <w:rPr>
                <w:sz w:val="18"/>
                <w:szCs w:val="18"/>
                <w:color w:val="auto"/>
              </w:rPr>
            </w:pPr>
          </w:p>
        </w:tc>
        <w:tc>
          <w:tcPr>
            <w:tcW w:w="3440" w:type="dxa"/>
            <w:vAlign w:val="bottom"/>
            <w:gridSpan w:val="2"/>
          </w:tcPr>
          <w:p>
            <w:pPr>
              <w:ind w:left="280"/>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i</w:t>
            </w:r>
            <w:r>
              <w:rPr>
                <w:rFonts w:ascii="Arial" w:cs="Arial" w:eastAsia="Arial" w:hAnsi="Arial"/>
                <w:sz w:val="18"/>
                <w:szCs w:val="18"/>
                <w:color w:val="auto"/>
                <w:w w:val="97"/>
              </w:rPr>
              <w:t xml:space="preserve"> [First/Second]</w:t>
            </w:r>
            <w:r>
              <w:rPr>
                <w:rFonts w:ascii="Arial" w:cs="Arial" w:eastAsia="Arial" w:hAnsi="Arial"/>
                <w:sz w:val="15"/>
                <w:szCs w:val="15"/>
                <w:color w:val="auto"/>
                <w:w w:val="97"/>
              </w:rPr>
              <w:t>ii</w:t>
            </w:r>
            <w:r>
              <w:rPr>
                <w:rFonts w:ascii="Arial" w:cs="Arial" w:eastAsia="Arial" w:hAnsi="Arial"/>
                <w:sz w:val="18"/>
                <w:szCs w:val="18"/>
                <w:color w:val="auto"/>
                <w:w w:val="97"/>
              </w:rPr>
              <w:t xml:space="preserve"> Lien Document to any [</w:t>
            </w:r>
          </w:p>
        </w:tc>
        <w:tc>
          <w:tcPr>
            <w:tcW w:w="2860" w:type="dxa"/>
            <w:vAlign w:val="bottom"/>
            <w:gridSpan w:val="2"/>
          </w:tcPr>
          <w:p>
            <w:pPr>
              <w:ind w:left="220"/>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i</w:t>
            </w:r>
            <w:r>
              <w:rPr>
                <w:rFonts w:ascii="Arial" w:cs="Arial" w:eastAsia="Arial" w:hAnsi="Arial"/>
                <w:sz w:val="18"/>
                <w:szCs w:val="18"/>
                <w:color w:val="auto"/>
                <w:w w:val="96"/>
              </w:rPr>
              <w:t xml:space="preserve"> [First/Second]</w:t>
            </w:r>
            <w:r>
              <w:rPr>
                <w:rFonts w:ascii="Arial" w:cs="Arial" w:eastAsia="Arial" w:hAnsi="Arial"/>
                <w:sz w:val="15"/>
                <w:szCs w:val="15"/>
                <w:color w:val="auto"/>
                <w:w w:val="96"/>
              </w:rPr>
              <w:t>ii</w:t>
            </w:r>
            <w:r>
              <w:rPr>
                <w:rFonts w:ascii="Arial" w:cs="Arial" w:eastAsia="Arial" w:hAnsi="Arial"/>
                <w:sz w:val="18"/>
                <w:szCs w:val="18"/>
                <w:color w:val="auto"/>
                <w:w w:val="96"/>
              </w:rPr>
              <w:t xml:space="preserve"> Lien Agent, any [</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Creditors or</w:t>
            </w:r>
          </w:p>
        </w:tc>
      </w:tr>
      <w:tr>
        <w:trPr>
          <w:trHeight w:val="216"/>
        </w:trPr>
        <w:tc>
          <w:tcPr>
            <w:tcW w:w="1440" w:type="dxa"/>
            <w:vAlign w:val="bottom"/>
            <w:gridSpan w:val="5"/>
          </w:tcPr>
          <w:p>
            <w:pPr>
              <w:spacing w:after="0"/>
              <w:rPr>
                <w:sz w:val="20"/>
                <w:szCs w:val="20"/>
                <w:color w:val="auto"/>
              </w:rPr>
            </w:pPr>
            <w:r>
              <w:rPr>
                <w:rFonts w:ascii="Arial" w:cs="Arial" w:eastAsia="Arial" w:hAnsi="Arial"/>
                <w:sz w:val="18"/>
                <w:szCs w:val="18"/>
                <w:color w:val="auto"/>
                <w:w w:val="99"/>
              </w:rPr>
              <w:t>any of them, any [</w:t>
            </w:r>
          </w:p>
        </w:tc>
        <w:tc>
          <w:tcPr>
            <w:tcW w:w="4220" w:type="dxa"/>
            <w:vAlign w:val="bottom"/>
            <w:gridSpan w:val="4"/>
          </w:tcPr>
          <w:p>
            <w:pPr>
              <w:ind w:left="240"/>
              <w:spacing w:after="0"/>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i</w:t>
            </w:r>
            <w:r>
              <w:rPr>
                <w:rFonts w:ascii="Arial" w:cs="Arial" w:eastAsia="Arial" w:hAnsi="Arial"/>
                <w:sz w:val="18"/>
                <w:szCs w:val="18"/>
                <w:color w:val="auto"/>
                <w:w w:val="99"/>
              </w:rPr>
              <w:t xml:space="preserve"> [First/Second]</w:t>
            </w:r>
            <w:r>
              <w:rPr>
                <w:rFonts w:ascii="Arial" w:cs="Arial" w:eastAsia="Arial" w:hAnsi="Arial"/>
                <w:sz w:val="15"/>
                <w:szCs w:val="15"/>
                <w:color w:val="auto"/>
                <w:w w:val="99"/>
              </w:rPr>
              <w:t>ii</w:t>
            </w:r>
            <w:r>
              <w:rPr>
                <w:rFonts w:ascii="Arial" w:cs="Arial" w:eastAsia="Arial" w:hAnsi="Arial"/>
                <w:sz w:val="18"/>
                <w:szCs w:val="18"/>
                <w:color w:val="auto"/>
                <w:w w:val="99"/>
              </w:rPr>
              <w:t xml:space="preserve"> Lien Bank Products Affiliates or [</w:t>
            </w:r>
          </w:p>
        </w:tc>
        <w:tc>
          <w:tcPr>
            <w:tcW w:w="5700" w:type="dxa"/>
            <w:vAlign w:val="bottom"/>
            <w:gridSpan w:val="4"/>
          </w:tcPr>
          <w:p>
            <w:pPr>
              <w:jc w:val="right"/>
              <w:ind w:right="210"/>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i</w:t>
            </w:r>
            <w:r>
              <w:rPr>
                <w:rFonts w:ascii="Arial" w:cs="Arial" w:eastAsia="Arial" w:hAnsi="Arial"/>
                <w:sz w:val="18"/>
                <w:szCs w:val="18"/>
                <w:color w:val="auto"/>
                <w:w w:val="96"/>
              </w:rPr>
              <w:t xml:space="preserve"> [First/Second]</w:t>
            </w:r>
            <w:r>
              <w:rPr>
                <w:rFonts w:ascii="Arial" w:cs="Arial" w:eastAsia="Arial" w:hAnsi="Arial"/>
                <w:sz w:val="15"/>
                <w:szCs w:val="15"/>
                <w:color w:val="auto"/>
                <w:w w:val="96"/>
              </w:rPr>
              <w:t>ii</w:t>
            </w:r>
            <w:r>
              <w:rPr>
                <w:rFonts w:ascii="Arial" w:cs="Arial" w:eastAsia="Arial" w:hAnsi="Arial"/>
                <w:sz w:val="18"/>
                <w:szCs w:val="18"/>
                <w:color w:val="auto"/>
                <w:w w:val="96"/>
              </w:rPr>
              <w:t xml:space="preserve"> Lien Hedging Affiliates, whether for principal, interest</w:t>
            </w:r>
          </w:p>
        </w:tc>
      </w:tr>
      <w:tr>
        <w:trPr>
          <w:trHeight w:val="216"/>
        </w:trPr>
        <w:tc>
          <w:tcPr>
            <w:tcW w:w="7580" w:type="dxa"/>
            <w:vAlign w:val="bottom"/>
            <w:gridSpan w:val="10"/>
          </w:tcPr>
          <w:p>
            <w:pPr>
              <w:spacing w:after="0"/>
              <w:rPr>
                <w:sz w:val="20"/>
                <w:szCs w:val="20"/>
                <w:color w:val="auto"/>
              </w:rPr>
            </w:pPr>
            <w:r>
              <w:rPr>
                <w:rFonts w:ascii="Arial" w:cs="Arial" w:eastAsia="Arial" w:hAnsi="Arial"/>
                <w:sz w:val="18"/>
                <w:szCs w:val="18"/>
                <w:color w:val="auto"/>
                <w:w w:val="96"/>
              </w:rPr>
              <w:t>(including interest and fees which, but for the filing of a petition in bankruptcy with respect to such [</w:t>
            </w:r>
          </w:p>
        </w:tc>
        <w:tc>
          <w:tcPr>
            <w:tcW w:w="3780" w:type="dxa"/>
            <w:vAlign w:val="bottom"/>
            <w:gridSpan w:val="3"/>
          </w:tcPr>
          <w:p>
            <w:pPr>
              <w:jc w:val="right"/>
              <w:ind w:right="25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Loan Party, would have</w:t>
            </w:r>
          </w:p>
        </w:tc>
      </w:tr>
      <w:tr>
        <w:trPr>
          <w:trHeight w:val="230"/>
        </w:trPr>
        <w:tc>
          <w:tcPr>
            <w:tcW w:w="1440" w:type="dxa"/>
            <w:vAlign w:val="bottom"/>
            <w:gridSpan w:val="5"/>
          </w:tcPr>
          <w:p>
            <w:pPr>
              <w:spacing w:after="0"/>
              <w:rPr>
                <w:sz w:val="20"/>
                <w:szCs w:val="20"/>
                <w:color w:val="auto"/>
              </w:rPr>
            </w:pPr>
            <w:r>
              <w:rPr>
                <w:rFonts w:ascii="Arial" w:cs="Arial" w:eastAsia="Arial" w:hAnsi="Arial"/>
                <w:sz w:val="18"/>
                <w:szCs w:val="18"/>
                <w:color w:val="auto"/>
              </w:rPr>
              <w:t>accrued on any [</w:t>
            </w:r>
          </w:p>
        </w:tc>
        <w:tc>
          <w:tcPr>
            <w:tcW w:w="6140" w:type="dxa"/>
            <w:vAlign w:val="bottom"/>
            <w:gridSpan w:val="5"/>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color w:val="auto"/>
                <w:w w:val="93"/>
              </w:rPr>
              <w:t>i</w:t>
            </w:r>
            <w:r>
              <w:rPr>
                <w:rFonts w:ascii="Arial" w:cs="Arial" w:eastAsia="Arial" w:hAnsi="Arial"/>
                <w:sz w:val="18"/>
                <w:szCs w:val="18"/>
                <w:color w:val="auto"/>
                <w:w w:val="93"/>
              </w:rPr>
              <w:t xml:space="preserve"> [First/Second]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Obligation, whether or not a claim is allowed against such [</w:t>
            </w:r>
          </w:p>
        </w:tc>
        <w:tc>
          <w:tcPr>
            <w:tcW w:w="3780" w:type="dxa"/>
            <w:vAlign w:val="bottom"/>
            <w:gridSpan w:val="3"/>
          </w:tcPr>
          <w:p>
            <w:pPr>
              <w:jc w:val="right"/>
              <w:ind w:right="27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Loan Party for such</w:t>
            </w:r>
          </w:p>
        </w:tc>
      </w:tr>
    </w:tbl>
    <w:p>
      <w:pPr>
        <w:spacing w:after="0" w:line="254" w:lineRule="auto"/>
        <w:rPr>
          <w:sz w:val="20"/>
          <w:szCs w:val="20"/>
          <w:color w:val="auto"/>
        </w:rPr>
      </w:pPr>
      <w:r>
        <w:rPr>
          <w:rFonts w:ascii="Arial" w:cs="Arial" w:eastAsia="Arial" w:hAnsi="Arial"/>
          <w:sz w:val="18"/>
          <w:szCs w:val="18"/>
          <w:color w:val="auto"/>
        </w:rPr>
        <w:t>interest and fees in the related bankruptcy proceeding), reimbursement for amounts drawn under letters of credit, fees, expenses, indemnification or otherwise, and all other amounts owing or due under the terms of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Documents, as amended, restated, modified, renewed, refunded, replaced or refinanced in whole or in part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Indebtedness that is Senior Priority Debt meets the requirements of Additional Indebtedness.</w:t>
      </w:r>
    </w:p>
    <w:p>
      <w:pPr>
        <w:spacing w:after="0" w:line="190" w:lineRule="exact"/>
        <w:rPr>
          <w:sz w:val="20"/>
          <w:szCs w:val="20"/>
          <w:color w:val="auto"/>
        </w:rPr>
      </w:pPr>
    </w:p>
    <w:p>
      <w:pPr>
        <w:ind w:left="460"/>
        <w:spacing w:after="0"/>
        <w:tabs>
          <w:tab w:leader="none" w:pos="940" w:val="left"/>
          <w:tab w:leader="none" w:pos="5360" w:val="left"/>
          <w:tab w:leader="none" w:pos="7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rFonts w:ascii="Arial" w:cs="Arial" w:eastAsia="Arial" w:hAnsi="Arial"/>
          <w:sz w:val="15"/>
          <w:szCs w:val="15"/>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[First/Second]</w:t>
      </w:r>
      <w:r>
        <w:rPr>
          <w:rFonts w:ascii="Arial" w:cs="Arial" w:eastAsia="Arial" w:hAnsi="Arial"/>
          <w:sz w:val="15"/>
          <w:szCs w:val="15"/>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Lien Secured Parties</w:t>
      </w:r>
      <w:r>
        <w:rPr>
          <w:rFonts w:ascii="Arial" w:cs="Arial" w:eastAsia="Arial" w:hAnsi="Arial"/>
          <w:sz w:val="18"/>
          <w:szCs w:val="18"/>
          <w:color w:val="auto"/>
        </w:rPr>
        <w:t>” shall mean the [</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and the [</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-10160</wp:posOffset>
            </wp:positionV>
            <wp:extent cx="3048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20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Rules of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context of this Agreement clearly requires otherwise, references to the plural include the singular, references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singular include the plural, the term “including” is not limiting, and the term “or” has, except where otherwise indicated, the inclusive meaning represented by the phrase “and/or”. The words “hereof”, “herein”, “hereby”, “hereunder”, and similar terms in this Agreement refer to this Agreement as a whole and not to any particular provision of this Agreement. Article, section, subsection, clause, schedule, and exhibit references herein are to this Agreement unless otherwise specified. Any reference in this Agreement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Any reference herein to any Person shall be construed to include such Person’s successors and assigns. Any reference herein to the repayment in full of an obligation shall mean the payment in full in cash of such obligation, or in such other manner as may be approved in writing by the requisite holders or representatives in respect of such obligation, or in such other manner as may be approved by the requisite holders or representatives in respect of such obligation.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LIEN PRIORITY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Lien Priority</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464"/>
        <w:spacing w:after="0" w:line="277" w:lineRule="auto"/>
        <w:tabs>
          <w:tab w:leader="none" w:pos="636" w:val="left"/>
        </w:tabs>
        <w:numPr>
          <w:ilvl w:val="0"/>
          <w:numId w:val="505"/>
        </w:numPr>
        <w:rPr>
          <w:rFonts w:ascii="Arial" w:cs="Arial" w:eastAsia="Arial" w:hAnsi="Arial"/>
          <w:sz w:val="18"/>
          <w:szCs w:val="18"/>
          <w:b w:val="1"/>
          <w:bCs w:val="1"/>
          <w:color w:val="auto"/>
        </w:rPr>
      </w:pPr>
      <w:r>
        <w:rPr>
          <w:rFonts w:ascii="Arial" w:cs="Arial" w:eastAsia="Arial" w:hAnsi="Arial"/>
          <w:sz w:val="18"/>
          <w:szCs w:val="18"/>
          <w:color w:val="auto"/>
        </w:rPr>
        <w:t>Notwithstanding (i) the date, time, method, manner, or order of grant, attachment, or perfection (including any defect or deficiency or alleged defect or deficiency in any of the foregoing) of any Liens granted to any Senior Priority Agent or any Senior Priority Creditors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23" w:right="239" w:bottom="1440" w:gutter="0" w:footer="0" w:header="0"/>
        </w:sectPr>
      </w:pPr>
    </w:p>
    <w:bookmarkStart w:id="466" w:name="page467"/>
    <w:bookmarkEnd w:id="46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of all or any portion of the Collateral, or of any Liens granted to any Junior Priority Agent or any Junior Priority Creditors in respect of all or any portion of the Collateral, and regardless of how any such Lien was acquired (whether by grant, statute, operation of law, subrogation or otherwise), (ii) the order or time of filing or recordation of any document or instrument for perfecting the Liens in favor of any Senior Priority Agent, any Senior Priority Creditors, any Junior Priority Agent or any Junior Priority Creditors in any Collateral, (iii) any provision of the Uniform Commercial Code, the Bankruptcy Code or any other applicable law, or of any Senior Priority Documents or Junior Priority Documents, (iv) whether any Senior Priority Agent or any Junior Priority Agent, in each case either directly or through agents, holds possession of, or has control over, all or any part of the Collateral, (v) the fact that any such Liens in favor of any Senior Priority Agent or any Senior Priority Creditors securing any of the Senior Priority Obligations are (x) subordinated to any Lien securing any other obligation of any Loan Party or (y) otherwise subordinated, voided, avoided, invalidated or lapsed or (vi) any other circumstance of any kind or nature whatsoever, each Junior Priority Agent, for and on behalf of itself and the Junior Priority Creditors represented thereby, hereby agrees that:</w:t>
      </w:r>
    </w:p>
    <w:p>
      <w:pPr>
        <w:spacing w:after="0" w:line="59" w:lineRule="exact"/>
        <w:rPr>
          <w:sz w:val="20"/>
          <w:szCs w:val="20"/>
          <w:color w:val="auto"/>
        </w:rPr>
      </w:pPr>
    </w:p>
    <w:p>
      <w:pPr>
        <w:ind w:left="460" w:right="180" w:firstLine="438"/>
        <w:spacing w:after="0" w:line="312" w:lineRule="auto"/>
        <w:rPr>
          <w:sz w:val="20"/>
          <w:szCs w:val="20"/>
          <w:color w:val="auto"/>
        </w:rPr>
      </w:pPr>
      <w:r>
        <w:rPr>
          <w:rFonts w:ascii="Arial" w:cs="Arial" w:eastAsia="Arial" w:hAnsi="Arial"/>
          <w:sz w:val="16"/>
          <w:szCs w:val="16"/>
          <w:color w:val="auto"/>
        </w:rPr>
        <w:t>a. any Lien in respect of all or any portion of the Collateral now or hereafter held by or on behalf of any Junior Priority Agent or any Junior Priority Creditor that secures all or any portion of the Junior Priority Obligations shall be junior and subordinate in all respects to all Liens granted to any of the Senior Priority Agents and the Senior Priority Creditors in the Collateral to secure all or any portion of the Senior Priority Obligations;</w:t>
      </w:r>
    </w:p>
    <w:p>
      <w:pPr>
        <w:spacing w:after="0" w:line="39" w:lineRule="exact"/>
        <w:rPr>
          <w:sz w:val="20"/>
          <w:szCs w:val="20"/>
          <w:color w:val="auto"/>
        </w:rPr>
      </w:pPr>
    </w:p>
    <w:p>
      <w:pPr>
        <w:ind w:left="460" w:right="140" w:firstLine="438"/>
        <w:spacing w:after="0" w:line="312" w:lineRule="auto"/>
        <w:rPr>
          <w:sz w:val="20"/>
          <w:szCs w:val="20"/>
          <w:color w:val="auto"/>
        </w:rPr>
      </w:pPr>
      <w:r>
        <w:rPr>
          <w:rFonts w:ascii="Arial" w:cs="Arial" w:eastAsia="Arial" w:hAnsi="Arial"/>
          <w:sz w:val="16"/>
          <w:szCs w:val="16"/>
          <w:color w:val="auto"/>
        </w:rPr>
        <w:t>b. any Lien in respect of all or any portion of the Collateral now or hereafter held by or on behalf of any Senior Priority Agent or any Senior Priority Creditor that secures all or any portion of the Senior Priority Obligations shall be senior and prior in all respects to all Liens granted to any of the Junior Priority Agents and the Junior Priority Creditors in the Collateral to secure all or any portion of the Junior Priority Obligations;</w:t>
      </w:r>
    </w:p>
    <w:p>
      <w:pPr>
        <w:spacing w:after="0" w:line="39" w:lineRule="exact"/>
        <w:rPr>
          <w:sz w:val="20"/>
          <w:szCs w:val="20"/>
          <w:color w:val="auto"/>
        </w:rPr>
      </w:pPr>
    </w:p>
    <w:p>
      <w:pPr>
        <w:ind w:left="460" w:right="40" w:firstLine="438"/>
        <w:spacing w:after="0" w:line="297" w:lineRule="auto"/>
        <w:rPr>
          <w:sz w:val="20"/>
          <w:szCs w:val="20"/>
          <w:color w:val="auto"/>
        </w:rPr>
      </w:pPr>
      <w:r>
        <w:rPr>
          <w:rFonts w:ascii="Arial" w:cs="Arial" w:eastAsia="Arial" w:hAnsi="Arial"/>
          <w:sz w:val="16"/>
          <w:szCs w:val="16"/>
          <w:color w:val="auto"/>
        </w:rPr>
        <w:t>c. except as may be separately otherwise agreed in writing by and between or among any applicable Senior Priority Agents, in each case on behalf of itself and the Senior Priority Creditors represented thereby, any Lien in respect of all or any portion of the Collateral now or hereafter held by or on behalf of any Senior Priority Agent or any Senior Priority Creditor that secures all or any portion of the Senior Priority Obligations shall be pari passu and equal in priority in all respects with any Lien in respect of all or any portion of the Collateral now or hereafter held by or on behalf of any other Senior Priority Agent or any other Senior Priority Creditor that secures all or any portion of the Senior Priority Obligations; and</w:t>
      </w:r>
    </w:p>
    <w:p>
      <w:pPr>
        <w:spacing w:after="0" w:line="50" w:lineRule="exact"/>
        <w:rPr>
          <w:sz w:val="20"/>
          <w:szCs w:val="20"/>
          <w:color w:val="auto"/>
        </w:rPr>
      </w:pPr>
    </w:p>
    <w:p>
      <w:pPr>
        <w:ind w:left="460" w:right="20" w:firstLine="438"/>
        <w:spacing w:after="0" w:line="297" w:lineRule="auto"/>
        <w:rPr>
          <w:sz w:val="20"/>
          <w:szCs w:val="20"/>
          <w:color w:val="auto"/>
        </w:rPr>
      </w:pPr>
      <w:r>
        <w:rPr>
          <w:rFonts w:ascii="Arial" w:cs="Arial" w:eastAsia="Arial" w:hAnsi="Arial"/>
          <w:sz w:val="16"/>
          <w:szCs w:val="16"/>
          <w:color w:val="auto"/>
        </w:rPr>
        <w:t>d. except as may be separately otherwise agreed in writing by and between or among any applicable Junior Priority Agents, in each case on behalf of itself and the Junior Priority Secured Parties represented thereby, any Lien in respect of all or any portion of the Collateral now or hereafter held by or on behalf of any Junior Priority Agent or any Junior Priority Creditor that secures all or any portion of the Junior Priority Obligations shall be pari passu and equal in priority in all respects with any Lien in respect of all or any portion of the Collateral now or hereafter held by or on behalf of any other Junior Priority Agent or any other Junior Priority Creditor that secures all or any portion of the Junior Priority Obligations.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467" w:name="page468"/>
    <w:bookmarkEnd w:id="467"/>
    <w:p>
      <w:pPr>
        <w:ind w:left="640" w:hanging="176"/>
        <w:spacing w:after="0"/>
        <w:tabs>
          <w:tab w:leader="none" w:pos="640" w:val="left"/>
        </w:tabs>
        <w:numPr>
          <w:ilvl w:val="0"/>
          <w:numId w:val="50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spacing w:after="0" w:line="225" w:lineRule="exact"/>
        <w:rPr>
          <w:rFonts w:ascii="Arial" w:cs="Arial" w:eastAsia="Arial" w:hAnsi="Arial"/>
          <w:sz w:val="18"/>
          <w:szCs w:val="18"/>
          <w:b w:val="1"/>
          <w:bCs w:val="1"/>
          <w:color w:val="auto"/>
        </w:rPr>
      </w:pPr>
    </w:p>
    <w:p>
      <w:pPr>
        <w:ind w:left="640" w:hanging="176"/>
        <w:spacing w:after="0"/>
        <w:tabs>
          <w:tab w:leader="none" w:pos="640" w:val="left"/>
        </w:tabs>
        <w:numPr>
          <w:ilvl w:val="0"/>
          <w:numId w:val="506"/>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b w:val="1"/>
          <w:bCs w:val="1"/>
          <w:color w:val="auto"/>
        </w:rPr>
      </w:pPr>
    </w:p>
    <w:p>
      <w:pPr>
        <w:ind w:firstLine="464"/>
        <w:spacing w:after="0" w:line="289" w:lineRule="auto"/>
        <w:tabs>
          <w:tab w:leader="none" w:pos="636" w:val="left"/>
        </w:tabs>
        <w:numPr>
          <w:ilvl w:val="0"/>
          <w:numId w:val="506"/>
        </w:numPr>
        <w:rPr>
          <w:rFonts w:ascii="Arial" w:cs="Arial" w:eastAsia="Arial" w:hAnsi="Arial"/>
          <w:sz w:val="16"/>
          <w:szCs w:val="16"/>
          <w:b w:val="1"/>
          <w:bCs w:val="1"/>
          <w:color w:val="auto"/>
        </w:rPr>
      </w:pPr>
      <w:r>
        <w:rPr>
          <w:rFonts w:ascii="Arial" w:cs="Arial" w:eastAsia="Arial" w:hAnsi="Arial"/>
          <w:sz w:val="16"/>
          <w:szCs w:val="16"/>
          <w:color w:val="auto"/>
        </w:rPr>
        <w:t>Notwithstanding any failure by any Senior Priority Secured Party to perfect its security interests in the Collateral or any avoidance, invalidation, priming or subordination by any third party or court of competent jurisdiction of the security interests in the Collateral granted to any of the Senior Priority Secured Parties, the priority and rights as (x) between the respective classes of Senior Priority Secured Parties, and (y) between the Senior Priority Secured Parties, on the one hand, and the Junior Priority Secured Parties, on the other hand, with respect to the Collateral shall be as set forth herein. Notwithstanding any failure by any Junior Priority Secured Party to perfect its security interests in the Collateral or any avoidance, invalidation, priming or subordination by any third party or court of competent jurisdiction of the security interests in the Collateral granted to any of the Junior Priority Secured Parties, the priority and rights as between the respective classes of Junior Priority Secured Parties with respect to the Collateral shall be as set forth herein. Lien priority as among the Senior Priority Obligations and the Junior Priority Obligations with respect to any Collateral will be governed solely by this Agreement, except as may be separately otherwise agreed in writing by or among any applicable Parties to the extent permitted pursuant to this Agreement.</w:t>
      </w:r>
    </w:p>
    <w:p>
      <w:pPr>
        <w:spacing w:after="0" w:line="166" w:lineRule="exact"/>
        <w:rPr>
          <w:rFonts w:ascii="Arial" w:cs="Arial" w:eastAsia="Arial" w:hAnsi="Arial"/>
          <w:sz w:val="16"/>
          <w:szCs w:val="16"/>
          <w:b w:val="1"/>
          <w:bCs w:val="1"/>
          <w:color w:val="auto"/>
        </w:rPr>
      </w:pPr>
    </w:p>
    <w:p>
      <w:pPr>
        <w:ind w:left="640" w:hanging="176"/>
        <w:spacing w:after="0"/>
        <w:tabs>
          <w:tab w:leader="none" w:pos="640" w:val="left"/>
        </w:tabs>
        <w:numPr>
          <w:ilvl w:val="0"/>
          <w:numId w:val="506"/>
        </w:numPr>
        <w:rPr>
          <w:rFonts w:ascii="Arial" w:cs="Arial" w:eastAsia="Arial" w:hAnsi="Arial"/>
          <w:sz w:val="16"/>
          <w:szCs w:val="16"/>
          <w:b w:val="1"/>
          <w:bCs w:val="1"/>
          <w:color w:val="auto"/>
        </w:rPr>
      </w:pPr>
      <w:r>
        <w:rPr>
          <w:rFonts w:ascii="Arial" w:cs="Arial" w:eastAsia="Arial" w:hAnsi="Arial"/>
          <w:sz w:val="16"/>
          <w:szCs w:val="16"/>
          <w:color w:val="auto"/>
        </w:rPr>
        <w:t>The Original First Lien Agent, for and on behalf of itself and the Original First Lien Secured Parties, acknowledges and agrees that (x) concurrently</w:t>
      </w:r>
    </w:p>
    <w:p>
      <w:pPr>
        <w:spacing w:after="0" w:line="4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herewith,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 for the benefit of itself and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Secured Parties, has been granted [Senior/Junior]</w:t>
      </w:r>
      <w:r>
        <w:rPr>
          <w:rFonts w:ascii="Arial" w:cs="Arial" w:eastAsia="Arial" w:hAnsi="Arial"/>
          <w:sz w:val="15"/>
          <w:szCs w:val="15"/>
          <w:color w:val="auto"/>
        </w:rPr>
        <w:t>viii</w:t>
      </w:r>
      <w:r>
        <w:rPr>
          <w:rFonts w:ascii="Arial" w:cs="Arial" w:eastAsia="Arial" w:hAnsi="Arial"/>
          <w:sz w:val="18"/>
          <w:szCs w:val="18"/>
          <w:color w:val="auto"/>
        </w:rPr>
        <w:t xml:space="preserve"> Priority Liens upon all of the Collateral in which the Original First Lien Agent has been granted Senior Priority Liens, and the Original First Lien Agent hereby consents thereto, and (y) one or more Additional Agents, each on behalf of itself and any Additional Credit Facility Secured Parties represented thereby, may be granted Senior Priority Liens or Junior Priority Liens upon all of the Collateral in which the Original First Lien Agent has been granted Senior Priority Liens, and the Original First Lien Agent hereby consents thereto.</w:t>
      </w:r>
    </w:p>
    <w:p>
      <w:pPr>
        <w:spacing w:after="0" w:line="188" w:lineRule="exact"/>
        <w:rPr>
          <w:sz w:val="20"/>
          <w:szCs w:val="20"/>
          <w:color w:val="auto"/>
        </w:rPr>
      </w:pPr>
    </w:p>
    <w:p>
      <w:pPr>
        <w:ind w:right="200" w:firstLine="456"/>
        <w:spacing w:after="0" w:line="275" w:lineRule="auto"/>
        <w:rPr>
          <w:sz w:val="20"/>
          <w:szCs w:val="20"/>
          <w:color w:val="auto"/>
        </w:rPr>
      </w:pPr>
      <w:r>
        <w:rPr>
          <w:rFonts w:ascii="Arial" w:cs="Arial" w:eastAsia="Arial" w:hAnsi="Arial"/>
          <w:sz w:val="17"/>
          <w:szCs w:val="17"/>
          <w:b w:val="1"/>
          <w:bCs w:val="1"/>
          <w:color w:val="auto"/>
        </w:rPr>
        <w:t xml:space="preserve">6. </w:t>
      </w:r>
      <w:r>
        <w:rPr>
          <w:rFonts w:ascii="Arial" w:cs="Arial" w:eastAsia="Arial" w:hAnsi="Arial"/>
          <w:sz w:val="17"/>
          <w:szCs w:val="17"/>
          <w:color w:val="auto"/>
        </w:rPr>
        <w:t>The [ ]</w:t>
      </w:r>
      <w:r>
        <w:rPr>
          <w:rFonts w:ascii="Arial" w:cs="Arial" w:eastAsia="Arial" w:hAnsi="Arial"/>
          <w:sz w:val="14"/>
          <w:szCs w:val="14"/>
          <w:color w:val="auto"/>
        </w:rPr>
        <w:t>i</w:t>
      </w:r>
      <w:r>
        <w:rPr>
          <w:rFonts w:ascii="Arial" w:cs="Arial" w:eastAsia="Arial" w:hAnsi="Arial"/>
          <w:sz w:val="17"/>
          <w:szCs w:val="17"/>
          <w:b w:val="1"/>
          <w:bCs w:val="1"/>
          <w:color w:val="auto"/>
        </w:rPr>
        <w:t xml:space="preserve"> </w:t>
      </w:r>
      <w:r>
        <w:rPr>
          <w:rFonts w:ascii="Arial" w:cs="Arial" w:eastAsia="Arial" w:hAnsi="Arial"/>
          <w:sz w:val="17"/>
          <w:szCs w:val="17"/>
          <w:color w:val="auto"/>
        </w:rPr>
        <w:t>[First/Second]</w:t>
      </w:r>
      <w:r>
        <w:rPr>
          <w:rFonts w:ascii="Arial" w:cs="Arial" w:eastAsia="Arial" w:hAnsi="Arial"/>
          <w:sz w:val="14"/>
          <w:szCs w:val="14"/>
          <w:color w:val="auto"/>
        </w:rPr>
        <w:t>ii</w:t>
      </w:r>
      <w:r>
        <w:rPr>
          <w:rFonts w:ascii="Arial" w:cs="Arial" w:eastAsia="Arial" w:hAnsi="Arial"/>
          <w:sz w:val="17"/>
          <w:szCs w:val="17"/>
          <w:b w:val="1"/>
          <w:bCs w:val="1"/>
          <w:color w:val="auto"/>
        </w:rPr>
        <w:t xml:space="preserve"> </w:t>
      </w:r>
      <w:r>
        <w:rPr>
          <w:rFonts w:ascii="Arial" w:cs="Arial" w:eastAsia="Arial" w:hAnsi="Arial"/>
          <w:sz w:val="17"/>
          <w:szCs w:val="17"/>
          <w:color w:val="auto"/>
        </w:rPr>
        <w:t>Lien Agent, for and on behalf of itself and the [ ]</w:t>
      </w:r>
      <w:r>
        <w:rPr>
          <w:rFonts w:ascii="Arial" w:cs="Arial" w:eastAsia="Arial" w:hAnsi="Arial"/>
          <w:sz w:val="14"/>
          <w:szCs w:val="14"/>
          <w:color w:val="auto"/>
        </w:rPr>
        <w:t>i</w:t>
      </w:r>
      <w:r>
        <w:rPr>
          <w:rFonts w:ascii="Arial" w:cs="Arial" w:eastAsia="Arial" w:hAnsi="Arial"/>
          <w:sz w:val="17"/>
          <w:szCs w:val="17"/>
          <w:b w:val="1"/>
          <w:bCs w:val="1"/>
          <w:color w:val="auto"/>
        </w:rPr>
        <w:t xml:space="preserve"> </w:t>
      </w:r>
      <w:r>
        <w:rPr>
          <w:rFonts w:ascii="Arial" w:cs="Arial" w:eastAsia="Arial" w:hAnsi="Arial"/>
          <w:sz w:val="17"/>
          <w:szCs w:val="17"/>
          <w:color w:val="auto"/>
        </w:rPr>
        <w:t>[First/Second]</w:t>
      </w:r>
      <w:r>
        <w:rPr>
          <w:rFonts w:ascii="Arial" w:cs="Arial" w:eastAsia="Arial" w:hAnsi="Arial"/>
          <w:sz w:val="14"/>
          <w:szCs w:val="14"/>
          <w:color w:val="auto"/>
        </w:rPr>
        <w:t>ii</w:t>
      </w:r>
      <w:r>
        <w:rPr>
          <w:rFonts w:ascii="Arial" w:cs="Arial" w:eastAsia="Arial" w:hAnsi="Arial"/>
          <w:sz w:val="17"/>
          <w:szCs w:val="17"/>
          <w:b w:val="1"/>
          <w:bCs w:val="1"/>
          <w:color w:val="auto"/>
        </w:rPr>
        <w:t xml:space="preserve"> </w:t>
      </w:r>
      <w:r>
        <w:rPr>
          <w:rFonts w:ascii="Arial" w:cs="Arial" w:eastAsia="Arial" w:hAnsi="Arial"/>
          <w:sz w:val="17"/>
          <w:szCs w:val="17"/>
          <w:color w:val="auto"/>
        </w:rPr>
        <w:t>Lien Secured Parties, acknowledges and agrees</w:t>
      </w:r>
      <w:r>
        <w:rPr>
          <w:rFonts w:ascii="Arial" w:cs="Arial" w:eastAsia="Arial" w:hAnsi="Arial"/>
          <w:sz w:val="17"/>
          <w:szCs w:val="17"/>
          <w:b w:val="1"/>
          <w:bCs w:val="1"/>
          <w:color w:val="auto"/>
        </w:rPr>
        <w:t xml:space="preserve"> </w:t>
      </w:r>
      <w:r>
        <w:rPr>
          <w:rFonts w:ascii="Arial" w:cs="Arial" w:eastAsia="Arial" w:hAnsi="Arial"/>
          <w:sz w:val="17"/>
          <w:szCs w:val="17"/>
          <w:color w:val="auto"/>
        </w:rPr>
        <w:t>that (x) the Original First Lien Agent, for the benefit of itself and the First Lien Secured Parties, has been granted Senior Priority Liens upon all of the</w:t>
      </w:r>
    </w:p>
    <w:p>
      <w:pPr>
        <w:spacing w:after="0" w:line="1"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Collateral in which the [ ]</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has been granted [Senior/Junior]vii Priority Liens, and the [ ]</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hereby consents thereto, and (y) one or more Additional Agents, each on behalf of itself and any Additional Credit Facility Secured Parties represented</w:t>
      </w:r>
    </w:p>
    <w:p>
      <w:pPr>
        <w:spacing w:after="0" w:line="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thereby, may be granted Senior Priority Liens or Junior Priority Liens upon all of the Collateral in which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 has been granted [Senior/Junior]vii Priority Liens, and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 hereby consents thereto.</w:t>
      </w:r>
    </w:p>
    <w:p>
      <w:pPr>
        <w:spacing w:after="0" w:line="183" w:lineRule="exact"/>
        <w:rPr>
          <w:sz w:val="20"/>
          <w:szCs w:val="20"/>
          <w:color w:val="auto"/>
        </w:rPr>
      </w:pPr>
    </w:p>
    <w:p>
      <w:pPr>
        <w:ind w:right="120" w:firstLine="464"/>
        <w:spacing w:after="0" w:line="277" w:lineRule="auto"/>
        <w:tabs>
          <w:tab w:leader="none" w:pos="636" w:val="left"/>
        </w:tabs>
        <w:numPr>
          <w:ilvl w:val="0"/>
          <w:numId w:val="507"/>
        </w:numPr>
        <w:rPr>
          <w:rFonts w:ascii="Arial" w:cs="Arial" w:eastAsia="Arial" w:hAnsi="Arial"/>
          <w:sz w:val="18"/>
          <w:szCs w:val="18"/>
          <w:b w:val="1"/>
          <w:bCs w:val="1"/>
          <w:color w:val="auto"/>
        </w:rPr>
      </w:pPr>
      <w:r>
        <w:rPr>
          <w:rFonts w:ascii="Arial" w:cs="Arial" w:eastAsia="Arial" w:hAnsi="Arial"/>
          <w:sz w:val="18"/>
          <w:szCs w:val="18"/>
          <w:color w:val="auto"/>
        </w:rPr>
        <w:t>Each Additional Agent, for and on behalf of itself and any Additional Credit Facility Secured Parties represented thereby, acknowledges and agrees that, (x) the Original First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3" w:right="279" w:bottom="1440" w:gutter="0" w:footer="0" w:header="0"/>
        </w:sectPr>
      </w:pPr>
    </w:p>
    <w:bookmarkStart w:id="468" w:name="page469"/>
    <w:bookmarkEnd w:id="4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 Agent, for the benefit of itself and the Original First Lien Secured Parties, has been granted Senior Priority Liens upon all of the Collateral in which such</w:t>
      </w:r>
    </w:p>
    <w:p>
      <w:pPr>
        <w:spacing w:after="0" w:line="45" w:lineRule="exact"/>
        <w:rPr>
          <w:sz w:val="20"/>
          <w:szCs w:val="20"/>
          <w:color w:val="auto"/>
        </w:rPr>
      </w:pPr>
    </w:p>
    <w:p>
      <w:pPr>
        <w:spacing w:after="0"/>
        <w:tabs>
          <w:tab w:leader="none" w:pos="9360" w:val="left"/>
        </w:tabs>
        <w:rPr>
          <w:sz w:val="20"/>
          <w:szCs w:val="20"/>
          <w:color w:val="auto"/>
        </w:rPr>
      </w:pPr>
      <w:r>
        <w:rPr>
          <w:rFonts w:ascii="Arial" w:cs="Arial" w:eastAsia="Arial" w:hAnsi="Arial"/>
          <w:sz w:val="18"/>
          <w:szCs w:val="18"/>
          <w:color w:val="auto"/>
        </w:rPr>
        <w:t>Additional Agent is being granted Liens, and such Additional Agent hereby consents thereto, (y) concurrently herewith, the [</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w:t>
      </w:r>
    </w:p>
    <w:p>
      <w:pPr>
        <w:spacing w:after="0" w:line="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Agent, for the benefit of itself and the [ ]</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Secured Parties, has been granted [Senior/Junior]</w:t>
      </w:r>
      <w:r>
        <w:rPr>
          <w:rFonts w:ascii="Arial" w:cs="Arial" w:eastAsia="Arial" w:hAnsi="Arial"/>
          <w:sz w:val="13"/>
          <w:szCs w:val="13"/>
          <w:color w:val="auto"/>
        </w:rPr>
        <w:t>vii</w:t>
      </w:r>
      <w:r>
        <w:rPr>
          <w:rFonts w:ascii="Arial" w:cs="Arial" w:eastAsia="Arial" w:hAnsi="Arial"/>
          <w:sz w:val="16"/>
          <w:szCs w:val="16"/>
          <w:color w:val="auto"/>
        </w:rPr>
        <w:t xml:space="preserve"> Priority Liens upon all of the Collateral in which such Additional Agent is being granted Liens, and such Additional Agent hereby consents thereto, and (z) one or more other Additional Agents, each on behalf of itself and any Additional Credit Facility Secured Parties represented thereby, have been or may be granted Senior Priority Liens or Junior Priority Liens upon all of the Collateral in which such Additional Agent is being granted Liens, and such Additional Agent hereby consents thereto.</w:t>
      </w:r>
    </w:p>
    <w:p>
      <w:pPr>
        <w:spacing w:after="0" w:line="156"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color w:val="auto"/>
        </w:rPr>
        <w:t>Lien priority as among the Additional Obligations, the Original First Lien Obligations and the [ ]</w:t>
      </w:r>
      <w:r>
        <w:rPr>
          <w:rFonts w:ascii="Arial" w:cs="Arial" w:eastAsia="Arial" w:hAnsi="Arial"/>
          <w:sz w:val="15"/>
          <w:szCs w:val="15"/>
          <w:color w:val="auto"/>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[First/Second]</w:t>
      </w:r>
      <w:r>
        <w:rPr>
          <w:rFonts w:ascii="Arial" w:cs="Arial" w:eastAsia="Arial" w:hAnsi="Arial"/>
          <w:sz w:val="15"/>
          <w:szCs w:val="15"/>
          <w:color w:val="auto"/>
        </w:rPr>
        <w:t>ii</w:t>
      </w:r>
      <w:r>
        <w:rPr>
          <w:rFonts w:ascii="Arial" w:cs="Arial" w:eastAsia="Arial" w:hAnsi="Arial"/>
          <w:sz w:val="18"/>
          <w:szCs w:val="18"/>
          <w:b w:val="1"/>
          <w:bCs w:val="1"/>
          <w:color w:val="auto"/>
        </w:rPr>
        <w:t xml:space="preserve"> </w:t>
      </w:r>
      <w:r>
        <w:rPr>
          <w:rFonts w:ascii="Arial" w:cs="Arial" w:eastAsia="Arial" w:hAnsi="Arial"/>
          <w:sz w:val="18"/>
          <w:szCs w:val="18"/>
          <w:color w:val="auto"/>
        </w:rPr>
        <w:t>Lien Obligations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Collateral will be governed solely by this Agreement, except as may be separately otherwise agreed in writing by or among any applicable Parties to the extent permitted pursuant to this Agreement.</w:t>
      </w:r>
    </w:p>
    <w:p>
      <w:pPr>
        <w:spacing w:after="0" w:line="180" w:lineRule="exact"/>
        <w:rPr>
          <w:sz w:val="20"/>
          <w:szCs w:val="20"/>
          <w:color w:val="auto"/>
        </w:rPr>
      </w:pPr>
    </w:p>
    <w:p>
      <w:pPr>
        <w:ind w:firstLine="464"/>
        <w:spacing w:after="0" w:line="268" w:lineRule="auto"/>
        <w:tabs>
          <w:tab w:leader="none" w:pos="636" w:val="left"/>
        </w:tabs>
        <w:numPr>
          <w:ilvl w:val="0"/>
          <w:numId w:val="508"/>
        </w:numPr>
        <w:rPr>
          <w:rFonts w:ascii="Arial" w:cs="Arial" w:eastAsia="Arial" w:hAnsi="Arial"/>
          <w:sz w:val="17"/>
          <w:szCs w:val="17"/>
          <w:b w:val="1"/>
          <w:bCs w:val="1"/>
          <w:color w:val="auto"/>
        </w:rPr>
      </w:pPr>
      <w:r>
        <w:rPr>
          <w:rFonts w:ascii="Arial" w:cs="Arial" w:eastAsia="Arial" w:hAnsi="Arial"/>
          <w:sz w:val="17"/>
          <w:szCs w:val="17"/>
          <w:color w:val="auto"/>
        </w:rPr>
        <w:t>Each Senior Priority Agent, for and on behalf of itself and the relevant Senior Priority Secured Parties represented thereby, hereby acknowledges and agrees that it is the intention of the Senior Priority Secured Parties of each Series of Senior Priority Debt that the holders of Senior Priority Obligations of such Series of Senior Priority Debt (and not the Senior Priority Secured Parties of any other Series of Senior Priority Debt) bear the risk of (i) any determination by a court of competent jurisdiction that (x) any of the Senior Priority Obligations of such Series of Senior Priority Debt are unenforceable under applicable law or are subordinated to any other obligations (other than another Series of Senior Priority Debt), (y) any of the Senior Priority Obligations of such Series of Senior Priority Debt do not have an enforceable security interest in any of the Collateral securing any other Series of Senior Priority Debt and/or (z) any intervening security interest exists securing any other obligations (other than another Series of Senior Priority Debt) on a basis ranking prior to the security interest of such Series of Senior Priority Debt but junior to the security interest of any other Series of Senior Priority Debt or (ii) the existence of any Collateral for any other Series of Senior Priority Debt that is not also Collateral for the other Series of Senior Priority Debt (any such condition referred to in the foregoing clauses (i) or (ii) with respect to any Series of Senior Priority Debt, an “</w:t>
      </w:r>
      <w:r>
        <w:rPr>
          <w:rFonts w:ascii="Arial" w:cs="Arial" w:eastAsia="Arial" w:hAnsi="Arial"/>
          <w:sz w:val="17"/>
          <w:szCs w:val="17"/>
          <w:u w:val="single" w:color="auto"/>
          <w:color w:val="auto"/>
        </w:rPr>
        <w:t>Impairment</w:t>
      </w:r>
      <w:r>
        <w:rPr>
          <w:rFonts w:ascii="Arial" w:cs="Arial" w:eastAsia="Arial" w:hAnsi="Arial"/>
          <w:sz w:val="17"/>
          <w:szCs w:val="17"/>
          <w:color w:val="auto"/>
        </w:rPr>
        <w:t xml:space="preserve">” of such Series of Senior Priority Debt). In the event of any Impairment with respect to any Series of Senior Priority Debt, the results of such Impairment shall be borne solely by the holders of such Series of Senior Priority Debt, and the rights of the holders of such Series of Senior Priority Debt (including the right to receive distributions in respect of such Series of Senior Priority Debt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set forth herein shall be modified to the extent necessary so that the effects of such Impairment are borne solely by the holders of the Series of Senior Priority Debt subject to such Impairment.</w:t>
      </w:r>
    </w:p>
    <w:p>
      <w:pPr>
        <w:spacing w:after="0" w:line="185" w:lineRule="exact"/>
        <w:rPr>
          <w:rFonts w:ascii="Arial" w:cs="Arial" w:eastAsia="Arial" w:hAnsi="Arial"/>
          <w:sz w:val="17"/>
          <w:szCs w:val="17"/>
          <w:b w:val="1"/>
          <w:bCs w:val="1"/>
          <w:color w:val="auto"/>
        </w:rPr>
      </w:pPr>
    </w:p>
    <w:p>
      <w:pPr>
        <w:ind w:right="100" w:firstLine="464"/>
        <w:spacing w:after="0" w:line="257" w:lineRule="auto"/>
        <w:tabs>
          <w:tab w:leader="none" w:pos="726" w:val="left"/>
        </w:tabs>
        <w:numPr>
          <w:ilvl w:val="0"/>
          <w:numId w:val="508"/>
        </w:numPr>
        <w:rPr>
          <w:rFonts w:ascii="Arial" w:cs="Arial" w:eastAsia="Arial" w:hAnsi="Arial"/>
          <w:sz w:val="18"/>
          <w:szCs w:val="18"/>
          <w:b w:val="1"/>
          <w:bCs w:val="1"/>
          <w:color w:val="auto"/>
        </w:rPr>
      </w:pPr>
      <w:r>
        <w:rPr>
          <w:rFonts w:ascii="Arial" w:cs="Arial" w:eastAsia="Arial" w:hAnsi="Arial"/>
          <w:sz w:val="18"/>
          <w:szCs w:val="18"/>
          <w:color w:val="auto"/>
        </w:rPr>
        <w:t>Each Junior Priority Agent, for and on behalf of itself and the relevant Junior Priority Secured Parties represented thereby, hereby acknowledges and agrees that it is the intention of the Junior Priority Secured Parties of each Series of Junior Priority Debt that the holders of Junior Priority Obligations of such Series of Junior Priority Debt (and not the Junior Priority Secured Parties of any other Series of Junior Priority Debt) bear the risk of (i) any determination by a court of competent jurisdiction that (x) any of the Junior Priority Obligations of such Series of Junior Priority Debt are unenforceable under applicable law or are subordinated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3" w:right="239" w:bottom="1440" w:gutter="0" w:footer="0" w:header="0"/>
        </w:sectPr>
      </w:pPr>
    </w:p>
    <w:bookmarkStart w:id="469" w:name="page470"/>
    <w:bookmarkEnd w:id="46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other obligations (other than another Series of Junior Priority Debt), (y) any of the Junior Priority Obligations of such Series of Junior Priority Debt do not have an enforceable security interest in any of the Collateral securing any other Series of Junior Priority Debt and/or (z) any intervening security interest exists securing any other obligations (other than another Series of Junior Priority Debt) on a basis ranking prior to the security interest of such Series of Junior Priority Debt but junior to the security interest of any other Series of Junior Priority Debt or (ii) the existence of any Collateral for any other Series of Junior Priority Debt that is not also Collateral for the other Series of Junior Priority Debt (any such condition referred to in the foregoing clauses (i) or (ii) with respect to any Series of Junior Priority Debt, an “</w:t>
      </w:r>
      <w:r>
        <w:rPr>
          <w:rFonts w:ascii="Arial" w:cs="Arial" w:eastAsia="Arial" w:hAnsi="Arial"/>
          <w:sz w:val="17"/>
          <w:szCs w:val="17"/>
          <w:u w:val="single" w:color="auto"/>
          <w:color w:val="auto"/>
        </w:rPr>
        <w:t>Impairment</w:t>
      </w:r>
      <w:r>
        <w:rPr>
          <w:rFonts w:ascii="Arial" w:cs="Arial" w:eastAsia="Arial" w:hAnsi="Arial"/>
          <w:sz w:val="17"/>
          <w:szCs w:val="17"/>
          <w:color w:val="auto"/>
        </w:rPr>
        <w:t xml:space="preserve">” of such Series of Junior Priority Debt). In the event of any Impairment with respect to any Series of Junior Priority Debt, the results of such Impairment shall be borne solely by the holders of such Series of Junior Priority Debt, and the rights of the holders of such Series of Junior Priority Debt (including the right to receive distributions in respect of such Series of Junior Priority Debt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w:t>
      </w:r>
      <w:r>
        <w:rPr>
          <w:rFonts w:ascii="Arial" w:cs="Arial" w:eastAsia="Arial" w:hAnsi="Arial"/>
          <w:sz w:val="17"/>
          <w:szCs w:val="17"/>
          <w:color w:val="auto"/>
        </w:rPr>
        <w:t>) set forth herein shall be modified to the extent necessary so that the effects of such Impairment are borne solely by the holders of the Series of Junior Priority Debt subject to such Impairment.</w:t>
      </w:r>
    </w:p>
    <w:p>
      <w:pPr>
        <w:spacing w:after="0" w:line="178" w:lineRule="exact"/>
        <w:rPr>
          <w:sz w:val="20"/>
          <w:szCs w:val="20"/>
          <w:color w:val="auto"/>
        </w:rPr>
      </w:pPr>
    </w:p>
    <w:p>
      <w:pPr>
        <w:ind w:firstLine="464"/>
        <w:spacing w:after="0" w:line="293" w:lineRule="auto"/>
        <w:tabs>
          <w:tab w:leader="none" w:pos="717" w:val="left"/>
        </w:tabs>
        <w:numPr>
          <w:ilvl w:val="0"/>
          <w:numId w:val="509"/>
        </w:numPr>
        <w:rPr>
          <w:rFonts w:ascii="Arial" w:cs="Arial" w:eastAsia="Arial" w:hAnsi="Arial"/>
          <w:sz w:val="16"/>
          <w:szCs w:val="16"/>
          <w:b w:val="1"/>
          <w:bCs w:val="1"/>
          <w:color w:val="auto"/>
        </w:rPr>
      </w:pPr>
      <w:r>
        <w:rPr>
          <w:rFonts w:ascii="Arial" w:cs="Arial" w:eastAsia="Arial" w:hAnsi="Arial"/>
          <w:sz w:val="16"/>
          <w:szCs w:val="16"/>
          <w:color w:val="auto"/>
        </w:rPr>
        <w:t>The subordination of Liens by each Junior Priority Agent in favor of the Senior Priority Agents shall not be deemed to subordinate the Liens of any Junior Priority Agent to the Liens of any other Person. The provision of pari passu and equal priority as between Liens of any Senior Priority Agent and Liens of any other Senior Priority Agent, in each case as set forth herein, shall not be deemed to provide that the Liens of the Senior Priority Agent will be pari passu or of equal priority with the Liens of any other Person, or to subordinate any Liens of any Senior Priority Agent to the Liens of any Person. The provision of pari passu and equal priority as between Liens of any Junior Priority Agent and Liens of any other Junior Priority Agent, in each case as set forth herein, shall not be deemed to provide that the Liens of the Junior Priority Agent will be pari passu or of equal priority with the Liens of any other Person.</w:t>
      </w:r>
    </w:p>
    <w:p>
      <w:pPr>
        <w:spacing w:after="0" w:line="164" w:lineRule="exact"/>
        <w:rPr>
          <w:rFonts w:ascii="Arial" w:cs="Arial" w:eastAsia="Arial" w:hAnsi="Arial"/>
          <w:sz w:val="16"/>
          <w:szCs w:val="16"/>
          <w:b w:val="1"/>
          <w:bCs w:val="1"/>
          <w:color w:val="auto"/>
        </w:rPr>
      </w:pPr>
    </w:p>
    <w:p>
      <w:pPr>
        <w:ind w:right="20" w:firstLine="464"/>
        <w:spacing w:after="0" w:line="272" w:lineRule="auto"/>
        <w:tabs>
          <w:tab w:leader="none" w:pos="726"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 xml:space="preserve">So long as the Discharge of Senior Priority Obligations has not occurred, the parties hereto agree that in the event that Holdings or any Borrower shall, or shall permit any other Grantor to, grant or permit any additional Liens, or take any action to perfect any additional Liens, on any asset or property to secure any Junior Priority Obligation and have not also granted a Lien on such asset or property to secure the Senior Priority Obligations and taken all actions to perfect such Liens, then, without limiting any other rights and remedies available to any Senior Priority Agent and/or the other Senior Priority Secured Parties, each Junior Priority Agent, on behalf of itself and the Junior Lien Secured Parties for which it is a Junior Priority Agent, and each other Junior Priority Secured Party (by its acceptance of the benefits of the Junior Priority Documents), agrees that any amounts received by or distributed to any of them pursuant to or as a result of Liens granted in contravention of this </w:t>
      </w:r>
      <w:r>
        <w:rPr>
          <w:rFonts w:ascii="Arial" w:cs="Arial" w:eastAsia="Arial" w:hAnsi="Arial"/>
          <w:sz w:val="17"/>
          <w:szCs w:val="17"/>
          <w:u w:val="single" w:color="auto"/>
          <w:color w:val="auto"/>
        </w:rPr>
        <w:t>Section 2.01(l)</w:t>
      </w:r>
      <w:r>
        <w:rPr>
          <w:rFonts w:ascii="Arial" w:cs="Arial" w:eastAsia="Arial" w:hAnsi="Arial"/>
          <w:sz w:val="17"/>
          <w:szCs w:val="17"/>
          <w:color w:val="auto"/>
        </w:rPr>
        <w:t xml:space="preserve"> shall be subject to </w:t>
      </w:r>
      <w:r>
        <w:rPr>
          <w:rFonts w:ascii="Arial" w:cs="Arial" w:eastAsia="Arial" w:hAnsi="Arial"/>
          <w:sz w:val="17"/>
          <w:szCs w:val="17"/>
          <w:u w:val="single" w:color="auto"/>
          <w:color w:val="auto"/>
        </w:rPr>
        <w:t>Section 4.01(d)</w:t>
      </w:r>
      <w:r>
        <w:rPr>
          <w:rFonts w:ascii="Arial" w:cs="Arial" w:eastAsia="Arial" w:hAnsi="Arial"/>
          <w:sz w:val="17"/>
          <w:szCs w:val="17"/>
          <w:color w:val="auto"/>
        </w:rPr>
        <w: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Waiver of Right to Contest Liens.</w:t>
      </w:r>
    </w:p>
    <w:p>
      <w:pPr>
        <w:spacing w:after="0" w:line="229" w:lineRule="exact"/>
        <w:rPr>
          <w:sz w:val="20"/>
          <w:szCs w:val="20"/>
          <w:color w:val="auto"/>
        </w:rPr>
      </w:pPr>
    </w:p>
    <w:p>
      <w:pPr>
        <w:ind w:right="180" w:firstLine="464"/>
        <w:spacing w:after="0" w:line="264" w:lineRule="auto"/>
        <w:tabs>
          <w:tab w:leader="none" w:pos="636" w:val="left"/>
        </w:tabs>
        <w:numPr>
          <w:ilvl w:val="0"/>
          <w:numId w:val="510"/>
        </w:numPr>
        <w:rPr>
          <w:rFonts w:ascii="Arial" w:cs="Arial" w:eastAsia="Arial" w:hAnsi="Arial"/>
          <w:sz w:val="18"/>
          <w:szCs w:val="18"/>
          <w:b w:val="1"/>
          <w:bCs w:val="1"/>
          <w:color w:val="auto"/>
        </w:rPr>
      </w:pPr>
      <w:r>
        <w:rPr>
          <w:rFonts w:ascii="Arial" w:cs="Arial" w:eastAsia="Arial" w:hAnsi="Arial"/>
          <w:sz w:val="18"/>
          <w:szCs w:val="18"/>
          <w:color w:val="auto"/>
        </w:rPr>
        <w:t>Each Junior Priority Agent, for and on behalf of itself and the Junior Priority Creditors represented thereby, agrees that it and they shall not (and hereby waives any right to) take any action to contest or challenge (or assist or support any other Person in contesting or challenging), directly or indirectly, whether or not in any proceeding (including in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470" w:name="page471"/>
    <w:bookmarkEnd w:id="47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Insolvency Proceeding), the validity, priority, enforceability, or perfection of the Liens of any Senior Priority Agent or any Senior Priority Creditor in respect of the Collateral, or the provisions of this Agreement. Except to the extent expressly set forth in this Agreement, each Junior Priority Agent, for itself and on behalf of the Junior Priority Creditors represented thereby, agrees that no Junior Priority Agent or Junior Priority Creditor will take any action that would interfere with any Exercise of Secured Creditor Remedies undertaken by any Senior Priority Agent or any Senior Priority Creditor under the Senior Priority Documents with respect to the Collateral. Except to the extent expressly set forth in this Agreement, each Junior Priority Agent, for itself and on behalf of the Junior Priority Creditors represented thereby, hereby waives any and all rights it or such Junior Priority Creditors may have as a junior lien creditor or otherwise to contest, protest, object to or interfere with the manner in which any Senior Priority Agent or any Senior Priority Creditor seeks to enforce its Liens in any Collateral.</w:t>
      </w:r>
    </w:p>
    <w:p>
      <w:pPr>
        <w:spacing w:after="0" w:line="192" w:lineRule="exact"/>
        <w:rPr>
          <w:sz w:val="20"/>
          <w:szCs w:val="20"/>
          <w:color w:val="auto"/>
        </w:rPr>
      </w:pPr>
    </w:p>
    <w:p>
      <w:pPr>
        <w:ind w:firstLine="464"/>
        <w:spacing w:after="0" w:line="268" w:lineRule="auto"/>
        <w:tabs>
          <w:tab w:leader="none" w:pos="636" w:val="left"/>
        </w:tabs>
        <w:numPr>
          <w:ilvl w:val="0"/>
          <w:numId w:val="511"/>
        </w:numPr>
        <w:rPr>
          <w:rFonts w:ascii="Arial" w:cs="Arial" w:eastAsia="Arial" w:hAnsi="Arial"/>
          <w:sz w:val="17"/>
          <w:szCs w:val="17"/>
          <w:b w:val="1"/>
          <w:bCs w:val="1"/>
          <w:color w:val="auto"/>
        </w:rPr>
      </w:pPr>
      <w:r>
        <w:rPr>
          <w:rFonts w:ascii="Arial" w:cs="Arial" w:eastAsia="Arial" w:hAnsi="Arial"/>
          <w:sz w:val="17"/>
          <w:szCs w:val="17"/>
          <w:color w:val="auto"/>
        </w:rPr>
        <w:t>Each Junior Priority Agent, for and on behalf of itself and the Junior Priority Creditors represented thereby, agrees that it and they shall not (and hereby waives any right to) take any action to contest or challenge (or assist or support any other Person in contesting or challenging), directly or indirectly, whether or not in any proceeding (including in any Insolvency Proceeding), the validity, priority, enforceability, or perfection of the Liens of any other Junior Priority Agent or any other Junior Priority Creditor in respect of the Collateral, or the provisions of this Agreement (except as may be separately otherwise agreed in writing by and between such Junior Priority Agent, on behalf of itself and the Junior Priority Creditors represented thereby, and the other relevant Junior Priority Agent, on behalf of itself and the Junior Priority Creditors represented thereby). Except to the extent expressly set forth in this Agreement, each Junior Priority Agent, for itself and on behalf of the Junior Priority Creditors represented thereby, agrees that no Junior Priority Agent or Junior Priority Creditor will take any action that would interfere with any Exercise of Secured Creditor Remedies undertaken by any other Junior Priority Agent or any other Junior Priority Creditor under the Junior Priority Documents with respect to the Collateral (except as may be separately otherwise agreed in writing by and between such Junior Priority Agent, on behalf of itself and the Junior Priority Creditors represented thereby, and the other relevant Junior Priority Agent, on behalf of itself and the Junior Priority Creditors represented thereby). Except to the extent expressly set forth in this Agreement, each Junior Priority Agent, for itself and on behalf of the Junior Priority Creditors represented thereby, hereby waives any and all rights it or such Junior Priority Creditors may have as a junior lien creditor or otherwise to contest, protest, object to or interfere with the manner in which any other Junior Priority Agent or any other Junior Priority Creditor seeks to enforce its Liens in any Collateral (except as may be separately otherwise agreed in writing by and between such Junior Priority Agent, on behalf of itself and the Junior Priority Creditors represented thereby, and the other relevant Junior Priority Agent, on behalf of itself and the Junior Priority Creditors represented thereby).</w:t>
      </w:r>
    </w:p>
    <w:p>
      <w:pPr>
        <w:spacing w:after="0" w:line="180" w:lineRule="exact"/>
        <w:rPr>
          <w:rFonts w:ascii="Arial" w:cs="Arial" w:eastAsia="Arial" w:hAnsi="Arial"/>
          <w:sz w:val="17"/>
          <w:szCs w:val="17"/>
          <w:b w:val="1"/>
          <w:bCs w:val="1"/>
          <w:color w:val="auto"/>
        </w:rPr>
      </w:pPr>
    </w:p>
    <w:p>
      <w:pPr>
        <w:ind w:firstLine="464"/>
        <w:spacing w:after="0" w:line="257" w:lineRule="auto"/>
        <w:tabs>
          <w:tab w:leader="none" w:pos="636" w:val="left"/>
        </w:tabs>
        <w:numPr>
          <w:ilvl w:val="0"/>
          <w:numId w:val="511"/>
        </w:numPr>
        <w:rPr>
          <w:rFonts w:ascii="Arial" w:cs="Arial" w:eastAsia="Arial" w:hAnsi="Arial"/>
          <w:sz w:val="18"/>
          <w:szCs w:val="18"/>
          <w:b w:val="1"/>
          <w:bCs w:val="1"/>
          <w:color w:val="auto"/>
        </w:rPr>
      </w:pPr>
      <w:r>
        <w:rPr>
          <w:rFonts w:ascii="Arial" w:cs="Arial" w:eastAsia="Arial" w:hAnsi="Arial"/>
          <w:sz w:val="18"/>
          <w:szCs w:val="18"/>
          <w:color w:val="auto"/>
        </w:rPr>
        <w:t>Each Senior Priority Agent, for and on behalf of itself and the Senior Priority Creditors represented thereby, agrees that it and they shall not (and hereby waives any right to) take any action to contest or challenge (or assist or support any other Person in contesting or challenging), directly or indirectly, whether or not in any proceeding (including in any Insolvency Proceeding), the validity, priority, enforceability, or perfection of the Liens of any other Senior Priority Agent or any other Senior Priority Creditor in respect of the Collateral, or the provisions of this Agreement (except as may be separately otherwise agreed in writing by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471" w:name="page472"/>
    <w:bookmarkEnd w:id="471"/>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between such Senior Priority Agent, on behalf of itself and the Senior Priority Creditors represented thereby, and the other relevant Senior Priority Agent, on behalf of itself and the Senior Priority Creditors represented thereby). Except to the extent expressly set forth in this Agreement, each Senior Priority Agent, for itself and on behalf of the Senior Priority Creditors represented thereby, agrees that no Senior Priority Agent or Senior Priority Creditor will take any action that would interfere with any Exercise of Secured Creditor Remedies undertaken by any other Senior Priority Agent or any other Senior Priority Creditor under the Senior Priority Documents with respect to the Collateral (except as may be separately otherwise agreed in writing by and between such Senior Priority Agent, on behalf of itself and the Senior Priority Creditors represented thereby, and the other relevant Senior Priority Agent, on behalf of itself and the Senior Priority Creditors represented thereby). Except to the extent expressly set forth in this Agreement, each Senior Priority Agent, for itself and on behalf of the Senior Priority Creditors represented thereby, hereby waives any and all rights it or such Senior Priority Creditors may have as a senior lien creditor or otherwise to contest, protest, object to or interfere with the manner in which any other Senior Priority Agent or any other Senior Priority Creditor seeks to enforce its Liens in any Collateral (except as may be separately otherwise agreed in writing by and between such Senior Priority Agent, on behalf of itself and the Senior Priority Creditors represented thereby, and the other relevant Senior Priority Agent, on behalf of itself and the Senior Priority Creditors represented thereby).</w:t>
      </w:r>
    </w:p>
    <w:p>
      <w:pPr>
        <w:spacing w:after="0" w:line="180" w:lineRule="exact"/>
        <w:rPr>
          <w:sz w:val="20"/>
          <w:szCs w:val="20"/>
          <w:color w:val="auto"/>
        </w:rPr>
      </w:pPr>
    </w:p>
    <w:p>
      <w:pPr>
        <w:ind w:right="600" w:firstLine="464"/>
        <w:spacing w:after="0" w:line="277" w:lineRule="auto"/>
        <w:tabs>
          <w:tab w:leader="none" w:pos="636" w:val="left"/>
        </w:tabs>
        <w:numPr>
          <w:ilvl w:val="0"/>
          <w:numId w:val="512"/>
        </w:numPr>
        <w:rPr>
          <w:rFonts w:ascii="Arial" w:cs="Arial" w:eastAsia="Arial" w:hAnsi="Arial"/>
          <w:sz w:val="18"/>
          <w:szCs w:val="18"/>
          <w:b w:val="1"/>
          <w:bCs w:val="1"/>
          <w:color w:val="auto"/>
        </w:rPr>
      </w:pPr>
      <w:r>
        <w:rPr>
          <w:rFonts w:ascii="Arial" w:cs="Arial" w:eastAsia="Arial" w:hAnsi="Arial"/>
          <w:sz w:val="18"/>
          <w:szCs w:val="18"/>
          <w:color w:val="auto"/>
        </w:rPr>
        <w:t xml:space="preserve">The assertion of priority rights established under the terms of this Agreement shall not be considered a challenge to Lien priority of any Party prohibited by this </w:t>
      </w:r>
      <w:r>
        <w:rPr>
          <w:rFonts w:ascii="Arial" w:cs="Arial" w:eastAsia="Arial" w:hAnsi="Arial"/>
          <w:sz w:val="18"/>
          <w:szCs w:val="18"/>
          <w:u w:val="single" w:color="auto"/>
          <w:color w:val="auto"/>
        </w:rPr>
        <w:t>Section 2.02.</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Remedies Standstill</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64"/>
        <w:spacing w:after="0" w:line="277" w:lineRule="auto"/>
        <w:tabs>
          <w:tab w:leader="none" w:pos="636" w:val="left"/>
        </w:tabs>
        <w:numPr>
          <w:ilvl w:val="0"/>
          <w:numId w:val="513"/>
        </w:numPr>
        <w:rPr>
          <w:rFonts w:ascii="Arial" w:cs="Arial" w:eastAsia="Arial" w:hAnsi="Arial"/>
          <w:sz w:val="18"/>
          <w:szCs w:val="18"/>
          <w:b w:val="1"/>
          <w:bCs w:val="1"/>
          <w:color w:val="auto"/>
        </w:rPr>
      </w:pPr>
      <w:r>
        <w:rPr>
          <w:rFonts w:ascii="Arial" w:cs="Arial" w:eastAsia="Arial" w:hAnsi="Arial"/>
          <w:sz w:val="18"/>
          <w:szCs w:val="18"/>
          <w:color w:val="auto"/>
        </w:rPr>
        <w:t>Each Junior Priority Agent, for and on behalf of itself and the Junior Priority Creditors represented thereby, agrees that, until the Discharge of Senior Priority Obligations, such Junior Priority Agent and such Junior Priority Creditors:</w:t>
      </w:r>
    </w:p>
    <w:p>
      <w:pPr>
        <w:spacing w:after="0" w:line="62" w:lineRule="exact"/>
        <w:rPr>
          <w:rFonts w:ascii="Arial" w:cs="Arial" w:eastAsia="Arial" w:hAnsi="Arial"/>
          <w:sz w:val="18"/>
          <w:szCs w:val="18"/>
          <w:b w:val="1"/>
          <w:bCs w:val="1"/>
          <w:color w:val="auto"/>
        </w:rPr>
      </w:pPr>
    </w:p>
    <w:p>
      <w:pPr>
        <w:ind w:left="460" w:firstLine="443"/>
        <w:spacing w:after="0" w:line="269" w:lineRule="auto"/>
        <w:tabs>
          <w:tab w:leader="none" w:pos="1068" w:val="left"/>
        </w:tabs>
        <w:numPr>
          <w:ilvl w:val="1"/>
          <w:numId w:val="513"/>
        </w:numPr>
        <w:rPr>
          <w:rFonts w:ascii="Arial" w:cs="Arial" w:eastAsia="Arial" w:hAnsi="Arial"/>
          <w:sz w:val="17"/>
          <w:szCs w:val="17"/>
          <w:color w:val="auto"/>
        </w:rPr>
      </w:pPr>
      <w:r>
        <w:rPr>
          <w:rFonts w:ascii="Arial" w:cs="Arial" w:eastAsia="Arial" w:hAnsi="Arial"/>
          <w:sz w:val="17"/>
          <w:szCs w:val="17"/>
          <w:color w:val="auto"/>
        </w:rPr>
        <w:t xml:space="preserve">will not, and will not seek to, Exercise Any Secured Creditor Remedies (or institute or join in any action or proceeding with respect to the Exercise of Secured Creditor Remedies) with respect to the Collateral without the written consent of the Senior Priority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Junior Priority Agent may Exercise Any Secured Creditor Remedies after a period of 180 consecutive days has elapsed from the date of delivery of written notice by such Junior Priority Agent to each Senior Priority Agent stating that an Event of Default (as defined under the applicable Junior Priority Credit Facility) has occurred and is continuing thereunder and stating its intention to Exercise Any Secured Creditor Remedies (the “</w:t>
      </w:r>
      <w:r>
        <w:rPr>
          <w:rFonts w:ascii="Arial" w:cs="Arial" w:eastAsia="Arial" w:hAnsi="Arial"/>
          <w:sz w:val="17"/>
          <w:szCs w:val="17"/>
          <w:u w:val="single" w:color="auto"/>
          <w:color w:val="auto"/>
        </w:rPr>
        <w:t>Standstill</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xml:space="preserve">), and then such Junior Priority Agent may Exercise Any Secured Creditor Remedies only so long as no Senior Priority Secured Party shall have commenced (or attempted to commence or given notice of its intent to commence) the Exercise of Secured Creditor Remedies with respect to the Collateral (including seeking relief from the automatic stay or any other stay in any Insolvency Proceeding);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anything herein to the contrary, in no event shall the Junior Priority Agent Exercise Any Secured Creditor Remedies with respect to the Collateral if, notwithstanding the expiration of the Standstill Period, Senior Priority Secured Party shall have commenced and be diligently pursuing the Exercise of Secured Creditor Remedies (or shall have sought or requested relief or modification of the automatic stay or any other stay in an Insolvency Proceeding to enable the commencement and pursuit thereof);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472" w:name="page473"/>
    <w:bookmarkEnd w:id="472"/>
    <w:p>
      <w:pPr>
        <w:ind w:left="460" w:right="140" w:firstLine="438"/>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will not contest, protest or object to any foreclosure proceeding or action brought by the Senior Priority Representative or any other Senior Priority Agent of any rights and remedies relating to the Collateral under the Senior Priority Credit Facilities or otherwise, in each case so long as any Proceeds are distributed in accordance with </w:t>
      </w:r>
      <w:r>
        <w:rPr>
          <w:rFonts w:ascii="Arial" w:cs="Arial" w:eastAsia="Arial" w:hAnsi="Arial"/>
          <w:sz w:val="18"/>
          <w:szCs w:val="18"/>
          <w:u w:val="single" w:color="auto"/>
          <w:color w:val="auto"/>
        </w:rPr>
        <w:t>Section 4.01;</w:t>
      </w:r>
    </w:p>
    <w:p>
      <w:pPr>
        <w:spacing w:after="0" w:line="73" w:lineRule="exact"/>
        <w:rPr>
          <w:sz w:val="20"/>
          <w:szCs w:val="20"/>
          <w:color w:val="auto"/>
        </w:rPr>
      </w:pPr>
    </w:p>
    <w:p>
      <w:pPr>
        <w:ind w:left="460" w:firstLine="438"/>
        <w:spacing w:after="0" w:line="277" w:lineRule="auto"/>
        <w:rPr>
          <w:sz w:val="20"/>
          <w:szCs w:val="20"/>
          <w:color w:val="auto"/>
        </w:rPr>
      </w:pPr>
      <w:r>
        <w:rPr>
          <w:rFonts w:ascii="Arial" w:cs="Arial" w:eastAsia="Arial" w:hAnsi="Arial"/>
          <w:sz w:val="18"/>
          <w:szCs w:val="18"/>
          <w:color w:val="auto"/>
        </w:rPr>
        <w:t xml:space="preserve">c. will not knowingly take, receive or accept any Proceeds of the Collateral in connection with any Exercise of Secured Creditor Remedies except to the extent such Proceeds were paid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and</w:t>
      </w:r>
    </w:p>
    <w:p>
      <w:pPr>
        <w:spacing w:after="0" w:line="62" w:lineRule="exact"/>
        <w:rPr>
          <w:sz w:val="20"/>
          <w:szCs w:val="20"/>
          <w:color w:val="auto"/>
        </w:rPr>
      </w:pPr>
    </w:p>
    <w:p>
      <w:pPr>
        <w:jc w:val="both"/>
        <w:ind w:left="460" w:right="320" w:firstLine="438"/>
        <w:spacing w:after="0" w:line="286" w:lineRule="auto"/>
        <w:rPr>
          <w:sz w:val="20"/>
          <w:szCs w:val="20"/>
          <w:color w:val="auto"/>
        </w:rPr>
      </w:pPr>
      <w:r>
        <w:rPr>
          <w:rFonts w:ascii="Arial" w:cs="Arial" w:eastAsia="Arial" w:hAnsi="Arial"/>
          <w:sz w:val="17"/>
          <w:szCs w:val="17"/>
          <w:color w:val="auto"/>
        </w:rPr>
        <w:t xml:space="preserve">d. subject to their rights under clause (a)(i) above, will not object to the forbearance by the Senior Priority Representative or any other Senior Priority Agent or the Senior Priority Creditors from bringing or pursuing any foreclosure proceeding or action or any other exercise of any rights or remedies relating to the Collateral, in each case so long as any Proceeds are distributed in accordance with </w:t>
      </w:r>
      <w:r>
        <w:rPr>
          <w:rFonts w:ascii="Arial" w:cs="Arial" w:eastAsia="Arial" w:hAnsi="Arial"/>
          <w:sz w:val="17"/>
          <w:szCs w:val="17"/>
          <w:u w:val="single" w:color="auto"/>
          <w:color w:val="auto"/>
        </w:rPr>
        <w:t>Section 4.01.</w:t>
      </w:r>
    </w:p>
    <w:p>
      <w:pPr>
        <w:spacing w:after="0" w:line="166" w:lineRule="exact"/>
        <w:rPr>
          <w:sz w:val="20"/>
          <w:szCs w:val="20"/>
          <w:color w:val="auto"/>
        </w:rPr>
      </w:pPr>
    </w:p>
    <w:p>
      <w:pPr>
        <w:ind w:right="140" w:firstLine="464"/>
        <w:spacing w:after="0" w:line="259" w:lineRule="auto"/>
        <w:tabs>
          <w:tab w:leader="none" w:pos="636" w:val="left"/>
        </w:tabs>
        <w:numPr>
          <w:ilvl w:val="0"/>
          <w:numId w:val="514"/>
        </w:numPr>
        <w:rPr>
          <w:rFonts w:ascii="Arial" w:cs="Arial" w:eastAsia="Arial" w:hAnsi="Arial"/>
          <w:sz w:val="18"/>
          <w:szCs w:val="18"/>
          <w:b w:val="1"/>
          <w:bCs w:val="1"/>
          <w:color w:val="auto"/>
        </w:rPr>
      </w:pPr>
      <w:r>
        <w:rPr>
          <w:rFonts w:ascii="Arial" w:cs="Arial" w:eastAsia="Arial" w:hAnsi="Arial"/>
          <w:sz w:val="18"/>
          <w:szCs w:val="18"/>
          <w:color w:val="auto"/>
        </w:rPr>
        <w:t xml:space="preserve">Until the Discharge of Senior Priority Obligations, whether or not any Insolvency Proceeding has been commenced by or against any Loan Party, subject to Section 2.03(a)(i), the Senior Priority Representative (or its agent or nominee) shall have the exclusive right to Exercise Any Secured Creditor Remedies without any consultation with or the consent of the Junior Priority Representative, any other Junior Priority Agent or any Junior Priority Creditor;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Proceeds are distributed in accordance with </w:t>
      </w:r>
      <w:r>
        <w:rPr>
          <w:rFonts w:ascii="Arial" w:cs="Arial" w:eastAsia="Arial" w:hAnsi="Arial"/>
          <w:sz w:val="18"/>
          <w:szCs w:val="18"/>
          <w:u w:val="single" w:color="auto"/>
          <w:color w:val="auto"/>
        </w:rPr>
        <w:t>Section 4.01.</w:t>
      </w:r>
    </w:p>
    <w:p>
      <w:pPr>
        <w:spacing w:after="0" w:line="186" w:lineRule="exact"/>
        <w:rPr>
          <w:rFonts w:ascii="Arial" w:cs="Arial" w:eastAsia="Arial" w:hAnsi="Arial"/>
          <w:sz w:val="18"/>
          <w:szCs w:val="18"/>
          <w:b w:val="1"/>
          <w:bCs w:val="1"/>
          <w:color w:val="auto"/>
        </w:rPr>
      </w:pPr>
    </w:p>
    <w:p>
      <w:pPr>
        <w:ind w:right="80" w:firstLine="464"/>
        <w:spacing w:after="0" w:line="291" w:lineRule="auto"/>
        <w:tabs>
          <w:tab w:leader="none" w:pos="636" w:val="left"/>
        </w:tabs>
        <w:numPr>
          <w:ilvl w:val="0"/>
          <w:numId w:val="514"/>
        </w:numPr>
        <w:rPr>
          <w:rFonts w:ascii="Arial" w:cs="Arial" w:eastAsia="Arial" w:hAnsi="Arial"/>
          <w:sz w:val="16"/>
          <w:szCs w:val="16"/>
          <w:b w:val="1"/>
          <w:bCs w:val="1"/>
          <w:color w:val="auto"/>
        </w:rPr>
      </w:pPr>
      <w:r>
        <w:rPr>
          <w:rFonts w:ascii="Arial" w:cs="Arial" w:eastAsia="Arial" w:hAnsi="Arial"/>
          <w:sz w:val="16"/>
          <w:szCs w:val="16"/>
          <w:color w:val="auto"/>
        </w:rPr>
        <w:t xml:space="preserve">From and after the Discharge of Senior Priority Obligations, any Junior Priority Agent and any Junior Priority Creditor may Exercise Any Secured Creditor Remedies under the Junior Priority Documents or applicable law as to any Collateral; subject to the provisions of this Agreement, including </w:t>
      </w:r>
      <w:r>
        <w:rPr>
          <w:rFonts w:ascii="Arial" w:cs="Arial" w:eastAsia="Arial" w:hAnsi="Arial"/>
          <w:sz w:val="16"/>
          <w:szCs w:val="16"/>
          <w:u w:val="single" w:color="auto"/>
          <w:color w:val="auto"/>
        </w:rPr>
        <w:t>Section</w:t>
      </w:r>
    </w:p>
    <w:p>
      <w:pPr>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4.01.</w:t>
      </w:r>
      <w:r>
        <w:rPr>
          <w:rFonts w:ascii="Arial" w:cs="Arial" w:eastAsia="Arial" w:hAnsi="Arial"/>
          <w:sz w:val="18"/>
          <w:szCs w:val="18"/>
          <w:color w:val="auto"/>
        </w:rPr>
        <w:t xml:space="preserve"> Notwithstanding anything to the contrary contained herein, any Junior Priority Agent or any Junior Priority Secured Party may:</w:t>
      </w:r>
    </w:p>
    <w:p>
      <w:pPr>
        <w:spacing w:after="0" w:line="102" w:lineRule="exact"/>
        <w:rPr>
          <w:rFonts w:ascii="Arial" w:cs="Arial" w:eastAsia="Arial" w:hAnsi="Arial"/>
          <w:sz w:val="16"/>
          <w:szCs w:val="16"/>
          <w:b w:val="1"/>
          <w:bCs w:val="1"/>
          <w:color w:val="auto"/>
        </w:rPr>
      </w:pPr>
    </w:p>
    <w:p>
      <w:pPr>
        <w:ind w:left="460" w:right="40" w:firstLine="443"/>
        <w:spacing w:after="0" w:line="264" w:lineRule="auto"/>
        <w:tabs>
          <w:tab w:leader="none" w:pos="1068" w:val="left"/>
        </w:tabs>
        <w:numPr>
          <w:ilvl w:val="1"/>
          <w:numId w:val="514"/>
        </w:numPr>
        <w:rPr>
          <w:rFonts w:ascii="Arial" w:cs="Arial" w:eastAsia="Arial" w:hAnsi="Arial"/>
          <w:sz w:val="18"/>
          <w:szCs w:val="18"/>
          <w:color w:val="auto"/>
        </w:rPr>
      </w:pPr>
      <w:r>
        <w:rPr>
          <w:rFonts w:ascii="Arial" w:cs="Arial" w:eastAsia="Arial" w:hAnsi="Arial"/>
          <w:sz w:val="18"/>
          <w:szCs w:val="18"/>
          <w:color w:val="auto"/>
        </w:rPr>
        <w:t>make such demands or file such claims in respect of the [Senior] [Junior] Priority Obligations owed to such [Senior] [Junior] Priority Agent and the [Senior] [Junior] Priority Creditors represented thereby as are necessary to prevent the waiver or bar of such claims under applicable statutes of limitations or other statutes, court orders, or rules of procedure at any time;</w:t>
      </w:r>
    </w:p>
    <w:p>
      <w:pPr>
        <w:spacing w:after="0" w:line="73" w:lineRule="exact"/>
        <w:rPr>
          <w:rFonts w:ascii="Arial" w:cs="Arial" w:eastAsia="Arial" w:hAnsi="Arial"/>
          <w:sz w:val="18"/>
          <w:szCs w:val="18"/>
          <w:color w:val="auto"/>
        </w:rPr>
      </w:pPr>
    </w:p>
    <w:p>
      <w:pPr>
        <w:ind w:left="1080" w:hanging="177"/>
        <w:spacing w:after="0"/>
        <w:tabs>
          <w:tab w:leader="none" w:pos="108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file a claim or statement of interest with respect to the Junior Priority Obligations;</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068"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take any action in order to create, prove, perfect, preserve or protect (but not enforce) its Lien on and rights in, and the perfection and priority of its Lien on, any of the Collateral;</w:t>
      </w:r>
    </w:p>
    <w:p>
      <w:pPr>
        <w:spacing w:after="0" w:line="62" w:lineRule="exact"/>
        <w:rPr>
          <w:rFonts w:ascii="Arial" w:cs="Arial" w:eastAsia="Arial" w:hAnsi="Arial"/>
          <w:sz w:val="18"/>
          <w:szCs w:val="18"/>
          <w:color w:val="auto"/>
        </w:rPr>
      </w:pPr>
    </w:p>
    <w:p>
      <w:pPr>
        <w:ind w:left="460" w:right="80" w:firstLine="443"/>
        <w:spacing w:after="0" w:line="264" w:lineRule="auto"/>
        <w:tabs>
          <w:tab w:leader="none" w:pos="1078" w:val="left"/>
        </w:tabs>
        <w:numPr>
          <w:ilvl w:val="1"/>
          <w:numId w:val="514"/>
        </w:numPr>
        <w:rPr>
          <w:rFonts w:ascii="Arial" w:cs="Arial" w:eastAsia="Arial" w:hAnsi="Arial"/>
          <w:sz w:val="18"/>
          <w:szCs w:val="18"/>
          <w:color w:val="auto"/>
        </w:rPr>
      </w:pPr>
      <w:r>
        <w:rPr>
          <w:rFonts w:ascii="Arial" w:cs="Arial" w:eastAsia="Arial" w:hAnsi="Arial"/>
          <w:sz w:val="18"/>
          <w:szCs w:val="18"/>
          <w:color w:val="auto"/>
        </w:rPr>
        <w:t>file any necessary responsive or defensive pleadings in opposition to any motion, claim, adversary proceeding or other pleading made by any person objecting to or otherwise seeking the disallowance of the claims of the Junior Priority Secured Parties represented thereby or of the same Series of Senior Priority Debt, in accordance with the terms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3" w:right="259" w:bottom="1440" w:gutter="0" w:footer="0" w:header="0"/>
        </w:sectPr>
      </w:pPr>
    </w:p>
    <w:bookmarkStart w:id="473" w:name="page474"/>
    <w:bookmarkEnd w:id="473"/>
    <w:p>
      <w:pPr>
        <w:ind w:left="460" w:firstLine="438"/>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file any pleadings, objections, motions or agreements which assert rights or interests available to unsecured creditors of the Loan Parties arising under either any Insolvency Proceeding or applicable non-bankruptcy law, in each case not inconsistent with the terms of this Agreement or applicable law (including the Bankruptcy Laws of any applicable jurisdiction); and</w:t>
      </w:r>
    </w:p>
    <w:p>
      <w:pPr>
        <w:spacing w:after="0" w:line="73"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f. vote on any Plan of Reorganization, file any proof of claim, make other filings and make any arguments and motions (including in support of or opposition to, as applicable, the confirmation or approval of any Plan of Reorganization) that are, in each case, in accordance with the terms of this Agreement.</w:t>
      </w:r>
    </w:p>
    <w:p>
      <w:pPr>
        <w:spacing w:after="0" w:line="181" w:lineRule="exact"/>
        <w:rPr>
          <w:sz w:val="20"/>
          <w:szCs w:val="20"/>
          <w:color w:val="auto"/>
        </w:rPr>
      </w:pPr>
    </w:p>
    <w:p>
      <w:pPr>
        <w:ind w:right="20" w:firstLine="464"/>
        <w:spacing w:after="0" w:line="272" w:lineRule="auto"/>
        <w:tabs>
          <w:tab w:leader="none" w:pos="636" w:val="left"/>
        </w:tabs>
        <w:numPr>
          <w:ilvl w:val="0"/>
          <w:numId w:val="515"/>
        </w:numPr>
        <w:rPr>
          <w:rFonts w:ascii="Arial" w:cs="Arial" w:eastAsia="Arial" w:hAnsi="Arial"/>
          <w:sz w:val="17"/>
          <w:szCs w:val="17"/>
          <w:b w:val="1"/>
          <w:bCs w:val="1"/>
          <w:color w:val="auto"/>
        </w:rPr>
      </w:pPr>
      <w:r>
        <w:rPr>
          <w:rFonts w:ascii="Arial" w:cs="Arial" w:eastAsia="Arial" w:hAnsi="Arial"/>
          <w:sz w:val="17"/>
          <w:szCs w:val="17"/>
          <w:color w:val="auto"/>
        </w:rPr>
        <w:t xml:space="preserve">Any Senior Priority Agent, on behalf of itself and any Senior Priority Creditors represented thereby, agrees that such Senior Priority Agent and such Senior Priority Creditors will not, and will not seek to, Exercise Any Secured Creditor Remedies (or institute or join in any action or proceeding with respect to the Exercise of Secured Creditor Remedies) with respect to any of the Collateral without the written consent of the Senior Priority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sentence shall prohibit any Senior Priority Agent from taking such actions in its capacity as Senior Priority Representative, if applicable. The Senior Priority Representative may Exercise Any Secured Creditor Remedies under the Senior Priority Collateral Documents or applicable law as to any Collateral subject to the provisions of this Agreement, including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hereof. Notwithstanding anything to the contrary contained herein, any Senior Priority Agent or any Senior Priority Secured Party may:</w:t>
      </w:r>
    </w:p>
    <w:p>
      <w:pPr>
        <w:spacing w:after="0" w:line="69" w:lineRule="exact"/>
        <w:rPr>
          <w:rFonts w:ascii="Arial" w:cs="Arial" w:eastAsia="Arial" w:hAnsi="Arial"/>
          <w:sz w:val="17"/>
          <w:szCs w:val="17"/>
          <w:b w:val="1"/>
          <w:bCs w:val="1"/>
          <w:color w:val="auto"/>
        </w:rPr>
      </w:pPr>
    </w:p>
    <w:p>
      <w:pPr>
        <w:ind w:left="460" w:right="60" w:firstLine="443"/>
        <w:spacing w:after="0" w:line="264" w:lineRule="auto"/>
        <w:tabs>
          <w:tab w:leader="none" w:pos="1068" w:val="left"/>
        </w:tabs>
        <w:numPr>
          <w:ilvl w:val="1"/>
          <w:numId w:val="515"/>
        </w:numPr>
        <w:rPr>
          <w:rFonts w:ascii="Arial" w:cs="Arial" w:eastAsia="Arial" w:hAnsi="Arial"/>
          <w:sz w:val="18"/>
          <w:szCs w:val="18"/>
          <w:color w:val="auto"/>
        </w:rPr>
      </w:pPr>
      <w:r>
        <w:rPr>
          <w:rFonts w:ascii="Arial" w:cs="Arial" w:eastAsia="Arial" w:hAnsi="Arial"/>
          <w:sz w:val="18"/>
          <w:szCs w:val="18"/>
          <w:color w:val="auto"/>
        </w:rPr>
        <w:t>make such demands or file such claims in respect of the [Senior] [Junior] Priority Obligations owed to such [Senior] [Junior] Priority Agent and the [Senior] [Junior] Priority Creditors represented thereby as are necessary to prevent the waiver or bar of such claims under applicable statutes of limitations or other statutes, court orders, or rules of procedure at any time;</w:t>
      </w:r>
    </w:p>
    <w:p>
      <w:pPr>
        <w:spacing w:after="0" w:line="73" w:lineRule="exact"/>
        <w:rPr>
          <w:rFonts w:ascii="Arial" w:cs="Arial" w:eastAsia="Arial" w:hAnsi="Arial"/>
          <w:sz w:val="18"/>
          <w:szCs w:val="18"/>
          <w:color w:val="auto"/>
        </w:rPr>
      </w:pPr>
    </w:p>
    <w:p>
      <w:pPr>
        <w:ind w:left="1080" w:hanging="177"/>
        <w:spacing w:after="0"/>
        <w:tabs>
          <w:tab w:leader="none" w:pos="108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file a claim or statement of interest with respect to the Senior Priority Obligations;</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068"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take any action in order to create, prove, perfect, preserve or protect (but not enforce) its Lien on and rights in, and the perfection and priority of its Lien on, any of the Collateral;</w:t>
      </w:r>
    </w:p>
    <w:p>
      <w:pPr>
        <w:spacing w:after="0" w:line="62" w:lineRule="exact"/>
        <w:rPr>
          <w:rFonts w:ascii="Arial" w:cs="Arial" w:eastAsia="Arial" w:hAnsi="Arial"/>
          <w:sz w:val="18"/>
          <w:szCs w:val="18"/>
          <w:color w:val="auto"/>
        </w:rPr>
      </w:pPr>
    </w:p>
    <w:p>
      <w:pPr>
        <w:jc w:val="both"/>
        <w:ind w:left="460" w:right="180" w:firstLine="443"/>
        <w:spacing w:after="0" w:line="264" w:lineRule="auto"/>
        <w:tabs>
          <w:tab w:leader="none" w:pos="1078" w:val="left"/>
        </w:tabs>
        <w:numPr>
          <w:ilvl w:val="1"/>
          <w:numId w:val="515"/>
        </w:numPr>
        <w:rPr>
          <w:rFonts w:ascii="Arial" w:cs="Arial" w:eastAsia="Arial" w:hAnsi="Arial"/>
          <w:sz w:val="18"/>
          <w:szCs w:val="18"/>
          <w:color w:val="auto"/>
        </w:rPr>
      </w:pPr>
      <w:r>
        <w:rPr>
          <w:rFonts w:ascii="Arial" w:cs="Arial" w:eastAsia="Arial" w:hAnsi="Arial"/>
          <w:sz w:val="18"/>
          <w:szCs w:val="18"/>
          <w:color w:val="auto"/>
        </w:rPr>
        <w:t>file any necessary responsive or defensive pleadings in opposition to any motion, claim, adversary proceeding or other pleading made by any person objecting to or otherwise seeking the disallowance of the claims of the Senior Priority Secured Parties represented thereby in accordance with the terms of this Agreement;</w:t>
      </w:r>
    </w:p>
    <w:p>
      <w:pPr>
        <w:spacing w:after="0" w:line="73" w:lineRule="exact"/>
        <w:rPr>
          <w:rFonts w:ascii="Arial" w:cs="Arial" w:eastAsia="Arial" w:hAnsi="Arial"/>
          <w:sz w:val="18"/>
          <w:szCs w:val="18"/>
          <w:color w:val="auto"/>
        </w:rPr>
      </w:pPr>
    </w:p>
    <w:p>
      <w:pPr>
        <w:ind w:left="460" w:firstLine="443"/>
        <w:spacing w:after="0" w:line="264" w:lineRule="auto"/>
        <w:tabs>
          <w:tab w:leader="none" w:pos="1068" w:val="left"/>
        </w:tabs>
        <w:numPr>
          <w:ilvl w:val="1"/>
          <w:numId w:val="515"/>
        </w:numPr>
        <w:rPr>
          <w:rFonts w:ascii="Arial" w:cs="Arial" w:eastAsia="Arial" w:hAnsi="Arial"/>
          <w:sz w:val="18"/>
          <w:szCs w:val="18"/>
          <w:color w:val="auto"/>
        </w:rPr>
      </w:pPr>
      <w:r>
        <w:rPr>
          <w:rFonts w:ascii="Arial" w:cs="Arial" w:eastAsia="Arial" w:hAnsi="Arial"/>
          <w:sz w:val="18"/>
          <w:szCs w:val="18"/>
          <w:color w:val="auto"/>
        </w:rPr>
        <w:t>file any pleadings, objections, motions or agreements which assert rights or interests available to unsecured creditors of the Loan Parties arising under either any Insolvency Proceeding or applicable non-bankruptcy law, in each case not inconsistent with the terms of this Agreement or applicable law (including the Bankruptcy Laws of any applicable jurisdiction); and</w:t>
      </w:r>
    </w:p>
    <w:p>
      <w:pPr>
        <w:spacing w:after="0" w:line="73" w:lineRule="exact"/>
        <w:rPr>
          <w:rFonts w:ascii="Arial" w:cs="Arial" w:eastAsia="Arial" w:hAnsi="Arial"/>
          <w:sz w:val="18"/>
          <w:szCs w:val="18"/>
          <w:color w:val="auto"/>
        </w:rPr>
      </w:pPr>
    </w:p>
    <w:p>
      <w:pPr>
        <w:ind w:left="460" w:firstLine="443"/>
        <w:spacing w:after="0" w:line="264" w:lineRule="auto"/>
        <w:tabs>
          <w:tab w:leader="none" w:pos="1048" w:val="left"/>
        </w:tabs>
        <w:numPr>
          <w:ilvl w:val="1"/>
          <w:numId w:val="515"/>
        </w:numPr>
        <w:rPr>
          <w:rFonts w:ascii="Arial" w:cs="Arial" w:eastAsia="Arial" w:hAnsi="Arial"/>
          <w:sz w:val="18"/>
          <w:szCs w:val="18"/>
          <w:color w:val="auto"/>
        </w:rPr>
      </w:pPr>
      <w:r>
        <w:rPr>
          <w:rFonts w:ascii="Arial" w:cs="Arial" w:eastAsia="Arial" w:hAnsi="Arial"/>
          <w:sz w:val="18"/>
          <w:szCs w:val="18"/>
          <w:color w:val="auto"/>
        </w:rPr>
        <w:t>vote on any Plan of Reorganization, file any proof of claim, make other filings and make any arguments and motions (including in support of or opposition to, as applicable, the confirmation or approval of any Plan of Reorganization) that are, in each case, in accordance with the terms of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3" w:right="239" w:bottom="1440" w:gutter="0" w:footer="0" w:header="0"/>
        </w:sectPr>
      </w:pPr>
    </w:p>
    <w:bookmarkStart w:id="474" w:name="page475"/>
    <w:bookmarkEnd w:id="47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 </w:t>
      </w:r>
      <w:r>
        <w:rPr>
          <w:rFonts w:ascii="Arial" w:cs="Arial" w:eastAsia="Arial" w:hAnsi="Arial"/>
          <w:sz w:val="18"/>
          <w:szCs w:val="18"/>
          <w:color w:val="auto"/>
        </w:rPr>
        <w:t>Exercise of Rights.</w:t>
      </w:r>
    </w:p>
    <w:p>
      <w:pPr>
        <w:spacing w:after="0" w:line="229" w:lineRule="exact"/>
        <w:rPr>
          <w:sz w:val="20"/>
          <w:szCs w:val="20"/>
          <w:color w:val="auto"/>
        </w:rPr>
      </w:pPr>
    </w:p>
    <w:p>
      <w:pPr>
        <w:ind w:left="-20" w:firstLine="464"/>
        <w:spacing w:after="0" w:line="284" w:lineRule="auto"/>
        <w:tabs>
          <w:tab w:leader="none" w:pos="616" w:val="left"/>
        </w:tabs>
        <w:numPr>
          <w:ilvl w:val="0"/>
          <w:numId w:val="516"/>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No Other Restrictions</w:t>
      </w:r>
      <w:r>
        <w:rPr>
          <w:rFonts w:ascii="Arial" w:cs="Arial" w:eastAsia="Arial" w:hAnsi="Arial"/>
          <w:sz w:val="16"/>
          <w:szCs w:val="16"/>
          <w:color w:val="auto"/>
        </w:rPr>
        <w:t>. Except as expressly set forth in this Agreement, (i) each Agent and each Creditor shall have any and all rights and remedies 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may have as a creditor under applicable law, including the right to the Exercise of Secured Creditor Remedies (except as may be separately otherwise agreed in writing by and between or among any applicable Parties, solely as among such Parties and the Creditors represented thereby), and (ii) nothing in this Agreement shall prohibit the receipt by any Agent or any Secured Party of the required payment of principal and interest so long as, in the case of any Junior Priority Agent or Junior Priority Secured Party, such receipt is not the direct or indirect result of the Exercise of Secured Creditor Remedies in contravention of this Agreement and such receipt is not Proceeds of Collateral;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Exercise of Secured Creditor Remedies with respect to the Collateral shall be subject to the Lien Priority and to the provisions of this Agreement, including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Each Senior Priority Agent may enforce the provisions of the applicable Senior Priority Documents, each Junior Priority Agent may enforce the provisions of the applicable Junior Priority Documents, and each Agent may Exercise Any Secured Creditor Remedies, all in such order and in such manner as each may determine in the exercise of its sole discretion, consistent with the terms of this Agreement and mandatory provisions of applicable law (except as may be separately otherwise agreed in writing by and between or among any applicable Parties, solely as among such Parties and the Creditors represented thereby);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each Agent agrees to provide to each other such Party copies of any notices that it is required under applicable law to deliver to any Loan Party;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Senior Priority Agent’s failure to provide any such copies to any other such Party shall not impair any Senior Priority Agent’s rights hereunder or under any of the applicable Senior Priority Documents, and any Junior Priority Agent’s failure to provide any such copies to any other such Party shall not impair any Junior Priority Agent’s rights hereunder or under any of the applicable Junior Priority Documents. Each Agent agrees for and on behalf of itself and each Creditor represented thereby that such Agent and each such Creditor will not institute or join in any suit, Insolvency Proceeding or other proceeding or assert in any suit, Insolvency Proceeding or other proceeding any claim, (x) in the case of any Junior Priority Agent and any Junior Priority Creditor represented thereby, against any Senior Priority Secured Party, and (y) in the case of any Senior Priority Agent and any Senior Priority Creditor represented thereby, against any Junior Priority Secured Party, seeking damages from or other relief by way of specific performance, instructions or otherwise, with respect to any action taken or omitted to be taken by such Person with respect to the Collateral that is consistent with the terms of this Agreement, and none of such Persons shall be liable for any such action taken or omitted to be taken. Except as may be separately otherwise agreed in writing by and between or among any applicable Senior Priority Agents, in each case on behalf of itself and the Senior Priority Creditors represented thereby, each Senior Priority Agent agrees for and on behalf of any Senior Priority Creditors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60" w:top="270" w:right="259" w:bottom="1440" w:gutter="0" w:footer="0" w:header="0"/>
        </w:sectPr>
      </w:pPr>
    </w:p>
    <w:bookmarkStart w:id="475" w:name="page476"/>
    <w:bookmarkEnd w:id="47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represented thereby that such Agent and each such Creditor will not institute or join in any suit, Insolvency Proceeding or other proceeding or assert in any suit, Insolvency Proceeding or other proceeding any claim against any other Senior Priority Agent or any Senior Priority Creditor represented thereby seeking damages from or other relief by way of specific performance, instructions or otherwise, with respect to any action taken or omitted to be taken by such Person with respect to the Collateral that is consistent with the terms of this Agreement, and none of such Persons shall be liable for any such action taken or omitted to be taken. Except as may be separately otherwise agreed in writing by and between or among any Junior Priority Agents, in each case on behalf of itself and the Junior Priority Creditors represented thereby, each Junior Priority Agent agrees for and on behalf of any Junior Priority Creditors represented thereby that such Agent and each such Creditor will not institute or join in any suit, Insolvency Proceeding or other proceeding or assert in any suit, Insolvency Proceeding or other proceeding any claim against any other Junior Priority Agent or any Junior Priority Creditor represented thereby seeking damages from or other relief by way of specific performance, instructions or otherwise, with respect to any action taken or omitted to be taken by such Person with respect to the Collateral that is consistent with the terms of this Agreement, and none of such Persons shall be liable for any such action taken or omitted to be taken.</w:t>
      </w:r>
    </w:p>
    <w:p>
      <w:pPr>
        <w:spacing w:after="0" w:line="169" w:lineRule="exact"/>
        <w:rPr>
          <w:sz w:val="20"/>
          <w:szCs w:val="20"/>
          <w:color w:val="auto"/>
        </w:rPr>
      </w:pPr>
    </w:p>
    <w:p>
      <w:pPr>
        <w:ind w:right="20" w:firstLine="464"/>
        <w:spacing w:after="0" w:line="286" w:lineRule="auto"/>
        <w:tabs>
          <w:tab w:leader="none" w:pos="636" w:val="left"/>
        </w:tabs>
        <w:numPr>
          <w:ilvl w:val="1"/>
          <w:numId w:val="517"/>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Release of Liens</w:t>
      </w:r>
      <w:r>
        <w:rPr>
          <w:rFonts w:ascii="Arial" w:cs="Arial" w:eastAsia="Arial" w:hAnsi="Arial"/>
          <w:sz w:val="16"/>
          <w:szCs w:val="16"/>
          <w:color w:val="auto"/>
        </w:rPr>
        <w:t>. In the event of (A) any private or public sale of all or any portion of the Collateral in connection with any Exercise of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 Remedies by or with the consent of the Senior Priority Representative, (B) any sale, transfer or other disposition of all or any portion of the Collateral other than in connection with any Exercise of Secured Creditor Remedies, so long as such sale, transfer or other disposition is then permitted by the Senior Priority Documents, or (C) the release of the Senior Priority Secured Parties’ Liens on all or any portion of the Collateral which release under clause</w:t>
      </w:r>
    </w:p>
    <w:p>
      <w:pPr>
        <w:spacing w:after="0" w:line="1" w:lineRule="exact"/>
        <w:rPr>
          <w:rFonts w:ascii="Arial" w:cs="Arial" w:eastAsia="Arial" w:hAnsi="Arial"/>
          <w:sz w:val="16"/>
          <w:szCs w:val="16"/>
          <w:b w:val="1"/>
          <w:bCs w:val="1"/>
          <w:color w:val="auto"/>
        </w:rPr>
      </w:pPr>
    </w:p>
    <w:p>
      <w:pPr>
        <w:ind w:right="80" w:firstLine="8"/>
        <w:spacing w:after="0" w:line="285" w:lineRule="auto"/>
        <w:tabs>
          <w:tab w:leader="none" w:pos="285" w:val="left"/>
        </w:tabs>
        <w:numPr>
          <w:ilvl w:val="0"/>
          <w:numId w:val="518"/>
        </w:numPr>
        <w:rPr>
          <w:rFonts w:ascii="Arial" w:cs="Arial" w:eastAsia="Arial" w:hAnsi="Arial"/>
          <w:sz w:val="16"/>
          <w:szCs w:val="16"/>
          <w:color w:val="auto"/>
        </w:rPr>
      </w:pPr>
      <w:r>
        <w:rPr>
          <w:rFonts w:ascii="Arial" w:cs="Arial" w:eastAsia="Arial" w:hAnsi="Arial"/>
          <w:sz w:val="16"/>
          <w:szCs w:val="16"/>
          <w:color w:val="auto"/>
        </w:rPr>
        <w:t xml:space="preserve">shall have been approved by all of the requisite Senior Priority Secured Parties (as determined pursuant to the applicable Senior Priority Documents), in the case of clauses (B) and (C) only to the extent occurring prior to the Discharge of Senior Priority Obligations and not in connection with a Discharge of Senior Priority Obligations (and irrespective of whether an Event of Default has occurred), each Junior Priority Agent agrees, for and on behalf of itself and the Junior Priority Creditors represented thereby, that (x) so long as (1) the net cash proceeds of any such sale, if any, described in clause (A) above are applied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hereof and (2) there is a corresponding release of the Liens securing the Senior Priority Obligations, such sale or release will be free and clear of the Liens on such Collateral securing the Junior Priority Obligations and (y) such Junior Priority Secured Parties’ Liens with respect to the Collateral so sold, transferred, disposed or released shall terminate and be automatically released without further action. In furtherance of, and subject to, the foregoing, each Junior Priority Agent agrees that it will execute any and all Lien releases or other documents reasonably requested by any Senior Priority Agent in connection therewith, so long as the net cash proceeds, if any, from such sale described in clause (A) above of such Collateral are applied in accordance with the terms of this Agreement. Each Junior Priority Agent hereby appoints the Senior Priority Representative and any officer or duly authorized person of the Senior Priority Representative, with full power of substitution, as its true and lawful attorney-in-fact with full irrevocable power of attorney in the place and stead of such Junior Priority Agent and in the name of such Junior Priority Agent or in the Senior Priority Representative’s own name, from time to time, in the Senior Priority Representative’s sole discretion, for the purposes of carrying out the terms of this paragraph, to take any and all appropriate action and to execute and deliver any and all documents and instruments as may be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76" w:name="page477"/>
    <w:bookmarkEnd w:id="47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necessary or desirable to accomplish the purposes of this paragraph, including any financing statements, endorsements, assignments, releases or other documents or instruments of transfer (which appointment, being coupled with an interest, is irrevocable). Until the Discharge of Senior Priority Obligations, to the extent that the Senior Priority Secured Parties (i) have released any Lien on Collateral and any such Lien is later reinstated or (ii) obtain any new Senior Priority Liens, then the Junior Priority Secured Parties shall at the time of such reinstatement or new Senior Priority Liens be granted a Junior Priority Lien on any such Collateral.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u w:val="single" w:color="auto"/>
          <w:color w:val="auto"/>
        </w:rPr>
        <w:t>No New Liens</w:t>
      </w: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p>
      <w:pPr>
        <w:spacing w:after="0" w:line="229" w:lineRule="exact"/>
        <w:rPr>
          <w:sz w:val="20"/>
          <w:szCs w:val="20"/>
          <w:color w:val="auto"/>
        </w:rPr>
      </w:pPr>
    </w:p>
    <w:p>
      <w:pPr>
        <w:ind w:right="760" w:firstLine="464"/>
        <w:spacing w:after="0" w:line="277" w:lineRule="auto"/>
        <w:tabs>
          <w:tab w:leader="none" w:pos="701" w:val="left"/>
        </w:tabs>
        <w:numPr>
          <w:ilvl w:val="0"/>
          <w:numId w:val="519"/>
        </w:numPr>
        <w:rPr>
          <w:rFonts w:ascii="Arial" w:cs="Arial" w:eastAsia="Arial" w:hAnsi="Arial"/>
          <w:sz w:val="18"/>
          <w:szCs w:val="18"/>
          <w:color w:val="auto"/>
        </w:rPr>
      </w:pPr>
      <w:r>
        <w:rPr>
          <w:rFonts w:ascii="Arial" w:cs="Arial" w:eastAsia="Arial" w:hAnsi="Arial"/>
          <w:sz w:val="18"/>
          <w:szCs w:val="18"/>
          <w:color w:val="auto"/>
        </w:rPr>
        <w:t>Until the Discharge of Senior Priority Obligations, each Junior Priority Agent, for and on behalf of itself and any Junior Priority Creditors represented thereby, hereby agrees that:</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068" w:val="left"/>
        </w:tabs>
        <w:numPr>
          <w:ilvl w:val="1"/>
          <w:numId w:val="519"/>
        </w:numPr>
        <w:rPr>
          <w:rFonts w:ascii="Arial" w:cs="Arial" w:eastAsia="Arial" w:hAnsi="Arial"/>
          <w:sz w:val="18"/>
          <w:szCs w:val="18"/>
          <w:color w:val="auto"/>
        </w:rPr>
      </w:pPr>
      <w:r>
        <w:rPr>
          <w:rFonts w:ascii="Arial" w:cs="Arial" w:eastAsia="Arial" w:hAnsi="Arial"/>
          <w:sz w:val="18"/>
          <w:szCs w:val="18"/>
          <w:color w:val="auto"/>
        </w:rPr>
        <w:t>no Junior Priority Secured Party shall acquire or hold (x) any guaranty of Junior Priority Obligations by any Person unless such Person also provides (or is prohibited by applicable law from providing) a guaranty of the Senior Priority Obligations, or (y) any Lien on (unless prohibited by any applicable law) any assets of any Loan Party securing any Junior Priority Obligation, which assets are not also subject to the Lien of each Senior Priority Agent under the Senior Priority Documents, subject to the Lien Priority set forth herein; and</w:t>
      </w:r>
    </w:p>
    <w:p>
      <w:pPr>
        <w:spacing w:after="0" w:line="78" w:lineRule="exact"/>
        <w:rPr>
          <w:rFonts w:ascii="Arial" w:cs="Arial" w:eastAsia="Arial" w:hAnsi="Arial"/>
          <w:sz w:val="18"/>
          <w:szCs w:val="18"/>
          <w:color w:val="auto"/>
        </w:rPr>
      </w:pPr>
    </w:p>
    <w:p>
      <w:pPr>
        <w:ind w:left="460" w:right="40" w:firstLine="443"/>
        <w:spacing w:after="0" w:line="291" w:lineRule="auto"/>
        <w:tabs>
          <w:tab w:leader="none" w:pos="1078" w:val="left"/>
        </w:tabs>
        <w:numPr>
          <w:ilvl w:val="1"/>
          <w:numId w:val="519"/>
        </w:numPr>
        <w:rPr>
          <w:rFonts w:ascii="Arial" w:cs="Arial" w:eastAsia="Arial" w:hAnsi="Arial"/>
          <w:sz w:val="16"/>
          <w:szCs w:val="16"/>
          <w:color w:val="auto"/>
        </w:rPr>
      </w:pPr>
      <w:r>
        <w:rPr>
          <w:rFonts w:ascii="Arial" w:cs="Arial" w:eastAsia="Arial" w:hAnsi="Arial"/>
          <w:sz w:val="16"/>
          <w:szCs w:val="16"/>
          <w:color w:val="auto"/>
        </w:rPr>
        <w:t>if any such Junior Priority Secured Party shall (nonetheless and in breach hereof) acquire or hold any guaranty of Junior Priority Obligations by any Person who does not also provide a guaranty of Senior Priority Obligations or any Lien on any assets of any Loan Party securing any Junior Priority Obligation, which assets are not also subject to the Lien of each Senior Priority Agent under the Senior Priority Documents, subject to the Lien Priority set forth herein, then such Junior Priority Agent (or the relevant Junior Priority Creditor) shall, without the need for any further consent of any other Junior Priority Secured Party and notwithstanding anything to the contrary in any other Junior Priority Document, be deemed to also hold and have held such guaranty or Lien for the benefit of the Senior Priority Agents as security for the Senior Priority Obligations (subject to the Lien Priority and other terms hereof) and shall promptly notify each Senior Priority Agent in writing of the existence of such Lien.</w:t>
      </w:r>
    </w:p>
    <w:p>
      <w:pPr>
        <w:spacing w:after="0" w:line="167" w:lineRule="exact"/>
        <w:rPr>
          <w:sz w:val="20"/>
          <w:szCs w:val="20"/>
          <w:color w:val="auto"/>
        </w:rPr>
      </w:pPr>
    </w:p>
    <w:p>
      <w:pPr>
        <w:jc w:val="both"/>
        <w:ind w:right="40" w:firstLine="464"/>
        <w:spacing w:after="0" w:line="264" w:lineRule="auto"/>
        <w:tabs>
          <w:tab w:leader="none" w:pos="636" w:val="left"/>
        </w:tabs>
        <w:numPr>
          <w:ilvl w:val="1"/>
          <w:numId w:val="520"/>
        </w:numPr>
        <w:rPr>
          <w:rFonts w:ascii="Arial" w:cs="Arial" w:eastAsia="Arial" w:hAnsi="Arial"/>
          <w:sz w:val="18"/>
          <w:szCs w:val="18"/>
          <w:b w:val="1"/>
          <w:bCs w:val="1"/>
          <w:color w:val="auto"/>
        </w:rPr>
      </w:pPr>
      <w:r>
        <w:rPr>
          <w:rFonts w:ascii="Arial" w:cs="Arial" w:eastAsia="Arial" w:hAnsi="Arial"/>
          <w:sz w:val="18"/>
          <w:szCs w:val="18"/>
          <w:color w:val="auto"/>
        </w:rPr>
        <w:t>Until the Discharge of Senior Priority Obligations, except as may be separately otherwise agreed in writing by and between or among any applicable Senior Priority Agents, in each case, on behalf of itself and any Senior Priority Creditors represented thereby, each Senior Priority Agent, for and on behalf of itself and the Senior Priority Creditors represented thereby, hereby agrees that:</w:t>
      </w:r>
    </w:p>
    <w:p>
      <w:pPr>
        <w:spacing w:after="0" w:line="73" w:lineRule="exact"/>
        <w:rPr>
          <w:rFonts w:ascii="Arial" w:cs="Arial" w:eastAsia="Arial" w:hAnsi="Arial"/>
          <w:sz w:val="18"/>
          <w:szCs w:val="18"/>
          <w:b w:val="1"/>
          <w:bCs w:val="1"/>
          <w:color w:val="auto"/>
        </w:rPr>
      </w:pPr>
    </w:p>
    <w:p>
      <w:pPr>
        <w:ind w:left="460" w:right="220" w:firstLine="443"/>
        <w:spacing w:after="0" w:line="257" w:lineRule="auto"/>
        <w:tabs>
          <w:tab w:leader="none" w:pos="1068" w:val="left"/>
        </w:tabs>
        <w:numPr>
          <w:ilvl w:val="2"/>
          <w:numId w:val="520"/>
        </w:numPr>
        <w:rPr>
          <w:rFonts w:ascii="Arial" w:cs="Arial" w:eastAsia="Arial" w:hAnsi="Arial"/>
          <w:sz w:val="18"/>
          <w:szCs w:val="18"/>
          <w:color w:val="auto"/>
        </w:rPr>
      </w:pPr>
      <w:r>
        <w:rPr>
          <w:rFonts w:ascii="Arial" w:cs="Arial" w:eastAsia="Arial" w:hAnsi="Arial"/>
          <w:sz w:val="18"/>
          <w:szCs w:val="18"/>
          <w:color w:val="auto"/>
        </w:rPr>
        <w:t>no such Senior Priority Secured Party shall acquire or hold (x) any guaranty of any Senior Priority Obligations by any Person unless such Person also provides (or is prohibited by applicable law from providing) a guaranty of all the other Senior Priority Obligations, or (y) any Lien on (unless prohibited by any applicable law) any assets (other than any Excluded Cash Collateral) of any Loan Party securing any Senior Priority Obligation, which assets are not also subject to the Lien of each other Senior Priority Agent under the Senior Priority Documents, subject to the Lien Priority set forth herein; and</w:t>
      </w:r>
    </w:p>
    <w:p>
      <w:pPr>
        <w:spacing w:after="0" w:line="161" w:lineRule="exact"/>
        <w:rPr>
          <w:rFonts w:ascii="Arial" w:cs="Arial" w:eastAsia="Arial" w:hAnsi="Arial"/>
          <w:sz w:val="18"/>
          <w:szCs w:val="18"/>
          <w:color w:val="auto"/>
        </w:rPr>
      </w:pPr>
    </w:p>
    <w:p>
      <w:pPr>
        <w:ind w:left="460" w:right="400" w:hanging="446"/>
        <w:spacing w:after="0" w:line="264"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Form note: clauses (a), (b) and (c) may be omitted (or modified, as appropriate) at the Borrower’s direction subject to consultation with the Administrative Agent in circumstances in which a Secured Party has, or may be entitled to have, Collateral or credit support that the other Secured Parties do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89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477" w:name="page478"/>
    <w:bookmarkEnd w:id="477"/>
    <w:p>
      <w:pPr>
        <w:ind w:left="440" w:right="180" w:firstLine="43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if any such Senior Priority Secured Party shall (nonetheless and in breach hereof) acquire or hold any guaranty of any Senior Priority Obligations by any Person who does not also provide a guaranty of all other Senior Priority Obligations or any Lien on any assets of any Loan Party securing any Senior Priority Obligation, which assets are not also subject to the Lien of each other Senior Priority Agent under the Senior Priority Documents, subject to the Lien Priority set forth herein, then such Senior Priority Agent (or the relevant Senior Priority Creditor) shall, without the need for any further consent of any other Senior Priority Secured Party and notwithstanding anything to the contrary in any other Senior Priority Document, be deemed to also hold and have held such guaranty or Lien for the benefit of each other Senior Priority Agent as security for the other Senior Priority Obligations (subject to the Lien Priority and other terms hereof) and shall promptly notify each Senior Priority Agent in writing of the existence of such Lien.</w:t>
      </w:r>
    </w:p>
    <w:p>
      <w:pPr>
        <w:spacing w:after="0" w:line="192" w:lineRule="exact"/>
        <w:rPr>
          <w:sz w:val="20"/>
          <w:szCs w:val="20"/>
          <w:color w:val="auto"/>
        </w:rPr>
      </w:pPr>
    </w:p>
    <w:p>
      <w:pPr>
        <w:jc w:val="both"/>
        <w:ind w:left="-20" w:right="60" w:firstLine="464"/>
        <w:spacing w:after="0" w:line="264" w:lineRule="auto"/>
        <w:tabs>
          <w:tab w:leader="none" w:pos="616" w:val="left"/>
        </w:tabs>
        <w:numPr>
          <w:ilvl w:val="0"/>
          <w:numId w:val="521"/>
        </w:numPr>
        <w:rPr>
          <w:rFonts w:ascii="Arial" w:cs="Arial" w:eastAsia="Arial" w:hAnsi="Arial"/>
          <w:sz w:val="18"/>
          <w:szCs w:val="18"/>
          <w:b w:val="1"/>
          <w:bCs w:val="1"/>
          <w:color w:val="auto"/>
        </w:rPr>
      </w:pPr>
      <w:r>
        <w:rPr>
          <w:rFonts w:ascii="Arial" w:cs="Arial" w:eastAsia="Arial" w:hAnsi="Arial"/>
          <w:sz w:val="18"/>
          <w:szCs w:val="18"/>
          <w:color w:val="auto"/>
        </w:rPr>
        <w:t>Until the Discharge of Junior Priority Obligations, except as may be separately otherwise agreed in writing by and between or among any applicable Junior Priority Agents, in each case, on behalf of itself and any Junior Priority Creditors represented thereby, each Junior Priority Agent, for and on behalf of itself and the Junior Priority Creditors represented thereby, hereby agrees that:</w:t>
      </w:r>
    </w:p>
    <w:p>
      <w:pPr>
        <w:spacing w:after="0" w:line="73" w:lineRule="exact"/>
        <w:rPr>
          <w:rFonts w:ascii="Arial" w:cs="Arial" w:eastAsia="Arial" w:hAnsi="Arial"/>
          <w:sz w:val="18"/>
          <w:szCs w:val="18"/>
          <w:b w:val="1"/>
          <w:bCs w:val="1"/>
          <w:color w:val="auto"/>
        </w:rPr>
      </w:pPr>
    </w:p>
    <w:p>
      <w:pPr>
        <w:ind w:left="440" w:right="80" w:firstLine="443"/>
        <w:spacing w:after="0" w:line="279" w:lineRule="auto"/>
        <w:tabs>
          <w:tab w:leader="none" w:pos="1048" w:val="left"/>
        </w:tabs>
        <w:numPr>
          <w:ilvl w:val="1"/>
          <w:numId w:val="521"/>
        </w:numPr>
        <w:rPr>
          <w:rFonts w:ascii="Arial" w:cs="Arial" w:eastAsia="Arial" w:hAnsi="Arial"/>
          <w:sz w:val="17"/>
          <w:szCs w:val="17"/>
          <w:color w:val="auto"/>
        </w:rPr>
      </w:pPr>
      <w:r>
        <w:rPr>
          <w:rFonts w:ascii="Arial" w:cs="Arial" w:eastAsia="Arial" w:hAnsi="Arial"/>
          <w:sz w:val="17"/>
          <w:szCs w:val="17"/>
          <w:color w:val="auto"/>
        </w:rPr>
        <w:t>no such Junior Priority Secured Party shall acquire or hold (x) any guaranty of any Junior Priority Obligations by any Person unless such Person also provides (or is prohibited by applicable law from providing) a guaranty of all the other Junior Priority Obligations, or (y) any Lien on Lien on (unless prohibited by any applicable law) any assets of any Loan Party securing any Junior Priority Obligation, which assets are not also subject to the Lien of each other Junior Priority Agent under the Junior Priority Documents, subject to the Lien Priority set forth herein; and</w:t>
      </w:r>
    </w:p>
    <w:p>
      <w:pPr>
        <w:spacing w:after="0" w:line="63" w:lineRule="exact"/>
        <w:rPr>
          <w:rFonts w:ascii="Arial" w:cs="Arial" w:eastAsia="Arial" w:hAnsi="Arial"/>
          <w:sz w:val="17"/>
          <w:szCs w:val="17"/>
          <w:color w:val="auto"/>
        </w:rPr>
      </w:pPr>
    </w:p>
    <w:p>
      <w:pPr>
        <w:ind w:left="440" w:firstLine="443"/>
        <w:spacing w:after="0" w:line="254" w:lineRule="auto"/>
        <w:tabs>
          <w:tab w:leader="none" w:pos="1058"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if any such Junior Priority Secured Party shall (nonetheless and in breach hereof) acquire or hold any guaranty of any Junior Priority Obligations by any Person who does not also provide a guaranty of all other Junior Priority Obligations or any Lien on any assets of any Loan Party securing any Junior Priority Obligation, which assets are not also subject to the Lien of each other Junior Priority Agent under the Junior Priority Documents, subject to the Lien Priority set forth herein, then such Junior Priority Agent (or the relevant Junior Priority Creditor) shall, without the need for any further consent of any other Junior Priority Secured Party and notwithstanding anything to the contrary in any other Junior Priority Document, be deemed to also hold and have held such guaranty or Lien for the benefit of each other Junior Priority Agent as security for the other Junior Priority Obligations (subject to the Lien Priority and other terms hereof) and shall promptly notify each Junior Priority Agent in writing of the existence of such Lien.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60" w:top="273" w:right="259" w:bottom="1440" w:gutter="0" w:footer="0" w:header="0"/>
        </w:sectPr>
      </w:pPr>
    </w:p>
    <w:bookmarkStart w:id="478" w:name="page479"/>
    <w:bookmarkEnd w:id="478"/>
    <w:p>
      <w:pPr>
        <w:ind w:right="40" w:firstLine="464"/>
        <w:spacing w:after="0" w:line="264" w:lineRule="auto"/>
        <w:tabs>
          <w:tab w:leader="none" w:pos="636" w:val="left"/>
        </w:tabs>
        <w:numPr>
          <w:ilvl w:val="0"/>
          <w:numId w:val="52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Secured Party shall be deemed to be in breach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as a result of any other Secured Party expressly declining, in writing (by virtue of the scope of the grant of Liens, including exceptions thereto and exclusions therefrom), to acquire, hold or continue to hold any Lien in any asset of any Loan Party.</w:t>
      </w:r>
    </w:p>
    <w:p>
      <w:pPr>
        <w:spacing w:after="0" w:line="177"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Waiver of Marshalling. Until the Discharge of Senior Priority Obligations, each Junior Priority Agent (including in its capacity as Junior 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if applicable), on behalf of itself and the Junior Priority Secured Parties represented thereby,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Collateral or any other similar rights a junior secured creditor may have under applicable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ACTIONS OF THE PARTIES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Agent for Perfection</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464"/>
        <w:spacing w:after="0" w:line="308" w:lineRule="auto"/>
        <w:tabs>
          <w:tab w:leader="none" w:pos="636" w:val="left"/>
        </w:tabs>
        <w:numPr>
          <w:ilvl w:val="0"/>
          <w:numId w:val="523"/>
        </w:numPr>
        <w:rPr>
          <w:rFonts w:ascii="Arial" w:cs="Arial" w:eastAsia="Arial" w:hAnsi="Arial"/>
          <w:sz w:val="17"/>
          <w:szCs w:val="17"/>
          <w:b w:val="1"/>
          <w:bCs w:val="1"/>
          <w:color w:val="auto"/>
        </w:rPr>
      </w:pPr>
      <w:r>
        <w:rPr>
          <w:rFonts w:ascii="Arial" w:cs="Arial" w:eastAsia="Arial" w:hAnsi="Arial"/>
          <w:sz w:val="17"/>
          <w:szCs w:val="17"/>
          <w:color w:val="auto"/>
        </w:rPr>
        <w:t>Each Loan Party shall deliver all Cash Collateral or Control Collateral when required to be delivered pursuant to the Credit Documents to (x) until the Discharge of Senior Priority Obligations, the Senior Priority Representative and (y) thereafter, the Junior Priority Representative.</w:t>
      </w:r>
    </w:p>
    <w:p>
      <w:pPr>
        <w:spacing w:after="0" w:line="146" w:lineRule="exact"/>
        <w:rPr>
          <w:rFonts w:ascii="Arial" w:cs="Arial" w:eastAsia="Arial" w:hAnsi="Arial"/>
          <w:sz w:val="17"/>
          <w:szCs w:val="17"/>
          <w:b w:val="1"/>
          <w:bCs w:val="1"/>
          <w:color w:val="auto"/>
        </w:rPr>
      </w:pPr>
    </w:p>
    <w:p>
      <w:pPr>
        <w:ind w:right="40" w:firstLine="464"/>
        <w:spacing w:after="0" w:line="271" w:lineRule="auto"/>
        <w:tabs>
          <w:tab w:leader="none" w:pos="636" w:val="left"/>
        </w:tabs>
        <w:numPr>
          <w:ilvl w:val="0"/>
          <w:numId w:val="523"/>
        </w:numPr>
        <w:rPr>
          <w:rFonts w:ascii="Arial" w:cs="Arial" w:eastAsia="Arial" w:hAnsi="Arial"/>
          <w:sz w:val="17"/>
          <w:szCs w:val="17"/>
          <w:b w:val="1"/>
          <w:bCs w:val="1"/>
          <w:color w:val="auto"/>
        </w:rPr>
      </w:pPr>
      <w:r>
        <w:rPr>
          <w:rFonts w:ascii="Arial" w:cs="Arial" w:eastAsia="Arial" w:hAnsi="Arial"/>
          <w:sz w:val="17"/>
          <w:szCs w:val="17"/>
          <w:color w:val="auto"/>
        </w:rPr>
        <w:t xml:space="preserve">Each Agent, for and on behalf of itself and the Secured Parties represented thereby, agrees to hold all Cash Collateral and Control Collateral in its possession, custody, or control (or in the possession, custody, or control of agents or bailees therefor) for the benefit of, on behalf of and as agent for the other Secured Parties solely for the purpose of perfecting the security interest granted to each other Agent or Secured Party in such Cash Collateral and Control Collateral, subject to the terms and conditions of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Such Agent shall not have any obligation whatsoever to the other Secured Parties to assure that such Cash Collateral and Control Collateral is genuine or owned by any Loan Party or any other Person or to preserve rights or benefits of any Person therein. The duties or responsibilities of such Agent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are and shall be limited solely to holding or maintaining control of such Cash Collateral and Control Collateral as agent for the Secured Parties for purposes of perfecting the Lien held by the Secured Parties. Such Agent is not and shall not be deemed to be a fiduciary of any kind for any Secured Party or any other Person.</w:t>
      </w:r>
    </w:p>
    <w:p>
      <w:pPr>
        <w:spacing w:after="0" w:line="178" w:lineRule="exact"/>
        <w:rPr>
          <w:rFonts w:ascii="Arial" w:cs="Arial" w:eastAsia="Arial" w:hAnsi="Arial"/>
          <w:sz w:val="17"/>
          <w:szCs w:val="17"/>
          <w:b w:val="1"/>
          <w:bCs w:val="1"/>
          <w:color w:val="auto"/>
        </w:rPr>
      </w:pPr>
    </w:p>
    <w:p>
      <w:pPr>
        <w:ind w:firstLine="464"/>
        <w:spacing w:after="0" w:line="259" w:lineRule="auto"/>
        <w:tabs>
          <w:tab w:leader="none" w:pos="636" w:val="left"/>
        </w:tabs>
        <w:numPr>
          <w:ilvl w:val="0"/>
          <w:numId w:val="523"/>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that any Secured Party receives any Collateral or Proceeds of the Collateral in violation of the terms of this Agreement, then such Secured Party shall promptly pay over such Proceeds or Collateral to (x) until the Discharge of Senior Priority Obligations, the Senior Priority Representative, and (y) thereafter, the Junior Priority Representative, in the same form as received with any necessary endorsements, for application in accordance with the provisions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3" w:right="239" w:bottom="1440" w:gutter="0" w:footer="0" w:header="0"/>
        </w:sectPr>
      </w:pPr>
    </w:p>
    <w:bookmarkStart w:id="479" w:name="page480"/>
    <w:bookmarkEnd w:id="479"/>
    <w:p>
      <w:pPr>
        <w:ind w:firstLine="464"/>
        <w:spacing w:after="0" w:line="286" w:lineRule="auto"/>
        <w:tabs>
          <w:tab w:leader="none" w:pos="636" w:val="left"/>
        </w:tabs>
        <w:numPr>
          <w:ilvl w:val="0"/>
          <w:numId w:val="52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understood and agreed that the interests of the Senior Priority Agents and the Senior Lien Creditors, on the one hand, and the Junior Priority Agent and the Junior Priority Creditors, on the other hand, may differ and the Senior Priority Agents and the Senior Priority Creditors shall be fully entitled to act in their own interest without taking into account the interests of the Junior Priority Agents or the Junior Priority Creditors.</w:t>
      </w:r>
    </w:p>
    <w:p>
      <w:pPr>
        <w:spacing w:after="0" w:line="1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Sharing of Information and Access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Junior Priority Agent shall, in the exercise of its rights under the applicable Junior 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Documents or otherwise, receive possession or control of any books and records of any Loan Party that contain information identifying or pertaining to the Collateral, such Junior Priority Agent shall, upon request from any other Agent, and as promptly as practicable thereafter, either make available to such Agent such books and records for inspection and duplication or provide to such Agent copies thereof. In the event that any Senior Priority Agent shall, in the exercise of its rights under the applicable Senior Priority Collateral Documents or otherwise, receive possession or control of any books and records of any Loan Party that contain information identifying or pertaining to the Collateral, such Senior Priority Agent shall, upon request from any other Agent, and as promptly as practicable thereafter, either make available to such Agent such books and records for inspection and duplication or provide to such Agent copies thereof.</w:t>
      </w:r>
    </w:p>
    <w:p>
      <w:pPr>
        <w:spacing w:after="0" w:line="185"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u w:val="single" w:color="auto"/>
          <w:color w:val="auto"/>
        </w:rPr>
        <w:t>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Collateral include insurance proceeds and, therefore, the Lien Priority shall govern the ultimate disposition of casualty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insurance proceeds. The Senior Priority Representative and the Junior Priority Representative shall be named as additional insured or loss payee, as applicable, with respect to all insurance policies relating to Collateral. Until the Discharge of Senior Priority Obligations, (a) the Senior Priority Representative shall have the sole and exclusive right, as against any Secured Party, to adjust settlement of insurance claims in the event of any covered loss, theft or destruction of Collateral and (b) all proceeds of such insurance shall be remitted to the Senior Priority Representative, and each other Agent shall cooperate (if necessary) in a reasonable manner in effecting the payment of insurance proceeds in accordance with </w:t>
      </w:r>
      <w:r>
        <w:rPr>
          <w:rFonts w:ascii="Arial" w:cs="Arial" w:eastAsia="Arial" w:hAnsi="Arial"/>
          <w:sz w:val="17"/>
          <w:szCs w:val="17"/>
          <w:u w:val="single" w:color="auto"/>
          <w:color w:val="auto"/>
        </w:rPr>
        <w:t>Section 4.01.</w:t>
      </w:r>
    </w:p>
    <w:p>
      <w:pPr>
        <w:spacing w:after="0" w:line="174" w:lineRule="exact"/>
        <w:rPr>
          <w:sz w:val="20"/>
          <w:szCs w:val="20"/>
          <w:color w:val="auto"/>
        </w:rPr>
      </w:pPr>
    </w:p>
    <w:p>
      <w:pPr>
        <w:jc w:val="both"/>
        <w:ind w:right="520" w:firstLine="456"/>
        <w:spacing w:after="0" w:line="26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No Additional Rights for the Loan Parties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If any Secured Party shall enforce its rights or remedies in violation of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Loan Parties shall not be entitled to use such violation as a defense to any action by any Secured Party, nor to assert such violation as a counterclaim or basis for set off or recoupment against any Secured Party.</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APPLICATION OF PROCEEDS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Application of Proceeds</w:t>
      </w:r>
      <w:r>
        <w:rPr>
          <w:rFonts w:ascii="Arial" w:cs="Arial" w:eastAsia="Arial" w:hAnsi="Arial"/>
          <w:sz w:val="18"/>
          <w:szCs w:val="18"/>
          <w:b w:val="1"/>
          <w:bCs w:val="1"/>
          <w:color w:val="auto"/>
        </w:rPr>
        <w:t>.</w:t>
      </w:r>
    </w:p>
    <w:p>
      <w:pPr>
        <w:spacing w:after="0" w:line="229" w:lineRule="exact"/>
        <w:rPr>
          <w:sz w:val="20"/>
          <w:szCs w:val="20"/>
          <w:color w:val="auto"/>
        </w:rPr>
      </w:pPr>
    </w:p>
    <w:p>
      <w:pPr>
        <w:ind w:right="260" w:firstLine="464"/>
        <w:spacing w:after="0" w:line="291" w:lineRule="auto"/>
        <w:tabs>
          <w:tab w:leader="none" w:pos="636" w:val="left"/>
        </w:tabs>
        <w:numPr>
          <w:ilvl w:val="0"/>
          <w:numId w:val="525"/>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Revolving Nature of Certain First Lien Obligations</w:t>
      </w:r>
      <w:r>
        <w:rPr>
          <w:rFonts w:ascii="Arial" w:cs="Arial" w:eastAsia="Arial" w:hAnsi="Arial"/>
          <w:sz w:val="16"/>
          <w:szCs w:val="16"/>
          <w:color w:val="auto"/>
        </w:rPr>
        <w:t>. Each Agent, for and on behalf of itself and the Secured Parties represented thereby,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acknowledges and agrees that (i) the Original First Lien Credit Agreement [and the First Lien Credit Agreement]</w:t>
      </w:r>
      <w:r>
        <w:rPr>
          <w:rFonts w:ascii="Arial" w:cs="Arial" w:eastAsia="Arial" w:hAnsi="Arial"/>
          <w:sz w:val="13"/>
          <w:szCs w:val="13"/>
          <w:color w:val="auto"/>
        </w:rPr>
        <w:t>ix</w:t>
      </w:r>
      <w:r>
        <w:rPr>
          <w:rFonts w:ascii="Arial" w:cs="Arial" w:eastAsia="Arial" w:hAnsi="Arial"/>
          <w:sz w:val="16"/>
          <w:szCs w:val="16"/>
          <w:color w:val="auto"/>
        </w:rPr>
        <w:t xml:space="preserve"> includes one or more revolving</w:t>
      </w:r>
    </w:p>
    <w:p>
      <w:pPr>
        <w:ind w:right="40"/>
        <w:spacing w:after="0" w:line="255" w:lineRule="auto"/>
        <w:rPr>
          <w:sz w:val="20"/>
          <w:szCs w:val="20"/>
          <w:color w:val="auto"/>
        </w:rPr>
      </w:pPr>
      <w:r>
        <w:rPr>
          <w:rFonts w:ascii="Arial" w:cs="Arial" w:eastAsia="Arial" w:hAnsi="Arial"/>
          <w:sz w:val="18"/>
          <w:szCs w:val="18"/>
          <w:color w:val="auto"/>
        </w:rPr>
        <w:t>commitments, that in the ordinary course of business the Original First Lien Agent and certain First Lien Credit Agreement Lenders[, the [ ] Agent and certain [ ] Lenders]</w:t>
      </w:r>
      <w:r>
        <w:rPr>
          <w:rFonts w:ascii="Arial" w:cs="Arial" w:eastAsia="Arial" w:hAnsi="Arial"/>
          <w:sz w:val="15"/>
          <w:szCs w:val="15"/>
          <w:color w:val="auto"/>
        </w:rPr>
        <w:t>x</w:t>
      </w:r>
      <w:r>
        <w:rPr>
          <w:rFonts w:ascii="Arial" w:cs="Arial" w:eastAsia="Arial" w:hAnsi="Arial"/>
          <w:sz w:val="18"/>
          <w:szCs w:val="18"/>
          <w:color w:val="auto"/>
        </w:rPr>
        <w:t xml:space="preserve"> may apply payments and make advances thereunder, and one or more incremental commitments of various classes, and (ii) the amount of the Original First Lien Obligations [or [ ]</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80" w:name="page481"/>
    <w:bookmarkEnd w:id="48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w:t>
      </w:r>
      <w:r>
        <w:rPr>
          <w:rFonts w:ascii="Arial" w:cs="Arial" w:eastAsia="Arial" w:hAnsi="Arial"/>
          <w:sz w:val="13"/>
          <w:szCs w:val="13"/>
          <w:color w:val="auto"/>
        </w:rPr>
        <w:t>xi</w:t>
      </w:r>
      <w:r>
        <w:rPr>
          <w:rFonts w:ascii="Arial" w:cs="Arial" w:eastAsia="Arial" w:hAnsi="Arial"/>
          <w:sz w:val="16"/>
          <w:szCs w:val="16"/>
          <w:color w:val="auto"/>
        </w:rPr>
        <w:t xml:space="preserve"> that may be outstanding thereunder at any time or from time to time may be increased or reduced and subsequently reborrowed, and that the</w:t>
      </w:r>
    </w:p>
    <w:p>
      <w:pPr>
        <w:spacing w:after="0" w:line="45"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terms of the Original First Lien Obligations [or [</w:t>
      </w:r>
      <w:r>
        <w:rPr>
          <w:sz w:val="20"/>
          <w:szCs w:val="20"/>
          <w:color w:val="auto"/>
        </w:rPr>
        <w:tab/>
      </w:r>
      <w:r>
        <w:rPr>
          <w:rFonts w:ascii="Arial" w:cs="Arial" w:eastAsia="Arial" w:hAnsi="Arial"/>
          <w:sz w:val="16"/>
          <w:szCs w:val="16"/>
          <w:color w:val="auto"/>
        </w:rPr>
        <w:t>] Obligations]</w:t>
      </w:r>
      <w:r>
        <w:rPr>
          <w:rFonts w:ascii="Arial" w:cs="Arial" w:eastAsia="Arial" w:hAnsi="Arial"/>
          <w:sz w:val="13"/>
          <w:szCs w:val="13"/>
          <w:color w:val="auto"/>
        </w:rPr>
        <w:t>xii</w:t>
      </w:r>
      <w:r>
        <w:rPr>
          <w:rFonts w:ascii="Arial" w:cs="Arial" w:eastAsia="Arial" w:hAnsi="Arial"/>
          <w:sz w:val="16"/>
          <w:szCs w:val="16"/>
          <w:color w:val="auto"/>
        </w:rPr>
        <w:t xml:space="preserve"> thereunder may be modified, extended or amended from time to time, and that the</w:t>
      </w:r>
    </w:p>
    <w:p>
      <w:pPr>
        <w:spacing w:after="0" w:line="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aggregate amount of the Original First Lien Obligations[, [ ] Obligations]</w:t>
      </w:r>
      <w:r>
        <w:rPr>
          <w:rFonts w:ascii="Arial" w:cs="Arial" w:eastAsia="Arial" w:hAnsi="Arial"/>
          <w:sz w:val="13"/>
          <w:szCs w:val="13"/>
          <w:color w:val="auto"/>
        </w:rPr>
        <w:t>xii</w:t>
      </w:r>
      <w:r>
        <w:rPr>
          <w:rFonts w:ascii="Arial" w:cs="Arial" w:eastAsia="Arial" w:hAnsi="Arial"/>
          <w:sz w:val="16"/>
          <w:szCs w:val="16"/>
          <w:color w:val="auto"/>
        </w:rPr>
        <w:t xml:space="preserve"> or Additional Obligations thereunder may be increased, replaced or refinanced, in each event, without notice to or consent by any other Secured Parties and without affecting the provisions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from</w:t>
      </w:r>
    </w:p>
    <w:tbl>
      <w:tblPr>
        <w:tblLayout w:type="fixed"/>
        <w:tblInd w:w="0" w:type="dxa"/>
        <w:tblCellMar>
          <w:top w:w="0" w:type="dxa"/>
          <w:left w:w="0" w:type="dxa"/>
          <w:bottom w:w="0" w:type="dxa"/>
          <w:right w:w="0" w:type="dxa"/>
        </w:tblCellMar>
      </w:tblPr>
      <w:tr>
        <w:trPr>
          <w:trHeight w:val="204"/>
        </w:trPr>
        <w:tc>
          <w:tcPr>
            <w:tcW w:w="8620" w:type="dxa"/>
            <w:vAlign w:val="bottom"/>
            <w:gridSpan w:val="3"/>
          </w:tcPr>
          <w:p>
            <w:pPr>
              <w:spacing w:after="0" w:line="204" w:lineRule="exact"/>
              <w:rPr>
                <w:sz w:val="20"/>
                <w:szCs w:val="20"/>
                <w:color w:val="auto"/>
              </w:rPr>
            </w:pPr>
            <w:r>
              <w:rPr>
                <w:rFonts w:ascii="Arial" w:cs="Arial" w:eastAsia="Arial" w:hAnsi="Arial"/>
                <w:sz w:val="18"/>
                <w:szCs w:val="18"/>
                <w:color w:val="auto"/>
                <w:w w:val="93"/>
              </w:rPr>
              <w:t>and after the date on which the Original First Lien Agent or any Original First Lien Credit Agreement Lender [or the [</w:t>
            </w:r>
          </w:p>
        </w:tc>
        <w:tc>
          <w:tcPr>
            <w:tcW w:w="1420" w:type="dxa"/>
            <w:vAlign w:val="bottom"/>
          </w:tcPr>
          <w:p>
            <w:pPr>
              <w:ind w:left="80"/>
              <w:spacing w:after="0" w:line="204" w:lineRule="exact"/>
              <w:rPr>
                <w:sz w:val="20"/>
                <w:szCs w:val="20"/>
                <w:color w:val="auto"/>
              </w:rPr>
            </w:pPr>
            <w:r>
              <w:rPr>
                <w:rFonts w:ascii="Arial" w:cs="Arial" w:eastAsia="Arial" w:hAnsi="Arial"/>
                <w:sz w:val="18"/>
                <w:szCs w:val="18"/>
                <w:color w:val="auto"/>
              </w:rPr>
              <w:t>] Agent or any [</w:t>
            </w:r>
          </w:p>
        </w:tc>
        <w:tc>
          <w:tcPr>
            <w:tcW w:w="1280" w:type="dxa"/>
            <w:vAlign w:val="bottom"/>
          </w:tcPr>
          <w:p>
            <w:pPr>
              <w:ind w:left="180"/>
              <w:spacing w:after="0" w:line="204" w:lineRule="exact"/>
              <w:rPr>
                <w:sz w:val="20"/>
                <w:szCs w:val="20"/>
                <w:color w:val="auto"/>
              </w:rPr>
            </w:pPr>
            <w:r>
              <w:rPr>
                <w:rFonts w:ascii="Arial" w:cs="Arial" w:eastAsia="Arial" w:hAnsi="Arial"/>
                <w:sz w:val="18"/>
                <w:szCs w:val="18"/>
                <w:color w:val="auto"/>
              </w:rPr>
              <w:t>] Lenders]</w:t>
            </w:r>
            <w:r>
              <w:rPr>
                <w:rFonts w:ascii="Arial" w:cs="Arial" w:eastAsia="Arial" w:hAnsi="Arial"/>
                <w:sz w:val="15"/>
                <w:szCs w:val="15"/>
                <w:color w:val="auto"/>
              </w:rPr>
              <w:t>xi</w:t>
            </w:r>
          </w:p>
        </w:tc>
      </w:tr>
      <w:tr>
        <w:trPr>
          <w:trHeight w:val="216"/>
        </w:trPr>
        <w:tc>
          <w:tcPr>
            <w:tcW w:w="11320" w:type="dxa"/>
            <w:vAlign w:val="bottom"/>
            <w:gridSpan w:val="5"/>
          </w:tcPr>
          <w:p>
            <w:pPr>
              <w:spacing w:after="0"/>
              <w:rPr>
                <w:sz w:val="20"/>
                <w:szCs w:val="20"/>
                <w:color w:val="auto"/>
              </w:rPr>
            </w:pPr>
            <w:r>
              <w:rPr>
                <w:rFonts w:ascii="Arial" w:cs="Arial" w:eastAsia="Arial" w:hAnsi="Arial"/>
                <w:sz w:val="18"/>
                <w:szCs w:val="18"/>
                <w:color w:val="auto"/>
                <w:w w:val="96"/>
              </w:rPr>
              <w:t>commences the Exercise of Secured Creditor Remedies, all amounts received by the Original First Lien Agent or any such Original First Lien Credit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Agreement Lender [or the [  ] Agent or any [</w:t>
            </w:r>
          </w:p>
        </w:tc>
        <w:tc>
          <w:tcPr>
            <w:tcW w:w="7820" w:type="dxa"/>
            <w:vAlign w:val="bottom"/>
            <w:gridSpan w:val="3"/>
          </w:tcPr>
          <w:p>
            <w:pPr>
              <w:ind w:left="180"/>
              <w:spacing w:after="0"/>
              <w:rPr>
                <w:sz w:val="20"/>
                <w:szCs w:val="20"/>
                <w:color w:val="auto"/>
              </w:rPr>
            </w:pPr>
            <w:r>
              <w:rPr>
                <w:rFonts w:ascii="Arial" w:cs="Arial" w:eastAsia="Arial" w:hAnsi="Arial"/>
                <w:sz w:val="18"/>
                <w:szCs w:val="18"/>
                <w:color w:val="auto"/>
                <w:w w:val="90"/>
              </w:rPr>
              <w:t>] Lenders]</w:t>
            </w:r>
            <w:r>
              <w:rPr>
                <w:rFonts w:ascii="Arial" w:cs="Arial" w:eastAsia="Arial" w:hAnsi="Arial"/>
                <w:sz w:val="15"/>
                <w:szCs w:val="15"/>
                <w:color w:val="auto"/>
                <w:w w:val="90"/>
              </w:rPr>
              <w:t>xi</w:t>
            </w:r>
            <w:r>
              <w:rPr>
                <w:rFonts w:ascii="Arial" w:cs="Arial" w:eastAsia="Arial" w:hAnsi="Arial"/>
                <w:sz w:val="18"/>
                <w:szCs w:val="18"/>
                <w:color w:val="auto"/>
                <w:w w:val="90"/>
              </w:rPr>
              <w:t xml:space="preserve"> as a result of such Exercise of Secured Creditor Remedies shall be applied as specified in this</w:t>
            </w:r>
          </w:p>
        </w:tc>
      </w:tr>
      <w:tr>
        <w:trPr>
          <w:trHeight w:val="190"/>
        </w:trPr>
        <w:tc>
          <w:tcPr>
            <w:tcW w:w="11320" w:type="dxa"/>
            <w:vAlign w:val="bottom"/>
            <w:gridSpan w:val="5"/>
          </w:tcPr>
          <w:p>
            <w:pPr>
              <w:spacing w:after="0" w:line="190" w:lineRule="exact"/>
              <w:rPr>
                <w:sz w:val="20"/>
                <w:szCs w:val="20"/>
                <w:color w:val="auto"/>
              </w:rPr>
            </w:pPr>
            <w:r>
              <w:rPr>
                <w:rFonts w:ascii="Arial" w:cs="Arial" w:eastAsia="Arial" w:hAnsi="Arial"/>
                <w:sz w:val="18"/>
                <w:szCs w:val="18"/>
                <w:color w:val="auto"/>
                <w:w w:val="96"/>
              </w:rPr>
              <w:t>Section 4.01. The Lien Priority shall not be altered or otherwise affected by any such amendment, modification, supplement, extension, repayment,</w:t>
            </w:r>
          </w:p>
        </w:tc>
      </w:tr>
      <w:tr>
        <w:trPr>
          <w:trHeight w:val="20"/>
        </w:trPr>
        <w:tc>
          <w:tcPr>
            <w:tcW w:w="960" w:type="dxa"/>
            <w:vAlign w:val="bottom"/>
            <w:shd w:val="clear" w:color="auto" w:fill="000000"/>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r>
      <w:tr>
        <w:trPr>
          <w:trHeight w:val="222"/>
        </w:trPr>
        <w:tc>
          <w:tcPr>
            <w:tcW w:w="8620" w:type="dxa"/>
            <w:vAlign w:val="bottom"/>
            <w:gridSpan w:val="3"/>
          </w:tcPr>
          <w:p>
            <w:pPr>
              <w:spacing w:after="0"/>
              <w:rPr>
                <w:sz w:val="20"/>
                <w:szCs w:val="20"/>
                <w:color w:val="auto"/>
              </w:rPr>
            </w:pPr>
            <w:r>
              <w:rPr>
                <w:rFonts w:ascii="Arial" w:cs="Arial" w:eastAsia="Arial" w:hAnsi="Arial"/>
                <w:sz w:val="18"/>
                <w:szCs w:val="18"/>
                <w:color w:val="auto"/>
                <w:w w:val="94"/>
              </w:rPr>
              <w:t>reborrowing, increase, replacement, renewal, restatement or refinancing of the Original First Lien Obligations, the [</w:t>
            </w:r>
          </w:p>
        </w:tc>
        <w:tc>
          <w:tcPr>
            <w:tcW w:w="2700" w:type="dxa"/>
            <w:vAlign w:val="bottom"/>
            <w:gridSpan w:val="2"/>
          </w:tcPr>
          <w:p>
            <w:pPr>
              <w:ind w:left="80"/>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i</w:t>
            </w:r>
            <w:r>
              <w:rPr>
                <w:rFonts w:ascii="Arial" w:cs="Arial" w:eastAsia="Arial" w:hAnsi="Arial"/>
                <w:sz w:val="18"/>
                <w:szCs w:val="18"/>
                <w:color w:val="auto"/>
                <w:w w:val="96"/>
              </w:rPr>
              <w:t xml:space="preserve"> [First/Second]</w:t>
            </w:r>
            <w:r>
              <w:rPr>
                <w:rFonts w:ascii="Arial" w:cs="Arial" w:eastAsia="Arial" w:hAnsi="Arial"/>
                <w:sz w:val="15"/>
                <w:szCs w:val="15"/>
                <w:color w:val="auto"/>
                <w:w w:val="96"/>
              </w:rPr>
              <w:t>ii</w:t>
            </w:r>
            <w:r>
              <w:rPr>
                <w:rFonts w:ascii="Arial" w:cs="Arial" w:eastAsia="Arial" w:hAnsi="Arial"/>
                <w:sz w:val="18"/>
                <w:szCs w:val="18"/>
                <w:color w:val="auto"/>
                <w:w w:val="96"/>
              </w:rPr>
              <w:t xml:space="preserve"> Lien Obligations,</w:t>
            </w:r>
          </w:p>
        </w:tc>
      </w:tr>
      <w:tr>
        <w:trPr>
          <w:trHeight w:val="230"/>
        </w:trPr>
        <w:tc>
          <w:tcPr>
            <w:tcW w:w="8620" w:type="dxa"/>
            <w:vAlign w:val="bottom"/>
            <w:gridSpan w:val="3"/>
          </w:tcPr>
          <w:p>
            <w:pPr>
              <w:spacing w:after="0"/>
              <w:rPr>
                <w:sz w:val="20"/>
                <w:szCs w:val="20"/>
                <w:color w:val="auto"/>
              </w:rPr>
            </w:pPr>
            <w:r>
              <w:rPr>
                <w:rFonts w:ascii="Arial" w:cs="Arial" w:eastAsia="Arial" w:hAnsi="Arial"/>
                <w:sz w:val="18"/>
                <w:szCs w:val="18"/>
                <w:color w:val="auto"/>
              </w:rPr>
              <w:t>or any Additional Obligations, or any portion thereof.</w:t>
            </w: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2" w:lineRule="exact"/>
        <w:rPr>
          <w:sz w:val="20"/>
          <w:szCs w:val="20"/>
          <w:color w:val="auto"/>
        </w:rPr>
      </w:pPr>
    </w:p>
    <w:p>
      <w:pPr>
        <w:ind w:right="180" w:firstLine="464"/>
        <w:spacing w:after="0" w:line="283" w:lineRule="auto"/>
        <w:tabs>
          <w:tab w:leader="none" w:pos="636" w:val="left"/>
        </w:tabs>
        <w:numPr>
          <w:ilvl w:val="0"/>
          <w:numId w:val="526"/>
        </w:numPr>
        <w:rPr>
          <w:rFonts w:ascii="Arial" w:cs="Arial" w:eastAsia="Arial" w:hAnsi="Arial"/>
          <w:sz w:val="16"/>
          <w:szCs w:val="16"/>
          <w:b w:val="1"/>
          <w:bCs w:val="1"/>
          <w:color w:val="auto"/>
        </w:rPr>
      </w:pPr>
      <w:r>
        <w:rPr>
          <w:rFonts w:ascii="Arial" w:cs="Arial" w:eastAsia="Arial" w:hAnsi="Arial"/>
          <w:sz w:val="16"/>
          <w:szCs w:val="16"/>
          <w:i w:val="1"/>
          <w:iCs w:val="1"/>
          <w:color w:val="auto"/>
        </w:rPr>
        <w:t>Revolving Nature of Certain Junior Priority Obligations</w:t>
      </w:r>
      <w:r>
        <w:rPr>
          <w:rFonts w:ascii="Arial" w:cs="Arial" w:eastAsia="Arial" w:hAnsi="Arial"/>
          <w:sz w:val="16"/>
          <w:szCs w:val="16"/>
          <w:color w:val="auto"/>
        </w:rPr>
        <w:t>. Each Agent, for and on behalf of itself and the Secured Parties represented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expressly acknowledges and agrees that (x) Junior Priority Credit Facilities may include one or more revolving commitments, that in the ordinary course of business any Junior Priority Agent and Junior Priority Secured Parties may apply payments and make advances thereunder, and one or more incremental commitments of various classes, and (y) the amount of Junior Priority Obligations that may be outstanding thereunder at any time or from time to time may be increased or reduced and subsequently reborrowed, and that the terms of Junior Priority Obligations thereunder may be modified, extended or amended from time to time, and that the aggregate amount of Junior Priority Obligations thereunder may be increased, replaced or refinanced, in each event, without notice to or consent by any other Secured Parties and without affecting the provisions hereof;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from and after the date on which any Junior Priority Agent or Junior Priority Secured Party commences the Exercise of Secured Creditor Remedies, all amounts received by any such Junior Priority Agent or Junior Priority Secured Party as a result of such Exercise of Secured Creditor Remedies shall be applied as specified in this </w:t>
      </w:r>
      <w:r>
        <w:rPr>
          <w:rFonts w:ascii="Arial" w:cs="Arial" w:eastAsia="Arial" w:hAnsi="Arial"/>
          <w:sz w:val="16"/>
          <w:szCs w:val="16"/>
          <w:u w:val="single" w:color="auto"/>
          <w:color w:val="auto"/>
        </w:rPr>
        <w:t>Section 4.01.</w:t>
      </w:r>
    </w:p>
    <w:p>
      <w:pPr>
        <w:spacing w:after="0" w:line="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The Lien Priority shall not be altered or otherwise affected by any such amendment, modification, supplement, extension, repayment, reborrowing, increase,</w:t>
      </w:r>
    </w:p>
    <w:p>
      <w:pPr>
        <w:spacing w:after="0" w:line="2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replacement, renewal, restatement or refinancing of the Original First Lien Obligations,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Obligations, or any Additional Obligations, or any portion thereof.</w:t>
      </w:r>
    </w:p>
    <w:p>
      <w:pPr>
        <w:spacing w:after="0" w:line="170" w:lineRule="exact"/>
        <w:rPr>
          <w:sz w:val="20"/>
          <w:szCs w:val="20"/>
          <w:color w:val="auto"/>
        </w:rPr>
      </w:pPr>
    </w:p>
    <w:p>
      <w:pPr>
        <w:ind w:firstLine="464"/>
        <w:spacing w:after="0" w:line="272" w:lineRule="auto"/>
        <w:tabs>
          <w:tab w:leader="none" w:pos="636" w:val="left"/>
        </w:tabs>
        <w:numPr>
          <w:ilvl w:val="0"/>
          <w:numId w:val="527"/>
        </w:numPr>
        <w:rPr>
          <w:rFonts w:ascii="Arial" w:cs="Arial" w:eastAsia="Arial" w:hAnsi="Arial"/>
          <w:sz w:val="17"/>
          <w:szCs w:val="17"/>
          <w:b w:val="1"/>
          <w:bCs w:val="1"/>
          <w:color w:val="auto"/>
        </w:rPr>
      </w:pPr>
      <w:r>
        <w:rPr>
          <w:rFonts w:ascii="Arial" w:cs="Arial" w:eastAsia="Arial" w:hAnsi="Arial"/>
          <w:sz w:val="17"/>
          <w:szCs w:val="17"/>
          <w:i w:val="1"/>
          <w:iCs w:val="1"/>
          <w:u w:val="single" w:color="auto"/>
          <w:color w:val="auto"/>
        </w:rPr>
        <w:t>Revolving Nature of Certain Additional Obligations</w:t>
      </w:r>
      <w:r>
        <w:rPr>
          <w:rFonts w:ascii="Arial" w:cs="Arial" w:eastAsia="Arial" w:hAnsi="Arial"/>
          <w:sz w:val="17"/>
          <w:szCs w:val="17"/>
          <w:color w:val="auto"/>
        </w:rPr>
        <w:t>. Each Agent, for and on behalf of itself and the Secured Parties represented thereby,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acknowledges and agrees that (x) Additional Credit Facilities may include one or more revolving commitments, that in the ordinary course of business any Additional Agent and Additional Credit Facility Secured Parties may apply payments and make advances thereunder, and one or more incremental commitments of various classes, and (y) the amount of Additional Obligations that may be outstanding thereunder at any time or from time to time may be increased or reduced and subsequently reborrowed, and that the terms of Additional Obligations thereunder may be modified, extended or amended from time to time, and that the aggregate amount of Additional Obligations thereunder may be increased, replaced or refinanced, in each event, without notice to or consent by any other Secured Parties and without affecting the provisions hereof;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481" w:name="page482"/>
    <w:bookmarkEnd w:id="481"/>
    <w:p>
      <w:pPr>
        <w:ind w:right="2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from and after the date on which any Additional Agent or Additional Credit Facility Secured Party commences the Exercise of Secured Creditor Remedies, all amounts received by any such Additional Agent or Additional Credit Facility Secured Party as a result of such Exercise of Secured Creditor Remedies shall be applied as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Lien Priority shall not be altered or otherwise affected by any such amendment, modification,</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supplement, extension, repayment, reborrowing, increase, replacement, renewal, restatement or refinancing of the Original First Lien Obligations,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Obligations, or any Additional Obligations, or any portion thereof.</w:t>
      </w:r>
    </w:p>
    <w:p>
      <w:pPr>
        <w:spacing w:after="0" w:line="183" w:lineRule="exact"/>
        <w:rPr>
          <w:sz w:val="20"/>
          <w:szCs w:val="20"/>
          <w:color w:val="auto"/>
        </w:rPr>
      </w:pPr>
    </w:p>
    <w:p>
      <w:pPr>
        <w:jc w:val="both"/>
        <w:ind w:right="220" w:firstLine="464"/>
        <w:spacing w:after="0" w:line="312" w:lineRule="auto"/>
        <w:tabs>
          <w:tab w:leader="none" w:pos="636" w:val="left"/>
        </w:tabs>
        <w:numPr>
          <w:ilvl w:val="0"/>
          <w:numId w:val="528"/>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Application of Proceeds of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may be separately otherwise agreed in writing by and between or among any applicable Agents,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each Agent for, and on behalf of itself and the Secured Parties represented thereby, hereby agrees that all Collateral, and all Proceeds thereof, in each case, received by any Agent in connection with any Exercise of Secured Creditor Remedies shall be applied as follows, subject to clause (e) of this </w:t>
      </w:r>
      <w:r>
        <w:rPr>
          <w:rFonts w:ascii="Arial" w:cs="Arial" w:eastAsia="Arial" w:hAnsi="Arial"/>
          <w:sz w:val="16"/>
          <w:szCs w:val="16"/>
          <w:u w:val="single" w:color="auto"/>
          <w:color w:val="auto"/>
        </w:rPr>
        <w:t>Section 4.01:</w:t>
      </w:r>
    </w:p>
    <w:p>
      <w:pPr>
        <w:spacing w:after="0" w:line="39" w:lineRule="exact"/>
        <w:rPr>
          <w:sz w:val="20"/>
          <w:szCs w:val="20"/>
          <w:color w:val="auto"/>
        </w:rPr>
      </w:pPr>
    </w:p>
    <w:p>
      <w:pPr>
        <w:ind w:left="460" w:firstLine="438"/>
        <w:spacing w:after="0" w:line="279" w:lineRule="auto"/>
        <w:rPr>
          <w:sz w:val="20"/>
          <w:szCs w:val="20"/>
          <w:color w:val="auto"/>
        </w:rPr>
      </w:pPr>
      <w:r>
        <w:rPr>
          <w:rFonts w:ascii="Arial" w:cs="Arial" w:eastAsia="Arial" w:hAnsi="Arial"/>
          <w:sz w:val="17"/>
          <w:szCs w:val="17"/>
          <w:i w:val="1"/>
          <w:iCs w:val="1"/>
          <w:u w:val="single" w:color="auto"/>
          <w:color w:val="auto"/>
        </w:rPr>
        <w:t>first</w:t>
      </w:r>
      <w:r>
        <w:rPr>
          <w:rFonts w:ascii="Arial" w:cs="Arial" w:eastAsia="Arial" w:hAnsi="Arial"/>
          <w:sz w:val="17"/>
          <w:szCs w:val="17"/>
          <w:color w:val="auto"/>
        </w:rPr>
        <w:t>, to the payment, on a pro rata basis, of costs and expenses of each Agent, as applicable, in connection with such Exercise of Secured Creditor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Remedies (other than any costs and expenses of any Junior Priority Agent in connection with any Exercise of Secured Creditor Remedies by it in willful violation of this Agreement (as determined in good faith by the Senior Priority Agent), which costs and expenses shall be payable in accordance with clause </w:t>
      </w:r>
      <w:r>
        <w:rPr>
          <w:rFonts w:ascii="Arial" w:cs="Arial" w:eastAsia="Arial" w:hAnsi="Arial"/>
          <w:sz w:val="17"/>
          <w:szCs w:val="17"/>
          <w:i w:val="1"/>
          <w:iCs w:val="1"/>
          <w:color w:val="auto"/>
        </w:rPr>
        <w:t>third</w:t>
      </w:r>
      <w:r>
        <w:rPr>
          <w:rFonts w:ascii="Arial" w:cs="Arial" w:eastAsia="Arial" w:hAnsi="Arial"/>
          <w:sz w:val="17"/>
          <w:szCs w:val="17"/>
          <w:color w:val="auto"/>
        </w:rPr>
        <w:t xml:space="preserve"> of this paragraph (d) to the extent that such costs and expenses constitute Junior Priority Obligations);</w:t>
      </w:r>
    </w:p>
    <w:p>
      <w:pPr>
        <w:spacing w:after="0" w:line="63" w:lineRule="exact"/>
        <w:rPr>
          <w:sz w:val="20"/>
          <w:szCs w:val="20"/>
          <w:color w:val="auto"/>
        </w:rPr>
      </w:pPr>
    </w:p>
    <w:p>
      <w:pPr>
        <w:ind w:left="460" w:right="60" w:firstLine="438"/>
        <w:spacing w:after="0" w:line="257" w:lineRule="auto"/>
        <w:rPr>
          <w:sz w:val="20"/>
          <w:szCs w:val="20"/>
          <w:color w:val="auto"/>
        </w:rPr>
      </w:pPr>
      <w:r>
        <w:rPr>
          <w:rFonts w:ascii="Arial" w:cs="Arial" w:eastAsia="Arial" w:hAnsi="Arial"/>
          <w:sz w:val="18"/>
          <w:szCs w:val="18"/>
          <w:i w:val="1"/>
          <w:iCs w:val="1"/>
          <w:u w:val="single" w:color="auto"/>
          <w:color w:val="auto"/>
        </w:rPr>
        <w:t>second</w:t>
      </w:r>
      <w:r>
        <w:rPr>
          <w:rFonts w:ascii="Arial" w:cs="Arial" w:eastAsia="Arial" w:hAnsi="Arial"/>
          <w:sz w:val="18"/>
          <w:szCs w:val="18"/>
          <w:color w:val="auto"/>
        </w:rPr>
        <w:t>, to the payment of Senior Priority Obligations owing to the Senior Priority Secured Parties represented by each Senior Priority Agent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applicable Senior Priority Credit Facility, which payment shall be made between and among the Senior Priority Obligations owing to Senior Priority Secured Parties represented by different Senior Priority Agents on a pro rata basis (except as may be separately otherwise agreed in writing by and between or among any applicable Senior Priority Agents, in each case on behalf of itself and the Senior Priority Secured Parties represented thereby);</w:t>
      </w:r>
    </w:p>
    <w:p>
      <w:pPr>
        <w:spacing w:after="0" w:line="80" w:lineRule="exact"/>
        <w:rPr>
          <w:sz w:val="20"/>
          <w:szCs w:val="20"/>
          <w:color w:val="auto"/>
        </w:rPr>
      </w:pPr>
    </w:p>
    <w:p>
      <w:pPr>
        <w:ind w:left="460" w:right="100" w:firstLine="438"/>
        <w:spacing w:after="0" w:line="257" w:lineRule="auto"/>
        <w:rPr>
          <w:sz w:val="20"/>
          <w:szCs w:val="20"/>
          <w:color w:val="auto"/>
        </w:rPr>
      </w:pP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to the payment of Junior Priority Obligations owing to the Junior Priority Secured Parties represented by each Junior Priority Agent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applicable Junior Priority Credit Facility, which payment shall be made between and among the Junior Priority Obligations owing to Junior Priority Secured Parties represented by different Junior Priority Agents on a pro rata basis (except as may be separately otherwise agreed in writing by and between or among any applicable Junior Priority Agents, in each case on behalf of itself and the Junior Priority Secured Parties represented thereby); and</w:t>
      </w:r>
    </w:p>
    <w:p>
      <w:pPr>
        <w:spacing w:after="0" w:line="80" w:lineRule="exact"/>
        <w:rPr>
          <w:sz w:val="20"/>
          <w:szCs w:val="20"/>
          <w:color w:val="auto"/>
        </w:rPr>
      </w:pPr>
    </w:p>
    <w:p>
      <w:pPr>
        <w:ind w:left="460" w:right="720" w:firstLine="438"/>
        <w:spacing w:after="0" w:line="277" w:lineRule="auto"/>
        <w:rPr>
          <w:sz w:val="20"/>
          <w:szCs w:val="20"/>
          <w:color w:val="auto"/>
        </w:rPr>
      </w:pPr>
      <w:r>
        <w:rPr>
          <w:rFonts w:ascii="Arial" w:cs="Arial" w:eastAsia="Arial" w:hAnsi="Arial"/>
          <w:sz w:val="18"/>
          <w:szCs w:val="18"/>
          <w:i w:val="1"/>
          <w:iCs w:val="1"/>
          <w:u w:val="single" w:color="auto"/>
          <w:color w:val="auto"/>
        </w:rPr>
        <w:t>fourth</w:t>
      </w:r>
      <w:r>
        <w:rPr>
          <w:rFonts w:ascii="Arial" w:cs="Arial" w:eastAsia="Arial" w:hAnsi="Arial"/>
          <w:sz w:val="18"/>
          <w:szCs w:val="18"/>
          <w:color w:val="auto"/>
        </w:rPr>
        <w:t>, the balance, if any, to the Loan Parties or to whomsoever may be lawfully entitled to receive the same or as a court of competent</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may direct.</w:t>
      </w:r>
    </w:p>
    <w:p>
      <w:pPr>
        <w:spacing w:after="0" w:line="17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Each Senior Priority Agent shall provide the Senior Priority Representative with such information about the Senior Priority Obligations owing to the Senior Priority Secured Parties represented by it as they may reasonably request in order to carry out the purposes of this </w:t>
      </w:r>
      <w:r>
        <w:rPr>
          <w:rFonts w:ascii="Arial" w:cs="Arial" w:eastAsia="Arial" w:hAnsi="Arial"/>
          <w:sz w:val="17"/>
          <w:szCs w:val="17"/>
          <w:u w:val="single" w:color="auto"/>
          <w:color w:val="auto"/>
        </w:rPr>
        <w:t>Section 4.01.</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82" w:name="page483"/>
    <w:bookmarkEnd w:id="482"/>
    <w:p>
      <w:pPr>
        <w:ind w:right="2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Junior Priority Agent shall provide the Junior Priority Representative with such information about the Junior Priority Obligations owing to the Junior Priority Secured Parties represented by it as they may reasonably request in order to carry out the purposes of this </w:t>
      </w:r>
      <w:r>
        <w:rPr>
          <w:rFonts w:ascii="Arial" w:cs="Arial" w:eastAsia="Arial" w:hAnsi="Arial"/>
          <w:sz w:val="17"/>
          <w:szCs w:val="17"/>
          <w:u w:val="single" w:color="auto"/>
          <w:color w:val="auto"/>
        </w:rPr>
        <w:t>Section 4.01.</w:t>
      </w:r>
    </w:p>
    <w:p>
      <w:pPr>
        <w:spacing w:after="0" w:line="147" w:lineRule="exact"/>
        <w:rPr>
          <w:sz w:val="20"/>
          <w:szCs w:val="20"/>
          <w:color w:val="auto"/>
        </w:rPr>
      </w:pPr>
    </w:p>
    <w:p>
      <w:pPr>
        <w:ind w:left="640" w:hanging="176"/>
        <w:spacing w:after="0"/>
        <w:tabs>
          <w:tab w:leader="none" w:pos="640" w:val="left"/>
        </w:tabs>
        <w:numPr>
          <w:ilvl w:val="0"/>
          <w:numId w:val="529"/>
        </w:numPr>
        <w:rPr>
          <w:rFonts w:ascii="Arial" w:cs="Arial" w:eastAsia="Arial" w:hAnsi="Arial"/>
          <w:sz w:val="17"/>
          <w:szCs w:val="17"/>
          <w:b w:val="1"/>
          <w:bCs w:val="1"/>
          <w:color w:val="auto"/>
        </w:rPr>
      </w:pPr>
      <w:r>
        <w:rPr>
          <w:rFonts w:ascii="Arial" w:cs="Arial" w:eastAsia="Arial" w:hAnsi="Arial"/>
          <w:sz w:val="17"/>
          <w:szCs w:val="17"/>
          <w:i w:val="1"/>
          <w:iCs w:val="1"/>
          <w:u w:val="single" w:color="auto"/>
          <w:color w:val="auto"/>
        </w:rPr>
        <w:t>Limited Obligation or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In exercising remedies, whether as a secured creditor or otherwise, no Senior Priority Agent shall have any</w:t>
      </w:r>
    </w:p>
    <w:p>
      <w:pPr>
        <w:spacing w:after="0" w:line="34" w:lineRule="exact"/>
        <w:rPr>
          <w:rFonts w:ascii="Arial" w:cs="Arial" w:eastAsia="Arial" w:hAnsi="Arial"/>
          <w:sz w:val="17"/>
          <w:szCs w:val="17"/>
          <w:b w:val="1"/>
          <w:bCs w:val="1"/>
          <w:color w:val="auto"/>
        </w:rPr>
      </w:pPr>
    </w:p>
    <w:p>
      <w:pPr>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obligation or liability to any Junior Priority Secured Party, or (except as may be separately agreed in writing by and between or among any applicable Senior Priority Agents, in each case on behalf of itself and the Senior Priority Creditors represented thereby) to any other Senior Priority Secured Party, in each case regarding the adequacy of any Proceeds or for any action or omission, save and except solely for an action or omission that breaches the express obligations undertaken by such Senior Priority Agent under the terms of this Agreement. In exercising remedies, whether as a secured creditor or otherwise, no Junior Priority Agent shall have any obligation or liability (except as may be separately agreed in writing by and between or among any applicable Junior Priority Agents, in each case on behalf of itself and the Junior Priority Creditors represented thereby) to any other Junior Priority Secured Party, in each case regarding the adequacy of any Proceeds or for any action or omission, save and except solely for an action or omission that breaches the express obligations undertaken by such Junior Priority Agent under the terms of this Agreement.</w:t>
      </w:r>
    </w:p>
    <w:p>
      <w:pPr>
        <w:spacing w:after="0" w:line="184" w:lineRule="exact"/>
        <w:rPr>
          <w:rFonts w:ascii="Arial" w:cs="Arial" w:eastAsia="Arial" w:hAnsi="Arial"/>
          <w:sz w:val="17"/>
          <w:szCs w:val="17"/>
          <w:b w:val="1"/>
          <w:bCs w:val="1"/>
          <w:color w:val="auto"/>
        </w:rPr>
      </w:pPr>
    </w:p>
    <w:p>
      <w:pPr>
        <w:ind w:right="40" w:firstLine="464"/>
        <w:spacing w:after="0" w:line="297" w:lineRule="auto"/>
        <w:tabs>
          <w:tab w:leader="none" w:pos="636" w:val="left"/>
        </w:tabs>
        <w:numPr>
          <w:ilvl w:val="0"/>
          <w:numId w:val="529"/>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Turnover of Cash Collateral After Discharge</w:t>
      </w:r>
      <w:r>
        <w:rPr>
          <w:rFonts w:ascii="Arial" w:cs="Arial" w:eastAsia="Arial" w:hAnsi="Arial"/>
          <w:sz w:val="16"/>
          <w:szCs w:val="16"/>
          <w:color w:val="auto"/>
        </w:rPr>
        <w:t>. Upon the Discharge of Senior Priority Obligations, each Senior Priority Agent shall deliver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Junior Priority Representative or shall execute such documents as the Company or as the Junior Priority Representative may reasonably request to enable it to have control over any Cash Collateral or Control Collateral still in such Senior Priority Agent’s possession, custody or control in the same form as received with any necessary endorsements, or as a court of competent jurisdiction may otherwise direct. As between any Junior Priority Agent and any other Junior Priority Agent, any such Cash Collateral or Control Collateral held by any such Party shall be held by it subject to the terms and conditions of </w:t>
      </w:r>
      <w:r>
        <w:rPr>
          <w:rFonts w:ascii="Arial" w:cs="Arial" w:eastAsia="Arial" w:hAnsi="Arial"/>
          <w:sz w:val="16"/>
          <w:szCs w:val="16"/>
          <w:u w:val="single" w:color="auto"/>
          <w:color w:val="auto"/>
        </w:rPr>
        <w:t>Section 3.01.</w:t>
      </w:r>
    </w:p>
    <w:p>
      <w:pPr>
        <w:spacing w:after="0" w:line="158" w:lineRule="exact"/>
        <w:rPr>
          <w:rFonts w:ascii="Arial" w:cs="Arial" w:eastAsia="Arial" w:hAnsi="Arial"/>
          <w:sz w:val="16"/>
          <w:szCs w:val="16"/>
          <w:b w:val="1"/>
          <w:bCs w:val="1"/>
          <w:color w:val="auto"/>
        </w:rPr>
      </w:pPr>
    </w:p>
    <w:p>
      <w:pPr>
        <w:ind w:right="40" w:firstLine="464"/>
        <w:spacing w:after="0" w:line="273" w:lineRule="auto"/>
        <w:tabs>
          <w:tab w:leader="none" w:pos="636" w:val="left"/>
        </w:tabs>
        <w:numPr>
          <w:ilvl w:val="0"/>
          <w:numId w:val="529"/>
        </w:numPr>
        <w:rPr>
          <w:rFonts w:ascii="Arial" w:cs="Arial" w:eastAsia="Arial" w:hAnsi="Arial"/>
          <w:sz w:val="17"/>
          <w:szCs w:val="17"/>
          <w:b w:val="1"/>
          <w:bCs w:val="1"/>
          <w:color w:val="auto"/>
        </w:rPr>
      </w:pPr>
      <w:r>
        <w:rPr>
          <w:rFonts w:ascii="Arial" w:cs="Arial" w:eastAsia="Arial" w:hAnsi="Arial"/>
          <w:sz w:val="17"/>
          <w:szCs w:val="17"/>
          <w:i w:val="1"/>
          <w:iCs w:val="1"/>
          <w:u w:val="single" w:color="auto"/>
          <w:color w:val="auto"/>
        </w:rPr>
        <w:t>Senior Intervening Creditor</w:t>
      </w:r>
      <w:r>
        <w:rPr>
          <w:rFonts w:ascii="Arial" w:cs="Arial" w:eastAsia="Arial" w:hAnsi="Arial"/>
          <w:sz w:val="17"/>
          <w:szCs w:val="17"/>
          <w:color w:val="auto"/>
        </w:rPr>
        <w:t>. Notwithstanding anything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4.01(d)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contrary, solely as among the Senior Priority Secured Parties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any Collateral for which a third party (other than a Senior Priority Secured Party) has a Lien or security interest that is junior in priority to the Lien or security interest of any Series of Senior Priority Debt but senior (as determined by appropriate legal proceedings in the case of any dispute) to the Lien or security interest of any other Series of Senior Priority Debt (such third party an “</w:t>
      </w:r>
      <w:r>
        <w:rPr>
          <w:rFonts w:ascii="Arial" w:cs="Arial" w:eastAsia="Arial" w:hAnsi="Arial"/>
          <w:sz w:val="17"/>
          <w:szCs w:val="17"/>
          <w:u w:val="single" w:color="auto"/>
          <w:color w:val="auto"/>
        </w:rPr>
        <w:t>Senior Intervening Creditor</w:t>
      </w:r>
      <w:r>
        <w:rPr>
          <w:rFonts w:ascii="Arial" w:cs="Arial" w:eastAsia="Arial" w:hAnsi="Arial"/>
          <w:sz w:val="17"/>
          <w:szCs w:val="17"/>
          <w:color w:val="auto"/>
        </w:rPr>
        <w:t>”), the value of any Collateral or Proceeds that are allocated to such Senior Intervening Creditor shall be deducted on a ratable basis solely from the Collateral or Proceeds thereof to be distributed in respect of the Series of Senior Priority Debt with respect to which such Impairment exists.</w:t>
      </w:r>
    </w:p>
    <w:p>
      <w:pPr>
        <w:spacing w:after="0" w:line="178" w:lineRule="exact"/>
        <w:rPr>
          <w:rFonts w:ascii="Arial" w:cs="Arial" w:eastAsia="Arial" w:hAnsi="Arial"/>
          <w:sz w:val="17"/>
          <w:szCs w:val="17"/>
          <w:b w:val="1"/>
          <w:bCs w:val="1"/>
          <w:color w:val="auto"/>
        </w:rPr>
      </w:pPr>
    </w:p>
    <w:p>
      <w:pPr>
        <w:ind w:right="120" w:firstLine="464"/>
        <w:spacing w:after="0" w:line="259" w:lineRule="auto"/>
        <w:tabs>
          <w:tab w:leader="none" w:pos="636" w:val="left"/>
        </w:tabs>
        <w:numPr>
          <w:ilvl w:val="0"/>
          <w:numId w:val="529"/>
        </w:numPr>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Junior Intervening Creditor</w:t>
      </w:r>
      <w:r>
        <w:rPr>
          <w:rFonts w:ascii="Arial" w:cs="Arial" w:eastAsia="Arial" w:hAnsi="Arial"/>
          <w:sz w:val="18"/>
          <w:szCs w:val="18"/>
          <w:color w:val="auto"/>
        </w:rPr>
        <w:t>. Notwithstanding anything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4.01(d)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contrary, solely as among the Junior Priority Secured Parties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any Collateral for which a third party (other than a Junior Priority Secured Party) has a Lien or security interest that is junior in priority to the Lien or security interest of any Series of Junior Priority Debt but senior (as determined by appropriate legal proceedings in the case of any dispute) to the Lien or security interest of any other Series of Junior Priority Debt (such third party an “</w:t>
      </w:r>
      <w:r>
        <w:rPr>
          <w:rFonts w:ascii="Arial" w:cs="Arial" w:eastAsia="Arial" w:hAnsi="Arial"/>
          <w:sz w:val="18"/>
          <w:szCs w:val="18"/>
          <w:u w:val="single" w:color="auto"/>
          <w:color w:val="auto"/>
        </w:rPr>
        <w:t>Junior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3" w:right="239" w:bottom="1440" w:gutter="0" w:footer="0" w:header="0"/>
        </w:sectPr>
      </w:pPr>
    </w:p>
    <w:bookmarkStart w:id="483" w:name="page484"/>
    <w:bookmarkEnd w:id="483"/>
    <w:p>
      <w:pPr>
        <w:spacing w:after="0" w:line="34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Intervening Creditor</w:t>
      </w:r>
      <w:r>
        <w:rPr>
          <w:rFonts w:ascii="Arial" w:cs="Arial" w:eastAsia="Arial" w:hAnsi="Arial"/>
          <w:sz w:val="16"/>
          <w:szCs w:val="16"/>
          <w:color w:val="auto"/>
        </w:rPr>
        <w:t>”), the value of any Collateral or Proceeds that are allocated to such Junior Intervening Creditor shall be deducted on a ratable basis solely from the Collateral or Proceeds thereof to be distributed in respect of the Series of Junior Priority Debt with respect to which such Impairment exists.</w:t>
      </w:r>
    </w:p>
    <w:p>
      <w:pPr>
        <w:spacing w:after="0" w:line="12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Specific Performance and Other Relief</w:t>
      </w:r>
      <w:r>
        <w:rPr>
          <w:rFonts w:ascii="Arial" w:cs="Arial" w:eastAsia="Arial" w:hAnsi="Arial"/>
          <w:sz w:val="18"/>
          <w:szCs w:val="18"/>
          <w:b w:val="1"/>
          <w:bCs w:val="1"/>
          <w:color w:val="auto"/>
        </w:rPr>
        <w:t xml:space="preserve">. </w:t>
      </w:r>
      <w:r>
        <w:rPr>
          <w:rFonts w:ascii="Arial" w:cs="Arial" w:eastAsia="Arial" w:hAnsi="Arial"/>
          <w:sz w:val="18"/>
          <w:szCs w:val="18"/>
          <w:color w:val="auto"/>
        </w:rPr>
        <w:t>Each Agent is hereby authorized to demand specific performance of this Agreement or obtain relief by</w:t>
      </w:r>
      <w:r>
        <w:rPr>
          <w:rFonts w:ascii="Arial" w:cs="Arial" w:eastAsia="Arial" w:hAnsi="Arial"/>
          <w:sz w:val="18"/>
          <w:szCs w:val="18"/>
          <w:b w:val="1"/>
          <w:bCs w:val="1"/>
          <w:color w:val="auto"/>
        </w:rPr>
        <w:t xml:space="preserve"> </w:t>
      </w:r>
      <w:r>
        <w:rPr>
          <w:rFonts w:ascii="Arial" w:cs="Arial" w:eastAsia="Arial" w:hAnsi="Arial"/>
          <w:sz w:val="18"/>
          <w:szCs w:val="18"/>
          <w:color w:val="auto"/>
        </w:rPr>
        <w:t>injunction or other appropriate equitable relief, whether or not any Loan Party shall have complied with any of the provisions of any of the Credit Documents, at any time when any other Party shall have failed to comply with any of the provisions of this Agreement applicable to it. Each Agent, for and on behalf of itself and the Secured Parties represented thereby, hereby irrevocably waives any defense based on the adequacy of a remedy at law that might be asserted as a bar to such remedy of specific performance, injunctive relief or other equitable relief.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INTERCREDITOR ACKNOWLEDGEMENTS AND WAIVERS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Notice of Acceptance and Other Waivers.</w:t>
      </w:r>
    </w:p>
    <w:p>
      <w:pPr>
        <w:spacing w:after="0" w:line="229" w:lineRule="exact"/>
        <w:rPr>
          <w:sz w:val="20"/>
          <w:szCs w:val="20"/>
          <w:color w:val="auto"/>
        </w:rPr>
      </w:pPr>
    </w:p>
    <w:p>
      <w:pPr>
        <w:ind w:right="120" w:firstLine="464"/>
        <w:spacing w:after="0" w:line="259" w:lineRule="auto"/>
        <w:tabs>
          <w:tab w:leader="none" w:pos="636" w:val="left"/>
        </w:tabs>
        <w:numPr>
          <w:ilvl w:val="0"/>
          <w:numId w:val="530"/>
        </w:numPr>
        <w:rPr>
          <w:rFonts w:ascii="Arial" w:cs="Arial" w:eastAsia="Arial" w:hAnsi="Arial"/>
          <w:sz w:val="18"/>
          <w:szCs w:val="18"/>
          <w:b w:val="1"/>
          <w:bCs w:val="1"/>
          <w:color w:val="auto"/>
        </w:rPr>
      </w:pPr>
      <w:r>
        <w:rPr>
          <w:rFonts w:ascii="Arial" w:cs="Arial" w:eastAsia="Arial" w:hAnsi="Arial"/>
          <w:sz w:val="18"/>
          <w:szCs w:val="18"/>
          <w:color w:val="auto"/>
        </w:rPr>
        <w:t>All Senior Priority Obligations at any time made or incurred by any Loan Party shall be deemed to have been made or incurred in reliance upon this Agreement, and each Junior Priority Agent, for and on behalf of itself and the Junior Priority Creditors represented thereby, hereby waives notice of acceptance of, or proof of reliance by any Senior Priority Agent or any Senior Priority Creditors on, this Agreement, and notice of the existence, increase, renewal, extension, accrual, creation, or nonpayment of all or any part of the Senior Priority Obligations.</w:t>
      </w:r>
    </w:p>
    <w:p>
      <w:pPr>
        <w:spacing w:after="0" w:line="186" w:lineRule="exact"/>
        <w:rPr>
          <w:rFonts w:ascii="Arial" w:cs="Arial" w:eastAsia="Arial" w:hAnsi="Arial"/>
          <w:sz w:val="18"/>
          <w:szCs w:val="18"/>
          <w:b w:val="1"/>
          <w:bCs w:val="1"/>
          <w:color w:val="auto"/>
        </w:rPr>
      </w:pPr>
    </w:p>
    <w:p>
      <w:pPr>
        <w:ind w:right="40" w:firstLine="464"/>
        <w:spacing w:after="0" w:line="286" w:lineRule="auto"/>
        <w:tabs>
          <w:tab w:leader="none" w:pos="636" w:val="left"/>
        </w:tabs>
        <w:numPr>
          <w:ilvl w:val="0"/>
          <w:numId w:val="530"/>
        </w:numPr>
        <w:rPr>
          <w:rFonts w:ascii="Arial" w:cs="Arial" w:eastAsia="Arial" w:hAnsi="Arial"/>
          <w:sz w:val="16"/>
          <w:szCs w:val="16"/>
          <w:b w:val="1"/>
          <w:bCs w:val="1"/>
          <w:color w:val="auto"/>
        </w:rPr>
      </w:pPr>
      <w:r>
        <w:rPr>
          <w:rFonts w:ascii="Arial" w:cs="Arial" w:eastAsia="Arial" w:hAnsi="Arial"/>
          <w:sz w:val="16"/>
          <w:szCs w:val="16"/>
          <w:color w:val="auto"/>
        </w:rPr>
        <w:t>None of the Senior Priority Agents (including any Senior Priority Agent in its capacity as Senior Priority Representative, if applicable), the Senior Priority Creditors, or any of their respective Affiliates, or any of the respective directors, officers, employees, or agents of any of the foregoing, shall be liable for failure to demand, collect, or realize upon any of the Collateral or any Proceeds, or for any delay in doing so, or shall be under any obligation to sell or otherwise dispose of any Collateral or Proceeds thereof or to take any other action whatsoever with regard to the Collateral or any part or Proceeds thereof, except as specifically provided in this Agreement. If any Senior Priority Agent or Senior Priority Creditor honors (or fails to honor) a request by any Borrower for an extension of credit pursuant to any Senior Priority Credit Facility or any other Senior Priority Document, whether or not such Senior Priority Agent or Senior Priority Creditor has knowledge that the honoring of (or failure to honor) any such request would constitute a default under the terms of any Junior Priority Credit Facility or any other Junior Priority Document (but not a default under this Agreement) or would constitute an act, condition, or event that, with the giving of notice or the passage of time, or both, would constitute such a default, or if any Senior Priority Agent or Senior Priority Creditor otherwise should exercise any of its contractual rights or remedies under any Senior Priority Documents (subject to the express terms and conditions hereof), no Senior Priority Agent or Senior Priority Creditor shall have any liability whatsoever to any Junior Priority Agent or Junior Priority Creditor as a result of such action, omission, or exercise, in each case so long as any such exercise does not breach the express terms and provisions of this Agreement. Each Senior Priority Secured Party shall be entitled to manage and supervise its loans and extensions of credit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3" w:right="239" w:bottom="1440" w:gutter="0" w:footer="0" w:header="0"/>
        </w:sectPr>
      </w:pPr>
    </w:p>
    <w:bookmarkStart w:id="484" w:name="page485"/>
    <w:bookmarkEnd w:id="48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relevant Senior Priority Credit Facility and other Senior Priority Documents as it may, in its sole discretion, deem appropriate, and may manage its loans and extensions of credit without regard to any rights or interests that the Junior Priority Agents or Junior Priority Creditors have in the Collateral, except as otherwise expressly set forth in this Agreement. Each Junior Priority Agent, on behalf of itself and the Junior Priority Creditors represented thereby, agrees that no Senior Priority Agent or Senior Priority Creditor shall incur any liability as a result of a sale, lease, license, application, or other disposition of all or any portion of the Collateral or Proceeds thereof pursuant to the Senior Priority Documents, in each case so long as such disposition is conducted in accordance with mandatory provisions of applicable law and does not breach the provisions of this Agreement.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Modifications to Senior Priority Documents and Junior Priority Documents.</w:t>
      </w:r>
    </w:p>
    <w:p>
      <w:pPr>
        <w:spacing w:after="0" w:line="229" w:lineRule="exact"/>
        <w:rPr>
          <w:sz w:val="20"/>
          <w:szCs w:val="20"/>
          <w:color w:val="auto"/>
        </w:rPr>
      </w:pPr>
    </w:p>
    <w:p>
      <w:pPr>
        <w:ind w:right="80" w:firstLine="464"/>
        <w:spacing w:after="0" w:line="273" w:lineRule="auto"/>
        <w:tabs>
          <w:tab w:leader="none" w:pos="636" w:val="left"/>
        </w:tabs>
        <w:numPr>
          <w:ilvl w:val="0"/>
          <w:numId w:val="531"/>
        </w:numPr>
        <w:rPr>
          <w:rFonts w:ascii="Arial" w:cs="Arial" w:eastAsia="Arial" w:hAnsi="Arial"/>
          <w:sz w:val="17"/>
          <w:szCs w:val="17"/>
          <w:b w:val="1"/>
          <w:bCs w:val="1"/>
          <w:color w:val="auto"/>
        </w:rPr>
      </w:pPr>
      <w:r>
        <w:rPr>
          <w:rFonts w:ascii="Arial" w:cs="Arial" w:eastAsia="Arial" w:hAnsi="Arial"/>
          <w:sz w:val="17"/>
          <w:szCs w:val="17"/>
          <w:color w:val="auto"/>
        </w:rPr>
        <w:t>Each Junior Priority Agent, for and on behalf of itself and the Junior Priority Creditors represented thereby, hereby agrees that, without affecting the obligations of such Junior Priority Secured Parties hereunder, each Senior Priority Agent and the Senior Priority Creditors represented thereby may, at any time and from time to time, in their sole discretion without the consent of or notice to any Junior Priority Secured Party (except to the extent such notice or consent is required pursuant to the express provisions of this Agreement), and without incurring any liability to any such Junior Priority Secured Party or impairing or releasing the subordination provided for herein, amend, restate, supplement, replace, refinance, extend, consolidate, restructure, or otherwise modify any of the Senior Priority Documents in any manner whatsoever, including, to:</w:t>
      </w:r>
    </w:p>
    <w:p>
      <w:pPr>
        <w:spacing w:after="0" w:line="70" w:lineRule="exact"/>
        <w:rPr>
          <w:rFonts w:ascii="Arial" w:cs="Arial" w:eastAsia="Arial" w:hAnsi="Arial"/>
          <w:sz w:val="17"/>
          <w:szCs w:val="17"/>
          <w:b w:val="1"/>
          <w:bCs w:val="1"/>
          <w:color w:val="auto"/>
        </w:rPr>
      </w:pPr>
    </w:p>
    <w:p>
      <w:pPr>
        <w:ind w:left="460" w:right="360" w:firstLine="443"/>
        <w:spacing w:after="0" w:line="264" w:lineRule="auto"/>
        <w:tabs>
          <w:tab w:leader="none" w:pos="1068" w:val="left"/>
        </w:tabs>
        <w:numPr>
          <w:ilvl w:val="1"/>
          <w:numId w:val="531"/>
        </w:numPr>
        <w:rPr>
          <w:rFonts w:ascii="Arial" w:cs="Arial" w:eastAsia="Arial" w:hAnsi="Arial"/>
          <w:sz w:val="18"/>
          <w:szCs w:val="18"/>
          <w:color w:val="auto"/>
        </w:rPr>
      </w:pPr>
      <w:r>
        <w:rPr>
          <w:rFonts w:ascii="Arial" w:cs="Arial" w:eastAsia="Arial" w:hAnsi="Arial"/>
          <w:sz w:val="18"/>
          <w:szCs w:val="18"/>
          <w:color w:val="auto"/>
        </w:rPr>
        <w:t>change the manner, place, time, or terms of payment or renew, alter or increase, all or any of the Senior Priority Obligations or otherwise amend, restate, supplement, or otherwise modify in any manner, or grant any waiver or release with respect to, all or any part of the Senior Priority Obligations or any of the Senior Priority Documents;</w:t>
      </w:r>
    </w:p>
    <w:p>
      <w:pPr>
        <w:spacing w:after="0" w:line="73" w:lineRule="exact"/>
        <w:rPr>
          <w:rFonts w:ascii="Arial" w:cs="Arial" w:eastAsia="Arial" w:hAnsi="Arial"/>
          <w:sz w:val="18"/>
          <w:szCs w:val="18"/>
          <w:color w:val="auto"/>
        </w:rPr>
      </w:pPr>
    </w:p>
    <w:p>
      <w:pPr>
        <w:ind w:left="460" w:right="20" w:firstLine="443"/>
        <w:spacing w:after="0" w:line="277" w:lineRule="auto"/>
        <w:tabs>
          <w:tab w:leader="none" w:pos="1078" w:val="left"/>
        </w:tabs>
        <w:numPr>
          <w:ilvl w:val="1"/>
          <w:numId w:val="531"/>
        </w:numPr>
        <w:rPr>
          <w:rFonts w:ascii="Arial" w:cs="Arial" w:eastAsia="Arial" w:hAnsi="Arial"/>
          <w:sz w:val="18"/>
          <w:szCs w:val="18"/>
          <w:color w:val="auto"/>
        </w:rPr>
      </w:pPr>
      <w:r>
        <w:rPr>
          <w:rFonts w:ascii="Arial" w:cs="Arial" w:eastAsia="Arial" w:hAnsi="Arial"/>
          <w:sz w:val="18"/>
          <w:szCs w:val="18"/>
          <w:color w:val="auto"/>
        </w:rPr>
        <w:t>retain or obtain a Lien on any Property of any Person to secure any of the Senior Priority Obligations, and in connection therewith to enter into any additional Senior Priority Documents;</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068"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amend, or grant any waiver, compromise, or release with respect to, or consent to any departure from, any guaranty or other obligations of any Person obligated in any manner under or in respect of the Senior Priority Obligations;</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release its Lien on any Collateral and/or any Excluded Cash Collateral or other Property;</w:t>
      </w:r>
    </w:p>
    <w:p>
      <w:pPr>
        <w:spacing w:after="0" w:line="117" w:lineRule="exact"/>
        <w:rPr>
          <w:rFonts w:ascii="Arial" w:cs="Arial" w:eastAsia="Arial" w:hAnsi="Arial"/>
          <w:sz w:val="18"/>
          <w:szCs w:val="18"/>
          <w:color w:val="auto"/>
        </w:rPr>
      </w:pPr>
    </w:p>
    <w:p>
      <w:pPr>
        <w:ind w:left="1080" w:hanging="177"/>
        <w:spacing w:after="0"/>
        <w:tabs>
          <w:tab w:leader="none" w:pos="108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exercise or refrain from exercising any rights against any Loan Party or any other Person;</w:t>
      </w:r>
    </w:p>
    <w:p>
      <w:pPr>
        <w:spacing w:after="0" w:line="117" w:lineRule="exact"/>
        <w:rPr>
          <w:rFonts w:ascii="Arial" w:cs="Arial" w:eastAsia="Arial" w:hAnsi="Arial"/>
          <w:sz w:val="18"/>
          <w:szCs w:val="18"/>
          <w:color w:val="auto"/>
        </w:rPr>
      </w:pPr>
    </w:p>
    <w:p>
      <w:pPr>
        <w:ind w:left="1060" w:hanging="157"/>
        <w:spacing w:after="0"/>
        <w:tabs>
          <w:tab w:leader="none" w:pos="106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retain or obtain the primary or secondary obligation of any other Person with respect to any of the Senior Priority Obligations; and</w:t>
      </w:r>
    </w:p>
    <w:p>
      <w:pPr>
        <w:spacing w:after="0" w:line="117" w:lineRule="exact"/>
        <w:rPr>
          <w:rFonts w:ascii="Arial" w:cs="Arial" w:eastAsia="Arial" w:hAnsi="Arial"/>
          <w:sz w:val="18"/>
          <w:szCs w:val="18"/>
          <w:color w:val="auto"/>
        </w:rPr>
      </w:pPr>
    </w:p>
    <w:p>
      <w:pPr>
        <w:ind w:left="1080" w:hanging="177"/>
        <w:spacing w:after="0"/>
        <w:tabs>
          <w:tab w:leader="none" w:pos="108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otherwise manage and supervise the Senior Priority Obligations as the applicable Senior Priority Agent shall deem appropriate.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485" w:name="page486"/>
    <w:bookmarkEnd w:id="485"/>
    <w:p>
      <w:pPr>
        <w:ind w:left="-60" w:right="20" w:firstLine="464"/>
        <w:spacing w:after="0" w:line="273" w:lineRule="auto"/>
        <w:tabs>
          <w:tab w:leader="none" w:pos="576" w:val="left"/>
        </w:tabs>
        <w:numPr>
          <w:ilvl w:val="0"/>
          <w:numId w:val="53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Senior Priority Agent, for and on behalf of itself and the Senior Priority Creditors represented thereby, hereby agrees that, without affecting the obligations of such Senior Priority Secured Parties hereunder, each Junior Priority Agent and the Junior Priority Creditors represented thereby may, at any time and from time to time, in their sole discretion without the consent of or notice to any such Senior Priority Secured Party (except to the extent such notice or consent is required pursuant to the express provisions of this Agreement), and without incurring any liability to any such Senior Priority Secured Party or impairing or releasing the priority provided for herein, amend, restate, supplement, replace, refinance, extend, consolidate, restructure, or otherwise modify any of the Junior Priority Documents in any manner whatsoever, including, to:</w:t>
      </w:r>
    </w:p>
    <w:p>
      <w:pPr>
        <w:spacing w:after="0" w:line="70" w:lineRule="exact"/>
        <w:rPr>
          <w:rFonts w:ascii="Arial" w:cs="Arial" w:eastAsia="Arial" w:hAnsi="Arial"/>
          <w:sz w:val="17"/>
          <w:szCs w:val="17"/>
          <w:b w:val="1"/>
          <w:bCs w:val="1"/>
          <w:color w:val="auto"/>
        </w:rPr>
      </w:pPr>
    </w:p>
    <w:p>
      <w:pPr>
        <w:ind w:left="400" w:right="360" w:firstLine="443"/>
        <w:spacing w:after="0" w:line="264" w:lineRule="auto"/>
        <w:tabs>
          <w:tab w:leader="none" w:pos="1008" w:val="left"/>
        </w:tabs>
        <w:numPr>
          <w:ilvl w:val="1"/>
          <w:numId w:val="532"/>
        </w:numPr>
        <w:rPr>
          <w:rFonts w:ascii="Arial" w:cs="Arial" w:eastAsia="Arial" w:hAnsi="Arial"/>
          <w:sz w:val="18"/>
          <w:szCs w:val="18"/>
          <w:color w:val="auto"/>
        </w:rPr>
      </w:pPr>
      <w:r>
        <w:rPr>
          <w:rFonts w:ascii="Arial" w:cs="Arial" w:eastAsia="Arial" w:hAnsi="Arial"/>
          <w:sz w:val="18"/>
          <w:szCs w:val="18"/>
          <w:color w:val="auto"/>
        </w:rPr>
        <w:t>change the manner, place, time, or terms of payment or renew, alter or increase, all or any of the Junior Priority Obligations or otherwise amend, restate, supplement, or otherwise modify in any manner, or grant any waiver or release with respect to, all or any part of the Junior Priority Obligations or any of the Junior Priority Documents;</w:t>
      </w:r>
    </w:p>
    <w:p>
      <w:pPr>
        <w:spacing w:after="0" w:line="73" w:lineRule="exact"/>
        <w:rPr>
          <w:rFonts w:ascii="Arial" w:cs="Arial" w:eastAsia="Arial" w:hAnsi="Arial"/>
          <w:sz w:val="18"/>
          <w:szCs w:val="18"/>
          <w:color w:val="auto"/>
        </w:rPr>
      </w:pPr>
    </w:p>
    <w:p>
      <w:pPr>
        <w:ind w:left="400" w:right="20" w:firstLine="443"/>
        <w:spacing w:after="0" w:line="277" w:lineRule="auto"/>
        <w:tabs>
          <w:tab w:leader="none" w:pos="1018" w:val="left"/>
        </w:tabs>
        <w:numPr>
          <w:ilvl w:val="1"/>
          <w:numId w:val="532"/>
        </w:numPr>
        <w:rPr>
          <w:rFonts w:ascii="Arial" w:cs="Arial" w:eastAsia="Arial" w:hAnsi="Arial"/>
          <w:sz w:val="18"/>
          <w:szCs w:val="18"/>
          <w:color w:val="auto"/>
        </w:rPr>
      </w:pPr>
      <w:r>
        <w:rPr>
          <w:rFonts w:ascii="Arial" w:cs="Arial" w:eastAsia="Arial" w:hAnsi="Arial"/>
          <w:sz w:val="18"/>
          <w:szCs w:val="18"/>
          <w:color w:val="auto"/>
        </w:rPr>
        <w:t>retain or obtain a Lien on any Property of any Person to secure any of the Junior Priority Obligations, and in connection therewith to enter into any additional Junior Priority Documents;</w:t>
      </w:r>
    </w:p>
    <w:p>
      <w:pPr>
        <w:spacing w:after="0" w:line="62" w:lineRule="exact"/>
        <w:rPr>
          <w:rFonts w:ascii="Arial" w:cs="Arial" w:eastAsia="Arial" w:hAnsi="Arial"/>
          <w:sz w:val="18"/>
          <w:szCs w:val="18"/>
          <w:color w:val="auto"/>
        </w:rPr>
      </w:pPr>
    </w:p>
    <w:p>
      <w:pPr>
        <w:ind w:left="400" w:right="40" w:firstLine="443"/>
        <w:spacing w:after="0" w:line="277" w:lineRule="auto"/>
        <w:tabs>
          <w:tab w:leader="none" w:pos="1008" w:val="left"/>
        </w:tabs>
        <w:numPr>
          <w:ilvl w:val="1"/>
          <w:numId w:val="532"/>
        </w:numPr>
        <w:rPr>
          <w:rFonts w:ascii="Arial" w:cs="Arial" w:eastAsia="Arial" w:hAnsi="Arial"/>
          <w:sz w:val="18"/>
          <w:szCs w:val="18"/>
          <w:color w:val="auto"/>
        </w:rPr>
      </w:pPr>
      <w:r>
        <w:rPr>
          <w:rFonts w:ascii="Arial" w:cs="Arial" w:eastAsia="Arial" w:hAnsi="Arial"/>
          <w:sz w:val="18"/>
          <w:szCs w:val="18"/>
          <w:color w:val="auto"/>
        </w:rPr>
        <w:t>amend, or grant any waiver, compromise, or release with respect to, or consent to any departure from, any guaranty or other obligations of any Person obligated in any manner under or in respect of the Junior Priority Obligations;</w:t>
      </w:r>
    </w:p>
    <w:p>
      <w:pPr>
        <w:spacing w:after="0" w:line="62" w:lineRule="exact"/>
        <w:rPr>
          <w:rFonts w:ascii="Arial" w:cs="Arial" w:eastAsia="Arial" w:hAnsi="Arial"/>
          <w:sz w:val="18"/>
          <w:szCs w:val="18"/>
          <w:color w:val="auto"/>
        </w:rPr>
      </w:pPr>
    </w:p>
    <w:p>
      <w:pPr>
        <w:ind w:left="1020" w:hanging="177"/>
        <w:spacing w:after="0"/>
        <w:tabs>
          <w:tab w:leader="none" w:pos="102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release its Lien on any Collateral or other Property;</w:t>
      </w:r>
    </w:p>
    <w:p>
      <w:pPr>
        <w:spacing w:after="0" w:line="117" w:lineRule="exact"/>
        <w:rPr>
          <w:rFonts w:ascii="Arial" w:cs="Arial" w:eastAsia="Arial" w:hAnsi="Arial"/>
          <w:sz w:val="18"/>
          <w:szCs w:val="18"/>
          <w:color w:val="auto"/>
        </w:rPr>
      </w:pPr>
    </w:p>
    <w:p>
      <w:pPr>
        <w:ind w:left="1020" w:hanging="177"/>
        <w:spacing w:after="0"/>
        <w:tabs>
          <w:tab w:leader="none" w:pos="102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exercise or refrain from exercising any rights against any Loan Party or any other Person;</w:t>
      </w:r>
    </w:p>
    <w:p>
      <w:pPr>
        <w:spacing w:after="0" w:line="117" w:lineRule="exact"/>
        <w:rPr>
          <w:rFonts w:ascii="Arial" w:cs="Arial" w:eastAsia="Arial" w:hAnsi="Arial"/>
          <w:sz w:val="18"/>
          <w:szCs w:val="18"/>
          <w:color w:val="auto"/>
        </w:rPr>
      </w:pPr>
    </w:p>
    <w:p>
      <w:pPr>
        <w:ind w:left="1000" w:hanging="157"/>
        <w:spacing w:after="0"/>
        <w:tabs>
          <w:tab w:leader="none" w:pos="100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retain or obtain the primary or secondary obligation of any other Person with respect to any of the Junior Priority Obligations; and</w:t>
      </w:r>
    </w:p>
    <w:p>
      <w:pPr>
        <w:spacing w:after="0" w:line="117" w:lineRule="exact"/>
        <w:rPr>
          <w:rFonts w:ascii="Arial" w:cs="Arial" w:eastAsia="Arial" w:hAnsi="Arial"/>
          <w:sz w:val="18"/>
          <w:szCs w:val="18"/>
          <w:color w:val="auto"/>
        </w:rPr>
      </w:pPr>
    </w:p>
    <w:p>
      <w:pPr>
        <w:ind w:left="1020" w:hanging="177"/>
        <w:spacing w:after="0"/>
        <w:tabs>
          <w:tab w:leader="none" w:pos="102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otherwise manage and supervise the Junior Priority Obligations as the Junior Priority Agent shall deem appropriate.</w:t>
      </w:r>
    </w:p>
    <w:p>
      <w:pPr>
        <w:spacing w:after="0" w:line="225" w:lineRule="exact"/>
        <w:rPr>
          <w:rFonts w:ascii="Arial" w:cs="Arial" w:eastAsia="Arial" w:hAnsi="Arial"/>
          <w:sz w:val="18"/>
          <w:szCs w:val="18"/>
          <w:color w:val="auto"/>
        </w:rPr>
      </w:pPr>
    </w:p>
    <w:p>
      <w:pPr>
        <w:ind w:left="-60" w:right="280" w:firstLine="464"/>
        <w:spacing w:after="0" w:line="277" w:lineRule="auto"/>
        <w:tabs>
          <w:tab w:leader="none" w:pos="576" w:val="left"/>
        </w:tabs>
        <w:numPr>
          <w:ilvl w:val="0"/>
          <w:numId w:val="532"/>
        </w:numPr>
        <w:rPr>
          <w:rFonts w:ascii="Arial" w:cs="Arial" w:eastAsia="Arial" w:hAnsi="Arial"/>
          <w:sz w:val="18"/>
          <w:szCs w:val="18"/>
          <w:b w:val="1"/>
          <w:bCs w:val="1"/>
          <w:color w:val="auto"/>
        </w:rPr>
      </w:pPr>
      <w:r>
        <w:rPr>
          <w:rFonts w:ascii="Arial" w:cs="Arial" w:eastAsia="Arial" w:hAnsi="Arial"/>
          <w:sz w:val="18"/>
          <w:szCs w:val="18"/>
          <w:color w:val="auto"/>
        </w:rPr>
        <w:t>Each Junior Priority Agent, for and on behalf of itself and the Junior Priority Secured Parties represented thereby, agrees that each Junior Priority Collateral Document shall include the following language (or language to similar effect):</w:t>
      </w:r>
    </w:p>
    <w:p>
      <w:pPr>
        <w:spacing w:after="0" w:line="62" w:lineRule="exact"/>
        <w:rPr>
          <w:sz w:val="20"/>
          <w:szCs w:val="20"/>
          <w:color w:val="auto"/>
        </w:rPr>
      </w:pPr>
    </w:p>
    <w:p>
      <w:pPr>
        <w:ind w:left="860"/>
        <w:spacing w:after="0" w:line="291" w:lineRule="auto"/>
        <w:rPr>
          <w:sz w:val="20"/>
          <w:szCs w:val="20"/>
          <w:color w:val="auto"/>
        </w:rPr>
      </w:pPr>
      <w:r>
        <w:rPr>
          <w:rFonts w:ascii="Arial" w:cs="Arial" w:eastAsia="Arial" w:hAnsi="Arial"/>
          <w:sz w:val="16"/>
          <w:szCs w:val="16"/>
          <w:color w:val="auto"/>
        </w:rPr>
        <w:t>“Notwithstanding anything herein to the contrary, the lien and security interest granted to [name of Junior Priority Agent] pursuant to this Agreement and the exercise of any right or remedy by [name of Junior Priority Agent] hereunder are subject to the provisions of the Intercreditor</w:t>
      </w:r>
    </w:p>
    <w:p>
      <w:pPr>
        <w:ind w:left="860"/>
        <w:spacing w:after="0"/>
        <w:tabs>
          <w:tab w:leader="none" w:pos="2980" w:val="left"/>
        </w:tabs>
        <w:rPr>
          <w:sz w:val="20"/>
          <w:szCs w:val="20"/>
          <w:color w:val="auto"/>
        </w:rPr>
      </w:pPr>
      <w:r>
        <w:rPr>
          <w:rFonts w:ascii="Arial" w:cs="Arial" w:eastAsia="Arial" w:hAnsi="Arial"/>
          <w:sz w:val="18"/>
          <w:szCs w:val="18"/>
          <w:color w:val="auto"/>
        </w:rPr>
        <w:t>Agreement, dated as of [</w:t>
      </w:r>
      <w:r>
        <w:rPr>
          <w:sz w:val="20"/>
          <w:szCs w:val="20"/>
          <w:color w:val="auto"/>
        </w:rPr>
        <w:tab/>
      </w:r>
      <w:r>
        <w:rPr>
          <w:rFonts w:ascii="Arial" w:cs="Arial" w:eastAsia="Arial" w:hAnsi="Arial"/>
          <w:sz w:val="16"/>
          <w:szCs w:val="16"/>
          <w:color w:val="auto"/>
        </w:rPr>
        <w:t>] (as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300" w:top="274" w:right="279" w:bottom="1440" w:gutter="0" w:footer="0" w:header="0"/>
        </w:sectPr>
      </w:pPr>
    </w:p>
    <w:bookmarkStart w:id="486" w:name="page487"/>
    <w:bookmarkEnd w:id="486"/>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restated, supplemented or otherwise modified, replaced or refinanced from time to time, the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initially</w:t>
      </w:r>
    </w:p>
    <w:p>
      <w:pPr>
        <w:spacing w:after="0" w:line="34" w:lineRule="exact"/>
        <w:rPr>
          <w:sz w:val="20"/>
          <w:szCs w:val="20"/>
          <w:color w:val="auto"/>
        </w:rPr>
      </w:pPr>
    </w:p>
    <w:p>
      <w:pPr>
        <w:jc w:val="both"/>
        <w:ind w:left="920" w:right="240"/>
        <w:spacing w:after="0" w:line="256" w:lineRule="auto"/>
        <w:rPr>
          <w:sz w:val="20"/>
          <w:szCs w:val="20"/>
          <w:color w:val="auto"/>
        </w:rPr>
      </w:pPr>
      <w:r>
        <w:rPr>
          <w:rFonts w:ascii="Arial" w:cs="Arial" w:eastAsia="Arial" w:hAnsi="Arial"/>
          <w:sz w:val="18"/>
          <w:szCs w:val="18"/>
          <w:color w:val="auto"/>
        </w:rPr>
        <w:t>among [ ], as the Original First Lien Agent, and [ ] as [ ]</w:t>
      </w:r>
      <w:r>
        <w:rPr>
          <w:rFonts w:ascii="Arial" w:cs="Arial" w:eastAsia="Arial" w:hAnsi="Arial"/>
          <w:sz w:val="15"/>
          <w:szCs w:val="15"/>
          <w:color w:val="auto"/>
        </w:rPr>
        <w:t>i</w:t>
      </w:r>
      <w:r>
        <w:rPr>
          <w:rFonts w:ascii="Arial" w:cs="Arial" w:eastAsia="Arial" w:hAnsi="Arial"/>
          <w:sz w:val="18"/>
          <w:szCs w:val="18"/>
          <w:color w:val="auto"/>
        </w:rPr>
        <w:t xml:space="preserve"> Second Lien Agent, and certain other persons party or that may become party thereto from time to time. In the event of any conflict between the terms of the Intercreditor Agreement and this Agreement, the terms of the Intercreditor Agreement shall govern and control.”</w:t>
      </w:r>
    </w:p>
    <w:p>
      <w:pPr>
        <w:spacing w:after="0" w:line="18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addition, each Junior Priority Agent, for and on behalf of itself and the Junior Priority Secured Parties represented thereby, agrees that each Junior Priority Collateral Document consisting of a mortgage covering any Collateral consisting of real estate shall contain language appropriate to reflect the subordination of such Junior Priority Collateral Documents to the corresponding Senior Priority Collateral Documents.</w:t>
      </w:r>
    </w:p>
    <w:p>
      <w:pPr>
        <w:spacing w:after="0" w:line="166" w:lineRule="exact"/>
        <w:rPr>
          <w:sz w:val="20"/>
          <w:szCs w:val="20"/>
          <w:color w:val="auto"/>
        </w:rPr>
      </w:pPr>
    </w:p>
    <w:p>
      <w:pPr>
        <w:ind w:firstLine="464"/>
        <w:spacing w:after="0" w:line="271" w:lineRule="auto"/>
        <w:tabs>
          <w:tab w:leader="none" w:pos="636" w:val="left"/>
        </w:tabs>
        <w:numPr>
          <w:ilvl w:val="0"/>
          <w:numId w:val="533"/>
        </w:numPr>
        <w:rPr>
          <w:rFonts w:ascii="Arial" w:cs="Arial" w:eastAsia="Arial" w:hAnsi="Arial"/>
          <w:sz w:val="17"/>
          <w:szCs w:val="17"/>
          <w:b w:val="1"/>
          <w:bCs w:val="1"/>
          <w:color w:val="auto"/>
        </w:rPr>
      </w:pPr>
      <w:r>
        <w:rPr>
          <w:rFonts w:ascii="Arial" w:cs="Arial" w:eastAsia="Arial" w:hAnsi="Arial"/>
          <w:sz w:val="17"/>
          <w:szCs w:val="17"/>
          <w:color w:val="auto"/>
        </w:rPr>
        <w:t>Except as may be separately otherwise agreed in writing by and between or among any applicable Senior Priority Agents, in each case on behalf of itself and the Senior Priority Creditors represented thereby, each Senior Priority Agent, for and on behalf of itself and the Senior Priority Creditors represented thereby, hereby agrees that, without affecting the obligations of such Senior Priority Secured Parties hereunder, any other Senior Priority Agent and any Senior Priority Creditors represented thereby may, at any time and from time to time, in their sole discretion without the consent of or notice to any such Senior Priority Secured Party (except to the extent such notice or consent is required pursuant to the express provisions of this Agreement) and without incurring any liability to any such Senior Priority Secured Party, amend, restate, supplement, replace, refinance, extend, consolidate, restructure, or otherwise modify any of the Senior Priority Documents to which such other Senior Priority Agent or any Senior Priority Creditor represented thereby is party or beneficiary in any manner whatsoever, including, to:</w:t>
      </w:r>
    </w:p>
    <w:p>
      <w:pPr>
        <w:spacing w:after="0" w:line="70" w:lineRule="exact"/>
        <w:rPr>
          <w:rFonts w:ascii="Arial" w:cs="Arial" w:eastAsia="Arial" w:hAnsi="Arial"/>
          <w:sz w:val="17"/>
          <w:szCs w:val="17"/>
          <w:b w:val="1"/>
          <w:bCs w:val="1"/>
          <w:color w:val="auto"/>
        </w:rPr>
      </w:pPr>
    </w:p>
    <w:p>
      <w:pPr>
        <w:ind w:left="460" w:right="380" w:firstLine="443"/>
        <w:spacing w:after="0" w:line="264" w:lineRule="auto"/>
        <w:tabs>
          <w:tab w:leader="none" w:pos="1068" w:val="left"/>
        </w:tabs>
        <w:numPr>
          <w:ilvl w:val="1"/>
          <w:numId w:val="533"/>
        </w:numPr>
        <w:rPr>
          <w:rFonts w:ascii="Arial" w:cs="Arial" w:eastAsia="Arial" w:hAnsi="Arial"/>
          <w:sz w:val="18"/>
          <w:szCs w:val="18"/>
          <w:color w:val="auto"/>
        </w:rPr>
      </w:pPr>
      <w:r>
        <w:rPr>
          <w:rFonts w:ascii="Arial" w:cs="Arial" w:eastAsia="Arial" w:hAnsi="Arial"/>
          <w:sz w:val="18"/>
          <w:szCs w:val="18"/>
          <w:color w:val="auto"/>
        </w:rPr>
        <w:t>change the manner, place, time, or terms of payment or renew, alter or increase, all or any of the Senior Priority Obligations or otherwise amend, restate, supplement, or otherwise modify in any manner, or grant any waiver or release with respect to, all or any part of the Senior Priority Obligations or any of the Senior Priority Documents;</w:t>
      </w:r>
    </w:p>
    <w:p>
      <w:pPr>
        <w:spacing w:after="0" w:line="73" w:lineRule="exact"/>
        <w:rPr>
          <w:rFonts w:ascii="Arial" w:cs="Arial" w:eastAsia="Arial" w:hAnsi="Arial"/>
          <w:sz w:val="18"/>
          <w:szCs w:val="18"/>
          <w:color w:val="auto"/>
        </w:rPr>
      </w:pPr>
    </w:p>
    <w:p>
      <w:pPr>
        <w:ind w:left="460" w:right="40" w:firstLine="443"/>
        <w:spacing w:after="0" w:line="277" w:lineRule="auto"/>
        <w:tabs>
          <w:tab w:leader="none" w:pos="1078" w:val="left"/>
        </w:tabs>
        <w:numPr>
          <w:ilvl w:val="1"/>
          <w:numId w:val="533"/>
        </w:numPr>
        <w:rPr>
          <w:rFonts w:ascii="Arial" w:cs="Arial" w:eastAsia="Arial" w:hAnsi="Arial"/>
          <w:sz w:val="18"/>
          <w:szCs w:val="18"/>
          <w:color w:val="auto"/>
        </w:rPr>
      </w:pPr>
      <w:r>
        <w:rPr>
          <w:rFonts w:ascii="Arial" w:cs="Arial" w:eastAsia="Arial" w:hAnsi="Arial"/>
          <w:sz w:val="18"/>
          <w:szCs w:val="18"/>
          <w:color w:val="auto"/>
        </w:rPr>
        <w:t>retain or obtain a Lien on any Property of any Person to secure any of the Senior Priority Obligations, and in connection therewith to enter into any Senior Priority Documents;</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068"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amend, or grant any waiver, compromise, or release with respect to, or consent to any departure from, any guaranty or other obligations of any Person obligated in any manner under or in respect of the Senior Priority Obligations;</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release its Lien on any Collateral and/or any Excluded Cash Collateral or other Property;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87" w:name="page488"/>
    <w:bookmarkEnd w:id="487"/>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exercise or refrain from exercising any rights against any Loan Party or any other Person;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 retain or obtain the primary or secondary obligation of any other Person with respect to any of the Senior Priority Obligations; and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 otherwise manage and supervise the Senior Priority Obligations as such other Senior Priority Agent shall deem appropriate.</w:t>
      </w:r>
    </w:p>
    <w:p>
      <w:pPr>
        <w:spacing w:after="0" w:line="225" w:lineRule="exact"/>
        <w:rPr>
          <w:sz w:val="20"/>
          <w:szCs w:val="20"/>
          <w:color w:val="auto"/>
        </w:rPr>
      </w:pPr>
    </w:p>
    <w:p>
      <w:pPr>
        <w:ind w:left="-20" w:firstLine="464"/>
        <w:spacing w:after="0" w:line="271" w:lineRule="auto"/>
        <w:tabs>
          <w:tab w:leader="none" w:pos="616" w:val="left"/>
        </w:tabs>
        <w:numPr>
          <w:ilvl w:val="0"/>
          <w:numId w:val="534"/>
        </w:numPr>
        <w:rPr>
          <w:rFonts w:ascii="Arial" w:cs="Arial" w:eastAsia="Arial" w:hAnsi="Arial"/>
          <w:sz w:val="17"/>
          <w:szCs w:val="17"/>
          <w:b w:val="1"/>
          <w:bCs w:val="1"/>
          <w:color w:val="auto"/>
        </w:rPr>
      </w:pPr>
      <w:r>
        <w:rPr>
          <w:rFonts w:ascii="Arial" w:cs="Arial" w:eastAsia="Arial" w:hAnsi="Arial"/>
          <w:sz w:val="17"/>
          <w:szCs w:val="17"/>
          <w:color w:val="auto"/>
        </w:rPr>
        <w:t>Except, in each case, as may be separately otherwise agreed in writing by and between or among any applicable Junior Priority Agents, in each case on behalf of itself and the Junior Priority Creditors represented thereby, each Junior Priority Agent, for and on behalf of itself and the Junior Priority Creditors represented thereby, hereby agrees that, without affecting the obligations of such Junior Priority Secured Parties hereunder, any other Junior Priority Agent and any Junior Priority Creditors represented thereby may, at any time and from time to time, in their sole discretion without the consent of or notice to any such Junior Priority Secured Party (except to the extent such notice or consent is required pursuant to the express provisions of this Agreement), and without incurring any liability to any such Junior Priority Secured Party, amend, restate, supplement, replace, refinance, extend, consolidate, restructure, or otherwise modify any of the Junior Priority Documents to which such other Junior Priority Agent or any Junior Priority Creditor represented thereby is party or beneficiary in any manner whatsoever, including, to:</w:t>
      </w:r>
    </w:p>
    <w:p>
      <w:pPr>
        <w:spacing w:after="0" w:line="70" w:lineRule="exact"/>
        <w:rPr>
          <w:rFonts w:ascii="Arial" w:cs="Arial" w:eastAsia="Arial" w:hAnsi="Arial"/>
          <w:sz w:val="17"/>
          <w:szCs w:val="17"/>
          <w:b w:val="1"/>
          <w:bCs w:val="1"/>
          <w:color w:val="auto"/>
        </w:rPr>
      </w:pPr>
    </w:p>
    <w:p>
      <w:pPr>
        <w:ind w:left="440" w:right="380" w:firstLine="443"/>
        <w:spacing w:after="0" w:line="264" w:lineRule="auto"/>
        <w:tabs>
          <w:tab w:leader="none" w:pos="104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change the manner, place, time, or terms of payment or renew, alter or increase, all or any of the Junior Priority Obligations or otherwise amend, restate, supplement, or otherwise modify in any manner, or grant any waiver or release with respect to, all or any part of the Junior Priority Obligations or any of the Junior Priority Documents;</w:t>
      </w:r>
    </w:p>
    <w:p>
      <w:pPr>
        <w:spacing w:after="0" w:line="73" w:lineRule="exact"/>
        <w:rPr>
          <w:rFonts w:ascii="Arial" w:cs="Arial" w:eastAsia="Arial" w:hAnsi="Arial"/>
          <w:sz w:val="18"/>
          <w:szCs w:val="18"/>
          <w:color w:val="auto"/>
        </w:rPr>
      </w:pPr>
    </w:p>
    <w:p>
      <w:pPr>
        <w:ind w:left="440" w:right="40" w:firstLine="443"/>
        <w:spacing w:after="0" w:line="277" w:lineRule="auto"/>
        <w:tabs>
          <w:tab w:leader="none" w:pos="105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retain or obtain a Lien on any Property of any Person to secure any of the Junior Priority Obligations, and in connection therewith to enter into any Junior Priority Documents;</w:t>
      </w:r>
    </w:p>
    <w:p>
      <w:pPr>
        <w:spacing w:after="0" w:line="62" w:lineRule="exact"/>
        <w:rPr>
          <w:rFonts w:ascii="Arial" w:cs="Arial" w:eastAsia="Arial" w:hAnsi="Arial"/>
          <w:sz w:val="18"/>
          <w:szCs w:val="18"/>
          <w:color w:val="auto"/>
        </w:rPr>
      </w:pPr>
    </w:p>
    <w:p>
      <w:pPr>
        <w:ind w:left="440" w:right="60" w:firstLine="443"/>
        <w:spacing w:after="0" w:line="277" w:lineRule="auto"/>
        <w:tabs>
          <w:tab w:leader="none" w:pos="104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amend, or grant any waiver, compromise, or release with respect to, or consent to any departure from, any guaranty or other obligations of any Person obligated in any manner under or in respect of the Junior Priority Obligations;</w:t>
      </w:r>
    </w:p>
    <w:p>
      <w:pPr>
        <w:spacing w:after="0" w:line="62" w:lineRule="exact"/>
        <w:rPr>
          <w:rFonts w:ascii="Arial" w:cs="Arial" w:eastAsia="Arial" w:hAnsi="Arial"/>
          <w:sz w:val="18"/>
          <w:szCs w:val="18"/>
          <w:color w:val="auto"/>
        </w:rPr>
      </w:pPr>
    </w:p>
    <w:p>
      <w:pPr>
        <w:ind w:left="1060" w:hanging="177"/>
        <w:spacing w:after="0"/>
        <w:tabs>
          <w:tab w:leader="none" w:pos="106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release its Lien on any Collateral or other Property;</w:t>
      </w:r>
    </w:p>
    <w:p>
      <w:pPr>
        <w:spacing w:after="0" w:line="117" w:lineRule="exact"/>
        <w:rPr>
          <w:rFonts w:ascii="Arial" w:cs="Arial" w:eastAsia="Arial" w:hAnsi="Arial"/>
          <w:sz w:val="18"/>
          <w:szCs w:val="18"/>
          <w:color w:val="auto"/>
        </w:rPr>
      </w:pPr>
    </w:p>
    <w:p>
      <w:pPr>
        <w:ind w:left="1060" w:hanging="177"/>
        <w:spacing w:after="0"/>
        <w:tabs>
          <w:tab w:leader="none" w:pos="106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exercise or refrain from exercising any rights against any Loan Party or any other Person;</w:t>
      </w:r>
    </w:p>
    <w:p>
      <w:pPr>
        <w:spacing w:after="0" w:line="117" w:lineRule="exact"/>
        <w:rPr>
          <w:rFonts w:ascii="Arial" w:cs="Arial" w:eastAsia="Arial" w:hAnsi="Arial"/>
          <w:sz w:val="18"/>
          <w:szCs w:val="18"/>
          <w:color w:val="auto"/>
        </w:rPr>
      </w:pPr>
    </w:p>
    <w:p>
      <w:pPr>
        <w:ind w:left="1040" w:hanging="157"/>
        <w:spacing w:after="0"/>
        <w:tabs>
          <w:tab w:leader="none" w:pos="104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retain or obtain the primary or secondary obligation of any other Person with respect to any of the Junior Priority Obligations; and</w:t>
      </w:r>
    </w:p>
    <w:p>
      <w:pPr>
        <w:spacing w:after="0" w:line="117" w:lineRule="exact"/>
        <w:rPr>
          <w:rFonts w:ascii="Arial" w:cs="Arial" w:eastAsia="Arial" w:hAnsi="Arial"/>
          <w:sz w:val="18"/>
          <w:szCs w:val="18"/>
          <w:color w:val="auto"/>
        </w:rPr>
      </w:pPr>
    </w:p>
    <w:p>
      <w:pPr>
        <w:ind w:left="1060" w:hanging="177"/>
        <w:spacing w:after="0"/>
        <w:tabs>
          <w:tab w:leader="none" w:pos="106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otherwise manage and supervise the Junior Priority Obligations as such other Junior Priority Agent shall deem appropriate.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60" w:top="273" w:right="259" w:bottom="1440" w:gutter="0" w:footer="0" w:header="0"/>
        </w:sectPr>
      </w:pPr>
    </w:p>
    <w:bookmarkStart w:id="488" w:name="page489"/>
    <w:bookmarkEnd w:id="488"/>
    <w:p>
      <w:pPr>
        <w:ind w:right="80" w:firstLine="464"/>
        <w:spacing w:after="0" w:line="286" w:lineRule="auto"/>
        <w:tabs>
          <w:tab w:leader="none" w:pos="636" w:val="left"/>
        </w:tabs>
        <w:numPr>
          <w:ilvl w:val="0"/>
          <w:numId w:val="53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Senior Priority Obligations and the Junior Priority Obligations may be refunded, replaced or refinanced, in whole or in part, in each case, without notice to, or the consent (except to the extent a consent is required to permit the refunding, replacement or refinancing transaction under any Senior Priority Document or any Junior Priority Document) of any Senior Priority Agent, Senior Priority Creditors, Junior Priority Agent or Junior Priority Creditors, as the case may be, all without affecting the Lien Priorities provided for herein or the other provisions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indebtedness refunding, replacing or refinancing any such Senior Priority Obligations or Junior Priority Obligations is to constitute Senior Priority Obligations or Junior Priority Obligations hereunder (as designated by the Company), as the case may be, the holders of such indebtedness (or an authorized agent or trustee on their behalf) bind themselves in writing to the terms of this Agreement pursuant to a joinder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or otherwise in form and substance reasonably satisfactory to the Senior Priority Agents (other than any Designated Agent) and Junior Priority Agents (other than any Designated Agent) (or, if there is no continuing Agent other than Designated Agent, as designated by the Company), and any such refunding, replacement or refinancing transaction shall be in accordance with any applicable provisions of the Senior Priority Documents and the Junior Priority Documents. For the avoidance of doubt, the Senior Priority Obligations and Junior Priority Obligations may be refunded, replaced or refinanced, in whole or in part, in each case, without notice to, or the consent (except to the extent a consent is required to permit the refunding, replacement or refinancing transaction under any Senior Priority Document or any Junior Priority Document) of any Senior Priority Agent, Senior Priority Creditors, Junior Priority Agent or Junior Priority Creditors, as the case may be, through the incurrence of Additional Indebtedness, subject to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hereof.</w:t>
      </w:r>
    </w:p>
    <w:p>
      <w:pPr>
        <w:spacing w:after="0" w:line="16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Reinstatement and Continuation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If any Senior Priority Agent or Senior Priority Creditor is required in any Insolvency Proceeding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to turn over or otherwise pay to the estate of any Loan Party or any other Person any payment made in satisfaction of all or any portion of the Senior Priority Obligations (a “</w:t>
      </w:r>
      <w:r>
        <w:rPr>
          <w:rFonts w:ascii="Arial" w:cs="Arial" w:eastAsia="Arial" w:hAnsi="Arial"/>
          <w:sz w:val="17"/>
          <w:szCs w:val="17"/>
          <w:u w:val="single" w:color="auto"/>
          <w:color w:val="auto"/>
        </w:rPr>
        <w:t>Senior Priority Recovery</w:t>
      </w:r>
      <w:r>
        <w:rPr>
          <w:rFonts w:ascii="Arial" w:cs="Arial" w:eastAsia="Arial" w:hAnsi="Arial"/>
          <w:sz w:val="17"/>
          <w:szCs w:val="17"/>
          <w:color w:val="auto"/>
        </w:rPr>
        <w:t>”), then the relevant Senior Priority Obligations shall be reinstated to the extent of such Senior Priority Recovery. In the event that (a) this Agreement shall have been terminated prior to such Senior Priority Recovery and (b) there exist any Junior Priority Obligations at the time of such Senior Priority Recovery, then this Agreement shall be reinstated in full force and effect in the event of such Senior Priority Recovery, and such prior termination shall not diminish, release, discharge, impair, or otherwise affect the obligations of the Parties from such date of reinstatement. All rights, interests, agreements, and obligations of each Agent, each Senior Priority Creditor, and each Junior Priority Creditor under this Agreement shall remain in full force and effect and shall continue irrespective of the commencement of, or any discharge, confirmation, conversion, or dismissal of, any Insolvency Proceeding by or against any Loan Party or any other circumstance which otherwise might constitute a defense available to, or a discharge of, any Loan Party in respect of the Senior Priority Obligations or the Junior Priority Obligations. No priority or right of any Senior Priority Agent or any Senior Priority Creditor shall at any time be prejudiced or impaired in any way by any act or failure to act on the part of any Borrower or any Guarantor or by the noncompliance by any Person with the terms, provisions, or covenants of any of the Senior Priority Documents, regardless of any knowledge thereof which any Senior Priority Agent or any Senior Priority Creditor may have.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489" w:name="page490"/>
    <w:bookmarkEnd w:id="489"/>
    <w:p>
      <w:pPr>
        <w:ind w:right="20"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 </w:t>
      </w:r>
      <w:r>
        <w:rPr>
          <w:rFonts w:ascii="Arial" w:cs="Arial" w:eastAsia="Arial" w:hAnsi="Arial"/>
          <w:sz w:val="17"/>
          <w:szCs w:val="17"/>
          <w:color w:val="auto"/>
        </w:rPr>
        <w:t>Excluded Cash Collateral. Notwithstanding any other provision to the contrary contained in this Agreement, it is understood and agreed that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not restrict the rights of the Original First Lien Agent or the other Original First Lien Secured Parties to pursue enforcement proceedings, exercise remedies or make determinations with respect to the Excluded Cash Collateral or otherwise take actions with respect to the Excluded Cash Collateral in accordance with the Original First Lien Credit Agreement and such Excluded Cash Collateral shall be applied as specified in the Original First Lien Credit Agreement and will not constitute Collateral hereunder. Nothing in this Agreement shall be construed to impair the right of any Original First Lien Secured Party to recoup, set off, net or off-set amounts (including amounts delivered as margin or cash collateral) to satisfy such Original First Lien Obligations secured by Excluded Cash Collateral to the extent permitted under the Original First Lien Credit Agreement, or exercise its rights and remedies with respect to any Excluded Cash Collateral pledged for its sole benefit or as a beneficiary under and pursuant to any other credit support issued solely in its favor, each of which will be governed by the terms of the Original First Lien Credit Agreement.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INSOLVENCY PROCEEDINGS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DIP Financing.</w:t>
      </w:r>
    </w:p>
    <w:p>
      <w:pPr>
        <w:spacing w:after="0" w:line="229" w:lineRule="exact"/>
        <w:rPr>
          <w:sz w:val="20"/>
          <w:szCs w:val="20"/>
          <w:color w:val="auto"/>
        </w:rPr>
      </w:pPr>
    </w:p>
    <w:p>
      <w:pPr>
        <w:ind w:firstLine="464"/>
        <w:spacing w:after="0" w:line="267" w:lineRule="auto"/>
        <w:tabs>
          <w:tab w:leader="none" w:pos="636" w:val="left"/>
        </w:tabs>
        <w:numPr>
          <w:ilvl w:val="0"/>
          <w:numId w:val="536"/>
        </w:numPr>
        <w:rPr>
          <w:rFonts w:ascii="Arial" w:cs="Arial" w:eastAsia="Arial" w:hAnsi="Arial"/>
          <w:sz w:val="17"/>
          <w:szCs w:val="17"/>
          <w:b w:val="1"/>
          <w:bCs w:val="1"/>
          <w:color w:val="auto"/>
        </w:rPr>
      </w:pPr>
      <w:r>
        <w:rPr>
          <w:rFonts w:ascii="Arial" w:cs="Arial" w:eastAsia="Arial" w:hAnsi="Arial"/>
          <w:sz w:val="17"/>
          <w:szCs w:val="17"/>
          <w:color w:val="auto"/>
        </w:rPr>
        <w:t>If any Borrower or any Guarantor shall be subject to any Insolvency Proceeding in the United States at any time prior to the Discharge of Senior Priority Obligations, and the Senior Priority Representative shall agree on behalf of the Senior Priority Creditors to allow all one or more Senior Priority Creditors to provide any Borrower or any Guarantor with, or the Senior Priority Representative shall consent to a third party providing, any financing under Section 364 of the Bankruptcy Code or consent to any order for the use of cash collateral under Section 363 of the Bankruptcy Code (“</w:t>
      </w:r>
      <w:r>
        <w:rPr>
          <w:rFonts w:ascii="Arial" w:cs="Arial" w:eastAsia="Arial" w:hAnsi="Arial"/>
          <w:sz w:val="17"/>
          <w:szCs w:val="17"/>
          <w:u w:val="single" w:color="auto"/>
          <w:color w:val="auto"/>
        </w:rPr>
        <w:t>DIP Financing</w:t>
      </w:r>
      <w:r>
        <w:rPr>
          <w:rFonts w:ascii="Arial" w:cs="Arial" w:eastAsia="Arial" w:hAnsi="Arial"/>
          <w:sz w:val="17"/>
          <w:szCs w:val="17"/>
          <w:color w:val="auto"/>
        </w:rPr>
        <w:t xml:space="preserve">”), with such DIP Financing to be secured by all or any portion of the Collateral (including assets that, but for the application of Section 552 of the Bankruptcy Code would be Collateral) and/or entitled to a superpriority claim under Section 364 or 507 of the Bankruptcy Code, then any Junior Priority Agent, each on behalf of itself and any Junior Priority Secured Parties represented thereby, agrees that it will raise no objection and will not directly or indirectly support any objection to such DIP Financing or to Liens securing the same or the superpriority claim to which such DIP Financing is entitled on the grounds of a failure to provide “adequate protection” for the Liens of any Junior Priority Agent securing the Junior Priority Obligations or on any other grounds (and will not request any adequate protection solely as a result of such DIP Financing) so long as (i) such Junior Priority Agent retains its Lien on the Collateral to secure the relevant Junior Priority Obligations (in each case, including Proceeds thereof arising after the commencement of the case under the Bankruptcy Code) and such Lien has the same priority relative to the Senior Priority Liens as existed prior to the commencement of the case under the Bankruptcy Code and (ii) if the Senior Priority Agent receives an adequate protection Lien on assets of such Borrower or Guarantor to secure the Senior Priority Obligations, as the case may be, each Junior Priority Agent also receives an adequate protection Lien on such assets of such Borrower or Guarantor to secure the relevant Junior Priority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Liens in favor of the Senior Priority Agent and the Junior Priority Agent shall be subject to the provisions of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hereof and (y) the foregoing provisions of this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shall not prevent any Junior Priority Agent and the Junior Priority Secured Parties from objecting to any provision in any DIP Financing relating to any provision or content of a Plan of Reorganization that is not a Conforming Plan Reorganization.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0" w:right="259" w:bottom="1440" w:gutter="0" w:footer="0" w:header="0"/>
        </w:sectPr>
      </w:pPr>
    </w:p>
    <w:bookmarkStart w:id="490" w:name="page491"/>
    <w:bookmarkEnd w:id="490"/>
    <w:p>
      <w:pPr>
        <w:ind w:right="160" w:firstLine="464"/>
        <w:spacing w:after="0" w:line="312" w:lineRule="auto"/>
        <w:tabs>
          <w:tab w:leader="none" w:pos="636" w:val="left"/>
        </w:tabs>
        <w:numPr>
          <w:ilvl w:val="0"/>
          <w:numId w:val="53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Liens granted to any Senior Priority Agent or Junior Priority Agent in any Insolvency Proceeding, whether as adequate protection or otherwise, are intended by the Parties to be and shall be deemed to be subject to the Lien Priority and the other terms and conditions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foregoing shall not alter any super-priority of any Liens securing any DIP Financing in accordance with this </w:t>
      </w:r>
      <w:r>
        <w:rPr>
          <w:rFonts w:ascii="Arial" w:cs="Arial" w:eastAsia="Arial" w:hAnsi="Arial"/>
          <w:sz w:val="16"/>
          <w:szCs w:val="16"/>
          <w:u w:val="single" w:color="auto"/>
          <w:color w:val="auto"/>
        </w:rPr>
        <w:t>Section 6.01.</w:t>
      </w:r>
    </w:p>
    <w:p>
      <w:pPr>
        <w:spacing w:after="0" w:line="143"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Relief from Stay. Until the Discharge of Senior Priority Obligations, each Junior Priority Agent, for and on behalf of itself and the Junior 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Creditors represented thereby, agrees not to seek relief from the automatic stay or any other stay in any Insolvency Proceeding in respect of any portion of the Collateral without each Senior Priority Agent’s express written consent.</w:t>
      </w:r>
    </w:p>
    <w:p>
      <w:pPr>
        <w:spacing w:after="0" w:line="17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No Contest</w:t>
      </w:r>
      <w:r>
        <w:rPr>
          <w:rFonts w:ascii="Arial" w:cs="Arial" w:eastAsia="Arial" w:hAnsi="Arial"/>
          <w:sz w:val="16"/>
          <w:szCs w:val="16"/>
          <w:b w:val="1"/>
          <w:bCs w:val="1"/>
          <w:color w:val="auto"/>
        </w:rPr>
        <w:t xml:space="preserve">. </w:t>
      </w:r>
      <w:r>
        <w:rPr>
          <w:rFonts w:ascii="Arial" w:cs="Arial" w:eastAsia="Arial" w:hAnsi="Arial"/>
          <w:sz w:val="16"/>
          <w:szCs w:val="16"/>
          <w:color w:val="auto"/>
        </w:rPr>
        <w:t>Each Junior Priority Agent, for and on behalf of itself and the Junior Priority Creditors represented thereby, agrees that,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Discharge of Senior Priority Obligations, none of them shall contest (or directly or indirectly support any other Person contesting) (i) any request by any Senior Priority Agent or Senior Priority Creditor for adequate protection of its interest in the Collateral (unless in contravention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hereof), or (ii) any objection by any Senior Priority Agent or Senior Priority Creditor to any motion, relief, action or proceeding based on a claim by such Senior Priority Agent or Senior Priority Creditor that its interests in the Collateral (unless in contravention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hereof) are not adequately protected (or any other similar request under any law applicable to an Insolvency Proceeding), so long as any Liens granted to such Senior Priority Agent as adequate protection of its interests are subject to this Agreement. Except as may be separately otherwise agreed in writing by and between or among any applicable Senior Priority Agents, in each case on behalf of itself and any Senior Priority Creditors represented thereby, any Senior Priority Agent, for and on behalf of itself and any Senior Priority Creditors represented thereby, agrees that, prior to the applicable Discharge of Senior Priority Obligations, none of them shall directly or indirectly contest (or support any other Person contesting) (a) any request by any other Senior Priority Agent or any Senior Priority Creditor represented by such other Senior Priority Agent for adequate protection of its interest in the Collateral (unless in contravention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hereof), or (b) any objection by such other Senior Priority Agent or any Senior Priority Creditor to any motion, relief, action, or proceeding based on a claim by such other Senior Priority Agent or any Senior Priority Creditor represented by such other Senior Priority Agent that its interests in the Collateral (unless in contravention of </w:t>
      </w:r>
      <w:r>
        <w:rPr>
          <w:rFonts w:ascii="Arial" w:cs="Arial" w:eastAsia="Arial" w:hAnsi="Arial"/>
          <w:sz w:val="16"/>
          <w:szCs w:val="16"/>
          <w:u w:val="single" w:color="auto"/>
          <w:color w:val="auto"/>
        </w:rPr>
        <w:t>Section</w:t>
      </w:r>
    </w:p>
    <w:p>
      <w:pPr>
        <w:spacing w:after="0" w:line="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6.01</w:t>
      </w:r>
      <w:r>
        <w:rPr>
          <w:rFonts w:ascii="Arial" w:cs="Arial" w:eastAsia="Arial" w:hAnsi="Arial"/>
          <w:sz w:val="18"/>
          <w:szCs w:val="18"/>
          <w:color w:val="auto"/>
        </w:rPr>
        <w:t xml:space="preserve"> hereof) are not adequately protected (or any other similar request under any law applicable to an Insolvency Proceeding), so long as any Liens granted to such other Senior Priority Agent as adequate protection of its interests are subject to this Agreement. Except as may be separately otherwise agreed in writing by and between or among any applicable Junior Priority Agents, in each case on behalf of itself and any Junior Priority Creditors represented thereby, any Junior Priority Agent, for and on behalf of itself and any Junior Priority Creditors represented thereby, agrees that, prior to the applicable Discharge of Junior Priority Obligations, none of them shall directly or indirectly contest (or support any other Person contesting) (a) any request by any other Junior Priority Agent or any Junior Priority Creditor represented by such other Junior Priority Agent for adequate protection of its interest in the Collateral (unless in contravention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hereof), or (b) any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3" w:right="259" w:bottom="1440" w:gutter="0" w:footer="0" w:header="0"/>
        </w:sectPr>
      </w:pPr>
    </w:p>
    <w:bookmarkStart w:id="491" w:name="page492"/>
    <w:bookmarkEnd w:id="491"/>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objection by such other Junior Priority Agent or any Junior Priority Creditor to any motion, relief, action, or proceeding based on a claim by such other Junior Priority Agent or any Junior Priority Creditor represented by such other Junior Priority Agent that its interests in the Collateral (unless in contravention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hereof) are not adequately protected (or any other similar request under any law applicable to an Insolvency Proceeding), so long as any Liens granted to such other Junior Priority Agent as adequate protection of its interests are subject to this Agreement.</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color w:val="auto"/>
        </w:rPr>
        <w:t>Asset Sales</w:t>
      </w:r>
      <w:r>
        <w:rPr>
          <w:rFonts w:ascii="Arial" w:cs="Arial" w:eastAsia="Arial" w:hAnsi="Arial"/>
          <w:sz w:val="17"/>
          <w:szCs w:val="17"/>
          <w:b w:val="1"/>
          <w:bCs w:val="1"/>
          <w:color w:val="auto"/>
        </w:rPr>
        <w:t xml:space="preserve">. </w:t>
      </w:r>
      <w:r>
        <w:rPr>
          <w:rFonts w:ascii="Arial" w:cs="Arial" w:eastAsia="Arial" w:hAnsi="Arial"/>
          <w:sz w:val="17"/>
          <w:szCs w:val="17"/>
          <w:color w:val="auto"/>
        </w:rPr>
        <w:t>Each Junior Priority Agent agrees, for and on behalf of itself and the Junior Priority Creditors represented thereby, that it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oppose any sale consented to by the Senior Priority Representative of any Collateral pursuant to Section 363(f) of the Bankruptcy Code (or any similar provision under the law applicable to any Insolvency Proceeding) so long as the Liens granted to the Junior Priority Agents attach to the proceeds of such sale with the same priority and validity as such Liens or such Collateral and the proceeds of such sale are applied in accordance with this Agreement. Nothing in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shall prevent any Junior Priority Creditors or the Junior Priority Agent on their behalf from (x) presenting a cash bid for any assets of any Loan Party, or purchasing such assets for cash at any sale hearing under Section 363 of the Bankruptcy Code or at any public or judicial foreclosure sale or (y) making a credit bid for any assets of any Loan Party pursuant to Section 363(k) of the Bankruptcy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credit bid may only be made if either the Discharge of Senior Priority Obligations has occurred or will occur concurrently as a result of a cash bid for such assets in addition to such credit bid or the Senior Priority Agent approves such credit bid).</w:t>
      </w:r>
    </w:p>
    <w:p>
      <w:pPr>
        <w:spacing w:after="0" w:line="17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color w:val="auto"/>
        </w:rPr>
        <w:t>Separate Grants of Security and Separate Classification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Secured Party acknowledges and agrees that (i) the grants of Liens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Senior Priority Collateral Documents and the Junior Priority Collateral Documents constitute separate and distinct grants of Liens and (ii) the Senior Priority Obligations are fundamentally different from the Junior Priority Obligations and must be separately classified in any Plan of Reorganization proposed or adopted in an Insolvency Proceeding because of, among other things, their differing rights in the Collateral. To further effectuate the intent of the parties as provided in the immediately preceding sentence, if it is held that the claims of the Senior Priority Secured Parties, on the one hand, and the Junior Priority Secured Parties, on the other hand, in respect of the Collateral constitute only one secured claim (rather than separate classes of senior and junior secured claims) or are classified in the same class of secured claims in any Plan of Reorganization, then the Secured Parties hereby acknowledge and agree that all distributions with respect to the Collateral shall be made as if there were separate classes of Senior Priority Obligation claims and Junior Priority Obligation claims against the Loan Parties, with the effect being that, to the extent that the aggregate value of the Collateral is sufficient (for this purpose ignoring all claims held by the Junior Priority Secured Parties), the Senior Priority Secured Parties shall be entitled to receive, in addition to amounts distributed to them in respect of principal, prepetition interest and other claims, all amounts owing in respect of postpetition interest that is available from the Collateral for each of the Senior Priority Secured Parties, before any distribution is made in respect of the claims held by the Junior Priority Secured Parties, with the Junior Priority Secured Parties hereby acknowledging and agreeing to turn over to the Senior Priority Secured Parties amounts otherwise received or receivable by them to the extent necessary to effectuate the intent of this sentence, even if such turnover has the effect of reducing their aggregate recoveries. The foregoing sentence is subject to any separate agreement by and between any Additional Agent,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492" w:name="page493"/>
    <w:bookmarkEnd w:id="492"/>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behalf of itself and the Additional Credit Facility Secured Parties represented thereby, and any other Additional Agent, on behalf of itself and the Additional Credit Facility Secured Parties represented thereby, with respect to the Obligations owing to any such Additional Agent and Additional Credit Facility Secured Parties.</w:t>
      </w:r>
    </w:p>
    <w:p>
      <w:pPr>
        <w:spacing w:after="0" w:line="17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Enforceability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are intended to be and shall be enforceable as a “subordination agreement” under Section 510(a)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Bankruptcy Code.</w:t>
      </w:r>
    </w:p>
    <w:p>
      <w:pPr>
        <w:spacing w:after="0" w:line="162"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color w:val="auto"/>
        </w:rPr>
        <w:t>Senior Priority Obligations Unconditional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of the Senior Priority Agents hereunder, and all agreements and obligations of the Junior</w:t>
      </w:r>
      <w:r>
        <w:rPr>
          <w:rFonts w:ascii="Arial" w:cs="Arial" w:eastAsia="Arial" w:hAnsi="Arial"/>
          <w:sz w:val="18"/>
          <w:szCs w:val="18"/>
          <w:b w:val="1"/>
          <w:bCs w:val="1"/>
          <w:color w:val="auto"/>
        </w:rPr>
        <w:t xml:space="preserve"> </w:t>
      </w:r>
      <w:r>
        <w:rPr>
          <w:rFonts w:ascii="Arial" w:cs="Arial" w:eastAsia="Arial" w:hAnsi="Arial"/>
          <w:sz w:val="18"/>
          <w:szCs w:val="18"/>
          <w:color w:val="auto"/>
        </w:rPr>
        <w:t>Priority Agents and the Loan Parties (to the extent applicable) hereunder, shall remain in full force and effect irrespective of:</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any lack of validity or enforceability of any Senior Priority Document;</w:t>
      </w:r>
    </w:p>
    <w:p>
      <w:pPr>
        <w:spacing w:after="0" w:line="117"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b. any change in the time, place or manner of payment of, or in any other term of, all or any portion of the Senior Priority Obligations, or any amendment, waiver or other modification, whether by course of conduct or otherwise, or any refinancing, replacement, refunding or restatement of any Senior Priority Document;</w:t>
      </w:r>
    </w:p>
    <w:p>
      <w:pPr>
        <w:spacing w:after="0" w:line="73" w:lineRule="exact"/>
        <w:rPr>
          <w:sz w:val="20"/>
          <w:szCs w:val="20"/>
          <w:color w:val="auto"/>
        </w:rPr>
      </w:pPr>
    </w:p>
    <w:p>
      <w:pPr>
        <w:ind w:left="460" w:right="260" w:firstLine="438"/>
        <w:spacing w:after="0" w:line="286" w:lineRule="auto"/>
        <w:rPr>
          <w:sz w:val="20"/>
          <w:szCs w:val="20"/>
          <w:color w:val="auto"/>
        </w:rPr>
      </w:pPr>
      <w:r>
        <w:rPr>
          <w:rFonts w:ascii="Arial" w:cs="Arial" w:eastAsia="Arial" w:hAnsi="Arial"/>
          <w:sz w:val="17"/>
          <w:szCs w:val="17"/>
          <w:color w:val="auto"/>
        </w:rPr>
        <w:t>c. any exchange, release, voiding, avoidance or non-perfection of any security interest in any Collateral or any other collateral, or any release, amendment, waiver or other modification, whether by course of conduct or otherwise, or any refinancing, replacement, refunding, restatement or increase of all or any portion of the Senior Priority Obligations or any guarantee or guaranty thereof;</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 the commencement of any Insolvency Proceeding in respect of any Borrower or any other Loan Party; or</w:t>
      </w:r>
    </w:p>
    <w:p>
      <w:pPr>
        <w:spacing w:after="0" w:line="117" w:lineRule="exact"/>
        <w:rPr>
          <w:sz w:val="20"/>
          <w:szCs w:val="20"/>
          <w:color w:val="auto"/>
        </w:rPr>
      </w:pPr>
    </w:p>
    <w:p>
      <w:pPr>
        <w:ind w:left="460" w:right="480" w:firstLine="438"/>
        <w:spacing w:after="0" w:line="308" w:lineRule="auto"/>
        <w:rPr>
          <w:sz w:val="20"/>
          <w:szCs w:val="20"/>
          <w:color w:val="auto"/>
        </w:rPr>
      </w:pPr>
      <w:r>
        <w:rPr>
          <w:rFonts w:ascii="Arial" w:cs="Arial" w:eastAsia="Arial" w:hAnsi="Arial"/>
          <w:sz w:val="17"/>
          <w:szCs w:val="17"/>
          <w:color w:val="auto"/>
        </w:rPr>
        <w:t>e. any other circumstances that otherwise might constitute a defense available to, or a discharge of, any Loan Party in respect of the Senior Priority Obligations, or of any of the Junior Priority Agent or any Loan Party, to the extent applicable, in respect of this Agreement.</w:t>
      </w:r>
    </w:p>
    <w:p>
      <w:pPr>
        <w:spacing w:after="0" w:line="143"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 xml:space="preserve">H. </w:t>
      </w:r>
      <w:r>
        <w:rPr>
          <w:rFonts w:ascii="Arial" w:cs="Arial" w:eastAsia="Arial" w:hAnsi="Arial"/>
          <w:sz w:val="18"/>
          <w:szCs w:val="18"/>
          <w:color w:val="auto"/>
        </w:rPr>
        <w:t>Junior Priority Obligations Unconditional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of the Junior Priority Agents hereunder, and all agreements and obligations of the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Priority Agents and the Loan Parties (to the extent applicable) hereunder, shall remain in full force and effect irrespective of:</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any lack of validity or enforceability of any Junior Priority Document;</w:t>
      </w:r>
    </w:p>
    <w:p>
      <w:pPr>
        <w:spacing w:after="0" w:line="117"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b. any change in the time, place or manner of payment of, or in any other term of, all or any portion of the Junior Priority Obligations, or any amendment, waiver or other modification, whether by course of conduct or otherwise, or any refinancing, replacement, refunding or restatement of any Junior Priority Document;</w:t>
      </w:r>
    </w:p>
    <w:p>
      <w:pPr>
        <w:spacing w:after="0" w:line="73" w:lineRule="exact"/>
        <w:rPr>
          <w:sz w:val="20"/>
          <w:szCs w:val="20"/>
          <w:color w:val="auto"/>
        </w:rPr>
      </w:pPr>
    </w:p>
    <w:p>
      <w:pPr>
        <w:ind w:left="460" w:right="220" w:firstLine="438"/>
        <w:spacing w:after="0" w:line="264" w:lineRule="auto"/>
        <w:rPr>
          <w:sz w:val="20"/>
          <w:szCs w:val="20"/>
          <w:color w:val="auto"/>
        </w:rPr>
      </w:pPr>
      <w:r>
        <w:rPr>
          <w:rFonts w:ascii="Arial" w:cs="Arial" w:eastAsia="Arial" w:hAnsi="Arial"/>
          <w:sz w:val="18"/>
          <w:szCs w:val="18"/>
          <w:color w:val="auto"/>
        </w:rPr>
        <w:t>c. any exchange, release, voiding, avoidance or non perfection of any security interest in any Collateral, or any other collateral, or any release, amendment, waiver or other modification, whether by course of conduct or otherwise, or any refinancing, replacement, refunding, restatement or increase of all or any portion of the Junior Priority Obligations or any guarantee or guaranty thereof;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73" w:right="299" w:bottom="1440" w:gutter="0" w:footer="0" w:header="0"/>
        </w:sectPr>
      </w:pPr>
    </w:p>
    <w:bookmarkStart w:id="493" w:name="page494"/>
    <w:bookmarkEnd w:id="49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the commencement of any Insolvency Proceeding in respect of any Borrower or any other Loan Party; or</w:t>
      </w:r>
    </w:p>
    <w:p>
      <w:pPr>
        <w:spacing w:after="0" w:line="117" w:lineRule="exact"/>
        <w:rPr>
          <w:sz w:val="20"/>
          <w:szCs w:val="20"/>
          <w:color w:val="auto"/>
        </w:rPr>
      </w:pPr>
    </w:p>
    <w:p>
      <w:pPr>
        <w:ind w:left="440" w:right="560" w:firstLine="438"/>
        <w:spacing w:after="0" w:line="308" w:lineRule="auto"/>
        <w:rPr>
          <w:sz w:val="20"/>
          <w:szCs w:val="20"/>
          <w:color w:val="auto"/>
        </w:rPr>
      </w:pPr>
      <w:r>
        <w:rPr>
          <w:rFonts w:ascii="Arial" w:cs="Arial" w:eastAsia="Arial" w:hAnsi="Arial"/>
          <w:sz w:val="17"/>
          <w:szCs w:val="17"/>
          <w:color w:val="auto"/>
        </w:rPr>
        <w:t>e. any other circumstances that otherwise might constitute a defense available to, or a discharge of, any Loan Party in respect of the Junior Priority Obligations, or of any of the Senior Priority Agent or any Loan Party, to the extent applicable, in respect of this Agreement.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Adequate Protection.</w:t>
      </w:r>
    </w:p>
    <w:p>
      <w:pPr>
        <w:spacing w:after="0" w:line="229" w:lineRule="exact"/>
        <w:rPr>
          <w:sz w:val="20"/>
          <w:szCs w:val="20"/>
          <w:color w:val="auto"/>
        </w:rPr>
      </w:pPr>
    </w:p>
    <w:p>
      <w:pPr>
        <w:ind w:left="-20" w:firstLine="464"/>
        <w:spacing w:after="0" w:line="284" w:lineRule="auto"/>
        <w:tabs>
          <w:tab w:leader="none" w:pos="616" w:val="left"/>
        </w:tabs>
        <w:numPr>
          <w:ilvl w:val="0"/>
          <w:numId w:val="538"/>
        </w:numPr>
        <w:rPr>
          <w:rFonts w:ascii="Arial" w:cs="Arial" w:eastAsia="Arial" w:hAnsi="Arial"/>
          <w:sz w:val="16"/>
          <w:szCs w:val="16"/>
          <w:b w:val="1"/>
          <w:bCs w:val="1"/>
          <w:color w:val="auto"/>
        </w:rPr>
      </w:pPr>
      <w:r>
        <w:rPr>
          <w:rFonts w:ascii="Arial" w:cs="Arial" w:eastAsia="Arial" w:hAnsi="Arial"/>
          <w:sz w:val="16"/>
          <w:szCs w:val="16"/>
          <w:color w:val="auto"/>
        </w:rPr>
        <w:t xml:space="preserve">Except as expressly provided in this Agreement (including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nothing in this Agreement shall limit the rights of any Agent and the Secured Parties represented thereby from seeking or requesting adequate protection with respect to their interests in the applicable Collateral in any Insolvency Proceeding, including adequate protection in the form of payments, periodic cash payments, cash payments of interest, additional collateral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event that any Junior Priority Agent, on behalf of itself or any of the Junior Priority Creditors represented thereby, seeks or requests adequate protection in respect of the relevant Junior Priority Obligations and such adequate protection is granted in the form of a Lien on additional collateral, then each Junior Priority Agent, on behalf of itself and the Junior Priority Creditors represented thereby, agrees that (i) each Senior Priority Agent shall also be granted a senior Lien on such collateral as security for the Senior Priority Obligations owing to such Senior Priority Agent and the Senior Priority Secured Parties represented thereby, and that any Lien on such collateral securing the Junior Priority Obligations shall be junior to any Lien on such collateral securing the Senior Priority Obligations and (ii) each other Junior Priority Agent shall also be granted a pari passu Lien on such collateral as security for the Junior Priority Obligations owing to such other Junior Priority Agent and the Junior Priority Secured Parties represented thereby, and that any such Lien on such collateral securing such Junior Priority Obligations shall be pari passu to each such other Lien on such collateral securing such other Junior Priority Obligations (except as may be separately otherwise agreed in writing by and between or among any applicable Junior Priority Agents, in each case on behalf of itself and the Junior Priority Secured Parties represented thereby), and (b) in the event that any Senior Priority Agent, for or on behalf of itself or any Senior Priority Creditor represented thereby, seeks or requests adequate protection in respect of the Senior Priority Obligations and such adequate protection is granted in the form of a Lien on additional collateral, then such Senior Priority Agent, for and on behalf of itself and the Senior Priority Creditors represented thereby, agrees that (i) each other Senior Priority Agent shall also be granted a pari passu Lien on such collateral as security for the Senior Priority Obligations owing to such other Senior Priority Agent and the Senior Priority Secured Parties represented thereby, and that any such Lien on such collateral securing such Senior Priority Obligations shall be pari passu to each such other Lien on such collateral securing such other Senior Priority Obligations (except as may be separately otherwise agreed in writing by and between or among any applicable Senior Priority Agents, in each case on behalf of itself and the Senior Priority Secured Parties represented thereby) and (ii) each Junior Priority Agent shall also be granted a junior Lien on such collateral as security for the Junior Priority Obligations owing to such other Junior Priority Agent and the Junior Priority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60" w:top="274" w:right="239" w:bottom="1440" w:gutter="0" w:footer="0" w:header="0"/>
        </w:sectPr>
      </w:pPr>
    </w:p>
    <w:bookmarkStart w:id="494" w:name="page495"/>
    <w:bookmarkEnd w:id="494"/>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Parties represented thereby, and that any such Lien on such collateral securing such Junior Priority Obligations shall be junior to each Lien on such collateral securing Senior Priority Obligations.</w:t>
      </w:r>
    </w:p>
    <w:p>
      <w:pPr>
        <w:spacing w:after="0" w:line="170" w:lineRule="exact"/>
        <w:rPr>
          <w:sz w:val="20"/>
          <w:szCs w:val="20"/>
          <w:color w:val="auto"/>
        </w:rPr>
      </w:pPr>
    </w:p>
    <w:p>
      <w:pPr>
        <w:ind w:right="40" w:firstLine="464"/>
        <w:spacing w:after="0" w:line="257" w:lineRule="auto"/>
        <w:tabs>
          <w:tab w:leader="none" w:pos="636" w:val="left"/>
        </w:tabs>
        <w:numPr>
          <w:ilvl w:val="0"/>
          <w:numId w:val="539"/>
        </w:numPr>
        <w:rPr>
          <w:rFonts w:ascii="Arial" w:cs="Arial" w:eastAsia="Arial" w:hAnsi="Arial"/>
          <w:sz w:val="18"/>
          <w:szCs w:val="18"/>
          <w:b w:val="1"/>
          <w:bCs w:val="1"/>
          <w:color w:val="auto"/>
        </w:rPr>
      </w:pPr>
      <w:r>
        <w:rPr>
          <w:rFonts w:ascii="Arial" w:cs="Arial" w:eastAsia="Arial" w:hAnsi="Arial"/>
          <w:sz w:val="18"/>
          <w:szCs w:val="18"/>
          <w:color w:val="auto"/>
        </w:rPr>
        <w:t xml:space="preserve">Any claim by any Junior Priority Secured Party under Section 507(b) of the Bankruptcy Code will be subordinate in right of payment to any claim of any Senior Priority Secured Party under Section 507(b) of the Bankruptcy Code and any payment thereof will be deemed to be Proceeds of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Junior Priority Secured Party will be deemed to have agreed pursuant to Section 1129(a)(9) of the Bankruptcy Code that such Section 507(b) claims may be paid under a Plan of Reorganization in any form having a value on the effective date of such Plan of Reorganization equal to the allowed amount of such claims.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J. </w:t>
      </w:r>
      <w:r>
        <w:rPr>
          <w:rFonts w:ascii="Arial" w:cs="Arial" w:eastAsia="Arial" w:hAnsi="Arial"/>
          <w:sz w:val="18"/>
          <w:szCs w:val="18"/>
          <w:color w:val="auto"/>
        </w:rPr>
        <w:t>Certain Waivers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64"/>
        <w:spacing w:after="0" w:line="264" w:lineRule="auto"/>
        <w:tabs>
          <w:tab w:leader="none" w:pos="636" w:val="left"/>
        </w:tabs>
        <w:numPr>
          <w:ilvl w:val="0"/>
          <w:numId w:val="540"/>
        </w:numPr>
        <w:rPr>
          <w:rFonts w:ascii="Arial" w:cs="Arial" w:eastAsia="Arial" w:hAnsi="Arial"/>
          <w:sz w:val="18"/>
          <w:szCs w:val="18"/>
          <w:b w:val="1"/>
          <w:bCs w:val="1"/>
          <w:color w:val="auto"/>
        </w:rPr>
      </w:pPr>
      <w:r>
        <w:rPr>
          <w:rFonts w:ascii="Arial" w:cs="Arial" w:eastAsia="Arial" w:hAnsi="Arial"/>
          <w:sz w:val="18"/>
          <w:szCs w:val="18"/>
          <w:color w:val="auto"/>
        </w:rPr>
        <w:t>Each Junior Priority Agent, for itself and on behalf of the Junior Priority Creditors represented thereby, waives any claim any Junior Priority Creditor may hereafter have against any Senior Priority Creditor arising out of the election by any Senior Priority Creditor of the application of Section 1111(b)(2) of the Bankruptcy Code, or any comparable provision of any other Bankruptcy Law.</w:t>
      </w:r>
    </w:p>
    <w:p>
      <w:pPr>
        <w:spacing w:after="0" w:line="181" w:lineRule="exact"/>
        <w:rPr>
          <w:rFonts w:ascii="Arial" w:cs="Arial" w:eastAsia="Arial" w:hAnsi="Arial"/>
          <w:sz w:val="18"/>
          <w:szCs w:val="18"/>
          <w:b w:val="1"/>
          <w:bCs w:val="1"/>
          <w:color w:val="auto"/>
        </w:rPr>
      </w:pPr>
    </w:p>
    <w:p>
      <w:pPr>
        <w:ind w:right="20" w:firstLine="464"/>
        <w:spacing w:after="0" w:line="297" w:lineRule="auto"/>
        <w:tabs>
          <w:tab w:leader="none" w:pos="636" w:val="left"/>
        </w:tabs>
        <w:numPr>
          <w:ilvl w:val="0"/>
          <w:numId w:val="540"/>
        </w:numPr>
        <w:rPr>
          <w:rFonts w:ascii="Arial" w:cs="Arial" w:eastAsia="Arial" w:hAnsi="Arial"/>
          <w:sz w:val="16"/>
          <w:szCs w:val="16"/>
          <w:b w:val="1"/>
          <w:bCs w:val="1"/>
          <w:color w:val="auto"/>
        </w:rPr>
      </w:pPr>
      <w:r>
        <w:rPr>
          <w:rFonts w:ascii="Arial" w:cs="Arial" w:eastAsia="Arial" w:hAnsi="Arial"/>
          <w:sz w:val="16"/>
          <w:szCs w:val="16"/>
          <w:color w:val="auto"/>
        </w:rPr>
        <w:t>Each Junior Priority Agent, on behalf of itself and the Junior Priority Creditors represented thereby, agrees that none of them shall (i) object, contest, or directly or indirectly support any other Person objecting to or contesting, any request by any Senior Priority Agent or any of the other Senior Priority Creditors for the payment of interest, fees, expenses or other amounts to such Senior Priority Agent or any other Senior Priority Creditor under Section 506(b) of the Bankruptcy Code or otherwise, or (ii) assert or directly or indirectly support any claim against any Senior Priority Creditor for costs or expenses of preserving or disposing of any Collateral under Section 506(c) of the Bankruptcy Code or any similar provision of any other Bankruptcy Law.</w:t>
      </w:r>
    </w:p>
    <w:p>
      <w:pPr>
        <w:spacing w:after="0" w:line="158" w:lineRule="exact"/>
        <w:rPr>
          <w:rFonts w:ascii="Arial" w:cs="Arial" w:eastAsia="Arial" w:hAnsi="Arial"/>
          <w:sz w:val="16"/>
          <w:szCs w:val="16"/>
          <w:b w:val="1"/>
          <w:bCs w:val="1"/>
          <w:color w:val="auto"/>
        </w:rPr>
      </w:pPr>
    </w:p>
    <w:p>
      <w:pPr>
        <w:ind w:right="300" w:firstLine="464"/>
        <w:spacing w:after="0" w:line="264" w:lineRule="auto"/>
        <w:tabs>
          <w:tab w:leader="none" w:pos="636" w:val="left"/>
        </w:tabs>
        <w:numPr>
          <w:ilvl w:val="0"/>
          <w:numId w:val="540"/>
        </w:numPr>
        <w:rPr>
          <w:rFonts w:ascii="Arial" w:cs="Arial" w:eastAsia="Arial" w:hAnsi="Arial"/>
          <w:sz w:val="18"/>
          <w:szCs w:val="18"/>
          <w:b w:val="1"/>
          <w:bCs w:val="1"/>
          <w:color w:val="auto"/>
        </w:rPr>
      </w:pPr>
      <w:r>
        <w:rPr>
          <w:rFonts w:ascii="Arial" w:cs="Arial" w:eastAsia="Arial" w:hAnsi="Arial"/>
          <w:sz w:val="18"/>
          <w:szCs w:val="18"/>
          <w:color w:val="auto"/>
        </w:rPr>
        <w:t>No Senior Priority Agent nor any other holder of Senior Priority Obligations shall object to, oppose, or challenge any claim by the Junior Priority Agent or any holder of Junior Priority Obligations for allowance in any Insolvency Proceeding of Junior Priority Obligations consisting of post-petition interest, default interest, premiums, fees, or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07"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Rights of Subrogation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Junior Priority Agent, for and on behalf of itself and the Junior Priority Creditors represented thereby, agrees that no</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by such Junior Priority Agent or any such Junior Priority Creditor to any Senior Priority Agent or Senior Priority Creditor pursuant to the provisions of this Agreement shall entitle such Junior Priority Agent or Junior Priority Creditor to exercise any rights of subrogation in respect thereof until the Discharge of Senior Priority Obligations. Following the Discharge of Senior Priority Obligations with respect to the Senior Priority Obligations, each Senior Priority Agent agrees to execute such documents, agreements, and instruments as any Junior Priority Agent or Junior Priority Creditor may reasonably request to evidence the transfer by subrogation to any such Person of an interest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495" w:name="page496"/>
    <w:bookmarkEnd w:id="495"/>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Senior Priority Obligations resulting from payments to such Senior Priority Agent by such Person, so long as all costs and expenses (including all reasonable legal fees and disbursements) incurred in connection therewith by such Senior Priority Agent are paid by such Person upon request for payment thereof.</w:t>
      </w:r>
    </w:p>
    <w:p>
      <w:pPr>
        <w:spacing w:after="0" w:line="17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Further Assurances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will, at their own expense and at any time and from time to time, promptly execute and deliver all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instruments and documents, and take all further action, that may be necessary or desirable, or that any Party may reasonably request, in order to protect any right or interest granted or purported to be granted hereby or to enable such Party to exercise and enforce its rights and remedies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Party shall be required to pay over any payment or distribution, execute any instruments or documents, or take any other action referred to in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to the extent that such action would contravene any law, order or other legal requirement or any of the terms or provisions of this Agreement, and in the event of a controversy or dispute, such Party may interplead any payment or distribution in any court of competent jurisdiction, without further responsibility in respect of such payment or distribution under this </w:t>
      </w:r>
      <w:r>
        <w:rPr>
          <w:rFonts w:ascii="Arial" w:cs="Arial" w:eastAsia="Arial" w:hAnsi="Arial"/>
          <w:sz w:val="17"/>
          <w:szCs w:val="17"/>
          <w:u w:val="single" w:color="auto"/>
          <w:color w:val="auto"/>
        </w:rPr>
        <w:t>Section 7.02.</w:t>
      </w:r>
    </w:p>
    <w:p>
      <w:pPr>
        <w:spacing w:after="0" w:line="172"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Agent Representations. The Original First Lien Agent represents and warrants to each other Agent that it has the requisite power and authority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Original First Lien Documents to enter into, execute, deliver, and carry out the terms of this Agreement on behalf of itself and the Original First Lien</w:t>
      </w:r>
    </w:p>
    <w:p>
      <w:pPr>
        <w:spacing w:after="0" w:line="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Secured Parties. The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represents and warrants to each other Agent that it has the requisite power and authority under the</w:t>
      </w:r>
    </w:p>
    <w:p>
      <w:pPr>
        <w:spacing w:after="0" w:line="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Documents to enter into, execute, deliver, and carry out the terms of this Agreement on behalf of itself and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Creditors. Each Additional Agent represents and warrants to each other Agent that it has the requisite power and authority under the applicable Additional Documents to enter into, execute, deliver, and carry out the terms of this Agreement on behalf of itself and any Additional Credit Facility Secured Parties represented thereby.</w:t>
      </w:r>
    </w:p>
    <w:p>
      <w:pPr>
        <w:spacing w:after="0" w:line="191" w:lineRule="exact"/>
        <w:rPr>
          <w:sz w:val="20"/>
          <w:szCs w:val="20"/>
          <w:color w:val="auto"/>
        </w:rPr>
      </w:pPr>
    </w:p>
    <w:p>
      <w:pPr>
        <w:ind w:left="680" w:hanging="216"/>
        <w:spacing w:after="0"/>
        <w:tabs>
          <w:tab w:leader="none" w:pos="680" w:val="left"/>
        </w:tabs>
        <w:numPr>
          <w:ilvl w:val="0"/>
          <w:numId w:val="541"/>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right="120" w:firstLine="464"/>
        <w:spacing w:after="0" w:line="288" w:lineRule="auto"/>
        <w:tabs>
          <w:tab w:leader="none" w:pos="636" w:val="left"/>
        </w:tabs>
        <w:numPr>
          <w:ilvl w:val="0"/>
          <w:numId w:val="542"/>
        </w:numPr>
        <w:rPr>
          <w:rFonts w:ascii="Arial" w:cs="Arial" w:eastAsia="Arial" w:hAnsi="Arial"/>
          <w:sz w:val="16"/>
          <w:szCs w:val="16"/>
          <w:b w:val="1"/>
          <w:bCs w:val="1"/>
          <w:color w:val="auto"/>
        </w:rPr>
      </w:pPr>
      <w:r>
        <w:rPr>
          <w:rFonts w:ascii="Arial" w:cs="Arial" w:eastAsia="Arial" w:hAnsi="Arial"/>
          <w:sz w:val="16"/>
          <w:szCs w:val="16"/>
          <w:color w:val="auto"/>
        </w:rPr>
        <w:t xml:space="preserve">No amendment, modification or waiver of any provision of this Agreement, and no consent to any departure by any Party hereto, shall be effective unless it is in a written agreement executed by each Senior Priority Agent and each Junior Priority Agent. Notwithstanding the foregoing, the Original First Lien Borrower may, without the consent of any Party hereto, amend this Agreement to add an Additional Agent by (x) executing an Additional Indebtedness Joinder as provided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or (y) executing a joinder agreement substantially in the form of Exhibit C attached hereto. No amendment, modification or waiver of any provision of this Agreement, and no consent to any departure therefrom by any Party hereto, that changes, alters, modifies or otherwise affects any power, privilege, right, remedy, liability or obligation of, or otherwise affects in any manner, any Additional Agent that is not then a Party, or any Additional Credit Facility Secured Party not then represented by an Additional Agent that is then a Party (including but not limited to any change, alteration, modification or other effect upon any power, privilege, right, remedy, liability or obligation of or other effect upon any such Additional Agent or Additional Credit Facility Secured Party that may at any subsequent time become a Party or beneficiary hereof) shall be effective unless it is consented to in writing by the Original First Lien Borrower (regardless of whether any such Additional Agent or Additional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496" w:name="page497"/>
    <w:bookmarkEnd w:id="49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Credit Facility Secured Party ever becomes a Party or beneficiary hereof). Any amendment, modification or waiver of any provision of this Agreement that would have the effect, directly or indirectly, through any reference in any Credit Document to this Agreement or otherwise, of waiving, amending, supplementing or otherwise modifying any Credit Document, or any term or provision thereof, or any right or obligation of the Original First Lien Borrower or any other Loan Party thereunder or in respect thereof, shall not be given such effect except pursuant to a written instrument executed by the Original First Lien Borrower and each other affected Loan Party. No amendment to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effective unless it is consented to in writing by the Original First Lien Borrower.</w:t>
      </w:r>
    </w:p>
    <w:p>
      <w:pPr>
        <w:spacing w:after="0" w:line="193" w:lineRule="exact"/>
        <w:rPr>
          <w:sz w:val="20"/>
          <w:szCs w:val="20"/>
          <w:color w:val="auto"/>
        </w:rPr>
      </w:pPr>
    </w:p>
    <w:p>
      <w:pPr>
        <w:ind w:firstLine="464"/>
        <w:spacing w:after="0" w:line="268" w:lineRule="auto"/>
        <w:tabs>
          <w:tab w:leader="none" w:pos="636" w:val="left"/>
        </w:tabs>
        <w:numPr>
          <w:ilvl w:val="0"/>
          <w:numId w:val="543"/>
        </w:numPr>
        <w:rPr>
          <w:rFonts w:ascii="Arial" w:cs="Arial" w:eastAsia="Arial" w:hAnsi="Arial"/>
          <w:sz w:val="17"/>
          <w:szCs w:val="17"/>
          <w:b w:val="1"/>
          <w:bCs w:val="1"/>
          <w:color w:val="auto"/>
        </w:rPr>
      </w:pPr>
      <w:r>
        <w:rPr>
          <w:rFonts w:ascii="Arial" w:cs="Arial" w:eastAsia="Arial" w:hAnsi="Arial"/>
          <w:sz w:val="17"/>
          <w:szCs w:val="17"/>
          <w:color w:val="auto"/>
        </w:rPr>
        <w:t xml:space="preserve">In the event that any Senior Priority Agent or the requisite Senior Priority Creditors enter into any amendment, waiver or consent in respect of or replace any Senior Priority Collateral Document for the purpose of adding to, or deleting from, or waiving or consenting to any departures from any provisions of, any Senior Priority Collateral Document relating to the Collateral and/or any Excluded Cash Collateral or changing in any manner the rights of the Senior Priority Agent, the Senior Priority Creditors, or any Loan Party with respect to the Collateral and/or any Excluded Cash Collateral (including, subject to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the release of any Liens on Collateral), then such amendment, waiver or consent shall apply automatically to any comparable provision of each Junior Priority Collateral Document without the consent of or any actions by any Junior Priority Agent or any Junior Priority Creditors;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 waiver or consent does not materially adversely affect the rights or interests of the Junior Priority Creditors in the Collateral (including any license or right of use granted to them by any Loan Party pursuant to any Junior Priority Collateral Document with respect to intellectual property owned by such Loan Party as it pertains to the rights or interests of the Junior Priority Creditors in the Collateral). The applicable Senior Priority Agent shall give written notice of such amendment, waiver or consent to the Junior Priority Agents and, if requested by any Junior Priority Agent, promptly provide copies of any documents executed and delivered in connection with such amendment, waiver or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or provide such documents shall not affect the effectiveness of such amendment, waiver or consent with respect to the provisions of any Junior Priority Collateral Document as set forth in this </w:t>
      </w:r>
      <w:r>
        <w:rPr>
          <w:rFonts w:ascii="Arial" w:cs="Arial" w:eastAsia="Arial" w:hAnsi="Arial"/>
          <w:sz w:val="17"/>
          <w:szCs w:val="17"/>
          <w:u w:val="single" w:color="auto"/>
          <w:color w:val="auto"/>
        </w:rPr>
        <w:t>Section 7.04(b)</w:t>
      </w:r>
      <w:r>
        <w:rPr>
          <w:rFonts w:ascii="Arial" w:cs="Arial" w:eastAsia="Arial" w:hAnsi="Arial"/>
          <w:sz w:val="17"/>
          <w:szCs w:val="17"/>
          <w:color w:val="auto"/>
        </w:rPr>
        <w:t>.</w:t>
      </w:r>
    </w:p>
    <w:p>
      <w:pPr>
        <w:spacing w:after="0" w:line="184"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color w:val="auto"/>
        </w:rPr>
        <w:t>Addresses for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specifically provided herein, any notice or other communication herein required or permitted to be given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in writing and may be personally served, faxed, or sent by overnight express courier service or United States mail and shall be deemed to have been given when delivered in person or by courier service, upon receipt of a facsimile or five days after deposit in the United States mail (certified, with postage prepaid and properly addressed). For the purposes hereof, the addresses of the parties hereto (until notice of a change thereof is delivered as provided in this Section) shall be as set forth below or, as to each party, at such other address as may be designated by such party in a written notice to all of the other parties.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Original First Lien Agent</w:t>
      </w:r>
      <w:r>
        <w:rPr>
          <w:rFonts w:ascii="Arial" w:cs="Arial" w:eastAsia="Arial" w:hAnsi="Arial"/>
          <w:sz w:val="18"/>
          <w:szCs w:val="18"/>
          <w:color w:val="auto"/>
        </w:rPr>
        <w:t>:</w:t>
      </w:r>
    </w:p>
    <w:p>
      <w:pPr>
        <w:spacing w:after="0" w:line="225" w:lineRule="exact"/>
        <w:rPr>
          <w:sz w:val="20"/>
          <w:szCs w:val="20"/>
          <w:color w:val="auto"/>
        </w:rPr>
      </w:pPr>
    </w:p>
    <w:p>
      <w:pPr>
        <w:ind w:left="880" w:hanging="416"/>
        <w:spacing w:after="0"/>
        <w:tabs>
          <w:tab w:leader="none" w:pos="88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225" w:lineRule="exact"/>
        <w:rPr>
          <w:rFonts w:ascii="Arial" w:cs="Arial" w:eastAsia="Arial" w:hAnsi="Arial"/>
          <w:sz w:val="18"/>
          <w:szCs w:val="18"/>
          <w:color w:val="auto"/>
        </w:rPr>
      </w:pPr>
    </w:p>
    <w:p>
      <w:pPr>
        <w:ind w:left="880" w:hanging="416"/>
        <w:spacing w:after="0"/>
        <w:tabs>
          <w:tab w:leader="none" w:pos="88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273" w:right="319" w:bottom="1440" w:gutter="0" w:footer="0" w:header="0"/>
        </w:sectPr>
      </w:pPr>
    </w:p>
    <w:bookmarkStart w:id="497" w:name="page498"/>
    <w:bookmarkEnd w:id="4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copies (which shall not constitute notice) to:</w:t>
      </w:r>
    </w:p>
    <w:p>
      <w:pPr>
        <w:spacing w:after="0" w:line="225" w:lineRule="exact"/>
        <w:rPr>
          <w:sz w:val="20"/>
          <w:szCs w:val="20"/>
          <w:color w:val="auto"/>
        </w:rPr>
      </w:pPr>
    </w:p>
    <w:p>
      <w:pPr>
        <w:ind w:left="880" w:hanging="416"/>
        <w:spacing w:after="0"/>
        <w:tabs>
          <w:tab w:leader="none" w:pos="8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880" w:hanging="416"/>
        <w:spacing w:after="0"/>
        <w:tabs>
          <w:tab w:leader="none" w:pos="8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[First/Second</w:t>
      </w:r>
      <w:r>
        <w:rPr>
          <w:rFonts w:ascii="Arial" w:cs="Arial" w:eastAsia="Arial" w:hAnsi="Arial"/>
          <w:sz w:val="18"/>
          <w:szCs w:val="18"/>
          <w:color w:val="auto"/>
        </w:rPr>
        <w:t>]</w:t>
      </w:r>
      <w:r>
        <w:rPr>
          <w:rFonts w:ascii="Arial" w:cs="Arial" w:eastAsia="Arial" w:hAnsi="Arial"/>
          <w:sz w:val="15"/>
          <w:szCs w:val="15"/>
          <w:color w:val="auto"/>
        </w:rPr>
        <w:t>ii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Lien Agent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80" w:hanging="416"/>
        <w:spacing w:after="0"/>
        <w:tabs>
          <w:tab w:leader="none" w:pos="8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225" w:lineRule="exact"/>
        <w:rPr>
          <w:rFonts w:ascii="Arial" w:cs="Arial" w:eastAsia="Arial" w:hAnsi="Arial"/>
          <w:sz w:val="18"/>
          <w:szCs w:val="18"/>
          <w:color w:val="auto"/>
        </w:rPr>
      </w:pPr>
    </w:p>
    <w:p>
      <w:pPr>
        <w:ind w:left="880" w:hanging="416"/>
        <w:spacing w:after="0"/>
        <w:tabs>
          <w:tab w:leader="none" w:pos="8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225" w:lineRule="exact"/>
        <w:rPr>
          <w:rFonts w:ascii="Arial" w:cs="Arial" w:eastAsia="Arial" w:hAnsi="Arial"/>
          <w:sz w:val="18"/>
          <w:szCs w:val="18"/>
          <w:color w:val="auto"/>
        </w:rPr>
      </w:pPr>
    </w:p>
    <w:p>
      <w:pPr>
        <w:ind w:left="880" w:hanging="416"/>
        <w:spacing w:after="0"/>
        <w:tabs>
          <w:tab w:leader="none" w:pos="8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 xml:space="preserve">Any Additional Agent: As set forth in the Additional Indebtedness Joinder executed and delivered by such Additional Agent pursuant to </w:t>
      </w:r>
      <w:r>
        <w:rPr>
          <w:rFonts w:ascii="Arial" w:cs="Arial" w:eastAsia="Arial" w:hAnsi="Arial"/>
          <w:sz w:val="16"/>
          <w:szCs w:val="16"/>
          <w:u w:val="single" w:color="auto"/>
          <w:color w:val="auto"/>
        </w:rPr>
        <w:t>Section 7.11.</w:t>
      </w:r>
    </w:p>
    <w:p>
      <w:pPr>
        <w:spacing w:after="0" w:line="244"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No Waiver, Cumulative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No failure on the part of any Party to exercise, and no delay in exercising, any right, remedy, power or privilege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G. </w:t>
      </w:r>
      <w:r>
        <w:rPr>
          <w:rFonts w:ascii="Arial" w:cs="Arial" w:eastAsia="Arial" w:hAnsi="Arial"/>
          <w:sz w:val="17"/>
          <w:szCs w:val="17"/>
          <w:color w:val="auto"/>
        </w:rPr>
        <w:t>Continuing Agreement, Transfer of Secured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a continuing agreement and shall (a) remain in full force and effect (x)</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respect to all Senior Priority Secured Parties and Senior Priority Obligations, until the Discharge of Senior Priority Obligations, subject to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and (y) with respect to all Junior Priority Secured Parties and Junior Priority Obligations, until the later of the Discharge of Senior Priority Obligations and the Discharge of Junior Priority Obligations, (b) be binding upon the Parties and their successors and assigns, and (c) inure to the benefit of and be enforceable by the Parties and their respective successors, transferees and assigns. Nothing herein is intended, or shall be construed to give, any other Person any right, remedy or claim under, to or in respect of this Agreement or any Collateral, subject to </w:t>
      </w:r>
      <w:r>
        <w:rPr>
          <w:rFonts w:ascii="Arial" w:cs="Arial" w:eastAsia="Arial" w:hAnsi="Arial"/>
          <w:sz w:val="17"/>
          <w:szCs w:val="17"/>
          <w:u w:val="single" w:color="auto"/>
          <w:color w:val="auto"/>
        </w:rPr>
        <w:t>Section 7.10.</w:t>
      </w:r>
      <w:r>
        <w:rPr>
          <w:rFonts w:ascii="Arial" w:cs="Arial" w:eastAsia="Arial" w:hAnsi="Arial"/>
          <w:sz w:val="17"/>
          <w:szCs w:val="17"/>
          <w:color w:val="auto"/>
        </w:rPr>
        <w:t xml:space="preserve"> All references to any Loan Party shall include any Loan Party as debtor-in-possession and any receiver or trustee for such Loan Party in any Insolvency Proceeding. Without limiting the generality of the foregoing clause (c), any Senior Priority Agent, Senior Priority Creditor, Junior Priority Agent or Junior Priority Creditor may assign or otherwise transfer all or any portion of the Senior Priority Obligations or the Junior Priority Obligations, as applicable, to any other Person, and such other Person shall thereupon become vested with all the rights and obligations in respect thereof granted to such Senior Priority Agent, Junior Priority Agent, Senior Priority Creditor or Junior Priority Creditor, as the case may be, herein or otherwise. The Senior Priority Secured Parties and the Junior Priority Secured Parties may continue, at any time and without notice to the other Parties hereto, to extend credit and other financial accommodations, lend monies and provide Indebtedness to, or for the benefit of, any Loan Party on the faith hereof.</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273" w:right="319" w:bottom="1440" w:gutter="0" w:footer="0" w:header="0"/>
        </w:sectPr>
      </w:pPr>
    </w:p>
    <w:bookmarkStart w:id="498" w:name="page499"/>
    <w:bookmarkEnd w:id="498"/>
    <w:p>
      <w:pPr>
        <w:ind w:right="1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 </w:t>
      </w:r>
      <w:r>
        <w:rPr>
          <w:rFonts w:ascii="Arial" w:cs="Arial" w:eastAsia="Arial" w:hAnsi="Arial"/>
          <w:sz w:val="18"/>
          <w:szCs w:val="18"/>
          <w:color w:val="auto"/>
        </w:rPr>
        <w:t>GOVERNING LAW</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ANY CLAIMS, CONTROVERSY, DISPUTE OR CAUSE OF ACTION (WHETHER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OR TORT OR OTHERWISE) BASED UPON, ARISING OUT OF OR RELATING TO THIS AGREEMENT SHALL BE GOVERNED BY, AND CONSTRUED IN ACCORDANCE WITH, THE LAW OF THE STATE OF NEW YORK.</w:t>
      </w:r>
    </w:p>
    <w:p>
      <w:pPr>
        <w:spacing w:after="0" w:line="17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7"/>
          <w:szCs w:val="17"/>
          <w:b w:val="1"/>
          <w:bCs w:val="1"/>
          <w:color w:val="auto"/>
        </w:rPr>
        <w:t xml:space="preserve">I. </w:t>
      </w:r>
      <w:r>
        <w:rPr>
          <w:rFonts w:ascii="Arial" w:cs="Arial" w:eastAsia="Arial" w:hAnsi="Arial"/>
          <w:sz w:val="17"/>
          <w:szCs w:val="17"/>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by one or more of the parties to this Agreement on any number of separate counterparts,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said counterparts taken together shall be deemed to constitute one and the same instrument. Delivery of an executed signature page of this Agreement by facsimile transmission shall be effective as delivery of a manually executed counterpart hereof.</w:t>
      </w:r>
    </w:p>
    <w:p>
      <w:pPr>
        <w:spacing w:after="0" w:line="158"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J. </w:t>
      </w:r>
      <w:r>
        <w:rPr>
          <w:rFonts w:ascii="Arial" w:cs="Arial" w:eastAsia="Arial" w:hAnsi="Arial"/>
          <w:sz w:val="18"/>
          <w:szCs w:val="18"/>
          <w:color w:val="auto"/>
        </w:rPr>
        <w:t>No Third-Party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rights and benefits hereof shall inure to the benefit of each of the Parties hereto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successors and assigns and shall inure to the benefit of each of the Senior Priority Agents, the Senior Priority Creditors, the Junior Priority Agents, the Junior Priority Creditors and the Original First Lien Borrower and the other Loan Parties. No other Person shall have or be entitled to assert rights or benefits hereunder.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K. </w:t>
      </w:r>
      <w:r>
        <w:rPr>
          <w:rFonts w:ascii="Arial" w:cs="Arial" w:eastAsia="Arial" w:hAnsi="Arial"/>
          <w:sz w:val="18"/>
          <w:szCs w:val="18"/>
          <w:color w:val="auto"/>
        </w:rPr>
        <w:t>Designation of Additional Indebtedness; Joinder of Additional Agents.</w:t>
      </w:r>
    </w:p>
    <w:p>
      <w:pPr>
        <w:spacing w:after="0" w:line="229" w:lineRule="exact"/>
        <w:rPr>
          <w:sz w:val="20"/>
          <w:szCs w:val="20"/>
          <w:color w:val="auto"/>
        </w:rPr>
      </w:pPr>
    </w:p>
    <w:p>
      <w:pPr>
        <w:ind w:right="440" w:firstLine="464"/>
        <w:spacing w:after="0" w:line="277" w:lineRule="auto"/>
        <w:tabs>
          <w:tab w:leader="none" w:pos="636" w:val="left"/>
        </w:tabs>
        <w:numPr>
          <w:ilvl w:val="0"/>
          <w:numId w:val="547"/>
        </w:numPr>
        <w:rPr>
          <w:rFonts w:ascii="Arial" w:cs="Arial" w:eastAsia="Arial" w:hAnsi="Arial"/>
          <w:sz w:val="18"/>
          <w:szCs w:val="18"/>
          <w:b w:val="1"/>
          <w:bCs w:val="1"/>
          <w:color w:val="auto"/>
        </w:rPr>
      </w:pPr>
      <w:r>
        <w:rPr>
          <w:rFonts w:ascii="Arial" w:cs="Arial" w:eastAsia="Arial" w:hAnsi="Arial"/>
          <w:sz w:val="18"/>
          <w:szCs w:val="18"/>
          <w:color w:val="auto"/>
        </w:rPr>
        <w:t>The Original First Lien Borrower may designate any Additional Indebtedness complying with the requirements of the definition of “</w:t>
      </w:r>
      <w:r>
        <w:rPr>
          <w:rFonts w:ascii="Arial" w:cs="Arial" w:eastAsia="Arial" w:hAnsi="Arial"/>
          <w:sz w:val="18"/>
          <w:szCs w:val="18"/>
          <w:u w:val="single" w:color="auto"/>
          <w:color w:val="auto"/>
        </w:rPr>
        <w:t>Additional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Indebtedness</w:t>
      </w:r>
      <w:r>
        <w:rPr>
          <w:rFonts w:ascii="Arial" w:cs="Arial" w:eastAsia="Arial" w:hAnsi="Arial"/>
          <w:sz w:val="18"/>
          <w:szCs w:val="18"/>
          <w:color w:val="auto"/>
        </w:rPr>
        <w:t>” as Additional Indebtedness for purposes of this Agreement, upon complying with the following conditions:</w:t>
      </w:r>
    </w:p>
    <w:p>
      <w:pPr>
        <w:spacing w:after="0" w:line="62" w:lineRule="exact"/>
        <w:rPr>
          <w:rFonts w:ascii="Arial" w:cs="Arial" w:eastAsia="Arial" w:hAnsi="Arial"/>
          <w:sz w:val="18"/>
          <w:szCs w:val="18"/>
          <w:b w:val="1"/>
          <w:bCs w:val="1"/>
          <w:color w:val="auto"/>
        </w:rPr>
      </w:pPr>
    </w:p>
    <w:p>
      <w:pPr>
        <w:ind w:left="1080" w:hanging="177"/>
        <w:spacing w:after="0"/>
        <w:tabs>
          <w:tab w:leader="none" w:pos="1080" w:val="left"/>
        </w:tabs>
        <w:numPr>
          <w:ilvl w:val="1"/>
          <w:numId w:val="547"/>
        </w:numPr>
        <w:rPr>
          <w:rFonts w:ascii="Arial" w:cs="Arial" w:eastAsia="Arial" w:hAnsi="Arial"/>
          <w:sz w:val="17"/>
          <w:szCs w:val="17"/>
          <w:color w:val="auto"/>
        </w:rPr>
      </w:pPr>
      <w:r>
        <w:rPr>
          <w:rFonts w:ascii="Arial" w:cs="Arial" w:eastAsia="Arial" w:hAnsi="Arial"/>
          <w:sz w:val="17"/>
          <w:szCs w:val="17"/>
          <w:color w:val="auto"/>
        </w:rPr>
        <w:t>one or more Additional Agents for one or more Additional Credit Facility Secured Parties in respect of such Additional Indebtedness shall</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6"/>
          <w:szCs w:val="16"/>
          <w:color w:val="auto"/>
        </w:rPr>
        <w:t>have executed the Additional Indebtedness Joinder with respect to such Additional Indebtedness, and the Original First Lien Borrower or any such</w:t>
      </w:r>
    </w:p>
    <w:p>
      <w:pPr>
        <w:spacing w:after="0" w:line="23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Additional Agent shall have delivered such executed Additional Indebtedness Joinder to the Original First Lien Agent,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 and any other Additional Agent then party to this Agreement;</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 at least five Business Days (unless a shorter period is agreed in writing by the Parties and the Original First Lien Borrower) prior to delivery of</w:t>
      </w:r>
    </w:p>
    <w:p>
      <w:pPr>
        <w:spacing w:after="0" w:line="45" w:lineRule="exact"/>
        <w:rPr>
          <w:sz w:val="20"/>
          <w:szCs w:val="20"/>
          <w:color w:val="auto"/>
        </w:rPr>
      </w:pPr>
    </w:p>
    <w:p>
      <w:pPr>
        <w:ind w:left="460" w:right="60"/>
        <w:spacing w:after="0" w:line="274" w:lineRule="auto"/>
        <w:rPr>
          <w:sz w:val="20"/>
          <w:szCs w:val="20"/>
          <w:color w:val="auto"/>
        </w:rPr>
      </w:pPr>
      <w:r>
        <w:rPr>
          <w:rFonts w:ascii="Arial" w:cs="Arial" w:eastAsia="Arial" w:hAnsi="Arial"/>
          <w:sz w:val="17"/>
          <w:szCs w:val="17"/>
          <w:color w:val="auto"/>
        </w:rPr>
        <w:t>the Additional Indebtedness Joinder, the Original First Lien Borrower shall have delivered to the Original First Lien Agent, the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Agent and any other Additional Agent then party to this Agreement complete and correct copies of any Additional Credit Facility, Additional Guarantees and Additional Collateral Documents that will govern such Additional Indebtedness upon giving effect to such designation (which may be unexecuted copies of Additional Documents to be executed and delivered concurrently with the effectiveness of such designation);</w:t>
      </w:r>
    </w:p>
    <w:p>
      <w:pPr>
        <w:spacing w:after="0" w:line="67"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c. the Original First Lien Borrower shall have executed and delivered to the Original First Lien Agent,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 and any other Additional Agent then party to this Agreement the Additional Indebtedness Designation (including whether such Additional Indebtedness is designated Senior Priority Debt or Junior Priority Debt) with respect to such Additional Indebtedness;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0" w:right="259" w:bottom="1440" w:gutter="0" w:footer="0" w:header="0"/>
        </w:sectPr>
      </w:pPr>
    </w:p>
    <w:bookmarkStart w:id="499" w:name="page500"/>
    <w:bookmarkEnd w:id="499"/>
    <w:p>
      <w:pPr>
        <w:ind w:left="460" w:right="40" w:firstLine="438"/>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all state and local stamp, recording, filing, intangible and similar taxes or fees (if any) that are payable in connection with the inclusion of such Additional Indebtedness under this Agreement shall have been paid and reasonable evidence thereof shall have been given to the Original First Lien</w:t>
      </w:r>
    </w:p>
    <w:p>
      <w:pPr>
        <w:spacing w:after="0" w:line="1"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Agent, the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and any other Additional Agent then party to this Agreement; and</w:t>
      </w:r>
    </w:p>
    <w:p>
      <w:pPr>
        <w:spacing w:after="0" w:line="104" w:lineRule="exact"/>
        <w:rPr>
          <w:sz w:val="20"/>
          <w:szCs w:val="20"/>
          <w:color w:val="auto"/>
        </w:rPr>
      </w:pPr>
    </w:p>
    <w:p>
      <w:pPr>
        <w:ind w:left="460" w:right="460" w:firstLine="438"/>
        <w:spacing w:after="0" w:line="277" w:lineRule="auto"/>
        <w:rPr>
          <w:sz w:val="20"/>
          <w:szCs w:val="20"/>
          <w:color w:val="auto"/>
        </w:rPr>
      </w:pPr>
      <w:r>
        <w:rPr>
          <w:rFonts w:ascii="Arial" w:cs="Arial" w:eastAsia="Arial" w:hAnsi="Arial"/>
          <w:sz w:val="18"/>
          <w:szCs w:val="18"/>
          <w:color w:val="auto"/>
        </w:rPr>
        <w:t>e. any applicable requirement that no Event of Default exists or arises from the issuance of such Additional Indebtedness, or any applicable comparable requirement, shall have been satisfied or waived.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Additional Indebtedness may be designated both Senior Priority Debt and Junior Priority Debt.</w:t>
      </w:r>
    </w:p>
    <w:p>
      <w:pPr>
        <w:spacing w:after="0" w:line="225" w:lineRule="exact"/>
        <w:rPr>
          <w:sz w:val="20"/>
          <w:szCs w:val="20"/>
          <w:color w:val="auto"/>
        </w:rPr>
      </w:pPr>
    </w:p>
    <w:p>
      <w:pPr>
        <w:ind w:firstLine="464"/>
        <w:spacing w:after="0" w:line="283" w:lineRule="auto"/>
        <w:tabs>
          <w:tab w:leader="none" w:pos="636" w:val="left"/>
        </w:tabs>
        <w:numPr>
          <w:ilvl w:val="0"/>
          <w:numId w:val="548"/>
        </w:numPr>
        <w:rPr>
          <w:rFonts w:ascii="Arial" w:cs="Arial" w:eastAsia="Arial" w:hAnsi="Arial"/>
          <w:sz w:val="16"/>
          <w:szCs w:val="16"/>
          <w:b w:val="1"/>
          <w:bCs w:val="1"/>
          <w:color w:val="auto"/>
        </w:rPr>
      </w:pPr>
      <w:r>
        <w:rPr>
          <w:rFonts w:ascii="Arial" w:cs="Arial" w:eastAsia="Arial" w:hAnsi="Arial"/>
          <w:sz w:val="16"/>
          <w:szCs w:val="16"/>
          <w:color w:val="auto"/>
        </w:rPr>
        <w:t xml:space="preserve">Upon satisfaction of the conditions specified in the preceding </w:t>
      </w:r>
      <w:r>
        <w:rPr>
          <w:rFonts w:ascii="Arial" w:cs="Arial" w:eastAsia="Arial" w:hAnsi="Arial"/>
          <w:sz w:val="16"/>
          <w:szCs w:val="16"/>
          <w:u w:val="single" w:color="auto"/>
          <w:color w:val="auto"/>
        </w:rPr>
        <w:t>Section 7.11(a)</w:t>
      </w:r>
      <w:r>
        <w:rPr>
          <w:rFonts w:ascii="Arial" w:cs="Arial" w:eastAsia="Arial" w:hAnsi="Arial"/>
          <w:sz w:val="16"/>
          <w:szCs w:val="16"/>
          <w:color w:val="auto"/>
        </w:rPr>
        <w:t>, the designated Additional Indebtedness shall constitute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Indebtedness</w:t>
      </w:r>
      <w:r>
        <w:rPr>
          <w:rFonts w:ascii="Arial" w:cs="Arial" w:eastAsia="Arial" w:hAnsi="Arial"/>
          <w:sz w:val="16"/>
          <w:szCs w:val="16"/>
          <w:color w:val="auto"/>
        </w:rPr>
        <w:t>”, any Additional Credit Facility under which such Additional Indebtedness is or may be incurred shall constitute an “</w:t>
      </w:r>
      <w:r>
        <w:rPr>
          <w:rFonts w:ascii="Arial" w:cs="Arial" w:eastAsia="Arial" w:hAnsi="Arial"/>
          <w:sz w:val="16"/>
          <w:szCs w:val="16"/>
          <w:u w:val="single" w:color="auto"/>
          <w:color w:val="auto"/>
        </w:rPr>
        <w:t>Additional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Facility</w:t>
      </w:r>
      <w:r>
        <w:rPr>
          <w:rFonts w:ascii="Arial" w:cs="Arial" w:eastAsia="Arial" w:hAnsi="Arial"/>
          <w:sz w:val="16"/>
          <w:szCs w:val="16"/>
          <w:color w:val="auto"/>
        </w:rPr>
        <w:t>”, any holder of such Additional Indebtedness or other applicable Additional Credit Facility Secured Party shall constitute an “</w:t>
      </w:r>
      <w:r>
        <w:rPr>
          <w:rFonts w:ascii="Arial" w:cs="Arial" w:eastAsia="Arial" w:hAnsi="Arial"/>
          <w:sz w:val="16"/>
          <w:szCs w:val="16"/>
          <w:u w:val="single" w:color="auto"/>
          <w:color w:val="auto"/>
        </w:rPr>
        <w:t>Additional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Facility Secured Party</w:t>
      </w:r>
      <w:r>
        <w:rPr>
          <w:rFonts w:ascii="Arial" w:cs="Arial" w:eastAsia="Arial" w:hAnsi="Arial"/>
          <w:sz w:val="16"/>
          <w:szCs w:val="16"/>
          <w:color w:val="auto"/>
        </w:rPr>
        <w:t>”, and any Additional Agent for any such Additional Credit Facility Secured Party shall constitute an “</w:t>
      </w:r>
      <w:r>
        <w:rPr>
          <w:rFonts w:ascii="Arial" w:cs="Arial" w:eastAsia="Arial" w:hAnsi="Arial"/>
          <w:sz w:val="16"/>
          <w:szCs w:val="16"/>
          <w:u w:val="single" w:color="auto"/>
          <w:color w:val="auto"/>
        </w:rPr>
        <w:t>Additional Agent</w:t>
      </w:r>
      <w:r>
        <w:rPr>
          <w:rFonts w:ascii="Arial" w:cs="Arial" w:eastAsia="Arial" w:hAnsi="Arial"/>
          <w:sz w:val="16"/>
          <w:szCs w:val="16"/>
          <w:color w:val="auto"/>
        </w:rPr>
        <w:t>” for all purposes under this Agreement. The date on which such conditions specified in clause (a) shall have been satisfied with respect to any Additional Indebtedness is herein called the “</w:t>
      </w:r>
      <w:r>
        <w:rPr>
          <w:rFonts w:ascii="Arial" w:cs="Arial" w:eastAsia="Arial" w:hAnsi="Arial"/>
          <w:sz w:val="16"/>
          <w:szCs w:val="16"/>
          <w:u w:val="single" w:color="auto"/>
          <w:color w:val="auto"/>
        </w:rPr>
        <w:t>Additional Effective Date</w:t>
      </w:r>
      <w:r>
        <w:rPr>
          <w:rFonts w:ascii="Arial" w:cs="Arial" w:eastAsia="Arial" w:hAnsi="Arial"/>
          <w:sz w:val="16"/>
          <w:szCs w:val="16"/>
          <w:color w:val="auto"/>
        </w:rPr>
        <w:t>” with respect to such Additional Indebtedness. Prior to the Additional Effective Date with respect to any Additional Indebtedness, all references herein to Additional Indebtedness shall be deemed not to take into account such Additional Indebtedness, and the rights and obligations of the Original First Lien Agent, the [ ]</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and each other Additional Agent then party to this Agreement shall be determined on the basis that such Additional Indebtedness is not then designated. On and after the Additional Effective Date with respect to such Additional Indebtedness, all references herein to Additional Indebtedness shall be deemed to take into account such Additional Indebtedness, and the</w:t>
      </w:r>
    </w:p>
    <w:p>
      <w:pPr>
        <w:spacing w:after="0" w:line="5" w:lineRule="exact"/>
        <w:rPr>
          <w:rFonts w:ascii="Arial" w:cs="Arial" w:eastAsia="Arial" w:hAnsi="Arial"/>
          <w:sz w:val="16"/>
          <w:szCs w:val="16"/>
          <w:b w:val="1"/>
          <w:bCs w:val="1"/>
          <w:color w:val="auto"/>
        </w:rPr>
      </w:pPr>
    </w:p>
    <w:p>
      <w:pPr>
        <w:ind w:right="10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rights and obligations of the Original First Lien Agent,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 and each other Additional Agent then party to this Agreement shall be determined on the basis that such Additional Indebtedness is then designated.</w:t>
      </w:r>
    </w:p>
    <w:p>
      <w:pPr>
        <w:spacing w:after="0" w:line="18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color w:val="auto"/>
        </w:rPr>
        <w:t xml:space="preserve">3. </w:t>
      </w:r>
      <w:r>
        <w:rPr>
          <w:rFonts w:ascii="Arial" w:cs="Arial" w:eastAsia="Arial" w:hAnsi="Arial"/>
          <w:sz w:val="16"/>
          <w:szCs w:val="16"/>
          <w:color w:val="auto"/>
        </w:rPr>
        <w:t>In connection with any designation of Additional Indebtedness pursuant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7.11,</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Original First Lien Agent, the [ ]</w:t>
      </w:r>
      <w:r>
        <w:rPr>
          <w:rFonts w:ascii="Arial" w:cs="Arial" w:eastAsia="Arial" w:hAnsi="Arial"/>
          <w:sz w:val="13"/>
          <w:szCs w:val="13"/>
          <w:color w:val="auto"/>
        </w:rPr>
        <w:t>i</w:t>
      </w:r>
      <w:r>
        <w:rPr>
          <w:rFonts w:ascii="Arial" w:cs="Arial" w:eastAsia="Arial" w:hAnsi="Arial"/>
          <w:sz w:val="16"/>
          <w:szCs w:val="16"/>
          <w:b w:val="1"/>
          <w:bCs w:val="1"/>
          <w:color w:val="auto"/>
        </w:rPr>
        <w:t xml:space="preserve"> </w:t>
      </w:r>
      <w:r>
        <w:rPr>
          <w:rFonts w:ascii="Arial" w:cs="Arial" w:eastAsia="Arial" w:hAnsi="Arial"/>
          <w:sz w:val="16"/>
          <w:szCs w:val="16"/>
          <w:color w:val="auto"/>
        </w:rPr>
        <w:t>[First/Second]</w:t>
      </w:r>
      <w:r>
        <w:rPr>
          <w:rFonts w:ascii="Arial" w:cs="Arial" w:eastAsia="Arial" w:hAnsi="Arial"/>
          <w:sz w:val="13"/>
          <w:szCs w:val="13"/>
          <w:color w:val="auto"/>
        </w:rPr>
        <w:t>ii</w:t>
      </w:r>
      <w:r>
        <w:rPr>
          <w:rFonts w:ascii="Arial" w:cs="Arial" w:eastAsia="Arial" w:hAnsi="Arial"/>
          <w:sz w:val="16"/>
          <w:szCs w:val="16"/>
          <w:color w:val="auto"/>
        </w:rPr>
        <w:t xml:space="preserve"> Lien Agent and each Additional Agent then party hereto agrees at the Original First Lien Borrower’s expense (x) to execute and deliver any amendments, amendments and restatements, restatements or waivers of or supplements to or other modifications to, any Original First Lien Collateral</w:t>
      </w:r>
    </w:p>
    <w:p>
      <w:pPr>
        <w:spacing w:after="0" w:line="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Documents,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Priority Collateral Documents or Additional Collateral Documents, as applicable, and any agreements relating to any security interest in Control Collateral and Cash Collateral, and to make or consent to any filings or take any other actions (including executing and recording any mortgage subordination or similar agreement), as may be reasonably deemed by the Original First Lien Borrower to be necessary or reasonably desirable for any Lien on any Collateral to secure such Additional Indebtedness to become a valid and perfected Lien (with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500" w:name="page501"/>
    <w:bookmarkEnd w:id="500"/>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priority contemplated by the applicable Additional Indebtedness Designation delivered pursuant to this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and by this Agreement), and (y) otherwise to reasonably cooperate to effectuate a designation of Additional Indebtedness pursuant to this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(including if requested, by executing an acknowledgment of any Additional Indebtedness Joinder or of the occurrence of any Additional Effective Date).</w:t>
      </w:r>
    </w:p>
    <w:p>
      <w:pPr>
        <w:spacing w:after="0" w:line="17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L. </w:t>
      </w:r>
      <w:r>
        <w:rPr>
          <w:rFonts w:ascii="Arial" w:cs="Arial" w:eastAsia="Arial" w:hAnsi="Arial"/>
          <w:sz w:val="17"/>
          <w:szCs w:val="17"/>
          <w:color w:val="auto"/>
        </w:rPr>
        <w:t>Senior Priority Representative; Notice of Senior Priority Representative Change</w:t>
      </w:r>
      <w:r>
        <w:rPr>
          <w:rFonts w:ascii="Arial" w:cs="Arial" w:eastAsia="Arial" w:hAnsi="Arial"/>
          <w:sz w:val="17"/>
          <w:szCs w:val="17"/>
          <w:b w:val="1"/>
          <w:bCs w:val="1"/>
          <w:color w:val="auto"/>
        </w:rPr>
        <w:t xml:space="preserve">. </w:t>
      </w:r>
      <w:r>
        <w:rPr>
          <w:rFonts w:ascii="Arial" w:cs="Arial" w:eastAsia="Arial" w:hAnsi="Arial"/>
          <w:sz w:val="17"/>
          <w:szCs w:val="17"/>
          <w:color w:val="auto"/>
        </w:rPr>
        <w:t>The Senior Priority Representative shall act for the Senior Priority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Secured Parties as provided in this Agreement, and shall be entitled to so act at the direction of the Requisite Senior Priority Holders from time to time. Until a Party (other than the existing Senior Priority Representative) receives written notice from the existing Senior Priority Representative, in accordance with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of this Agreement, of a change in the identity of the Senior Priority Representative, such Party shall be entitled to act as if the existing Senior Priority Representative is in fact the Senior Priority Representative. Each Party (other than the existing Senior Priority Representative) shall be entitled to rely upon any written notice of a change in the identity of the Senior Priority Representative which facially appears to be from the then existing Senior Priority Representative and is delivered in accordance with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and such Agent shall not be required to inquire into the veracity or genuineness of such notice. Each existing Senior Priority Representative from time to time agrees to give prompt written notice to each Party of any change in the identity of the Senior Priority Representative.</w:t>
      </w:r>
    </w:p>
    <w:p>
      <w:pPr>
        <w:spacing w:after="0" w:line="174" w:lineRule="exact"/>
        <w:rPr>
          <w:sz w:val="20"/>
          <w:szCs w:val="20"/>
          <w:color w:val="auto"/>
        </w:rPr>
      </w:pPr>
    </w:p>
    <w:p>
      <w:pPr>
        <w:ind w:left="720" w:hanging="256"/>
        <w:spacing w:after="0"/>
        <w:tabs>
          <w:tab w:leader="none" w:pos="720" w:val="left"/>
        </w:tabs>
        <w:numPr>
          <w:ilvl w:val="0"/>
          <w:numId w:val="549"/>
        </w:numPr>
        <w:rPr>
          <w:rFonts w:ascii="Arial" w:cs="Arial" w:eastAsia="Arial" w:hAnsi="Arial"/>
          <w:sz w:val="18"/>
          <w:szCs w:val="18"/>
          <w:b w:val="1"/>
          <w:bCs w:val="1"/>
          <w:color w:val="auto"/>
        </w:rPr>
      </w:pPr>
      <w:r>
        <w:rPr>
          <w:rFonts w:ascii="Arial" w:cs="Arial" w:eastAsia="Arial" w:hAnsi="Arial"/>
          <w:sz w:val="18"/>
          <w:szCs w:val="18"/>
          <w:color w:val="auto"/>
        </w:rPr>
        <w:t>[Reserved]</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100" w:firstLine="464"/>
        <w:spacing w:after="0" w:line="289" w:lineRule="auto"/>
        <w:tabs>
          <w:tab w:leader="none" w:pos="676" w:val="left"/>
        </w:tabs>
        <w:numPr>
          <w:ilvl w:val="0"/>
          <w:numId w:val="549"/>
        </w:numPr>
        <w:rPr>
          <w:rFonts w:ascii="Arial" w:cs="Arial" w:eastAsia="Arial" w:hAnsi="Arial"/>
          <w:sz w:val="16"/>
          <w:szCs w:val="16"/>
          <w:b w:val="1"/>
          <w:bCs w:val="1"/>
          <w:color w:val="auto"/>
        </w:rPr>
      </w:pPr>
      <w:r>
        <w:rPr>
          <w:rFonts w:ascii="Arial" w:cs="Arial" w:eastAsia="Arial" w:hAnsi="Arial"/>
          <w:sz w:val="16"/>
          <w:szCs w:val="16"/>
          <w:color w:val="auto"/>
        </w:rPr>
        <w:t>Provisions Solely to Define Relative Rights</w:t>
      </w:r>
      <w:r>
        <w:rPr>
          <w:rFonts w:ascii="Arial" w:cs="Arial" w:eastAsia="Arial" w:hAnsi="Arial"/>
          <w:sz w:val="16"/>
          <w:szCs w:val="16"/>
          <w:b w:val="1"/>
          <w:bCs w:val="1"/>
          <w:color w:val="auto"/>
        </w:rPr>
        <w:t>.</w:t>
      </w:r>
      <w:r>
        <w:rPr>
          <w:rFonts w:ascii="Arial" w:cs="Arial" w:eastAsia="Arial" w:hAnsi="Arial"/>
          <w:sz w:val="16"/>
          <w:szCs w:val="16"/>
          <w:color w:val="auto"/>
        </w:rPr>
        <w:t xml:space="preserve"> The provisions of this Agreement are and are intended solely for the purpose of defining the relative rights of the Senior Priority Secured Parties and the Junior Priority Secured Parties, respectively. Nothing in this Agreement is intended to or shall impair the rights of the Original First Lien Borrower or any other Loan Party, or the obligations of the Original First Lien Borrower or any other Loan Party to pay the</w:t>
      </w:r>
    </w:p>
    <w:p>
      <w:pPr>
        <w:spacing w:after="0" w:line="1" w:lineRule="exact"/>
        <w:rPr>
          <w:rFonts w:ascii="Arial" w:cs="Arial" w:eastAsia="Arial" w:hAnsi="Arial"/>
          <w:sz w:val="16"/>
          <w:szCs w:val="16"/>
          <w:b w:val="1"/>
          <w:bCs w:val="1"/>
          <w:color w:val="auto"/>
        </w:rPr>
      </w:pPr>
    </w:p>
    <w:p>
      <w:pPr>
        <w:ind w:right="34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Original First Lien Obligations,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Obligations and any Additional Obligations as and when the same shall become due and payable in accordance with their terms.</w:t>
      </w:r>
    </w:p>
    <w:p>
      <w:pPr>
        <w:spacing w:after="0" w:line="179" w:lineRule="exact"/>
        <w:rPr>
          <w:rFonts w:ascii="Arial" w:cs="Arial" w:eastAsia="Arial" w:hAnsi="Arial"/>
          <w:sz w:val="16"/>
          <w:szCs w:val="16"/>
          <w:b w:val="1"/>
          <w:bCs w:val="1"/>
          <w:color w:val="auto"/>
        </w:rPr>
      </w:pPr>
    </w:p>
    <w:p>
      <w:pPr>
        <w:ind w:right="240" w:firstLine="464"/>
        <w:spacing w:after="0" w:line="282" w:lineRule="auto"/>
        <w:tabs>
          <w:tab w:leader="none" w:pos="686" w:val="left"/>
        </w:tabs>
        <w:numPr>
          <w:ilvl w:val="0"/>
          <w:numId w:val="549"/>
        </w:numPr>
        <w:rPr>
          <w:rFonts w:ascii="Arial" w:cs="Arial" w:eastAsia="Arial" w:hAnsi="Arial"/>
          <w:sz w:val="18"/>
          <w:szCs w:val="18"/>
          <w:b w:val="1"/>
          <w:bCs w:val="1"/>
          <w:color w:val="auto"/>
        </w:rPr>
      </w:pPr>
      <w:r>
        <w:rPr>
          <w:rFonts w:ascii="Arial" w:cs="Arial" w:eastAsia="Arial" w:hAnsi="Arial"/>
          <w:sz w:val="18"/>
          <w:szCs w:val="18"/>
          <w:u w:val="single" w:color="auto"/>
          <w:color w:val="auto"/>
        </w:rPr>
        <w:t>Headings</w:t>
      </w:r>
      <w:r>
        <w:rPr>
          <w:rFonts w:ascii="Arial" w:cs="Arial" w:eastAsia="Arial" w:hAnsi="Arial"/>
          <w:sz w:val="18"/>
          <w:szCs w:val="18"/>
          <w:b w:val="1"/>
          <w:bCs w:val="1"/>
          <w:color w:val="auto"/>
        </w:rPr>
        <w:t>.</w:t>
      </w:r>
      <w:r>
        <w:rPr>
          <w:rFonts w:ascii="Arial" w:cs="Arial" w:eastAsia="Arial" w:hAnsi="Arial"/>
          <w:sz w:val="18"/>
          <w:szCs w:val="18"/>
          <w:color w:val="auto"/>
        </w:rPr>
        <w:t xml:space="preserve"> The headings of the articles and sections of this Agreement are inserted for purposes of convenience only and shall not be construed to affect the meaning or construction of any of the provisions hereof.</w:t>
      </w:r>
    </w:p>
    <w:p>
      <w:pPr>
        <w:spacing w:after="0" w:line="161" w:lineRule="exact"/>
        <w:rPr>
          <w:rFonts w:ascii="Arial" w:cs="Arial" w:eastAsia="Arial" w:hAnsi="Arial"/>
          <w:sz w:val="18"/>
          <w:szCs w:val="18"/>
          <w:b w:val="1"/>
          <w:bCs w:val="1"/>
          <w:color w:val="auto"/>
        </w:rPr>
      </w:pPr>
    </w:p>
    <w:p>
      <w:pPr>
        <w:ind w:right="80" w:firstLine="464"/>
        <w:spacing w:after="0" w:line="266" w:lineRule="auto"/>
        <w:tabs>
          <w:tab w:leader="none" w:pos="640" w:val="left"/>
        </w:tabs>
        <w:numPr>
          <w:ilvl w:val="0"/>
          <w:numId w:val="549"/>
        </w:numPr>
        <w:rPr>
          <w:rFonts w:ascii="Arial" w:cs="Arial" w:eastAsia="Arial" w:hAnsi="Arial"/>
          <w:sz w:val="18"/>
          <w:szCs w:val="18"/>
          <w:b w:val="1"/>
          <w:bCs w:val="1"/>
          <w:color w:val="auto"/>
        </w:rPr>
      </w:pPr>
      <w:r>
        <w:rPr>
          <w:rFonts w:ascii="Arial" w:cs="Arial" w:eastAsia="Arial" w:hAnsi="Arial"/>
          <w:sz w:val="18"/>
          <w:szCs w:val="18"/>
          <w:u w:val="single" w:color="auto"/>
          <w:color w:val="auto"/>
        </w:rPr>
        <w:t>Severability</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If any of the provisions in this Agreement shall, for any reason, be held invalid, illegal or unenforceable in any respect, such invalidity, illegality, or unenforceability shall not affect any other provision of this Agreement and shall not invalidate the Lien Priority or the application of Proceeds and other priorities set forth in this Agreement.</w:t>
      </w:r>
    </w:p>
    <w:p>
      <w:pPr>
        <w:spacing w:after="0" w:line="176" w:lineRule="exact"/>
        <w:rPr>
          <w:rFonts w:ascii="Arial" w:cs="Arial" w:eastAsia="Arial" w:hAnsi="Arial"/>
          <w:sz w:val="18"/>
          <w:szCs w:val="18"/>
          <w:b w:val="1"/>
          <w:bCs w:val="1"/>
          <w:color w:val="auto"/>
        </w:rPr>
      </w:pPr>
    </w:p>
    <w:p>
      <w:pPr>
        <w:jc w:val="both"/>
        <w:ind w:right="180" w:firstLine="464"/>
        <w:spacing w:after="0" w:line="289" w:lineRule="auto"/>
        <w:tabs>
          <w:tab w:leader="none" w:pos="686" w:val="left"/>
        </w:tabs>
        <w:numPr>
          <w:ilvl w:val="0"/>
          <w:numId w:val="549"/>
        </w:numPr>
        <w:rPr>
          <w:rFonts w:ascii="Arial" w:cs="Arial" w:eastAsia="Arial" w:hAnsi="Arial"/>
          <w:sz w:val="17"/>
          <w:szCs w:val="17"/>
          <w:b w:val="1"/>
          <w:bCs w:val="1"/>
          <w:color w:val="auto"/>
        </w:rPr>
      </w:pPr>
      <w:r>
        <w:rPr>
          <w:rFonts w:ascii="Arial" w:cs="Arial" w:eastAsia="Arial" w:hAnsi="Arial"/>
          <w:sz w:val="17"/>
          <w:szCs w:val="17"/>
          <w:color w:val="auto"/>
        </w:rPr>
        <w:t>Attorneys’ Fees</w:t>
      </w:r>
      <w:r>
        <w:rPr>
          <w:rFonts w:ascii="Arial" w:cs="Arial" w:eastAsia="Arial" w:hAnsi="Arial"/>
          <w:sz w:val="17"/>
          <w:szCs w:val="17"/>
          <w:b w:val="1"/>
          <w:bCs w:val="1"/>
          <w:color w:val="auto"/>
        </w:rPr>
        <w:t>.</w:t>
      </w:r>
      <w:r>
        <w:rPr>
          <w:rFonts w:ascii="Arial" w:cs="Arial" w:eastAsia="Arial" w:hAnsi="Arial"/>
          <w:sz w:val="17"/>
          <w:szCs w:val="17"/>
          <w:color w:val="auto"/>
        </w:rPr>
        <w:t xml:space="preserve"> The Parties agree that if any dispute, arbitration, litigation, or other proceeding is brought with respect to the enforcement of this Agreement or any provision hereof, the prevailing party in such dispute, arbitration, litigation, or other proceeding shall be entitled to recover its reasonable attorneys’ fees and all other costs and expenses incurred in the enforcement of this Agreement, irrespective of whether suit is brought.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3" w:right="259" w:bottom="1440" w:gutter="0" w:footer="0" w:header="0"/>
        </w:sectPr>
      </w:pPr>
    </w:p>
    <w:bookmarkStart w:id="501" w:name="page502"/>
    <w:bookmarkEnd w:id="50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 </w:t>
      </w:r>
      <w:r>
        <w:rPr>
          <w:rFonts w:ascii="Arial" w:cs="Arial" w:eastAsia="Arial" w:hAnsi="Arial"/>
          <w:sz w:val="18"/>
          <w:szCs w:val="18"/>
          <w:color w:val="auto"/>
        </w:rPr>
        <w:t>VENUE; JURY TRIAL WAIVER</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64"/>
        <w:spacing w:after="0" w:line="253" w:lineRule="auto"/>
        <w:tabs>
          <w:tab w:leader="none" w:pos="636" w:val="left"/>
        </w:tabs>
        <w:numPr>
          <w:ilvl w:val="0"/>
          <w:numId w:val="550"/>
        </w:numPr>
        <w:rPr>
          <w:rFonts w:ascii="Arial" w:cs="Arial" w:eastAsia="Arial" w:hAnsi="Arial"/>
          <w:sz w:val="18"/>
          <w:szCs w:val="18"/>
          <w:b w:val="1"/>
          <w:bCs w:val="1"/>
          <w:color w:val="auto"/>
        </w:rPr>
      </w:pPr>
      <w:r>
        <w:rPr>
          <w:rFonts w:ascii="Arial" w:cs="Arial" w:eastAsia="Arial" w:hAnsi="Arial"/>
          <w:sz w:val="18"/>
          <w:szCs w:val="18"/>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RELATED THERETO,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97" w:lineRule="exact"/>
        <w:rPr>
          <w:rFonts w:ascii="Arial" w:cs="Arial" w:eastAsia="Arial" w:hAnsi="Arial"/>
          <w:sz w:val="18"/>
          <w:szCs w:val="18"/>
          <w:b w:val="1"/>
          <w:bCs w:val="1"/>
          <w:color w:val="auto"/>
        </w:rPr>
      </w:pPr>
    </w:p>
    <w:p>
      <w:pPr>
        <w:ind w:firstLine="464"/>
        <w:spacing w:after="0" w:line="255" w:lineRule="auto"/>
        <w:tabs>
          <w:tab w:leader="none" w:pos="636" w:val="left"/>
        </w:tabs>
        <w:numPr>
          <w:ilvl w:val="0"/>
          <w:numId w:val="550"/>
        </w:numPr>
        <w:rPr>
          <w:rFonts w:ascii="Arial" w:cs="Arial" w:eastAsia="Arial" w:hAnsi="Arial"/>
          <w:sz w:val="18"/>
          <w:szCs w:val="18"/>
          <w:b w:val="1"/>
          <w:bCs w:val="1"/>
          <w:color w:val="auto"/>
        </w:rPr>
      </w:pPr>
      <w:r>
        <w:rPr>
          <w:rFonts w:ascii="Arial" w:cs="Arial" w:eastAsia="Arial" w:hAnsi="Arial"/>
          <w:sz w:val="18"/>
          <w:szCs w:val="18"/>
          <w:color w:val="auto"/>
        </w:rPr>
        <w:t>EACH PARTY HERETO HEREBY WAIVES ITS RESPECTIVE RIGHTS TO A JURY TRIAL OF ANY CLAIM OR CAUSE OF ACTION BASED UPON OR ARISING OUT OF THIS AGREEMENT OR ANY OF THE TRANSACTIONS CONTEMPLATED HEREIN, INCLUDING CONTRACT CLAIMS, TORT CLAIMS, BREACH OF DUTY CLAIMS, AND ALL OTHER COMMON LAW OR STATUTORY CLAIMS. EACH PARTY HERETO REPRESENTS THAT IT HAS REVIEWED THIS WAIVER AND IT KNOWINGLY AND VOLUNTARILY WAIVES ITS JURY TRIAL RIGHTS FOLLOWING CONSULTATION WITH LEGAL COUNSEL. IN THE EVENT OF LITIGATION, A COPY OF THIS AGREEMENT MAY BE FILED AS A WRITTEN CONSENT TO A TRIAL BY THE COURT.</w:t>
      </w:r>
    </w:p>
    <w:p>
      <w:pPr>
        <w:spacing w:after="0" w:line="193" w:lineRule="exact"/>
        <w:rPr>
          <w:rFonts w:ascii="Arial" w:cs="Arial" w:eastAsia="Arial" w:hAnsi="Arial"/>
          <w:sz w:val="18"/>
          <w:szCs w:val="18"/>
          <w:b w:val="1"/>
          <w:bCs w:val="1"/>
          <w:color w:val="auto"/>
        </w:rPr>
      </w:pPr>
    </w:p>
    <w:p>
      <w:pPr>
        <w:ind w:right="220" w:firstLine="464"/>
        <w:spacing w:after="0" w:line="264" w:lineRule="auto"/>
        <w:tabs>
          <w:tab w:leader="none" w:pos="636" w:val="left"/>
        </w:tabs>
        <w:numPr>
          <w:ilvl w:val="0"/>
          <w:numId w:val="550"/>
        </w:numPr>
        <w:rPr>
          <w:rFonts w:ascii="Arial" w:cs="Arial" w:eastAsia="Arial" w:hAnsi="Arial"/>
          <w:sz w:val="18"/>
          <w:szCs w:val="18"/>
          <w:b w:val="1"/>
          <w:bCs w:val="1"/>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NOTHING IN THIS AGREEMENT WILL AFFECT THE RIGHT OF ANY PARTY TO THIS AGREEMENT TO SERVE PROCESS IN ANY OTHER MANNER PERMITTED BY LAW.</w:t>
      </w:r>
    </w:p>
    <w:p>
      <w:pPr>
        <w:spacing w:after="0" w:line="17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7"/>
          <w:szCs w:val="17"/>
          <w:b w:val="1"/>
          <w:bCs w:val="1"/>
          <w:color w:val="auto"/>
        </w:rPr>
        <w:t xml:space="preserve">S. </w:t>
      </w:r>
      <w:r>
        <w:rPr>
          <w:rFonts w:ascii="Arial" w:cs="Arial" w:eastAsia="Arial" w:hAnsi="Arial"/>
          <w:sz w:val="17"/>
          <w:szCs w:val="17"/>
          <w:color w:val="auto"/>
        </w:rPr>
        <w:t>Intercreditor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the “Intercreditor Agreement” referred to in the Original First Lien Credit Agreement, the [ ]</w:t>
      </w:r>
      <w:r>
        <w:rPr>
          <w:rFonts w:ascii="Arial" w:cs="Arial" w:eastAsia="Arial" w:hAnsi="Arial"/>
          <w:sz w:val="14"/>
          <w:szCs w:val="14"/>
          <w:color w:val="auto"/>
        </w:rPr>
        <w:t>i</w:t>
      </w:r>
      <w:r>
        <w:rPr>
          <w:rFonts w:ascii="Arial" w:cs="Arial" w:eastAsia="Arial" w:hAnsi="Arial"/>
          <w:sz w:val="17"/>
          <w:szCs w:val="17"/>
          <w:b w:val="1"/>
          <w:bCs w:val="1"/>
          <w:color w:val="auto"/>
        </w:rPr>
        <w:t xml:space="preserve"> </w:t>
      </w:r>
      <w:r>
        <w:rPr>
          <w:rFonts w:ascii="Arial" w:cs="Arial" w:eastAsia="Arial" w:hAnsi="Arial"/>
          <w:sz w:val="17"/>
          <w:szCs w:val="17"/>
          <w:color w:val="auto"/>
        </w:rPr>
        <w:t>[First/Second]</w:t>
      </w:r>
      <w:r>
        <w:rPr>
          <w:rFonts w:ascii="Arial" w:cs="Arial" w:eastAsia="Arial" w:hAnsi="Arial"/>
          <w:sz w:val="14"/>
          <w:szCs w:val="14"/>
          <w:color w:val="auto"/>
        </w:rPr>
        <w:t>ii</w:t>
      </w:r>
      <w:r>
        <w:rPr>
          <w:rFonts w:ascii="Arial" w:cs="Arial" w:eastAsia="Arial" w:hAnsi="Arial"/>
          <w:sz w:val="17"/>
          <w:szCs w:val="17"/>
          <w:color w:val="auto"/>
        </w:rPr>
        <w:t xml:space="preserve"> Lien Priority Credit Facility and each Additional Credit Facility. Nothing in this Agreement shall be deemed to subordinate the right of any Junior Priority Secured Party to receive payment to the right of any Senior Priority Secured Party (whether before or after the occurrence of an Insolvency Proceeding), it being the intent of the Parties that this Agreement shall effectuate a subordination of Liens as between the Senior Priority Secured Parties, on the one hand, and the Junior Priority Secured Parties, on the other hand, but not a subordination of Indebtedness.</w:t>
      </w:r>
    </w:p>
    <w:p>
      <w:pPr>
        <w:spacing w:after="0" w:line="168" w:lineRule="exact"/>
        <w:rPr>
          <w:sz w:val="20"/>
          <w:szCs w:val="20"/>
          <w:color w:val="auto"/>
        </w:rPr>
      </w:pPr>
    </w:p>
    <w:p>
      <w:pPr>
        <w:ind w:right="120" w:firstLine="456"/>
        <w:spacing w:after="0" w:line="303" w:lineRule="auto"/>
        <w:rPr>
          <w:sz w:val="20"/>
          <w:szCs w:val="20"/>
          <w:color w:val="auto"/>
        </w:rPr>
      </w:pPr>
      <w:r>
        <w:rPr>
          <w:rFonts w:ascii="Arial" w:cs="Arial" w:eastAsia="Arial" w:hAnsi="Arial"/>
          <w:sz w:val="16"/>
          <w:szCs w:val="16"/>
          <w:b w:val="1"/>
          <w:bCs w:val="1"/>
          <w:color w:val="auto"/>
        </w:rPr>
        <w:t xml:space="preserve">T. </w:t>
      </w:r>
      <w:r>
        <w:rPr>
          <w:rFonts w:ascii="Arial" w:cs="Arial" w:eastAsia="Arial" w:hAnsi="Arial"/>
          <w:sz w:val="16"/>
          <w:szCs w:val="16"/>
          <w:color w:val="auto"/>
        </w:rPr>
        <w:t>No Warranties or Liability. Each Party acknowledges and agrees that none of the other Parties has made any representation or warranty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execution, validity, legality, completeness, collectability or enforceability of any other Original First Lien Document, any [ ]</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Document or any other Additional Document. Except as otherwise provided in this Agreement, each Party will be entitled to manage and supervise its respective extensions of credit to any Loan Party in accordance with law and their usual practices, modified from time to time as they deem appropriate.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69" w:right="239" w:bottom="1440" w:gutter="0" w:footer="0" w:header="0"/>
        </w:sectPr>
      </w:pPr>
    </w:p>
    <w:bookmarkStart w:id="502" w:name="page503"/>
    <w:bookmarkEnd w:id="502"/>
    <w:p>
      <w:pPr>
        <w:jc w:val="both"/>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 </w:t>
      </w:r>
      <w:r>
        <w:rPr>
          <w:rFonts w:ascii="Arial" w:cs="Arial" w:eastAsia="Arial" w:hAnsi="Arial"/>
          <w:sz w:val="16"/>
          <w:szCs w:val="16"/>
          <w:color w:val="auto"/>
        </w:rPr>
        <w:t>Conflicts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conflict between the provisions of this Agreement and the provisions of any Original First Lien Document, any [ ]</w:t>
      </w:r>
      <w:r>
        <w:rPr>
          <w:rFonts w:ascii="Arial" w:cs="Arial" w:eastAsia="Arial" w:hAnsi="Arial"/>
          <w:sz w:val="13"/>
          <w:szCs w:val="13"/>
          <w:color w:val="auto"/>
        </w:rPr>
        <w:t>i</w:t>
      </w:r>
      <w:r>
        <w:rPr>
          <w:rFonts w:ascii="Arial" w:cs="Arial" w:eastAsia="Arial" w:hAnsi="Arial"/>
          <w:sz w:val="16"/>
          <w:szCs w:val="16"/>
          <w:b w:val="1"/>
          <w:bCs w:val="1"/>
          <w:color w:val="auto"/>
        </w:rPr>
        <w:t xml:space="preserve"> </w:t>
      </w:r>
      <w:r>
        <w:rPr>
          <w:rFonts w:ascii="Arial" w:cs="Arial" w:eastAsia="Arial" w:hAnsi="Arial"/>
          <w:sz w:val="16"/>
          <w:szCs w:val="16"/>
          <w:color w:val="auto"/>
        </w:rPr>
        <w:t>[First/Second]</w:t>
      </w:r>
      <w:r>
        <w:rPr>
          <w:rFonts w:ascii="Arial" w:cs="Arial" w:eastAsia="Arial" w:hAnsi="Arial"/>
          <w:sz w:val="13"/>
          <w:szCs w:val="13"/>
          <w:color w:val="auto"/>
        </w:rPr>
        <w:t>ii</w:t>
      </w:r>
      <w:r>
        <w:rPr>
          <w:rFonts w:ascii="Arial" w:cs="Arial" w:eastAsia="Arial" w:hAnsi="Arial"/>
          <w:sz w:val="16"/>
          <w:szCs w:val="16"/>
          <w:color w:val="auto"/>
        </w:rPr>
        <w:t xml:space="preserve"> Lien Document or any Additional Document, the provisions of this Agreement shall govern. The parties hereto acknowledge that the terms of this Agreement are not intended to negate any specific rights granted to, or obligations of, the Original First Lien Borrower or any other Loan Party in the</w:t>
      </w:r>
    </w:p>
    <w:p>
      <w:pPr>
        <w:spacing w:after="0" w:line="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Original First Lien Documents, the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Documents or any Additional Documents.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V. </w:t>
      </w:r>
      <w:r>
        <w:rPr>
          <w:rFonts w:ascii="Arial" w:cs="Arial" w:eastAsia="Arial" w:hAnsi="Arial"/>
          <w:sz w:val="17"/>
          <w:szCs w:val="17"/>
          <w:color w:val="auto"/>
        </w:rPr>
        <w:t>Information Concerning Financial Condition of the Loan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No Party has any responsibility for keeping any other Party informed of the</w:t>
      </w:r>
    </w:p>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condition of the Loan Parties or of other circumstances bearing upon the risk of nonpayment of the Original First Lien Obligations,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Obligations or any Additional Obligations, as applicable. Each Party hereby agrees that no Party shall have any duty to advise any other Party of information known to it regarding such condition or any such circumstances. In the event any Party, in its sole discretion, undertakes at any time or from time to time to provide any information to any other Party to this Agreement, it shall be under no obligation (a) to provide any such information to such other Party or any other Party on any subsequent occasion, (b) to undertake any investigation not a part of its regular business routine, (c) to disclose any other information or (d) make any express or implied representation or warranty, including with respect to the accuracy, completeness, truthfulness or validity of any such information so provided.</w:t>
      </w:r>
    </w:p>
    <w:p>
      <w:pPr>
        <w:spacing w:after="0" w:line="190" w:lineRule="exact"/>
        <w:rPr>
          <w:sz w:val="20"/>
          <w:szCs w:val="20"/>
          <w:color w:val="auto"/>
        </w:rPr>
      </w:pPr>
    </w:p>
    <w:p>
      <w:pPr>
        <w:ind w:right="260" w:firstLine="456"/>
        <w:spacing w:after="0" w:line="314" w:lineRule="auto"/>
        <w:rPr>
          <w:sz w:val="20"/>
          <w:szCs w:val="20"/>
          <w:color w:val="auto"/>
        </w:rPr>
      </w:pPr>
      <w:r>
        <w:rPr>
          <w:rFonts w:ascii="Arial" w:cs="Arial" w:eastAsia="Arial" w:hAnsi="Arial"/>
          <w:sz w:val="16"/>
          <w:szCs w:val="16"/>
          <w:b w:val="1"/>
          <w:bCs w:val="1"/>
          <w:color w:val="auto"/>
        </w:rPr>
        <w:t xml:space="preserve">W. </w:t>
      </w:r>
      <w:r>
        <w:rPr>
          <w:rFonts w:ascii="Arial" w:cs="Arial" w:eastAsia="Arial" w:hAnsi="Arial"/>
          <w:sz w:val="16"/>
          <w:szCs w:val="16"/>
          <w:color w:val="auto"/>
        </w:rPr>
        <w:t>Excluded Assets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avoidance of doubt, nothing in this Agreement (including</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2.01, 4.01, 6.01</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6.09</w:t>
      </w:r>
      <w:r>
        <w:rPr>
          <w:rFonts w:ascii="Arial" w:cs="Arial" w:eastAsia="Arial" w:hAnsi="Arial"/>
          <w:sz w:val="16"/>
          <w:szCs w:val="16"/>
          <w:b w:val="1"/>
          <w:bCs w:val="1"/>
          <w:color w:val="auto"/>
        </w:rPr>
        <w:t xml:space="preserve"> </w:t>
      </w:r>
      <w:r>
        <w:rPr>
          <w:rFonts w:ascii="Arial" w:cs="Arial" w:eastAsia="Arial" w:hAnsi="Arial"/>
          <w:sz w:val="16"/>
          <w:szCs w:val="16"/>
          <w:color w:val="auto"/>
        </w:rPr>
        <w:t>hereof)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or require that any Agent or any Secured Party represented thereby receive any Proceeds of, or any Lien on, any Property of any Loan Party that constitutes “Excluded Assets” under (and as defined in) the applicable Credit Facility or any related Credit Document to which such Agent is a party.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0" w:right="259" w:bottom="1440" w:gutter="0" w:footer="0" w:header="0"/>
        </w:sectPr>
      </w:pPr>
    </w:p>
    <w:bookmarkStart w:id="503" w:name="page504"/>
    <w:bookmarkEnd w:id="503"/>
    <w:tbl>
      <w:tblPr>
        <w:tblLayout w:type="fixed"/>
        <w:tblInd w:w="0" w:type="dxa"/>
        <w:tblCellMar>
          <w:top w:w="0" w:type="dxa"/>
          <w:left w:w="0" w:type="dxa"/>
          <w:bottom w:w="0" w:type="dxa"/>
          <w:right w:w="0" w:type="dxa"/>
        </w:tblCellMar>
      </w:tblPr>
      <w:tr>
        <w:trPr>
          <w:trHeight w:val="216"/>
        </w:trPr>
        <w:tc>
          <w:tcPr>
            <w:tcW w:w="10660" w:type="dxa"/>
            <w:vAlign w:val="bottom"/>
            <w:gridSpan w:val="4"/>
          </w:tcPr>
          <w:p>
            <w:pPr>
              <w:ind w:left="460"/>
              <w:spacing w:after="0"/>
              <w:rPr>
                <w:sz w:val="20"/>
                <w:szCs w:val="20"/>
                <w:color w:val="auto"/>
              </w:rPr>
            </w:pPr>
            <w:r>
              <w:rPr>
                <w:rFonts w:ascii="Arial" w:cs="Arial" w:eastAsia="Arial" w:hAnsi="Arial"/>
                <w:sz w:val="18"/>
                <w:szCs w:val="18"/>
                <w:color w:val="auto"/>
                <w:w w:val="95"/>
              </w:rPr>
              <w:t>IN WITNESS WHEREOF, the Original First Lien Agent, for and on behalf of itself and the Original First Lien Secured Parties, and the [</w:t>
            </w:r>
          </w:p>
        </w:tc>
        <w:tc>
          <w:tcPr>
            <w:tcW w:w="7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w w:val="96"/>
              </w:rPr>
              <w:t>[First/Second]</w:t>
            </w:r>
            <w:r>
              <w:rPr>
                <w:rFonts w:ascii="Arial" w:cs="Arial" w:eastAsia="Arial" w:hAnsi="Arial"/>
                <w:sz w:val="15"/>
                <w:szCs w:val="15"/>
                <w:color w:val="auto"/>
                <w:w w:val="96"/>
              </w:rPr>
              <w:t>ii</w:t>
            </w:r>
            <w:r>
              <w:rPr>
                <w:rFonts w:ascii="Arial" w:cs="Arial" w:eastAsia="Arial" w:hAnsi="Arial"/>
                <w:sz w:val="18"/>
                <w:szCs w:val="18"/>
                <w:color w:val="auto"/>
                <w:w w:val="96"/>
              </w:rPr>
              <w:t xml:space="preserve"> Lien Agent, for and on behalf of itself and the [</w:t>
            </w:r>
          </w:p>
        </w:tc>
        <w:tc>
          <w:tcPr>
            <w:tcW w:w="6660" w:type="dxa"/>
            <w:vAlign w:val="bottom"/>
            <w:gridSpan w:val="4"/>
          </w:tcPr>
          <w:p>
            <w:pPr>
              <w:ind w:left="18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Creditors, have caused this Agreement to be duly executed and</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delivered as of the date first above written.</w:t>
            </w:r>
          </w:p>
        </w:tc>
        <w:tc>
          <w:tcPr>
            <w:tcW w:w="2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5"/>
        </w:trPr>
        <w:tc>
          <w:tcPr>
            <w:tcW w:w="4760" w:type="dxa"/>
            <w:vAlign w:val="bottom"/>
          </w:tcPr>
          <w:p>
            <w:pPr>
              <w:spacing w:after="0"/>
              <w:rPr>
                <w:sz w:val="24"/>
                <w:szCs w:val="24"/>
                <w:color w:val="auto"/>
              </w:rPr>
            </w:pPr>
          </w:p>
        </w:tc>
        <w:tc>
          <w:tcPr>
            <w:tcW w:w="2420" w:type="dxa"/>
            <w:vAlign w:val="bottom"/>
          </w:tcPr>
          <w:p>
            <w:pPr>
              <w:ind w:left="2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0"/>
        </w:trPr>
        <w:tc>
          <w:tcPr>
            <w:tcW w:w="4760" w:type="dxa"/>
            <w:vAlign w:val="bottom"/>
          </w:tcPr>
          <w:p>
            <w:pPr>
              <w:spacing w:after="0"/>
              <w:rPr>
                <w:sz w:val="20"/>
                <w:szCs w:val="20"/>
                <w:color w:val="auto"/>
              </w:rPr>
            </w:pPr>
          </w:p>
        </w:tc>
        <w:tc>
          <w:tcPr>
            <w:tcW w:w="5900" w:type="dxa"/>
            <w:vAlign w:val="bottom"/>
            <w:gridSpan w:val="3"/>
          </w:tcPr>
          <w:p>
            <w:pPr>
              <w:ind w:left="2100"/>
              <w:spacing w:after="0"/>
              <w:rPr>
                <w:sz w:val="20"/>
                <w:szCs w:val="20"/>
                <w:color w:val="auto"/>
              </w:rPr>
            </w:pPr>
            <w:r>
              <w:rPr>
                <w:rFonts w:ascii="Arial" w:cs="Arial" w:eastAsia="Arial" w:hAnsi="Arial"/>
                <w:sz w:val="18"/>
                <w:szCs w:val="18"/>
                <w:color w:val="auto"/>
              </w:rPr>
              <w:t>in its capacity as Original First Lien Agent</w:t>
            </w:r>
          </w:p>
        </w:tc>
        <w:tc>
          <w:tcPr>
            <w:tcW w:w="760" w:type="dxa"/>
            <w:vAlign w:val="bottom"/>
          </w:tcPr>
          <w:p>
            <w:pPr>
              <w:spacing w:after="0"/>
              <w:rPr>
                <w:sz w:val="20"/>
                <w:szCs w:val="20"/>
                <w:color w:val="auto"/>
              </w:rPr>
            </w:pPr>
          </w:p>
        </w:tc>
      </w:tr>
      <w:tr>
        <w:trPr>
          <w:trHeight w:val="446"/>
        </w:trPr>
        <w:tc>
          <w:tcPr>
            <w:tcW w:w="4760" w:type="dxa"/>
            <w:vAlign w:val="bottom"/>
          </w:tcPr>
          <w:p>
            <w:pPr>
              <w:spacing w:after="0"/>
              <w:rPr>
                <w:sz w:val="24"/>
                <w:szCs w:val="24"/>
                <w:color w:val="auto"/>
              </w:rPr>
            </w:pP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09"/>
        </w:trPr>
        <w:tc>
          <w:tcPr>
            <w:tcW w:w="4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4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420" w:type="dxa"/>
            <w:vAlign w:val="bottom"/>
          </w:tcPr>
          <w:p>
            <w:pPr>
              <w:ind w:left="2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0"/>
        </w:trPr>
        <w:tc>
          <w:tcPr>
            <w:tcW w:w="4760" w:type="dxa"/>
            <w:vAlign w:val="bottom"/>
          </w:tcPr>
          <w:p>
            <w:pPr>
              <w:spacing w:after="0"/>
              <w:rPr>
                <w:sz w:val="20"/>
                <w:szCs w:val="20"/>
                <w:color w:val="auto"/>
              </w:rPr>
            </w:pPr>
          </w:p>
        </w:tc>
        <w:tc>
          <w:tcPr>
            <w:tcW w:w="3580" w:type="dxa"/>
            <w:vAlign w:val="bottom"/>
            <w:gridSpan w:val="2"/>
          </w:tcPr>
          <w:p>
            <w:pPr>
              <w:ind w:left="2100"/>
              <w:spacing w:after="0"/>
              <w:rPr>
                <w:sz w:val="20"/>
                <w:szCs w:val="20"/>
                <w:color w:val="auto"/>
              </w:rPr>
            </w:pPr>
            <w:r>
              <w:rPr>
                <w:rFonts w:ascii="Arial" w:cs="Arial" w:eastAsia="Arial" w:hAnsi="Arial"/>
                <w:sz w:val="18"/>
                <w:szCs w:val="18"/>
                <w:color w:val="auto"/>
              </w:rPr>
              <w:t>in its capacity as [</w:t>
            </w:r>
          </w:p>
        </w:tc>
        <w:tc>
          <w:tcPr>
            <w:tcW w:w="2320" w:type="dxa"/>
            <w:vAlign w:val="bottom"/>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 Agent</w:t>
            </w:r>
          </w:p>
        </w:tc>
        <w:tc>
          <w:tcPr>
            <w:tcW w:w="760" w:type="dxa"/>
            <w:vAlign w:val="bottom"/>
          </w:tcPr>
          <w:p>
            <w:pPr>
              <w:spacing w:after="0"/>
              <w:rPr>
                <w:sz w:val="20"/>
                <w:szCs w:val="20"/>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Intercreditor Agreement]</w:t>
      </w:r>
    </w:p>
    <w:p>
      <w:pPr>
        <w:sectPr>
          <w:pgSz w:w="11900" w:h="16838" w:orient="portrait"/>
          <w:cols w:equalWidth="0" w:num="1">
            <w:col w:w="11420"/>
          </w:cols>
          <w:pgMar w:left="240" w:top="274" w:right="239" w:bottom="1440" w:gutter="0" w:footer="0" w:header="0"/>
        </w:sectPr>
      </w:pPr>
    </w:p>
    <w:bookmarkStart w:id="504" w:name="page505"/>
    <w:bookmarkEnd w:id="50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Loan Party hereby acknowledges that it has received a copy of this Agreement and consents thereto, agrees to recognize all rights granted thereby</w:t>
      </w:r>
    </w:p>
    <w:p>
      <w:pPr>
        <w:spacing w:after="0" w:line="4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to the Original First Lien Agent, the Original First Lien Secured Parties,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Creditors, any Additional Agent and any Additional Credit Facility Secured Parties, and will not do any act or perform any obligation which is not in accordance with the agreements set forth in this Agreement.</w:t>
      </w:r>
    </w:p>
    <w:p>
      <w:pPr>
        <w:spacing w:after="0" w:line="216"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LOAN PARTIES:</w:t>
      </w:r>
      <w:r>
        <w:rPr>
          <w:sz w:val="20"/>
          <w:szCs w:val="20"/>
          <w:color w:val="auto"/>
        </w:rPr>
        <w:tab/>
      </w:r>
      <w:r>
        <w:rPr>
          <w:rFonts w:ascii="Arial" w:cs="Arial" w:eastAsia="Arial" w:hAnsi="Arial"/>
          <w:sz w:val="17"/>
          <w:szCs w:val="17"/>
          <w:color w:val="auto"/>
        </w:rPr>
        <w:t>AMERICAN AIRLINES,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AMERICAN AIRLINES GROUP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to Intercreditor Agreement]</w:t>
      </w:r>
    </w:p>
    <w:p>
      <w:pPr>
        <w:sectPr>
          <w:pgSz w:w="11900" w:h="16838" w:orient="portrait"/>
          <w:cols w:equalWidth="0" w:num="1">
            <w:col w:w="11380"/>
          </w:cols>
          <w:pgMar w:left="240" w:top="274" w:right="279" w:bottom="1440" w:gutter="0" w:footer="0" w:header="0"/>
        </w:sectPr>
      </w:pPr>
    </w:p>
    <w:bookmarkStart w:id="505" w:name="page506"/>
    <w:bookmarkEnd w:id="505"/>
    <w:tbl>
      <w:tblPr>
        <w:tblLayout w:type="fixed"/>
        <w:tblInd w:w="4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60" w:type="dxa"/>
            <w:vAlign w:val="bottom"/>
          </w:tcPr>
          <w:p>
            <w:pPr>
              <w:ind w:left="2200"/>
              <w:spacing w:after="0"/>
              <w:rPr>
                <w:sz w:val="20"/>
                <w:szCs w:val="20"/>
                <w:color w:val="auto"/>
              </w:rPr>
            </w:pPr>
            <w:r>
              <w:rPr>
                <w:rFonts w:ascii="Arial" w:cs="Arial" w:eastAsia="Arial" w:hAnsi="Arial"/>
                <w:sz w:val="18"/>
                <w:szCs w:val="18"/>
                <w:b w:val="1"/>
                <w:bCs w:val="1"/>
                <w:color w:val="auto"/>
                <w:w w:val="91"/>
              </w:rPr>
              <w:t>Exhibit A to the Intercreditor Agreement</w:t>
            </w:r>
          </w:p>
        </w:tc>
      </w:tr>
      <w:tr>
        <w:trPr>
          <w:trHeight w:val="432"/>
        </w:trPr>
        <w:tc>
          <w:tcPr>
            <w:tcW w:w="2320" w:type="dxa"/>
            <w:vAlign w:val="bottom"/>
          </w:tcPr>
          <w:p>
            <w:pPr>
              <w:spacing w:after="0"/>
              <w:rPr>
                <w:sz w:val="24"/>
                <w:szCs w:val="24"/>
                <w:color w:val="auto"/>
              </w:rPr>
            </w:pPr>
          </w:p>
        </w:tc>
        <w:tc>
          <w:tcPr>
            <w:tcW w:w="8640" w:type="dxa"/>
            <w:vAlign w:val="bottom"/>
            <w:gridSpan w:val="3"/>
          </w:tcPr>
          <w:p>
            <w:pPr>
              <w:ind w:left="900"/>
              <w:spacing w:after="0"/>
              <w:rPr>
                <w:sz w:val="20"/>
                <w:szCs w:val="20"/>
                <w:color w:val="auto"/>
              </w:rPr>
            </w:pPr>
            <w:r>
              <w:rPr>
                <w:rFonts w:ascii="Arial" w:cs="Arial" w:eastAsia="Arial" w:hAnsi="Arial"/>
                <w:sz w:val="18"/>
                <w:szCs w:val="18"/>
                <w:b w:val="1"/>
                <w:bCs w:val="1"/>
                <w:color w:val="auto"/>
              </w:rPr>
              <w:t>I. ADDITIONAL INDEBTEDNESS DESIGNATION</w:t>
            </w:r>
          </w:p>
        </w:tc>
      </w:tr>
      <w:tr>
        <w:trPr>
          <w:trHeight w:val="392"/>
        </w:trPr>
        <w:tc>
          <w:tcPr>
            <w:tcW w:w="2320" w:type="dxa"/>
            <w:vAlign w:val="bottom"/>
          </w:tcPr>
          <w:p>
            <w:pPr>
              <w:spacing w:after="0"/>
              <w:rPr>
                <w:sz w:val="20"/>
                <w:szCs w:val="20"/>
                <w:color w:val="auto"/>
              </w:rPr>
            </w:pPr>
            <w:r>
              <w:rPr>
                <w:rFonts w:ascii="Arial" w:cs="Arial" w:eastAsia="Arial" w:hAnsi="Arial"/>
                <w:sz w:val="18"/>
                <w:szCs w:val="18"/>
                <w:color w:val="auto"/>
              </w:rPr>
              <w:t>DESIGNATION dated as of</w:t>
            </w:r>
          </w:p>
        </w:tc>
        <w:tc>
          <w:tcPr>
            <w:tcW w:w="8640" w:type="dxa"/>
            <w:vAlign w:val="bottom"/>
            <w:gridSpan w:val="3"/>
          </w:tcPr>
          <w:p>
            <w:pPr>
              <w:ind w:left="300"/>
              <w:spacing w:after="0"/>
              <w:rPr>
                <w:sz w:val="20"/>
                <w:szCs w:val="20"/>
                <w:color w:val="auto"/>
              </w:rPr>
            </w:pPr>
            <w:r>
              <w:rPr>
                <w:rFonts w:ascii="Arial" w:cs="Arial" w:eastAsia="Arial" w:hAnsi="Arial"/>
                <w:sz w:val="18"/>
                <w:szCs w:val="18"/>
                <w:color w:val="auto"/>
                <w:w w:val="95"/>
              </w:rPr>
              <w:t>, 20  , by [COMPANY]</w:t>
            </w:r>
            <w:r>
              <w:rPr>
                <w:rFonts w:ascii="Arial" w:cs="Arial" w:eastAsia="Arial" w:hAnsi="Arial"/>
                <w:sz w:val="15"/>
                <w:szCs w:val="15"/>
                <w:color w:val="auto"/>
                <w:w w:val="95"/>
              </w:rPr>
              <w:t>2</w:t>
            </w:r>
            <w:r>
              <w:rPr>
                <w:rFonts w:ascii="Arial" w:cs="Arial" w:eastAsia="Arial" w:hAnsi="Arial"/>
                <w:sz w:val="18"/>
                <w:szCs w:val="18"/>
                <w:color w:val="auto"/>
                <w:w w:val="95"/>
              </w:rPr>
              <w:t xml:space="preserve"> (the “Company”). Capitalized terms used herein and not otherwise defined herein shall</w:t>
            </w:r>
          </w:p>
        </w:tc>
      </w:tr>
      <w:tr>
        <w:trPr>
          <w:trHeight w:val="20"/>
        </w:trPr>
        <w:tc>
          <w:tcPr>
            <w:tcW w:w="2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have the meaning specified in the Intercreditor Agreement (as amended, supplemented, waived or otherwise modified from time to time, the “</w:t>
      </w:r>
      <w:r>
        <w:rPr>
          <w:rFonts w:ascii="Arial" w:cs="Arial" w:eastAsia="Arial" w:hAnsi="Arial"/>
          <w:sz w:val="16"/>
          <w:szCs w:val="16"/>
          <w:u w:val="single" w:color="auto"/>
          <w:color w:val="auto"/>
        </w:rPr>
        <w:t>Intercreditor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gridSpan w:val="2"/>
          </w:tcPr>
          <w:p>
            <w:pPr>
              <w:spacing w:after="0"/>
              <w:rPr>
                <w:sz w:val="20"/>
                <w:szCs w:val="20"/>
                <w:color w:val="auto"/>
              </w:rPr>
            </w:pPr>
            <w:r>
              <w:rPr>
                <w:rFonts w:ascii="Arial" w:cs="Arial" w:eastAsia="Arial" w:hAnsi="Arial"/>
                <w:sz w:val="18"/>
                <w:szCs w:val="18"/>
                <w:color w:val="auto"/>
                <w:w w:val="98"/>
              </w:rPr>
              <w:t>Agreement”) entered into as of [</w:t>
            </w:r>
          </w:p>
        </w:tc>
        <w:tc>
          <w:tcPr>
            <w:tcW w:w="1200" w:type="dxa"/>
            <w:vAlign w:val="bottom"/>
          </w:tcPr>
          <w:p>
            <w:pPr>
              <w:ind w:left="180"/>
              <w:spacing w:after="0"/>
              <w:rPr>
                <w:sz w:val="20"/>
                <w:szCs w:val="20"/>
                <w:color w:val="auto"/>
              </w:rPr>
            </w:pPr>
            <w:r>
              <w:rPr>
                <w:rFonts w:ascii="Arial" w:cs="Arial" w:eastAsia="Arial" w:hAnsi="Arial"/>
                <w:sz w:val="18"/>
                <w:szCs w:val="18"/>
                <w:color w:val="auto"/>
              </w:rPr>
              <w:t>], among [</w:t>
            </w:r>
          </w:p>
        </w:tc>
        <w:tc>
          <w:tcPr>
            <w:tcW w:w="7680" w:type="dxa"/>
            <w:vAlign w:val="bottom"/>
            <w:gridSpan w:val="4"/>
          </w:tcPr>
          <w:p>
            <w:pPr>
              <w:ind w:left="260"/>
              <w:spacing w:after="0"/>
              <w:rPr>
                <w:sz w:val="20"/>
                <w:szCs w:val="20"/>
                <w:color w:val="auto"/>
              </w:rPr>
            </w:pPr>
            <w:r>
              <w:rPr>
                <w:rFonts w:ascii="Arial" w:cs="Arial" w:eastAsia="Arial" w:hAnsi="Arial"/>
                <w:sz w:val="18"/>
                <w:szCs w:val="18"/>
                <w:color w:val="auto"/>
                <w:w w:val="90"/>
              </w:rPr>
              <w:t>], in its capacity as collateral agent (together with its successors and assigns in such capacity from time</w:t>
            </w:r>
          </w:p>
        </w:tc>
      </w:tr>
      <w:tr>
        <w:trPr>
          <w:trHeight w:val="20"/>
        </w:trPr>
        <w:tc>
          <w:tcPr>
            <w:tcW w:w="800" w:type="dxa"/>
            <w:vAlign w:val="bottom"/>
            <w:shd w:val="clear" w:color="auto" w:fill="000000"/>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320" w:type="dxa"/>
            <w:vAlign w:val="bottom"/>
            <w:gridSpan w:val="6"/>
          </w:tcPr>
          <w:p>
            <w:pPr>
              <w:spacing w:after="0" w:line="196" w:lineRule="exact"/>
              <w:rPr>
                <w:sz w:val="20"/>
                <w:szCs w:val="20"/>
                <w:color w:val="auto"/>
              </w:rPr>
            </w:pPr>
            <w:r>
              <w:rPr>
                <w:rFonts w:ascii="Arial" w:cs="Arial" w:eastAsia="Arial" w:hAnsi="Arial"/>
                <w:sz w:val="18"/>
                <w:szCs w:val="18"/>
                <w:color w:val="auto"/>
                <w:w w:val="95"/>
              </w:rPr>
              <w:t>to time, and as further defined in the Intercreditor Agreement, the “Original First Lien Agent”) for the Original First Lien Secured Parties, [</w:t>
            </w:r>
          </w:p>
        </w:tc>
        <w:tc>
          <w:tcPr>
            <w:tcW w:w="1080" w:type="dxa"/>
            <w:vAlign w:val="bottom"/>
          </w:tcPr>
          <w:p>
            <w:pPr>
              <w:ind w:left="260"/>
              <w:spacing w:after="0" w:line="196" w:lineRule="exact"/>
              <w:rPr>
                <w:sz w:val="20"/>
                <w:szCs w:val="20"/>
                <w:color w:val="auto"/>
              </w:rPr>
            </w:pPr>
            <w:r>
              <w:rPr>
                <w:rFonts w:ascii="Arial" w:cs="Arial" w:eastAsia="Arial" w:hAnsi="Arial"/>
                <w:sz w:val="18"/>
                <w:szCs w:val="18"/>
                <w:color w:val="auto"/>
              </w:rPr>
              <w:t>], in its</w:t>
            </w:r>
          </w:p>
        </w:tc>
      </w:tr>
      <w:tr>
        <w:trPr>
          <w:trHeight w:val="20"/>
        </w:trPr>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capacity as collateral agent (together with its successors and assigns in such capacity from time to time, and as further defined in the Intercreditor Agreement,</w:t>
      </w:r>
    </w:p>
    <w:p>
      <w:pPr>
        <w:spacing w:after="0" w:line="45"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 ]</w:t>
      </w:r>
      <w:r>
        <w:rPr>
          <w:rFonts w:ascii="Arial" w:cs="Arial" w:eastAsia="Arial" w:hAnsi="Arial"/>
          <w:sz w:val="15"/>
          <w:szCs w:val="15"/>
          <w:color w:val="auto"/>
        </w:rPr>
        <w:t>i</w:t>
      </w:r>
      <w:r>
        <w:rPr>
          <w:rFonts w:ascii="Arial" w:cs="Arial" w:eastAsia="Arial" w:hAnsi="Arial"/>
          <w:sz w:val="18"/>
          <w:szCs w:val="18"/>
          <w:color w:val="auto"/>
        </w:rPr>
        <w:t xml:space="preserve"> [First/Second] </w:t>
      </w:r>
      <w:r>
        <w:rPr>
          <w:rFonts w:ascii="Arial" w:cs="Arial" w:eastAsia="Arial" w:hAnsi="Arial"/>
          <w:sz w:val="15"/>
          <w:szCs w:val="15"/>
          <w:color w:val="auto"/>
        </w:rPr>
        <w:t>ii</w:t>
      </w:r>
      <w:r>
        <w:rPr>
          <w:rFonts w:ascii="Arial" w:cs="Arial" w:eastAsia="Arial" w:hAnsi="Arial"/>
          <w:sz w:val="18"/>
          <w:szCs w:val="18"/>
          <w:color w:val="auto"/>
        </w:rPr>
        <w:t xml:space="preserve"> Lien Agent”) for the [ ]</w:t>
      </w:r>
      <w:r>
        <w:rPr>
          <w:rFonts w:ascii="Arial" w:cs="Arial" w:eastAsia="Arial" w:hAnsi="Arial"/>
          <w:sz w:val="15"/>
          <w:szCs w:val="15"/>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First/Second</w:t>
      </w:r>
      <w:r>
        <w:rPr>
          <w:rFonts w:ascii="Arial" w:cs="Arial" w:eastAsia="Arial" w:hAnsi="Arial"/>
          <w:sz w:val="18"/>
          <w:szCs w:val="18"/>
          <w:color w:val="auto"/>
        </w:rPr>
        <w:t>]</w:t>
      </w:r>
      <w:r>
        <w:rPr>
          <w:rFonts w:ascii="Arial" w:cs="Arial" w:eastAsia="Arial" w:hAnsi="Arial"/>
          <w:sz w:val="15"/>
          <w:szCs w:val="15"/>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Lien Secured Parties</w:t>
      </w:r>
      <w:r>
        <w:rPr>
          <w:rFonts w:ascii="Arial" w:cs="Arial" w:eastAsia="Arial" w:hAnsi="Arial"/>
          <w:sz w:val="18"/>
          <w:szCs w:val="18"/>
          <w:color w:val="auto"/>
        </w:rPr>
        <w:t xml:space="preserve"> [[ ], as Additional Agent for the Additional Credit Facility Creditors under the [describe applicable Additional Credit Facility]].</w:t>
      </w:r>
      <w:r>
        <w:rPr>
          <w:rFonts w:ascii="Arial" w:cs="Arial" w:eastAsia="Arial" w:hAnsi="Arial"/>
          <w:sz w:val="15"/>
          <w:szCs w:val="15"/>
          <w:color w:val="auto"/>
        </w:rPr>
        <w:t>3</w:t>
      </w:r>
      <w:r>
        <w:rPr>
          <w:rFonts w:ascii="Arial" w:cs="Arial" w:eastAsia="Arial" w:hAnsi="Arial"/>
          <w:sz w:val="18"/>
          <w:szCs w:val="18"/>
          <w:color w:val="auto"/>
        </w:rPr>
        <w:t xml:space="preserve"> Capitalized terms used herein and not otherwise defined herein shall have the meaning specified in the Intercreditor Agreement.</w:t>
      </w:r>
    </w:p>
    <w:p>
      <w:pPr>
        <w:spacing w:after="0" w:line="18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Reference is made to that certain [insert name of Additional Credit Facility], dated as of , 20 (the “</w:t>
      </w:r>
      <w:r>
        <w:rPr>
          <w:rFonts w:ascii="Arial" w:cs="Arial" w:eastAsia="Arial" w:hAnsi="Arial"/>
          <w:sz w:val="18"/>
          <w:szCs w:val="18"/>
          <w:u w:val="single" w:color="auto"/>
          <w:color w:val="auto"/>
        </w:rPr>
        <w:t>Additional Credit Facility</w:t>
      </w:r>
      <w:r>
        <w:rPr>
          <w:rFonts w:ascii="Arial" w:cs="Arial" w:eastAsia="Arial" w:hAnsi="Arial"/>
          <w:sz w:val="18"/>
          <w:szCs w:val="18"/>
          <w:color w:val="auto"/>
        </w:rPr>
        <w:t>”), among [list any applicable Loan Party], [list Additional Credit Facility Secured Parties] [and Additional Agent, as agent (the “</w:t>
      </w:r>
      <w:r>
        <w:rPr>
          <w:rFonts w:ascii="Arial" w:cs="Arial" w:eastAsia="Arial" w:hAnsi="Arial"/>
          <w:sz w:val="18"/>
          <w:szCs w:val="18"/>
          <w:u w:val="single" w:color="auto"/>
          <w:color w:val="auto"/>
        </w:rPr>
        <w:t>Additional Agent</w:t>
      </w:r>
      <w:r>
        <w:rPr>
          <w:rFonts w:ascii="Arial" w:cs="Arial" w:eastAsia="Arial" w:hAnsi="Arial"/>
          <w:sz w:val="18"/>
          <w:szCs w:val="18"/>
          <w:color w:val="auto"/>
        </w:rPr>
        <w:t>”)].</w:t>
      </w:r>
      <w:r>
        <w:rPr>
          <w:rFonts w:ascii="Arial" w:cs="Arial" w:eastAsia="Arial" w:hAnsi="Arial"/>
          <w:sz w:val="15"/>
          <w:szCs w:val="15"/>
          <w:color w:val="auto"/>
        </w:rPr>
        <w:t>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7.11 of the Intercreditor Agreement permits the Company to designate Additional Indebtedness under the Intercreditor Agreement.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gridSpan w:val="3"/>
          </w:tcPr>
          <w:p>
            <w:pPr>
              <w:ind w:left="460"/>
              <w:spacing w:after="0"/>
              <w:rPr>
                <w:sz w:val="20"/>
                <w:szCs w:val="20"/>
                <w:color w:val="auto"/>
              </w:rPr>
            </w:pPr>
            <w:r>
              <w:rPr>
                <w:rFonts w:ascii="Arial" w:cs="Arial" w:eastAsia="Arial" w:hAnsi="Arial"/>
                <w:sz w:val="18"/>
                <w:szCs w:val="18"/>
                <w:b w:val="1"/>
                <w:bCs w:val="1"/>
                <w:color w:val="auto"/>
                <w:w w:val="92"/>
              </w:rPr>
              <w:t xml:space="preserve">A. </w:t>
            </w:r>
            <w:r>
              <w:rPr>
                <w:rFonts w:ascii="Arial" w:cs="Arial" w:eastAsia="Arial" w:hAnsi="Arial"/>
                <w:sz w:val="18"/>
                <w:szCs w:val="18"/>
                <w:color w:val="auto"/>
                <w:w w:val="92"/>
              </w:rPr>
              <w:t>Representations and Warranties. The Company hereby represents and warrants to the Original First Lien Agent, the [</w:t>
            </w:r>
          </w:p>
        </w:tc>
        <w:tc>
          <w:tcPr>
            <w:tcW w:w="1820" w:type="dxa"/>
            <w:vAlign w:val="bottom"/>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xml:space="preserve"> Lien</w:t>
            </w:r>
          </w:p>
        </w:tc>
      </w:tr>
      <w:tr>
        <w:trPr>
          <w:trHeight w:val="20"/>
        </w:trPr>
        <w:tc>
          <w:tcPr>
            <w:tcW w:w="6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7"/>
        </w:trPr>
        <w:tc>
          <w:tcPr>
            <w:tcW w:w="9280" w:type="dxa"/>
            <w:vAlign w:val="bottom"/>
            <w:gridSpan w:val="3"/>
          </w:tcPr>
          <w:p>
            <w:pPr>
              <w:spacing w:after="0"/>
              <w:rPr>
                <w:sz w:val="20"/>
                <w:szCs w:val="20"/>
                <w:color w:val="auto"/>
              </w:rPr>
            </w:pPr>
            <w:r>
              <w:rPr>
                <w:rFonts w:ascii="Arial" w:cs="Arial" w:eastAsia="Arial" w:hAnsi="Arial"/>
                <w:sz w:val="18"/>
                <w:szCs w:val="18"/>
                <w:color w:val="auto"/>
              </w:rPr>
              <w:t>Agent, and any Additional Agent that:</w:t>
            </w:r>
          </w:p>
        </w:tc>
        <w:tc>
          <w:tcPr>
            <w:tcW w:w="1820" w:type="dxa"/>
            <w:vAlign w:val="bottom"/>
          </w:tcPr>
          <w:p>
            <w:pPr>
              <w:spacing w:after="0"/>
              <w:rPr>
                <w:sz w:val="20"/>
                <w:szCs w:val="20"/>
                <w:color w:val="auto"/>
              </w:rPr>
            </w:pPr>
          </w:p>
        </w:tc>
      </w:tr>
    </w:tbl>
    <w:p>
      <w:pPr>
        <w:spacing w:after="0" w:line="94" w:lineRule="exact"/>
        <w:rPr>
          <w:sz w:val="20"/>
          <w:szCs w:val="20"/>
          <w:color w:val="auto"/>
        </w:rPr>
      </w:pPr>
    </w:p>
    <w:p>
      <w:pPr>
        <w:ind w:left="460" w:right="500" w:firstLine="443"/>
        <w:spacing w:after="0" w:line="277" w:lineRule="auto"/>
        <w:tabs>
          <w:tab w:leader="none" w:pos="1078" w:val="left"/>
        </w:tabs>
        <w:numPr>
          <w:ilvl w:val="1"/>
          <w:numId w:val="551"/>
        </w:numPr>
        <w:rPr>
          <w:rFonts w:ascii="Arial" w:cs="Arial" w:eastAsia="Arial" w:hAnsi="Arial"/>
          <w:sz w:val="18"/>
          <w:szCs w:val="18"/>
          <w:b w:val="1"/>
          <w:bCs w:val="1"/>
          <w:color w:val="auto"/>
        </w:rPr>
      </w:pPr>
      <w:r>
        <w:rPr>
          <w:rFonts w:ascii="Arial" w:cs="Arial" w:eastAsia="Arial" w:hAnsi="Arial"/>
          <w:sz w:val="18"/>
          <w:szCs w:val="18"/>
          <w:color w:val="auto"/>
        </w:rPr>
        <w:t>The Additional Indebtedness incurred or to be incurred under the Additional Credit Facility constitutes “</w:t>
      </w:r>
      <w:r>
        <w:rPr>
          <w:rFonts w:ascii="Arial" w:cs="Arial" w:eastAsia="Arial" w:hAnsi="Arial"/>
          <w:sz w:val="18"/>
          <w:szCs w:val="18"/>
          <w:u w:val="single" w:color="auto"/>
          <w:color w:val="auto"/>
        </w:rPr>
        <w:t>Additional Indebtedness</w:t>
      </w:r>
      <w:r>
        <w:rPr>
          <w:rFonts w:ascii="Arial" w:cs="Arial" w:eastAsia="Arial" w:hAnsi="Arial"/>
          <w:sz w:val="18"/>
          <w:szCs w:val="18"/>
          <w:color w:val="auto"/>
        </w:rPr>
        <w:t>” which complies with the definition of such term in the Intercreditor Agreement;</w:t>
      </w:r>
    </w:p>
    <w:p>
      <w:pPr>
        <w:spacing w:after="0" w:line="62" w:lineRule="exact"/>
        <w:rPr>
          <w:rFonts w:ascii="Arial" w:cs="Arial" w:eastAsia="Arial" w:hAnsi="Arial"/>
          <w:sz w:val="18"/>
          <w:szCs w:val="18"/>
          <w:b w:val="1"/>
          <w:bCs w:val="1"/>
          <w:color w:val="auto"/>
        </w:rPr>
      </w:pPr>
    </w:p>
    <w:p>
      <w:pPr>
        <w:ind w:left="1080" w:hanging="177"/>
        <w:spacing w:after="0"/>
        <w:tabs>
          <w:tab w:leader="none" w:pos="1080" w:val="left"/>
        </w:tabs>
        <w:numPr>
          <w:ilvl w:val="1"/>
          <w:numId w:val="551"/>
        </w:numPr>
        <w:rPr>
          <w:rFonts w:ascii="Arial" w:cs="Arial" w:eastAsia="Arial" w:hAnsi="Arial"/>
          <w:sz w:val="17"/>
          <w:szCs w:val="17"/>
          <w:b w:val="1"/>
          <w:bCs w:val="1"/>
          <w:color w:val="auto"/>
        </w:rPr>
      </w:pPr>
      <w:r>
        <w:rPr>
          <w:rFonts w:ascii="Arial" w:cs="Arial" w:eastAsia="Arial" w:hAnsi="Arial"/>
          <w:sz w:val="17"/>
          <w:szCs w:val="17"/>
          <w:color w:val="auto"/>
        </w:rPr>
        <w:t>all conditions set forth in Section 7.11 of the Intercreditor Agreement with respect to the Additional Indebtedness have been satisfied; and</w:t>
      </w:r>
    </w:p>
    <w:p>
      <w:pPr>
        <w:spacing w:after="0" w:line="128" w:lineRule="exact"/>
        <w:rPr>
          <w:rFonts w:ascii="Arial" w:cs="Arial" w:eastAsia="Arial" w:hAnsi="Arial"/>
          <w:sz w:val="17"/>
          <w:szCs w:val="17"/>
          <w:b w:val="1"/>
          <w:bCs w:val="1"/>
          <w:color w:val="auto"/>
        </w:rPr>
      </w:pPr>
    </w:p>
    <w:p>
      <w:pPr>
        <w:ind w:left="460" w:right="480" w:firstLine="443"/>
        <w:spacing w:after="0" w:line="277" w:lineRule="auto"/>
        <w:tabs>
          <w:tab w:leader="none" w:pos="1078" w:val="left"/>
        </w:tabs>
        <w:numPr>
          <w:ilvl w:val="1"/>
          <w:numId w:val="551"/>
        </w:numPr>
        <w:rPr>
          <w:rFonts w:ascii="Arial" w:cs="Arial" w:eastAsia="Arial" w:hAnsi="Arial"/>
          <w:sz w:val="18"/>
          <w:szCs w:val="18"/>
          <w:b w:val="1"/>
          <w:bCs w:val="1"/>
          <w:color w:val="auto"/>
        </w:rPr>
      </w:pPr>
      <w:r>
        <w:rPr>
          <w:rFonts w:ascii="Arial" w:cs="Arial" w:eastAsia="Arial" w:hAnsi="Arial"/>
          <w:sz w:val="18"/>
          <w:szCs w:val="18"/>
          <w:color w:val="auto"/>
        </w:rPr>
        <w:t>any applicable requirement that no Event of Default exists or arises from the issuance of such Additional Indebtedness, or any applicable comparable requirement, has been satisfied or waived.</w:t>
      </w:r>
    </w:p>
    <w:p>
      <w:pPr>
        <w:spacing w:after="0" w:line="170" w:lineRule="exact"/>
        <w:rPr>
          <w:rFonts w:ascii="Arial" w:cs="Arial" w:eastAsia="Arial" w:hAnsi="Arial"/>
          <w:sz w:val="18"/>
          <w:szCs w:val="18"/>
          <w:b w:val="1"/>
          <w:bCs w:val="1"/>
          <w:color w:val="auto"/>
        </w:rPr>
      </w:pPr>
    </w:p>
    <w:p>
      <w:pPr>
        <w:ind w:right="560" w:firstLine="464"/>
        <w:spacing w:after="0" w:line="308" w:lineRule="auto"/>
        <w:tabs>
          <w:tab w:leader="none" w:pos="666" w:val="left"/>
        </w:tabs>
        <w:numPr>
          <w:ilvl w:val="0"/>
          <w:numId w:val="552"/>
        </w:numPr>
        <w:rPr>
          <w:rFonts w:ascii="Arial" w:cs="Arial" w:eastAsia="Arial" w:hAnsi="Arial"/>
          <w:sz w:val="17"/>
          <w:szCs w:val="17"/>
          <w:b w:val="1"/>
          <w:bCs w:val="1"/>
          <w:color w:val="auto"/>
        </w:rPr>
      </w:pPr>
      <w:r>
        <w:rPr>
          <w:rFonts w:ascii="Arial" w:cs="Arial" w:eastAsia="Arial" w:hAnsi="Arial"/>
          <w:sz w:val="17"/>
          <w:szCs w:val="17"/>
          <w:u w:val="single" w:color="auto"/>
          <w:color w:val="auto"/>
        </w:rPr>
        <w:t>Designation of Additional Indebtedness</w:t>
      </w:r>
      <w:r>
        <w:rPr>
          <w:rFonts w:ascii="Arial" w:cs="Arial" w:eastAsia="Arial" w:hAnsi="Arial"/>
          <w:sz w:val="17"/>
          <w:szCs w:val="17"/>
          <w:color w:val="auto"/>
        </w:rPr>
        <w:t>. The Company hereby designates such Additional Indebtedness as Additional Indebtedness under the Intercreditor Agreement and such Additional Indebtedness shall constitute [Senior Priority Debt]/[Junior Priority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553"/>
        </w:numPr>
        <w:rPr>
          <w:rFonts w:ascii="Arial" w:cs="Arial" w:eastAsia="Arial" w:hAnsi="Arial"/>
          <w:sz w:val="15"/>
          <w:szCs w:val="15"/>
          <w:color w:val="auto"/>
        </w:rPr>
      </w:pPr>
      <w:r>
        <w:rPr>
          <w:rFonts w:ascii="Arial" w:cs="Arial" w:eastAsia="Arial" w:hAnsi="Arial"/>
          <w:sz w:val="18"/>
          <w:szCs w:val="18"/>
          <w:color w:val="auto"/>
        </w:rPr>
        <w:t>Revise as appropriate to refer to any permitted successor or assign.</w:t>
      </w:r>
    </w:p>
    <w:p>
      <w:pPr>
        <w:spacing w:after="0" w:line="22" w:lineRule="exact"/>
        <w:rPr>
          <w:sz w:val="20"/>
          <w:szCs w:val="20"/>
          <w:color w:val="auto"/>
        </w:rPr>
      </w:pPr>
    </w:p>
    <w:p>
      <w:pPr>
        <w:ind w:left="460" w:hanging="452"/>
        <w:spacing w:after="0"/>
        <w:tabs>
          <w:tab w:leader="none" w:pos="460" w:val="left"/>
        </w:tabs>
        <w:numPr>
          <w:ilvl w:val="0"/>
          <w:numId w:val="554"/>
        </w:numPr>
        <w:rPr>
          <w:rFonts w:ascii="Arial" w:cs="Arial" w:eastAsia="Arial" w:hAnsi="Arial"/>
          <w:sz w:val="15"/>
          <w:szCs w:val="15"/>
          <w:color w:val="auto"/>
        </w:rPr>
      </w:pPr>
      <w:r>
        <w:rPr>
          <w:rFonts w:ascii="Arial" w:cs="Arial" w:eastAsia="Arial" w:hAnsi="Arial"/>
          <w:sz w:val="18"/>
          <w:szCs w:val="18"/>
          <w:color w:val="auto"/>
        </w:rPr>
        <w:t>Revise as appropriate to refer to any successor First Lien Agent or [</w:t>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and to add reference to any previously added</w:t>
      </w:r>
    </w:p>
    <w:p>
      <w:pPr>
        <w:spacing w:after="0" w:line="212" w:lineRule="exact"/>
        <w:rPr>
          <w:sz w:val="20"/>
          <w:szCs w:val="20"/>
          <w:color w:val="auto"/>
        </w:rPr>
      </w:pPr>
    </w:p>
    <w:p>
      <w:pPr>
        <w:jc w:val="center"/>
        <w:ind w:left="5580" w:right="820" w:hanging="5572"/>
        <w:spacing w:after="0" w:line="449" w:lineRule="auto"/>
        <w:tabs>
          <w:tab w:leader="none" w:pos="460" w:val="left"/>
        </w:tabs>
        <w:numPr>
          <w:ilvl w:val="0"/>
          <w:numId w:val="555"/>
        </w:numPr>
        <w:rPr>
          <w:rFonts w:ascii="Arial" w:cs="Arial" w:eastAsia="Arial" w:hAnsi="Arial"/>
          <w:sz w:val="15"/>
          <w:szCs w:val="15"/>
          <w:color w:val="auto"/>
        </w:rPr>
      </w:pPr>
      <w:r>
        <w:rPr>
          <w:rFonts w:ascii="Arial" w:cs="Arial" w:eastAsia="Arial" w:hAnsi="Arial"/>
          <w:sz w:val="18"/>
          <w:szCs w:val="18"/>
          <w:color w:val="auto"/>
        </w:rPr>
        <w:t>Revise as appropriate to refer to the relevant Additional Credit Facility, Additional Credit Facility Secured Parties and any Additional Agent. A-1</w:t>
      </w:r>
    </w:p>
    <w:p>
      <w:pPr>
        <w:sectPr>
          <w:pgSz w:w="11900" w:h="16838" w:orient="portrait"/>
          <w:cols w:equalWidth="0" w:num="1">
            <w:col w:w="11420"/>
          </w:cols>
          <w:pgMar w:left="240" w:top="269" w:right="239" w:bottom="1440" w:gutter="0" w:footer="0" w:header="0"/>
        </w:sectPr>
      </w:pPr>
    </w:p>
    <w:bookmarkStart w:id="506" w:name="page507"/>
    <w:bookmarkEnd w:id="50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Designation to be duly executed by its duly authorized officer or other representative, all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24"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274" w:right="299" w:bottom="1440" w:gutter="0" w:footer="0" w:header="0"/>
        </w:sectPr>
      </w:pPr>
    </w:p>
    <w:bookmarkStart w:id="507" w:name="page508"/>
    <w:bookmarkEnd w:id="507"/>
    <w:tbl>
      <w:tblPr>
        <w:tblLayout w:type="fixed"/>
        <w:tblInd w:w="46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4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Exhibit B to the Intercreditor Agreement</w:t>
            </w:r>
          </w:p>
        </w:tc>
      </w:tr>
      <w:tr>
        <w:trPr>
          <w:trHeight w:val="432"/>
        </w:trPr>
        <w:tc>
          <w:tcPr>
            <w:tcW w:w="1920" w:type="dxa"/>
            <w:vAlign w:val="bottom"/>
          </w:tcPr>
          <w:p>
            <w:pPr>
              <w:spacing w:after="0"/>
              <w:rPr>
                <w:sz w:val="24"/>
                <w:szCs w:val="24"/>
                <w:color w:val="auto"/>
              </w:rPr>
            </w:pPr>
          </w:p>
        </w:tc>
        <w:tc>
          <w:tcPr>
            <w:tcW w:w="5600" w:type="dxa"/>
            <w:vAlign w:val="bottom"/>
            <w:gridSpan w:val="3"/>
          </w:tcPr>
          <w:p>
            <w:pPr>
              <w:ind w:left="1480"/>
              <w:spacing w:after="0"/>
              <w:rPr>
                <w:sz w:val="20"/>
                <w:szCs w:val="20"/>
                <w:color w:val="auto"/>
              </w:rPr>
            </w:pPr>
            <w:r>
              <w:rPr>
                <w:rFonts w:ascii="Arial" w:cs="Arial" w:eastAsia="Arial" w:hAnsi="Arial"/>
                <w:sz w:val="18"/>
                <w:szCs w:val="18"/>
                <w:b w:val="1"/>
                <w:bCs w:val="1"/>
                <w:color w:val="auto"/>
              </w:rPr>
              <w:t>II. ADDITIONAL INDEBTEDNESS JOINDER</w:t>
            </w:r>
          </w:p>
        </w:tc>
        <w:tc>
          <w:tcPr>
            <w:tcW w:w="3440" w:type="dxa"/>
            <w:vAlign w:val="bottom"/>
          </w:tcPr>
          <w:p>
            <w:pPr>
              <w:spacing w:after="0"/>
              <w:rPr>
                <w:sz w:val="24"/>
                <w:szCs w:val="24"/>
                <w:color w:val="auto"/>
              </w:rPr>
            </w:pPr>
          </w:p>
        </w:tc>
      </w:tr>
      <w:tr>
        <w:trPr>
          <w:trHeight w:val="392"/>
        </w:trPr>
        <w:tc>
          <w:tcPr>
            <w:tcW w:w="1920" w:type="dxa"/>
            <w:vAlign w:val="bottom"/>
          </w:tcPr>
          <w:p>
            <w:pPr>
              <w:spacing w:after="0"/>
              <w:rPr>
                <w:sz w:val="20"/>
                <w:szCs w:val="20"/>
                <w:color w:val="auto"/>
              </w:rPr>
            </w:pPr>
            <w:r>
              <w:rPr>
                <w:rFonts w:ascii="Arial" w:cs="Arial" w:eastAsia="Arial" w:hAnsi="Arial"/>
                <w:sz w:val="18"/>
                <w:szCs w:val="18"/>
                <w:color w:val="auto"/>
              </w:rPr>
              <w:t>JOINDER, dated as of</w:t>
            </w:r>
          </w:p>
        </w:tc>
        <w:tc>
          <w:tcPr>
            <w:tcW w:w="5600" w:type="dxa"/>
            <w:vAlign w:val="bottom"/>
            <w:gridSpan w:val="3"/>
          </w:tcPr>
          <w:p>
            <w:pPr>
              <w:ind w:left="280"/>
              <w:spacing w:after="0"/>
              <w:rPr>
                <w:sz w:val="20"/>
                <w:szCs w:val="20"/>
                <w:color w:val="auto"/>
              </w:rPr>
            </w:pPr>
            <w:r>
              <w:rPr>
                <w:rFonts w:ascii="Arial" w:cs="Arial" w:eastAsia="Arial" w:hAnsi="Arial"/>
                <w:sz w:val="18"/>
                <w:szCs w:val="18"/>
                <w:color w:val="auto"/>
              </w:rPr>
              <w:t>, 20  , among [COMPANY], a Delaware corporation (“Company”), [</w:t>
            </w:r>
          </w:p>
        </w:tc>
        <w:tc>
          <w:tcPr>
            <w:tcW w:w="3440" w:type="dxa"/>
            <w:vAlign w:val="bottom"/>
          </w:tcPr>
          <w:p>
            <w:pPr>
              <w:jc w:val="center"/>
              <w:ind w:left="210"/>
              <w:spacing w:after="0"/>
              <w:rPr>
                <w:sz w:val="20"/>
                <w:szCs w:val="20"/>
                <w:color w:val="auto"/>
              </w:rPr>
            </w:pPr>
            <w:r>
              <w:rPr>
                <w:rFonts w:ascii="Arial" w:cs="Arial" w:eastAsia="Arial" w:hAnsi="Arial"/>
                <w:sz w:val="18"/>
                <w:szCs w:val="18"/>
                <w:color w:val="auto"/>
                <w:w w:val="91"/>
              </w:rPr>
              <w:t>], in its capacity as collateral agent</w:t>
            </w:r>
          </w:p>
        </w:tc>
      </w:tr>
      <w:tr>
        <w:trPr>
          <w:trHeight w:val="20"/>
        </w:trPr>
        <w:tc>
          <w:tcPr>
            <w:tcW w:w="1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(together with its successors and assigns in such capacity from time to time, and as further defined in the Intercreditor Agreement, the “</w:t>
      </w:r>
      <w:r>
        <w:rPr>
          <w:rFonts w:ascii="Arial" w:cs="Arial" w:eastAsia="Arial" w:hAnsi="Arial"/>
          <w:sz w:val="16"/>
          <w:szCs w:val="16"/>
          <w:u w:val="single" w:color="auto"/>
          <w:color w:val="auto"/>
        </w:rPr>
        <w:t>Original First Lien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gridSpan w:val="2"/>
          </w:tcPr>
          <w:p>
            <w:pPr>
              <w:spacing w:after="0"/>
              <w:rPr>
                <w:sz w:val="20"/>
                <w:szCs w:val="20"/>
                <w:color w:val="auto"/>
              </w:rPr>
            </w:pPr>
            <w:r>
              <w:rPr>
                <w:rFonts w:ascii="Arial" w:cs="Arial" w:eastAsia="Arial" w:hAnsi="Arial"/>
                <w:sz w:val="18"/>
                <w:szCs w:val="18"/>
                <w:color w:val="auto"/>
                <w:w w:val="96"/>
              </w:rPr>
              <w:t>Agent”)</w:t>
            </w:r>
            <w:r>
              <w:rPr>
                <w:rFonts w:ascii="Arial" w:cs="Arial" w:eastAsia="Arial" w:hAnsi="Arial"/>
                <w:sz w:val="15"/>
                <w:szCs w:val="15"/>
                <w:color w:val="auto"/>
                <w:w w:val="96"/>
              </w:rPr>
              <w:t>5</w:t>
            </w:r>
            <w:r>
              <w:rPr>
                <w:rFonts w:ascii="Arial" w:cs="Arial" w:eastAsia="Arial" w:hAnsi="Arial"/>
                <w:sz w:val="18"/>
                <w:szCs w:val="18"/>
                <w:color w:val="auto"/>
                <w:w w:val="96"/>
              </w:rPr>
              <w:t xml:space="preserve"> for the Original First Lien Secured Parties, [</w:t>
            </w:r>
          </w:p>
        </w:tc>
        <w:tc>
          <w:tcPr>
            <w:tcW w:w="7240" w:type="dxa"/>
            <w:vAlign w:val="bottom"/>
            <w:gridSpan w:val="3"/>
          </w:tcPr>
          <w:p>
            <w:pPr>
              <w:ind w:left="180"/>
              <w:spacing w:after="0"/>
              <w:rPr>
                <w:sz w:val="20"/>
                <w:szCs w:val="20"/>
                <w:color w:val="auto"/>
              </w:rPr>
            </w:pPr>
            <w:r>
              <w:rPr>
                <w:rFonts w:ascii="Arial" w:cs="Arial" w:eastAsia="Arial" w:hAnsi="Arial"/>
                <w:sz w:val="18"/>
                <w:szCs w:val="18"/>
                <w:color w:val="auto"/>
                <w:w w:val="90"/>
              </w:rPr>
              <w:t>], in its capacity as collateral agent (together with its successors and assigns in such capacity from</w:t>
            </w:r>
          </w:p>
        </w:tc>
      </w:tr>
      <w:tr>
        <w:trPr>
          <w:trHeight w:val="20"/>
        </w:trPr>
        <w:tc>
          <w:tcPr>
            <w:tcW w:w="440" w:type="dxa"/>
            <w:vAlign w:val="bottom"/>
            <w:shd w:val="clear" w:color="auto" w:fill="000000"/>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7"/>
        </w:trPr>
        <w:tc>
          <w:tcPr>
            <w:tcW w:w="5460" w:type="dxa"/>
            <w:vAlign w:val="bottom"/>
            <w:gridSpan w:val="3"/>
          </w:tcPr>
          <w:p>
            <w:pPr>
              <w:spacing w:after="0"/>
              <w:rPr>
                <w:sz w:val="20"/>
                <w:szCs w:val="20"/>
                <w:color w:val="auto"/>
              </w:rPr>
            </w:pPr>
            <w:r>
              <w:rPr>
                <w:rFonts w:ascii="Arial" w:cs="Arial" w:eastAsia="Arial" w:hAnsi="Arial"/>
                <w:sz w:val="18"/>
                <w:szCs w:val="18"/>
                <w:color w:val="auto"/>
                <w:w w:val="95"/>
              </w:rPr>
              <w:t>time to time, and as further defined in the Intercreditor Agreement, the “[</w:t>
            </w:r>
          </w:p>
        </w:tc>
        <w:tc>
          <w:tcPr>
            <w:tcW w:w="334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[First/Second]ii Lien Agent”)</w:t>
            </w:r>
            <w:r>
              <w:rPr>
                <w:rFonts w:ascii="Arial" w:cs="Arial" w:eastAsia="Arial" w:hAnsi="Arial"/>
                <w:sz w:val="15"/>
                <w:szCs w:val="15"/>
                <w:color w:val="auto"/>
              </w:rPr>
              <w:t>6</w:t>
            </w:r>
            <w:r>
              <w:rPr>
                <w:rFonts w:ascii="Arial" w:cs="Arial" w:eastAsia="Arial" w:hAnsi="Arial"/>
                <w:sz w:val="18"/>
                <w:szCs w:val="18"/>
                <w:color w:val="auto"/>
              </w:rPr>
              <w:t xml:space="preserve"> for the [</w:t>
            </w:r>
          </w:p>
        </w:tc>
        <w:tc>
          <w:tcPr>
            <w:tcW w:w="2500" w:type="dxa"/>
            <w:vAlign w:val="bottom"/>
          </w:tcPr>
          <w:p>
            <w:pPr>
              <w:ind w:left="18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Secured</w:t>
            </w:r>
          </w:p>
        </w:tc>
      </w:tr>
    </w:tbl>
    <w:p>
      <w:pPr>
        <w:spacing w:after="0"/>
        <w:rPr>
          <w:sz w:val="20"/>
          <w:szCs w:val="20"/>
          <w:color w:val="auto"/>
        </w:rPr>
      </w:pPr>
      <w:r>
        <w:rPr>
          <w:rFonts w:ascii="Arial" w:cs="Arial" w:eastAsia="Arial" w:hAnsi="Arial"/>
          <w:sz w:val="16"/>
          <w:szCs w:val="16"/>
          <w:color w:val="auto"/>
        </w:rPr>
        <w:t>Parties, [list any previously added Additional Agent] [and insert name of each Additional Agent under any Additional Credit Facility being added hereby as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3"/>
          </w:tcPr>
          <w:p>
            <w:pPr>
              <w:spacing w:after="0"/>
              <w:rPr>
                <w:sz w:val="20"/>
                <w:szCs w:val="20"/>
                <w:color w:val="auto"/>
              </w:rPr>
            </w:pPr>
            <w:r>
              <w:rPr>
                <w:rFonts w:ascii="Arial" w:cs="Arial" w:eastAsia="Arial" w:hAnsi="Arial"/>
                <w:sz w:val="18"/>
                <w:szCs w:val="18"/>
                <w:color w:val="auto"/>
                <w:w w:val="93"/>
              </w:rPr>
              <w:t>party] and any successors or assigns thereof, to the Intercreditor Agreement dated as of [</w:t>
            </w:r>
          </w:p>
        </w:tc>
        <w:tc>
          <w:tcPr>
            <w:tcW w:w="4740" w:type="dxa"/>
            <w:vAlign w:val="bottom"/>
            <w:gridSpan w:val="2"/>
          </w:tcPr>
          <w:p>
            <w:pPr>
              <w:ind w:left="260"/>
              <w:spacing w:after="0"/>
              <w:rPr>
                <w:sz w:val="20"/>
                <w:szCs w:val="20"/>
                <w:color w:val="auto"/>
              </w:rPr>
            </w:pPr>
            <w:r>
              <w:rPr>
                <w:rFonts w:ascii="Arial" w:cs="Arial" w:eastAsia="Arial" w:hAnsi="Arial"/>
                <w:sz w:val="18"/>
                <w:szCs w:val="18"/>
                <w:color w:val="auto"/>
                <w:w w:val="92"/>
              </w:rPr>
              <w:t>] (as amended, supplemented, waived or otherwise modified</w:t>
            </w:r>
          </w:p>
        </w:tc>
      </w:tr>
      <w:tr>
        <w:trPr>
          <w:trHeight w:val="190"/>
        </w:trPr>
        <w:tc>
          <w:tcPr>
            <w:tcW w:w="7300" w:type="dxa"/>
            <w:vAlign w:val="bottom"/>
            <w:gridSpan w:val="4"/>
          </w:tcPr>
          <w:p>
            <w:pPr>
              <w:spacing w:after="0" w:line="190" w:lineRule="exact"/>
              <w:rPr>
                <w:sz w:val="20"/>
                <w:szCs w:val="20"/>
                <w:color w:val="auto"/>
              </w:rPr>
            </w:pPr>
            <w:r>
              <w:rPr>
                <w:rFonts w:ascii="Arial" w:cs="Arial" w:eastAsia="Arial" w:hAnsi="Arial"/>
                <w:sz w:val="18"/>
                <w:szCs w:val="18"/>
                <w:color w:val="auto"/>
                <w:w w:val="95"/>
              </w:rPr>
              <w:t>from time to time, the “Intercreditor Agreement”) among the Original First Lien Agent, [and] the [</w:t>
            </w:r>
          </w:p>
        </w:tc>
        <w:tc>
          <w:tcPr>
            <w:tcW w:w="4100" w:type="dxa"/>
            <w:vAlign w:val="bottom"/>
          </w:tcPr>
          <w:p>
            <w:pPr>
              <w:ind w:left="180"/>
              <w:spacing w:after="0" w:line="190" w:lineRule="exact"/>
              <w:rPr>
                <w:sz w:val="20"/>
                <w:szCs w:val="20"/>
                <w:color w:val="auto"/>
              </w:rPr>
            </w:pPr>
            <w:r>
              <w:rPr>
                <w:rFonts w:ascii="Arial" w:cs="Arial" w:eastAsia="Arial" w:hAnsi="Arial"/>
                <w:sz w:val="18"/>
                <w:szCs w:val="18"/>
                <w:color w:val="auto"/>
                <w:w w:val="93"/>
              </w:rPr>
              <w:t>]</w:t>
            </w:r>
            <w:r>
              <w:rPr>
                <w:rFonts w:ascii="Arial" w:cs="Arial" w:eastAsia="Arial" w:hAnsi="Arial"/>
                <w:sz w:val="15"/>
                <w:szCs w:val="15"/>
                <w:color w:val="auto"/>
                <w:w w:val="93"/>
              </w:rPr>
              <w:t>i</w:t>
            </w:r>
            <w:r>
              <w:rPr>
                <w:rFonts w:ascii="Arial" w:cs="Arial" w:eastAsia="Arial" w:hAnsi="Arial"/>
                <w:sz w:val="18"/>
                <w:szCs w:val="18"/>
                <w:color w:val="auto"/>
                <w:w w:val="93"/>
              </w:rPr>
              <w:t xml:space="preserve"> [First/Second]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Agent [and (list any previously</w:t>
            </w:r>
          </w:p>
        </w:tc>
      </w:tr>
      <w:tr>
        <w:trPr>
          <w:trHeight w:val="20"/>
        </w:trPr>
        <w:tc>
          <w:tcPr>
            <w:tcW w:w="17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added Additional Agent)]. Capitalized terms used herein and not otherwise defined herein shall have the meaning specified in the Intercreditor Agreement.</w:t>
      </w:r>
    </w:p>
    <w:p>
      <w:pPr>
        <w:spacing w:after="0" w:line="24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Reference is made to that certain [insert name of Additional Credit Facility], dated as of , 20 (the “</w:t>
      </w:r>
      <w:r>
        <w:rPr>
          <w:rFonts w:ascii="Arial" w:cs="Arial" w:eastAsia="Arial" w:hAnsi="Arial"/>
          <w:sz w:val="18"/>
          <w:szCs w:val="18"/>
          <w:u w:val="single" w:color="auto"/>
          <w:color w:val="auto"/>
        </w:rPr>
        <w:t>Additional Credit Facility</w:t>
      </w:r>
      <w:r>
        <w:rPr>
          <w:rFonts w:ascii="Arial" w:cs="Arial" w:eastAsia="Arial" w:hAnsi="Arial"/>
          <w:sz w:val="18"/>
          <w:szCs w:val="18"/>
          <w:color w:val="auto"/>
        </w:rPr>
        <w:t>”), among [list any</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applicable Grantor], [list any applicable Additional Credit Facility Secured Parties (the “</w:t>
      </w:r>
      <w:r>
        <w:rPr>
          <w:rFonts w:ascii="Arial" w:cs="Arial" w:eastAsia="Arial" w:hAnsi="Arial"/>
          <w:sz w:val="18"/>
          <w:szCs w:val="18"/>
          <w:u w:val="single" w:color="auto"/>
          <w:color w:val="auto"/>
        </w:rPr>
        <w:t>Joining Additional Creditors</w:t>
      </w:r>
      <w:r>
        <w:rPr>
          <w:rFonts w:ascii="Arial" w:cs="Arial" w:eastAsia="Arial" w:hAnsi="Arial"/>
          <w:sz w:val="18"/>
          <w:szCs w:val="18"/>
          <w:color w:val="auto"/>
        </w:rPr>
        <w:t>”)] [and insert name of each applicable Additional Agent (the “</w:t>
      </w:r>
      <w:r>
        <w:rPr>
          <w:rFonts w:ascii="Arial" w:cs="Arial" w:eastAsia="Arial" w:hAnsi="Arial"/>
          <w:sz w:val="18"/>
          <w:szCs w:val="18"/>
          <w:u w:val="single" w:color="auto"/>
          <w:color w:val="auto"/>
        </w:rPr>
        <w:t>Joining Additional Agent</w:t>
      </w:r>
      <w:r>
        <w:rPr>
          <w:rFonts w:ascii="Arial" w:cs="Arial" w:eastAsia="Arial" w:hAnsi="Arial"/>
          <w:sz w:val="18"/>
          <w:szCs w:val="18"/>
          <w:color w:val="auto"/>
        </w:rPr>
        <w:t>”)].</w:t>
      </w:r>
      <w:r>
        <w:rPr>
          <w:rFonts w:ascii="Arial" w:cs="Arial" w:eastAsia="Arial" w:hAnsi="Arial"/>
          <w:sz w:val="15"/>
          <w:szCs w:val="15"/>
          <w:color w:val="auto"/>
        </w:rPr>
        <w:t>7</w:t>
      </w:r>
      <w:r>
        <w:rPr>
          <w:rFonts w:ascii="Arial" w:cs="Arial" w:eastAsia="Arial" w:hAnsi="Arial"/>
          <w:sz w:val="18"/>
          <w:szCs w:val="18"/>
          <w:color w:val="auto"/>
        </w:rPr>
        <w:t xml:space="preserve"> Section 7.11 of the Intercreditor Agreement permits the Company to designate Additional Indebtedness under the Intercreditor Agreement. The Company has so designated Additional Indebtedness incurred or to be incurred under the Additional Credit Facility as Additional Indebtedness by means of an Additional Indebtedness Designation.</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Accordingly, [the Joining Additional Agent, for itself and on behalf of the Joining Additional Creditors,]</w:t>
      </w:r>
      <w:r>
        <w:rPr>
          <w:rFonts w:ascii="Arial" w:cs="Arial" w:eastAsia="Arial" w:hAnsi="Arial"/>
          <w:sz w:val="14"/>
          <w:szCs w:val="14"/>
          <w:color w:val="auto"/>
        </w:rPr>
        <w:t>8</w:t>
      </w:r>
      <w:r>
        <w:rPr>
          <w:rFonts w:ascii="Arial" w:cs="Arial" w:eastAsia="Arial" w:hAnsi="Arial"/>
          <w:sz w:val="17"/>
          <w:szCs w:val="17"/>
          <w:color w:val="auto"/>
        </w:rPr>
        <w:t xml:space="preserve"> hereby agrees with the Original First Lien</w:t>
      </w:r>
    </w:p>
    <w:p>
      <w:pPr>
        <w:spacing w:after="0" w:line="3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Agent, the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and any other Additional Agent party to the Intercreditor Agreement as follows:</w:t>
      </w:r>
    </w:p>
    <w:p>
      <w:pPr>
        <w:spacing w:after="0" w:line="20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u w:val="single" w:color="auto"/>
          <w:color w:val="auto"/>
        </w:rPr>
        <w:t>Agreement to be Bound</w:t>
      </w:r>
      <w:r>
        <w:rPr>
          <w:rFonts w:ascii="Arial" w:cs="Arial" w:eastAsia="Arial" w:hAnsi="Arial"/>
          <w:sz w:val="18"/>
          <w:szCs w:val="18"/>
          <w:color w:val="auto"/>
        </w:rPr>
        <w:t>. The [Joining Additional Agent, for itself and on behalf of the Joining Additional Creditors,]</w:t>
      </w:r>
      <w:r>
        <w:rPr>
          <w:rFonts w:ascii="Arial" w:cs="Arial" w:eastAsia="Arial" w:hAnsi="Arial"/>
          <w:sz w:val="15"/>
          <w:szCs w:val="15"/>
          <w:color w:val="auto"/>
        </w:rPr>
        <w:t>9</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to be bound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provisions of the Intercreditor Agreement and shall, as of the Additional Effective Date with respect to the Additional Credit Facility, be deemed to be a party to the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89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ind w:left="460" w:hanging="452"/>
        <w:spacing w:after="0"/>
        <w:tabs>
          <w:tab w:leader="none" w:pos="460" w:val="left"/>
        </w:tabs>
        <w:numPr>
          <w:ilvl w:val="0"/>
          <w:numId w:val="556"/>
        </w:numPr>
        <w:rPr>
          <w:rFonts w:ascii="Arial" w:cs="Arial" w:eastAsia="Arial" w:hAnsi="Arial"/>
          <w:sz w:val="15"/>
          <w:szCs w:val="15"/>
          <w:color w:val="auto"/>
        </w:rPr>
      </w:pPr>
      <w:r>
        <w:rPr>
          <w:rFonts w:ascii="Arial" w:cs="Arial" w:eastAsia="Arial" w:hAnsi="Arial"/>
          <w:sz w:val="18"/>
          <w:szCs w:val="18"/>
          <w:color w:val="auto"/>
        </w:rPr>
        <w:t>Revise as appropriate to refer to any successor First Lien Agent.</w:t>
      </w:r>
    </w:p>
    <w:p>
      <w:pPr>
        <w:spacing w:after="0" w:line="22" w:lineRule="exact"/>
        <w:rPr>
          <w:sz w:val="20"/>
          <w:szCs w:val="20"/>
          <w:color w:val="auto"/>
        </w:rPr>
      </w:pPr>
    </w:p>
    <w:p>
      <w:pPr>
        <w:spacing w:after="0"/>
        <w:tabs>
          <w:tab w:leader="none" w:pos="440" w:val="left"/>
          <w:tab w:leader="none" w:pos="4240" w:val="left"/>
        </w:tabs>
        <w:rPr>
          <w:sz w:val="20"/>
          <w:szCs w:val="20"/>
          <w:color w:val="auto"/>
        </w:rPr>
      </w:pPr>
      <w:r>
        <w:rPr>
          <w:rFonts w:ascii="Arial" w:cs="Arial" w:eastAsia="Arial" w:hAnsi="Arial"/>
          <w:sz w:val="15"/>
          <w:szCs w:val="15"/>
          <w:color w:val="auto"/>
        </w:rPr>
        <w:t>6</w:t>
      </w:r>
      <w:r>
        <w:rPr>
          <w:sz w:val="20"/>
          <w:szCs w:val="20"/>
          <w:color w:val="auto"/>
        </w:rPr>
        <w:tab/>
      </w:r>
      <w:r>
        <w:rPr>
          <w:rFonts w:ascii="Arial" w:cs="Arial" w:eastAsia="Arial" w:hAnsi="Arial"/>
          <w:sz w:val="18"/>
          <w:szCs w:val="18"/>
          <w:color w:val="auto"/>
        </w:rPr>
        <w:t>Revise as appropriate to refer to any successor [</w:t>
      </w:r>
      <w:r>
        <w:rPr>
          <w:sz w:val="20"/>
          <w:szCs w:val="20"/>
          <w:color w:val="auto"/>
        </w:rPr>
        <w:tab/>
      </w:r>
      <w:r>
        <w:rPr>
          <w:rFonts w:ascii="Arial" w:cs="Arial" w:eastAsia="Arial" w:hAnsi="Arial"/>
          <w:sz w:val="17"/>
          <w:szCs w:val="17"/>
          <w:color w:val="auto"/>
        </w:rPr>
        <w:t>]i [First/Second]ii Lien Agent.</w:t>
      </w:r>
    </w:p>
    <w:p>
      <w:pPr>
        <w:spacing w:after="0" w:line="9" w:lineRule="exact"/>
        <w:rPr>
          <w:sz w:val="20"/>
          <w:szCs w:val="20"/>
          <w:color w:val="auto"/>
        </w:rPr>
      </w:pPr>
    </w:p>
    <w:p>
      <w:pPr>
        <w:ind w:left="460" w:hanging="452"/>
        <w:spacing w:after="0"/>
        <w:tabs>
          <w:tab w:leader="none" w:pos="460" w:val="left"/>
        </w:tabs>
        <w:numPr>
          <w:ilvl w:val="0"/>
          <w:numId w:val="557"/>
        </w:numPr>
        <w:rPr>
          <w:rFonts w:ascii="Arial" w:cs="Arial" w:eastAsia="Arial" w:hAnsi="Arial"/>
          <w:sz w:val="14"/>
          <w:szCs w:val="14"/>
          <w:color w:val="auto"/>
        </w:rPr>
      </w:pPr>
      <w:r>
        <w:rPr>
          <w:rFonts w:ascii="Arial" w:cs="Arial" w:eastAsia="Arial" w:hAnsi="Arial"/>
          <w:sz w:val="17"/>
          <w:szCs w:val="17"/>
          <w:color w:val="auto"/>
        </w:rPr>
        <w:t>Revise as appropriate to refer to the relevant Additional Credit Facility, Additional Credit Facility Secured Parties and any Additional Agent.</w:t>
      </w:r>
    </w:p>
    <w:p>
      <w:pPr>
        <w:spacing w:after="0" w:line="21" w:lineRule="exact"/>
        <w:rPr>
          <w:sz w:val="20"/>
          <w:szCs w:val="20"/>
          <w:color w:val="auto"/>
        </w:rPr>
      </w:pPr>
    </w:p>
    <w:p>
      <w:pPr>
        <w:ind w:left="460" w:hanging="452"/>
        <w:spacing w:after="0"/>
        <w:tabs>
          <w:tab w:leader="none" w:pos="460" w:val="left"/>
        </w:tabs>
        <w:numPr>
          <w:ilvl w:val="0"/>
          <w:numId w:val="558"/>
        </w:numPr>
        <w:rPr>
          <w:rFonts w:ascii="Arial" w:cs="Arial" w:eastAsia="Arial" w:hAnsi="Arial"/>
          <w:sz w:val="14"/>
          <w:szCs w:val="14"/>
          <w:color w:val="auto"/>
        </w:rPr>
      </w:pPr>
      <w:r>
        <w:rPr>
          <w:rFonts w:ascii="Arial" w:cs="Arial" w:eastAsia="Arial" w:hAnsi="Arial"/>
          <w:sz w:val="16"/>
          <w:szCs w:val="16"/>
          <w:color w:val="auto"/>
        </w:rPr>
        <w:t>Revise as appropriate to refer to any Additional Agent being added hereby and any Additional Credit Facility Secured Parties represented thereby.</w:t>
      </w:r>
    </w:p>
    <w:p>
      <w:pPr>
        <w:spacing w:after="0" w:line="32" w:lineRule="exact"/>
        <w:rPr>
          <w:sz w:val="20"/>
          <w:szCs w:val="20"/>
          <w:color w:val="auto"/>
        </w:rPr>
      </w:pPr>
    </w:p>
    <w:p>
      <w:pPr>
        <w:ind w:left="5580" w:right="4680" w:hanging="5572"/>
        <w:spacing w:after="0" w:line="474" w:lineRule="auto"/>
        <w:tabs>
          <w:tab w:leader="none" w:pos="455" w:val="left"/>
        </w:tabs>
        <w:numPr>
          <w:ilvl w:val="0"/>
          <w:numId w:val="559"/>
        </w:numPr>
        <w:rPr>
          <w:rFonts w:ascii="Arial" w:cs="Arial" w:eastAsia="Arial" w:hAnsi="Arial"/>
          <w:sz w:val="14"/>
          <w:szCs w:val="14"/>
          <w:color w:val="auto"/>
        </w:rPr>
      </w:pPr>
      <w:r>
        <w:rPr>
          <w:rFonts w:ascii="Arial" w:cs="Arial" w:eastAsia="Arial" w:hAnsi="Arial"/>
          <w:sz w:val="17"/>
          <w:szCs w:val="17"/>
          <w:color w:val="auto"/>
        </w:rPr>
        <w:t>Revise references throughout as appropriate to refer to the party or parties being added. B-1</w:t>
      </w:r>
    </w:p>
    <w:p>
      <w:pPr>
        <w:sectPr>
          <w:pgSz w:w="11900" w:h="16838" w:orient="portrait"/>
          <w:cols w:equalWidth="0" w:num="1">
            <w:col w:w="11420"/>
          </w:cols>
          <w:pgMar w:left="240" w:top="269" w:right="239" w:bottom="1440" w:gutter="0" w:footer="0" w:header="0"/>
        </w:sectPr>
      </w:pPr>
    </w:p>
    <w:bookmarkStart w:id="508" w:name="page509"/>
    <w:bookmarkEnd w:id="508"/>
    <w:tbl>
      <w:tblPr>
        <w:tblLayout w:type="fixed"/>
        <w:tblInd w:w="0" w:type="dxa"/>
        <w:tblCellMar>
          <w:top w:w="0" w:type="dxa"/>
          <w:left w:w="0" w:type="dxa"/>
          <w:bottom w:w="0" w:type="dxa"/>
          <w:right w:w="0" w:type="dxa"/>
        </w:tblCellMar>
      </w:tblPr>
      <w:tr>
        <w:trPr>
          <w:trHeight w:val="207"/>
        </w:trPr>
        <w:tc>
          <w:tcPr>
            <w:tcW w:w="9960" w:type="dxa"/>
            <w:vAlign w:val="bottom"/>
            <w:gridSpan w:val="4"/>
          </w:tcPr>
          <w:p>
            <w:pPr>
              <w:ind w:left="460"/>
              <w:spacing w:after="0"/>
              <w:rPr>
                <w:sz w:val="20"/>
                <w:szCs w:val="20"/>
                <w:color w:val="auto"/>
              </w:rPr>
            </w:pPr>
            <w:r>
              <w:rPr>
                <w:rFonts w:ascii="Arial" w:cs="Arial" w:eastAsia="Arial" w:hAnsi="Arial"/>
                <w:sz w:val="18"/>
                <w:szCs w:val="18"/>
                <w:b w:val="1"/>
                <w:bCs w:val="1"/>
                <w:color w:val="auto"/>
                <w:w w:val="94"/>
              </w:rPr>
              <w:t xml:space="preserve">B. </w:t>
            </w:r>
            <w:r>
              <w:rPr>
                <w:rFonts w:ascii="Arial" w:cs="Arial" w:eastAsia="Arial" w:hAnsi="Arial"/>
                <w:sz w:val="18"/>
                <w:szCs w:val="18"/>
                <w:color w:val="auto"/>
                <w:w w:val="94"/>
              </w:rPr>
              <w:t>Recognition of Claims. The Original First Lien Agent (for itself and on behalf of the Original First Lien Secured Parties), the [</w:t>
            </w:r>
          </w:p>
        </w:tc>
        <w:tc>
          <w:tcPr>
            <w:tcW w:w="1440" w:type="dxa"/>
            <w:vAlign w:val="bottom"/>
          </w:tcPr>
          <w:p>
            <w:pPr>
              <w:ind w:left="18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p>
        </w:tc>
      </w:tr>
      <w:tr>
        <w:trPr>
          <w:trHeight w:val="20"/>
        </w:trPr>
        <w:tc>
          <w:tcPr>
            <w:tcW w:w="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r>
      <w:tr>
        <w:trPr>
          <w:trHeight w:val="237"/>
        </w:trPr>
        <w:tc>
          <w:tcPr>
            <w:tcW w:w="3320" w:type="dxa"/>
            <w:vAlign w:val="bottom"/>
            <w:gridSpan w:val="3"/>
          </w:tcPr>
          <w:p>
            <w:pPr>
              <w:spacing w:after="0"/>
              <w:rPr>
                <w:sz w:val="20"/>
                <w:szCs w:val="20"/>
                <w:color w:val="auto"/>
              </w:rPr>
            </w:pPr>
            <w:r>
              <w:rPr>
                <w:rFonts w:ascii="Arial" w:cs="Arial" w:eastAsia="Arial" w:hAnsi="Arial"/>
                <w:sz w:val="18"/>
                <w:szCs w:val="18"/>
                <w:color w:val="auto"/>
                <w:w w:val="98"/>
              </w:rPr>
              <w:t>Lien Agent (for itself and on behalf of the [</w:t>
            </w:r>
          </w:p>
        </w:tc>
        <w:tc>
          <w:tcPr>
            <w:tcW w:w="8080" w:type="dxa"/>
            <w:vAlign w:val="bottom"/>
            <w:gridSpan w:val="2"/>
          </w:tcPr>
          <w:p>
            <w:pPr>
              <w:ind w:left="180"/>
              <w:spacing w:after="0"/>
              <w:rPr>
                <w:sz w:val="20"/>
                <w:szCs w:val="20"/>
                <w:color w:val="auto"/>
              </w:rPr>
            </w:pPr>
            <w:r>
              <w:rPr>
                <w:rFonts w:ascii="Arial" w:cs="Arial" w:eastAsia="Arial" w:hAnsi="Arial"/>
                <w:sz w:val="18"/>
                <w:szCs w:val="18"/>
                <w:color w:val="auto"/>
                <w:w w:val="93"/>
              </w:rPr>
              <w:t>]i [First/Second]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Secured Parties) and [each of] the Additional Agent[s](for itself and on behalf of any</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Credit Facility Secured Parties represented thereby) hereby agree that the interests of the respective Creditors in the Liens granted to the Original</w:t>
      </w:r>
    </w:p>
    <w:p>
      <w:pPr>
        <w:spacing w:after="0" w:line="3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First Lien Agent, the [ ]</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or any Additional Agent, as applicable, under the applicable Credit Documents shall be treated, as among the Creditors, as having the priorities provided for in Section 2.01 of the Intercreditor Agreement, and shall at all times be allocated among the Creditors as provided therein regardless of any claim or defense (including any claims under the fraudulent transfer, preference or similar avoidance provisions of applicable bankruptcy, insolvency or other laws affecting the rights of creditors generally) to which the Original First Lien Agent, the [ ]</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any Additional Agent or any Creditor may be entitled or subject. The Original First Lien Agent (for itself and on behalf of the</w:t>
      </w:r>
    </w:p>
    <w:p>
      <w:pPr>
        <w:spacing w:after="0" w:line="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Original First Lien Secured Parties), the [ ]</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Agent (for itself and on behalf of the [ ]</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Creditors), and any Additional Agent party to the Intercreditor Agreement (for itself and on behalf of any Additional Credit Facility Secured Parties represented thereby) (a) recognize the existence and validity of the Additional Obligations represented by the Additional Credit Facility, and (b) agree to refrain from making or asserting any claim that the Additional Credit Facility or other applicable Additional Documents are invalid or not enforceable in accordance with their terms as a result of the circumstances surrounding the incurrence of such obligations. The [Joining Additional Agent (for itself and on behalf of the Joining</w:t>
      </w:r>
    </w:p>
    <w:p>
      <w:pPr>
        <w:spacing w:after="0" w:line="1" w:lineRule="exact"/>
        <w:rPr>
          <w:sz w:val="20"/>
          <w:szCs w:val="20"/>
          <w:color w:val="auto"/>
        </w:rPr>
      </w:pPr>
    </w:p>
    <w:p>
      <w:pPr>
        <w:spacing w:after="0"/>
        <w:tabs>
          <w:tab w:leader="none" w:pos="10500" w:val="left"/>
        </w:tabs>
        <w:rPr>
          <w:sz w:val="20"/>
          <w:szCs w:val="20"/>
          <w:color w:val="auto"/>
        </w:rPr>
      </w:pPr>
      <w:r>
        <w:rPr>
          <w:rFonts w:ascii="Arial" w:cs="Arial" w:eastAsia="Arial" w:hAnsi="Arial"/>
          <w:sz w:val="17"/>
          <w:szCs w:val="17"/>
          <w:color w:val="auto"/>
        </w:rPr>
        <w:t>Additional Creditors)] (a) recognize[s] the existence and validity of the Original First Lien Obligations and the existence and validity of the [</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i</w:t>
      </w:r>
    </w:p>
    <w:p>
      <w:pPr>
        <w:spacing w:after="0" w:line="9" w:lineRule="exact"/>
        <w:rPr>
          <w:sz w:val="20"/>
          <w:szCs w:val="20"/>
          <w:color w:val="auto"/>
        </w:rPr>
      </w:pPr>
    </w:p>
    <w:p>
      <w:pPr>
        <w:spacing w:after="0"/>
        <w:tabs>
          <w:tab w:leader="none" w:pos="11100" w:val="left"/>
        </w:tabs>
        <w:rPr>
          <w:sz w:val="20"/>
          <w:szCs w:val="20"/>
          <w:color w:val="auto"/>
        </w:rPr>
      </w:pPr>
      <w:r>
        <w:rPr>
          <w:rFonts w:ascii="Arial" w:cs="Arial" w:eastAsia="Arial" w:hAnsi="Arial"/>
          <w:sz w:val="17"/>
          <w:szCs w:val="17"/>
          <w:color w:val="auto"/>
        </w:rPr>
        <w:t>[First/Second]</w:t>
      </w:r>
      <w:r>
        <w:rPr>
          <w:rFonts w:ascii="Arial" w:cs="Arial" w:eastAsia="Arial" w:hAnsi="Arial"/>
          <w:sz w:val="14"/>
          <w:szCs w:val="14"/>
          <w:color w:val="auto"/>
        </w:rPr>
        <w:t>ii</w:t>
      </w:r>
      <w:r>
        <w:rPr>
          <w:rFonts w:ascii="Arial" w:cs="Arial" w:eastAsia="Arial" w:hAnsi="Arial"/>
          <w:sz w:val="17"/>
          <w:szCs w:val="17"/>
          <w:color w:val="auto"/>
        </w:rPr>
        <w:t xml:space="preserve"> Lien Obligations</w:t>
      </w:r>
      <w:r>
        <w:rPr>
          <w:rFonts w:ascii="Arial" w:cs="Arial" w:eastAsia="Arial" w:hAnsi="Arial"/>
          <w:sz w:val="14"/>
          <w:szCs w:val="14"/>
          <w:color w:val="auto"/>
        </w:rPr>
        <w:t>10</w:t>
      </w:r>
      <w:r>
        <w:rPr>
          <w:rFonts w:ascii="Arial" w:cs="Arial" w:eastAsia="Arial" w:hAnsi="Arial"/>
          <w:sz w:val="17"/>
          <w:szCs w:val="17"/>
          <w:color w:val="auto"/>
        </w:rPr>
        <w:t xml:space="preserve"> and (b) agree[s] to refrain from making or asserting any claim that the Original First Lien Credit Agreement, the [</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i</w:t>
      </w:r>
    </w:p>
    <w:p>
      <w:pPr>
        <w:spacing w:after="0" w:line="9"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[First/Second]</w:t>
      </w:r>
      <w:r>
        <w:rPr>
          <w:rFonts w:ascii="Arial" w:cs="Arial" w:eastAsia="Arial" w:hAnsi="Arial"/>
          <w:sz w:val="15"/>
          <w:szCs w:val="15"/>
          <w:color w:val="auto"/>
        </w:rPr>
        <w:t>ii</w:t>
      </w:r>
      <w:r>
        <w:rPr>
          <w:rFonts w:ascii="Arial" w:cs="Arial" w:eastAsia="Arial" w:hAnsi="Arial"/>
          <w:sz w:val="18"/>
          <w:szCs w:val="18"/>
          <w:color w:val="auto"/>
        </w:rPr>
        <w:t xml:space="preserve"> Lien Credit Facility or other Original First Lien Documents or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xml:space="preserve"> Lien Documents,</w:t>
      </w:r>
      <w:r>
        <w:rPr>
          <w:rFonts w:ascii="Arial" w:cs="Arial" w:eastAsia="Arial" w:hAnsi="Arial"/>
          <w:sz w:val="13"/>
          <w:szCs w:val="13"/>
          <w:color w:val="auto"/>
        </w:rPr>
        <w:t>11</w:t>
      </w:r>
      <w:r>
        <w:rPr>
          <w:rFonts w:ascii="Arial" w:cs="Arial" w:eastAsia="Arial" w:hAnsi="Arial"/>
          <w:sz w:val="16"/>
          <w:szCs w:val="16"/>
          <w:color w:val="auto"/>
        </w:rPr>
        <w:t xml:space="preserve"> as the case may be, are invalid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enforceable in accordance with their terms as a result of the circumstances surrounding the incurrence of such obligations.</w:t>
      </w:r>
    </w:p>
    <w:p>
      <w:pPr>
        <w:spacing w:after="0" w:line="20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u w:val="single" w:color="auto"/>
          <w:color w:val="auto"/>
        </w:rPr>
        <w:t>Notices</w:t>
      </w:r>
      <w:r>
        <w:rPr>
          <w:rFonts w:ascii="Arial" w:cs="Arial" w:eastAsia="Arial" w:hAnsi="Arial"/>
          <w:sz w:val="18"/>
          <w:szCs w:val="18"/>
          <w:color w:val="auto"/>
        </w:rPr>
        <w:t>. Notices and other communications provided for under the Intercreditor Agreement to be provided to [the Joining Additional Agent]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sent to the address set forth on Annex 1 attached hereto (until notice of a change thereof is delivered as provided in Section 7.05 of the Intercreditor Agreement).</w:t>
      </w:r>
    </w:p>
    <w:p>
      <w:pPr>
        <w:spacing w:after="0" w:line="17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r>
        <w:rPr>
          <w:rFonts w:ascii="Arial" w:cs="Arial" w:eastAsia="Arial" w:hAnsi="Arial"/>
          <w:sz w:val="18"/>
          <w:szCs w:val="18"/>
          <w:b w:val="1"/>
          <w:bCs w:val="1"/>
          <w:color w:val="auto"/>
        </w:rPr>
        <w:t xml:space="preserve"> THIS JOINDER SHALL BE CONSTRUED AND ENFORCED IN ACCORDANCE WITH AND GOVERNED BY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560"/>
        </w:numPr>
        <w:rPr>
          <w:rFonts w:ascii="Arial" w:cs="Arial" w:eastAsia="Arial" w:hAnsi="Arial"/>
          <w:sz w:val="15"/>
          <w:szCs w:val="15"/>
          <w:color w:val="auto"/>
        </w:rPr>
      </w:pPr>
      <w:r>
        <w:rPr>
          <w:rFonts w:ascii="Arial" w:cs="Arial" w:eastAsia="Arial" w:hAnsi="Arial"/>
          <w:sz w:val="18"/>
          <w:szCs w:val="18"/>
          <w:color w:val="auto"/>
        </w:rPr>
        <w:t>Add reference to any previously added Additional Credit Facility and related Additional Obligations as appropriate.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560"/>
        </w:numPr>
        <w:rPr>
          <w:rFonts w:ascii="Arial" w:cs="Arial" w:eastAsia="Arial" w:hAnsi="Arial"/>
          <w:sz w:val="15"/>
          <w:szCs w:val="15"/>
          <w:color w:val="auto"/>
        </w:rPr>
      </w:pPr>
      <w:r>
        <w:rPr>
          <w:rFonts w:ascii="Arial" w:cs="Arial" w:eastAsia="Arial" w:hAnsi="Arial"/>
          <w:sz w:val="18"/>
          <w:szCs w:val="18"/>
          <w:color w:val="auto"/>
        </w:rPr>
        <w:t>Add reference to any previously added Additional Credit Facility and related Additional Documents as appropriate.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57" w:right="259" w:bottom="1440" w:gutter="0" w:footer="0" w:header="0"/>
        </w:sectPr>
      </w:pPr>
    </w:p>
    <w:bookmarkStart w:id="509" w:name="page510"/>
    <w:bookmarkEnd w:id="50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Joinder to be duly executed by its duly authorized officer or other representative, all as of the day and year first above written.</w:t>
      </w:r>
    </w:p>
    <w:p>
      <w:pPr>
        <w:spacing w:after="0" w:line="197" w:lineRule="exact"/>
        <w:rPr>
          <w:sz w:val="20"/>
          <w:szCs w:val="20"/>
          <w:color w:val="auto"/>
        </w:rPr>
      </w:pPr>
    </w:p>
    <w:p>
      <w:pPr>
        <w:ind w:left="6860"/>
        <w:spacing w:after="0"/>
        <w:tabs>
          <w:tab w:leader="none" w:pos="8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24"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20"/>
          </w:cols>
          <w:pgMar w:left="240" w:top="274" w:right="439" w:bottom="1440" w:gutter="0" w:footer="0" w:header="0"/>
        </w:sectPr>
      </w:pPr>
    </w:p>
    <w:bookmarkStart w:id="510" w:name="page511"/>
    <w:bookmarkEnd w:id="510"/>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2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Exhibit C to the Intercreditor Agreement</w:t>
            </w:r>
          </w:p>
        </w:tc>
      </w:tr>
      <w:tr>
        <w:trPr>
          <w:trHeight w:val="414"/>
        </w:trPr>
        <w:tc>
          <w:tcPr>
            <w:tcW w:w="2380" w:type="dxa"/>
            <w:vAlign w:val="bottom"/>
          </w:tcPr>
          <w:p>
            <w:pPr>
              <w:spacing w:after="0"/>
              <w:rPr>
                <w:sz w:val="24"/>
                <w:szCs w:val="24"/>
                <w:color w:val="auto"/>
              </w:rPr>
            </w:pPr>
          </w:p>
        </w:tc>
        <w:tc>
          <w:tcPr>
            <w:tcW w:w="5820" w:type="dxa"/>
            <w:vAlign w:val="bottom"/>
            <w:gridSpan w:val="3"/>
          </w:tcPr>
          <w:p>
            <w:pPr>
              <w:ind w:left="600"/>
              <w:spacing w:after="0"/>
              <w:rPr>
                <w:sz w:val="20"/>
                <w:szCs w:val="20"/>
                <w:color w:val="auto"/>
              </w:rPr>
            </w:pPr>
            <w:r>
              <w:rPr>
                <w:rFonts w:ascii="Arial" w:cs="Arial" w:eastAsia="Arial" w:hAnsi="Arial"/>
                <w:sz w:val="18"/>
                <w:szCs w:val="18"/>
                <w:b w:val="1"/>
                <w:bCs w:val="1"/>
                <w:color w:val="auto"/>
              </w:rPr>
              <w:t>III. [ORIGINAL FIRST LIEN CREDIT AGREEMENT][[</w:t>
            </w:r>
          </w:p>
        </w:tc>
        <w:tc>
          <w:tcPr>
            <w:tcW w:w="2200" w:type="dxa"/>
            <w:vAlign w:val="bottom"/>
          </w:tcPr>
          <w:p>
            <w:pPr>
              <w:jc w:val="right"/>
              <w:ind w:right="18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820" w:type="dxa"/>
            <w:vAlign w:val="bottom"/>
            <w:gridSpan w:val="3"/>
          </w:tcPr>
          <w:p>
            <w:pPr>
              <w:ind w:left="920"/>
              <w:spacing w:after="0"/>
              <w:rPr>
                <w:sz w:val="20"/>
                <w:szCs w:val="20"/>
                <w:color w:val="auto"/>
              </w:rPr>
            </w:pPr>
            <w:r>
              <w:rPr>
                <w:rFonts w:ascii="Arial" w:cs="Arial" w:eastAsia="Arial" w:hAnsi="Arial"/>
                <w:sz w:val="18"/>
                <w:szCs w:val="18"/>
                <w:b w:val="1"/>
                <w:bCs w:val="1"/>
                <w:color w:val="auto"/>
              </w:rPr>
              <w:t>[FIRST/SECOND LIEN] CREDIT AGREEMENT] JOINDER</w:t>
            </w:r>
          </w:p>
        </w:tc>
        <w:tc>
          <w:tcPr>
            <w:tcW w:w="2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2380" w:type="dxa"/>
            <w:vAlign w:val="bottom"/>
          </w:tcPr>
          <w:p>
            <w:pPr>
              <w:ind w:left="460"/>
              <w:spacing w:after="0"/>
              <w:rPr>
                <w:sz w:val="20"/>
                <w:szCs w:val="20"/>
                <w:color w:val="auto"/>
              </w:rPr>
            </w:pPr>
            <w:r>
              <w:rPr>
                <w:rFonts w:ascii="Arial" w:cs="Arial" w:eastAsia="Arial" w:hAnsi="Arial"/>
                <w:sz w:val="18"/>
                <w:szCs w:val="18"/>
                <w:color w:val="auto"/>
              </w:rPr>
              <w:t>JOINDER, dated as of</w:t>
            </w:r>
          </w:p>
        </w:tc>
        <w:tc>
          <w:tcPr>
            <w:tcW w:w="9040" w:type="dxa"/>
            <w:vAlign w:val="bottom"/>
            <w:gridSpan w:val="5"/>
          </w:tcPr>
          <w:p>
            <w:pPr>
              <w:ind w:left="280"/>
              <w:spacing w:after="0"/>
              <w:rPr>
                <w:sz w:val="20"/>
                <w:szCs w:val="20"/>
                <w:color w:val="auto"/>
              </w:rPr>
            </w:pPr>
            <w:r>
              <w:rPr>
                <w:rFonts w:ascii="Arial" w:cs="Arial" w:eastAsia="Arial" w:hAnsi="Arial"/>
                <w:sz w:val="18"/>
                <w:szCs w:val="18"/>
                <w:color w:val="auto"/>
                <w:w w:val="92"/>
              </w:rPr>
              <w:t>, 20  , among [  ], in its capacity as collateral agent (together with its successors and assigns in such capacity from time</w:t>
            </w:r>
          </w:p>
        </w:tc>
      </w:tr>
      <w:tr>
        <w:trPr>
          <w:trHeight w:val="190"/>
        </w:trPr>
        <w:tc>
          <w:tcPr>
            <w:tcW w:w="10400" w:type="dxa"/>
            <w:vAlign w:val="bottom"/>
            <w:gridSpan w:val="5"/>
          </w:tcPr>
          <w:p>
            <w:pPr>
              <w:jc w:val="right"/>
              <w:ind w:right="90"/>
              <w:spacing w:after="0" w:line="190" w:lineRule="exact"/>
              <w:rPr>
                <w:sz w:val="20"/>
                <w:szCs w:val="20"/>
                <w:color w:val="auto"/>
              </w:rPr>
            </w:pPr>
            <w:r>
              <w:rPr>
                <w:rFonts w:ascii="Arial" w:cs="Arial" w:eastAsia="Arial" w:hAnsi="Arial"/>
                <w:sz w:val="18"/>
                <w:szCs w:val="18"/>
                <w:color w:val="auto"/>
                <w:w w:val="92"/>
              </w:rPr>
              <w:t>to time, and as further defined in the Intercreditor Agreement, the “Original First Lien Agent”)</w:t>
            </w:r>
            <w:r>
              <w:rPr>
                <w:rFonts w:ascii="Arial" w:cs="Arial" w:eastAsia="Arial" w:hAnsi="Arial"/>
                <w:sz w:val="15"/>
                <w:szCs w:val="15"/>
                <w:color w:val="auto"/>
                <w:w w:val="92"/>
              </w:rPr>
              <w:t>xii</w:t>
            </w:r>
            <w:r>
              <w:rPr>
                <w:rFonts w:ascii="Arial" w:cs="Arial" w:eastAsia="Arial" w:hAnsi="Arial"/>
                <w:sz w:val="18"/>
                <w:szCs w:val="18"/>
                <w:color w:val="auto"/>
                <w:w w:val="92"/>
              </w:rPr>
              <w:t xml:space="preserve"> for the Original First Lien Secured Parties, [</w:t>
            </w:r>
          </w:p>
        </w:tc>
        <w:tc>
          <w:tcPr>
            <w:tcW w:w="1020" w:type="dxa"/>
            <w:vAlign w:val="bottom"/>
          </w:tcPr>
          <w:p>
            <w:pPr>
              <w:ind w:left="180"/>
              <w:spacing w:after="0" w:line="190" w:lineRule="exact"/>
              <w:rPr>
                <w:sz w:val="20"/>
                <w:szCs w:val="20"/>
                <w:color w:val="auto"/>
              </w:rPr>
            </w:pPr>
            <w:r>
              <w:rPr>
                <w:rFonts w:ascii="Arial" w:cs="Arial" w:eastAsia="Arial" w:hAnsi="Arial"/>
                <w:sz w:val="18"/>
                <w:szCs w:val="18"/>
                <w:color w:val="auto"/>
              </w:rPr>
              <w:t>], in its</w:t>
            </w:r>
          </w:p>
        </w:tc>
      </w:tr>
      <w:tr>
        <w:trPr>
          <w:trHeight w:val="20"/>
        </w:trPr>
        <w:tc>
          <w:tcPr>
            <w:tcW w:w="2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capacity as collateral agent (together with its successors and assigns in such capacity from time to time, and as further defined in the Intercreditor Agreement,</w:t>
      </w:r>
    </w:p>
    <w:p>
      <w:pPr>
        <w:spacing w:after="0" w:line="400"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the “[ ]</w:t>
      </w:r>
      <w:r>
        <w:rPr>
          <w:rFonts w:ascii="Arial" w:cs="Arial" w:eastAsia="Arial" w:hAnsi="Arial"/>
          <w:sz w:val="15"/>
          <w:szCs w:val="15"/>
          <w:color w:val="auto"/>
        </w:rPr>
        <w:t>i</w:t>
      </w:r>
      <w:r>
        <w:rPr>
          <w:rFonts w:ascii="Arial" w:cs="Arial" w:eastAsia="Arial" w:hAnsi="Arial"/>
          <w:sz w:val="18"/>
          <w:szCs w:val="18"/>
          <w:color w:val="auto"/>
        </w:rPr>
        <w:t xml:space="preserve"> [First/Second]ii Lien Agent”)</w:t>
      </w:r>
      <w:r>
        <w:rPr>
          <w:rFonts w:ascii="Arial" w:cs="Arial" w:eastAsia="Arial" w:hAnsi="Arial"/>
          <w:sz w:val="15"/>
          <w:szCs w:val="15"/>
          <w:color w:val="auto"/>
        </w:rPr>
        <w:t>xiii</w:t>
      </w:r>
      <w:r>
        <w:rPr>
          <w:rFonts w:ascii="Arial" w:cs="Arial" w:eastAsia="Arial" w:hAnsi="Arial"/>
          <w:sz w:val="18"/>
          <w:szCs w:val="18"/>
          <w:color w:val="auto"/>
        </w:rPr>
        <w:t xml:space="preserve"> for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Secured Parties, [list any previously added Additional Agent] [and insert name of additional Original First Lien Secured Parties, Original First Lien Agent,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Secured Parties or [ ]</w:t>
      </w:r>
      <w:r>
        <w:rPr>
          <w:rFonts w:ascii="Arial" w:cs="Arial" w:eastAsia="Arial" w:hAnsi="Arial"/>
          <w:sz w:val="15"/>
          <w:szCs w:val="15"/>
          <w:color w:val="auto"/>
        </w:rPr>
        <w:t>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[First/Second]ii Lien Agent, as applicable, being added hereby as party] and any successors or assigns thereof, to the Intercreditor Agreement dated as of</w:t>
      </w:r>
    </w:p>
    <w:p>
      <w:pPr>
        <w:spacing w:after="0" w:line="32" w:lineRule="exact"/>
        <w:rPr>
          <w:sz w:val="20"/>
          <w:szCs w:val="20"/>
          <w:color w:val="auto"/>
        </w:rPr>
      </w:pPr>
    </w:p>
    <w:p>
      <w:pPr>
        <w:ind w:left="600" w:hanging="592"/>
        <w:spacing w:after="0"/>
        <w:tabs>
          <w:tab w:leader="none" w:pos="600" w:val="left"/>
        </w:tabs>
        <w:numPr>
          <w:ilvl w:val="0"/>
          <w:numId w:val="561"/>
        </w:numPr>
        <w:rPr>
          <w:rFonts w:ascii="Arial" w:cs="Arial" w:eastAsia="Arial" w:hAnsi="Arial"/>
          <w:sz w:val="16"/>
          <w:szCs w:val="16"/>
          <w:color w:val="auto"/>
        </w:rPr>
      </w:pPr>
      <w:r>
        <w:rPr>
          <w:rFonts w:ascii="Arial" w:cs="Arial" w:eastAsia="Arial" w:hAnsi="Arial"/>
          <w:sz w:val="16"/>
          <w:szCs w:val="16"/>
          <w:color w:val="auto"/>
        </w:rPr>
        <w:t>], 20[  ] (as amended, supplemented, waived or otherwise modified from time to time, the “Intercreditor Agreement”) among the Original First Lien</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Agent</w:t>
      </w:r>
      <w:r>
        <w:rPr>
          <w:rFonts w:ascii="Arial" w:cs="Arial" w:eastAsia="Arial" w:hAnsi="Arial"/>
          <w:sz w:val="15"/>
          <w:szCs w:val="15"/>
          <w:color w:val="auto"/>
        </w:rPr>
        <w:t>xiv</w:t>
      </w:r>
      <w:r>
        <w:rPr>
          <w:rFonts w:ascii="Arial" w:cs="Arial" w:eastAsia="Arial" w:hAnsi="Arial"/>
          <w:sz w:val="18"/>
          <w:szCs w:val="18"/>
          <w:color w:val="auto"/>
        </w:rPr>
        <w:t>, [and]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w:t>
      </w:r>
      <w:r>
        <w:rPr>
          <w:rFonts w:ascii="Arial" w:cs="Arial" w:eastAsia="Arial" w:hAnsi="Arial"/>
          <w:sz w:val="15"/>
          <w:szCs w:val="15"/>
          <w:color w:val="auto"/>
        </w:rPr>
        <w:t>xv</w:t>
      </w:r>
      <w:r>
        <w:rPr>
          <w:rFonts w:ascii="Arial" w:cs="Arial" w:eastAsia="Arial" w:hAnsi="Arial"/>
          <w:sz w:val="18"/>
          <w:szCs w:val="18"/>
          <w:color w:val="auto"/>
        </w:rPr>
        <w:t xml:space="preserve"> [and (list any previously added Additional Agent)]. Capitalized terms used herein and not otherwise defined herein shall have the meaning specified in the Intercreditor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40" w:type="dxa"/>
            <w:vAlign w:val="bottom"/>
            <w:gridSpan w:val="9"/>
          </w:tcPr>
          <w:p>
            <w:pPr>
              <w:ind w:left="220"/>
              <w:spacing w:after="0"/>
              <w:rPr>
                <w:sz w:val="20"/>
                <w:szCs w:val="20"/>
                <w:color w:val="auto"/>
              </w:rPr>
            </w:pPr>
            <w:r>
              <w:rPr>
                <w:rFonts w:ascii="Arial" w:cs="Arial" w:eastAsia="Arial" w:hAnsi="Arial"/>
                <w:sz w:val="18"/>
                <w:szCs w:val="18"/>
                <w:color w:val="auto"/>
                <w:w w:val="97"/>
              </w:rPr>
              <w:t>Reference is made to that certain [insert name of new facility], dated as of</w:t>
            </w:r>
          </w:p>
        </w:tc>
        <w:tc>
          <w:tcPr>
            <w:tcW w:w="700" w:type="dxa"/>
            <w:vAlign w:val="bottom"/>
          </w:tcPr>
          <w:p>
            <w:pPr>
              <w:ind w:left="200"/>
              <w:spacing w:after="0"/>
              <w:rPr>
                <w:sz w:val="20"/>
                <w:szCs w:val="20"/>
                <w:color w:val="auto"/>
              </w:rPr>
            </w:pPr>
            <w:r>
              <w:rPr>
                <w:rFonts w:ascii="Arial" w:cs="Arial" w:eastAsia="Arial" w:hAnsi="Arial"/>
                <w:sz w:val="18"/>
                <w:szCs w:val="18"/>
                <w:color w:val="auto"/>
              </w:rPr>
              <w:t>, 20</w:t>
            </w:r>
          </w:p>
        </w:tc>
        <w:tc>
          <w:tcPr>
            <w:tcW w:w="4300" w:type="dxa"/>
            <w:vAlign w:val="bottom"/>
            <w:gridSpan w:val="5"/>
          </w:tcPr>
          <w:p>
            <w:pPr>
              <w:spacing w:after="0"/>
              <w:rPr>
                <w:sz w:val="20"/>
                <w:szCs w:val="20"/>
                <w:color w:val="auto"/>
              </w:rPr>
            </w:pPr>
            <w:r>
              <w:rPr>
                <w:rFonts w:ascii="Arial" w:cs="Arial" w:eastAsia="Arial" w:hAnsi="Arial"/>
                <w:sz w:val="18"/>
                <w:szCs w:val="18"/>
                <w:color w:val="auto"/>
              </w:rPr>
              <w:t>(the “Joining [Original First Lien Credit Agreement][ [</w:t>
            </w:r>
          </w:p>
        </w:tc>
        <w:tc>
          <w:tcPr>
            <w:tcW w:w="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r>
      <w:tr>
        <w:trPr>
          <w:trHeight w:val="20"/>
        </w:trPr>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332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180" w:type="dxa"/>
            <w:vAlign w:val="bottom"/>
            <w:gridSpan w:val="17"/>
          </w:tcPr>
          <w:p>
            <w:pPr>
              <w:spacing w:after="0" w:line="196" w:lineRule="exact"/>
              <w:rPr>
                <w:sz w:val="20"/>
                <w:szCs w:val="20"/>
                <w:color w:val="auto"/>
              </w:rPr>
            </w:pPr>
            <w:r>
              <w:rPr>
                <w:rFonts w:ascii="Arial" w:cs="Arial" w:eastAsia="Arial" w:hAnsi="Arial"/>
                <w:sz w:val="18"/>
                <w:szCs w:val="18"/>
                <w:color w:val="auto"/>
                <w:w w:val="94"/>
              </w:rPr>
              <w:t>[First/Second]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Credit Agreement]”), among [list any applicable Credit Party], [list any applicable new Original First Lien Secured Parties or new</w:t>
            </w:r>
          </w:p>
        </w:tc>
        <w:tc>
          <w:tcPr>
            <w:tcW w:w="2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r>
      <w:tr>
        <w:trPr>
          <w:trHeight w:val="222"/>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640" w:type="dxa"/>
            <w:vAlign w:val="bottom"/>
            <w:gridSpan w:val="10"/>
          </w:tcPr>
          <w:p>
            <w:pPr>
              <w:ind w:left="18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i</w:t>
            </w:r>
            <w:r>
              <w:rPr>
                <w:rFonts w:ascii="Arial" w:cs="Arial" w:eastAsia="Arial" w:hAnsi="Arial"/>
                <w:sz w:val="18"/>
                <w:szCs w:val="18"/>
                <w:color w:val="auto"/>
                <w:w w:val="98"/>
              </w:rPr>
              <w:t xml:space="preserve"> [First/Second]ii Lien Secured Parties, as applicable (the “Joining [Original First][ [</w:t>
            </w:r>
          </w:p>
        </w:tc>
        <w:tc>
          <w:tcPr>
            <w:tcW w:w="4520" w:type="dxa"/>
            <w:vAlign w:val="bottom"/>
            <w:gridSpan w:val="6"/>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5"/>
                <w:szCs w:val="15"/>
                <w:color w:val="auto"/>
                <w:w w:val="92"/>
              </w:rPr>
              <w:t>i</w:t>
            </w:r>
            <w:r>
              <w:rPr>
                <w:rFonts w:ascii="Arial" w:cs="Arial" w:eastAsia="Arial" w:hAnsi="Arial"/>
                <w:sz w:val="18"/>
                <w:szCs w:val="18"/>
                <w:color w:val="auto"/>
                <w:w w:val="92"/>
              </w:rPr>
              <w:t xml:space="preserve"> [First/Second]</w:t>
            </w:r>
            <w:r>
              <w:rPr>
                <w:rFonts w:ascii="Arial" w:cs="Arial" w:eastAsia="Arial" w:hAnsi="Arial"/>
                <w:sz w:val="15"/>
                <w:szCs w:val="15"/>
                <w:color w:val="auto"/>
                <w:w w:val="92"/>
              </w:rPr>
              <w:t>ii</w:t>
            </w:r>
            <w:r>
              <w:rPr>
                <w:rFonts w:ascii="Arial" w:cs="Arial" w:eastAsia="Arial" w:hAnsi="Arial"/>
                <w:sz w:val="18"/>
                <w:szCs w:val="18"/>
                <w:color w:val="auto"/>
                <w:w w:val="92"/>
              </w:rPr>
              <w:t>] Lien Secured Parties”)] [and insert name of</w:t>
            </w:r>
          </w:p>
        </w:tc>
      </w:tr>
      <w:tr>
        <w:trPr>
          <w:trHeight w:val="230"/>
        </w:trPr>
        <w:tc>
          <w:tcPr>
            <w:tcW w:w="4160" w:type="dxa"/>
            <w:vAlign w:val="bottom"/>
            <w:gridSpan w:val="10"/>
          </w:tcPr>
          <w:p>
            <w:pPr>
              <w:spacing w:after="0"/>
              <w:rPr>
                <w:sz w:val="20"/>
                <w:szCs w:val="20"/>
                <w:color w:val="auto"/>
              </w:rPr>
            </w:pPr>
            <w:r>
              <w:rPr>
                <w:rFonts w:ascii="Arial" w:cs="Arial" w:eastAsia="Arial" w:hAnsi="Arial"/>
                <w:sz w:val="18"/>
                <w:szCs w:val="18"/>
                <w:color w:val="auto"/>
              </w:rPr>
              <w:t>each applicable Agent (the “Joining [Original First][ [</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i</w:t>
            </w:r>
            <w:r>
              <w:rPr>
                <w:rFonts w:ascii="Arial" w:cs="Arial" w:eastAsia="Arial" w:hAnsi="Arial"/>
                <w:sz w:val="18"/>
                <w:szCs w:val="18"/>
                <w:color w:val="auto"/>
                <w:w w:val="97"/>
              </w:rPr>
              <w:t xml:space="preserve"> [First/Second]</w:t>
            </w:r>
            <w:r>
              <w:rPr>
                <w:rFonts w:ascii="Arial" w:cs="Arial" w:eastAsia="Arial" w:hAnsi="Arial"/>
                <w:sz w:val="15"/>
                <w:szCs w:val="15"/>
                <w:color w:val="auto"/>
                <w:w w:val="97"/>
              </w:rPr>
              <w:t>ii</w:t>
            </w:r>
            <w:r>
              <w:rPr>
                <w:rFonts w:ascii="Arial" w:cs="Arial" w:eastAsia="Arial" w:hAnsi="Arial"/>
                <w:sz w:val="18"/>
                <w:szCs w:val="18"/>
                <w:color w:val="auto"/>
                <w:w w:val="97"/>
              </w:rPr>
              <w:t>] Lien Agent”)].</w:t>
            </w:r>
            <w:r>
              <w:rPr>
                <w:rFonts w:ascii="Arial" w:cs="Arial" w:eastAsia="Arial" w:hAnsi="Arial"/>
                <w:sz w:val="15"/>
                <w:szCs w:val="15"/>
                <w:color w:val="auto"/>
                <w:w w:val="97"/>
              </w:rPr>
              <w:t>xvi</w:t>
            </w: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4"/>
          </w:tcPr>
          <w:p>
            <w:pPr>
              <w:ind w:left="220"/>
              <w:spacing w:after="0"/>
              <w:rPr>
                <w:sz w:val="20"/>
                <w:szCs w:val="20"/>
                <w:color w:val="auto"/>
              </w:rPr>
            </w:pPr>
            <w:r>
              <w:rPr>
                <w:rFonts w:ascii="Arial" w:cs="Arial" w:eastAsia="Arial" w:hAnsi="Arial"/>
                <w:sz w:val="18"/>
                <w:szCs w:val="18"/>
                <w:color w:val="auto"/>
              </w:rPr>
              <w:t>The Joining [First][ [</w:t>
            </w:r>
          </w:p>
        </w:tc>
        <w:tc>
          <w:tcPr>
            <w:tcW w:w="5800" w:type="dxa"/>
            <w:vAlign w:val="bottom"/>
            <w:gridSpan w:val="8"/>
          </w:tcPr>
          <w:p>
            <w:pPr>
              <w:ind w:left="18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Lien Agent, for itself and on behalf of the Joining [First][ [</w:t>
            </w: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w:t>
            </w:r>
            <w:r>
              <w:rPr>
                <w:rFonts w:ascii="Arial" w:cs="Arial" w:eastAsia="Arial" w:hAnsi="Arial"/>
                <w:sz w:val="15"/>
                <w:szCs w:val="15"/>
                <w:color w:val="auto"/>
                <w:w w:val="95"/>
              </w:rPr>
              <w:t>xvii</w:t>
            </w:r>
            <w:r>
              <w:rPr>
                <w:rFonts w:ascii="Arial" w:cs="Arial" w:eastAsia="Arial" w:hAnsi="Arial"/>
                <w:sz w:val="18"/>
                <w:szCs w:val="18"/>
                <w:color w:val="auto"/>
                <w:w w:val="95"/>
              </w:rPr>
              <w:t xml:space="preserve"> Lien Secured</w:t>
            </w:r>
          </w:p>
        </w:tc>
        <w:tc>
          <w:tcPr>
            <w:tcW w:w="220" w:type="dxa"/>
            <w:vAlign w:val="bottom"/>
          </w:tcPr>
          <w:p>
            <w:pPr>
              <w:spacing w:after="0"/>
              <w:rPr>
                <w:sz w:val="24"/>
                <w:szCs w:val="24"/>
                <w:color w:val="auto"/>
              </w:rPr>
            </w:pPr>
          </w:p>
        </w:tc>
      </w:tr>
      <w:tr>
        <w:trPr>
          <w:trHeight w:val="216"/>
        </w:trPr>
        <w:tc>
          <w:tcPr>
            <w:tcW w:w="7960" w:type="dxa"/>
            <w:vAlign w:val="bottom"/>
            <w:gridSpan w:val="14"/>
          </w:tcPr>
          <w:p>
            <w:pPr>
              <w:spacing w:after="0"/>
              <w:rPr>
                <w:sz w:val="20"/>
                <w:szCs w:val="20"/>
                <w:color w:val="auto"/>
              </w:rPr>
            </w:pPr>
            <w:r>
              <w:rPr>
                <w:rFonts w:ascii="Arial" w:cs="Arial" w:eastAsia="Arial" w:hAnsi="Arial"/>
                <w:sz w:val="18"/>
                <w:szCs w:val="18"/>
                <w:color w:val="auto"/>
                <w:w w:val="96"/>
              </w:rPr>
              <w:t>Parties, hereby agrees with the Original First Lien Borrower and the other Grantors, the [Original First][ [</w:t>
            </w:r>
          </w:p>
        </w:tc>
        <w:tc>
          <w:tcPr>
            <w:tcW w:w="3220" w:type="dxa"/>
            <w:vAlign w:val="bottom"/>
            <w:gridSpan w:val="3"/>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color w:val="auto"/>
                <w:w w:val="93"/>
              </w:rPr>
              <w:t>i</w:t>
            </w:r>
            <w:r>
              <w:rPr>
                <w:rFonts w:ascii="Arial" w:cs="Arial" w:eastAsia="Arial" w:hAnsi="Arial"/>
                <w:sz w:val="18"/>
                <w:szCs w:val="18"/>
                <w:color w:val="auto"/>
                <w:w w:val="93"/>
              </w:rPr>
              <w:t xml:space="preserve"> [First/Second]</w:t>
            </w:r>
            <w:r>
              <w:rPr>
                <w:rFonts w:ascii="Arial" w:cs="Arial" w:eastAsia="Arial" w:hAnsi="Arial"/>
                <w:sz w:val="15"/>
                <w:szCs w:val="15"/>
                <w:color w:val="auto"/>
                <w:w w:val="93"/>
              </w:rPr>
              <w:t>ii</w:t>
            </w:r>
            <w:r>
              <w:rPr>
                <w:rFonts w:ascii="Arial" w:cs="Arial" w:eastAsia="Arial" w:hAnsi="Arial"/>
                <w:sz w:val="18"/>
                <w:szCs w:val="18"/>
                <w:color w:val="auto"/>
                <w:w w:val="93"/>
              </w:rPr>
              <w:t>] Lien Agent and any other</w:t>
            </w:r>
          </w:p>
        </w:tc>
        <w:tc>
          <w:tcPr>
            <w:tcW w:w="220" w:type="dxa"/>
            <w:vAlign w:val="bottom"/>
          </w:tcPr>
          <w:p>
            <w:pPr>
              <w:spacing w:after="0"/>
              <w:rPr>
                <w:sz w:val="18"/>
                <w:szCs w:val="18"/>
                <w:color w:val="auto"/>
              </w:rPr>
            </w:pPr>
          </w:p>
        </w:tc>
      </w:tr>
      <w:tr>
        <w:trPr>
          <w:trHeight w:val="230"/>
        </w:trPr>
        <w:tc>
          <w:tcPr>
            <w:tcW w:w="6180" w:type="dxa"/>
            <w:vAlign w:val="bottom"/>
            <w:gridSpan w:val="11"/>
          </w:tcPr>
          <w:p>
            <w:pPr>
              <w:spacing w:after="0"/>
              <w:rPr>
                <w:sz w:val="20"/>
                <w:szCs w:val="20"/>
                <w:color w:val="auto"/>
              </w:rPr>
            </w:pPr>
            <w:r>
              <w:rPr>
                <w:rFonts w:ascii="Arial" w:cs="Arial" w:eastAsia="Arial" w:hAnsi="Arial"/>
                <w:sz w:val="18"/>
                <w:szCs w:val="18"/>
                <w:color w:val="auto"/>
              </w:rPr>
              <w:t>Additional Agent party to the Intercreditor Agreement as follows:</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2"/>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8"/>
          </w:tcPr>
          <w:p>
            <w:pPr>
              <w:ind w:left="220"/>
              <w:spacing w:after="0"/>
              <w:rPr>
                <w:sz w:val="20"/>
                <w:szCs w:val="20"/>
                <w:color w:val="auto"/>
              </w:rPr>
            </w:pPr>
            <w:r>
              <w:rPr>
                <w:rFonts w:ascii="Arial" w:cs="Arial" w:eastAsia="Arial" w:hAnsi="Arial"/>
                <w:sz w:val="18"/>
                <w:szCs w:val="18"/>
                <w:b w:val="1"/>
                <w:bCs w:val="1"/>
                <w:color w:val="auto"/>
                <w:w w:val="95"/>
              </w:rPr>
              <w:t xml:space="preserve">A. </w:t>
            </w:r>
            <w:r>
              <w:rPr>
                <w:rFonts w:ascii="Arial" w:cs="Arial" w:eastAsia="Arial" w:hAnsi="Arial"/>
                <w:sz w:val="18"/>
                <w:szCs w:val="18"/>
                <w:color w:val="auto"/>
                <w:w w:val="95"/>
              </w:rPr>
              <w:t>Agreement to be Bound. The [Joining [First][ [</w:t>
            </w:r>
          </w:p>
        </w:tc>
        <w:tc>
          <w:tcPr>
            <w:tcW w:w="6060" w:type="dxa"/>
            <w:vAlign w:val="bottom"/>
            <w:gridSpan w:val="5"/>
          </w:tcPr>
          <w:p>
            <w:pPr>
              <w:ind w:left="280"/>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i</w:t>
            </w:r>
            <w:r>
              <w:rPr>
                <w:rFonts w:ascii="Arial" w:cs="Arial" w:eastAsia="Arial" w:hAnsi="Arial"/>
                <w:sz w:val="18"/>
                <w:szCs w:val="18"/>
                <w:color w:val="auto"/>
                <w:w w:val="97"/>
              </w:rPr>
              <w:t xml:space="preserve"> [First/Second]</w:t>
            </w:r>
            <w:r>
              <w:rPr>
                <w:rFonts w:ascii="Arial" w:cs="Arial" w:eastAsia="Arial" w:hAnsi="Arial"/>
                <w:sz w:val="15"/>
                <w:szCs w:val="15"/>
                <w:color w:val="auto"/>
                <w:w w:val="97"/>
              </w:rPr>
              <w:t>ii</w:t>
            </w:r>
            <w:r>
              <w:rPr>
                <w:rFonts w:ascii="Arial" w:cs="Arial" w:eastAsia="Arial" w:hAnsi="Arial"/>
                <w:sz w:val="18"/>
                <w:szCs w:val="18"/>
                <w:color w:val="auto"/>
                <w:w w:val="97"/>
              </w:rPr>
              <w:t>] Lien Agent, for itself and on behalf of the Joining [First][ [</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p>
        </w:tc>
        <w:tc>
          <w:tcPr>
            <w:tcW w:w="220" w:type="dxa"/>
            <w:vAlign w:val="bottom"/>
          </w:tcPr>
          <w:p>
            <w:pPr>
              <w:spacing w:after="0"/>
              <w:rPr>
                <w:sz w:val="24"/>
                <w:szCs w:val="24"/>
                <w:color w:val="auto"/>
              </w:rPr>
            </w:pPr>
          </w:p>
        </w:tc>
      </w:tr>
      <w:tr>
        <w:trPr>
          <w:trHeight w:val="20"/>
        </w:trPr>
        <w:tc>
          <w:tcPr>
            <w:tcW w:w="680" w:type="dxa"/>
            <w:vAlign w:val="bottom"/>
            <w:gridSpan w:val="3"/>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878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11180" w:type="dxa"/>
            <w:vAlign w:val="bottom"/>
            <w:gridSpan w:val="17"/>
          </w:tcPr>
          <w:p>
            <w:pPr>
              <w:spacing w:after="0"/>
              <w:rPr>
                <w:sz w:val="20"/>
                <w:szCs w:val="20"/>
                <w:color w:val="auto"/>
              </w:rPr>
            </w:pPr>
            <w:r>
              <w:rPr>
                <w:rFonts w:ascii="Arial" w:cs="Arial" w:eastAsia="Arial" w:hAnsi="Arial"/>
                <w:sz w:val="18"/>
                <w:szCs w:val="18"/>
                <w:color w:val="auto"/>
                <w:w w:val="92"/>
              </w:rPr>
              <w:t>[First/Second]</w:t>
            </w:r>
            <w:r>
              <w:rPr>
                <w:rFonts w:ascii="Arial" w:cs="Arial" w:eastAsia="Arial" w:hAnsi="Arial"/>
                <w:sz w:val="15"/>
                <w:szCs w:val="15"/>
                <w:color w:val="auto"/>
                <w:w w:val="92"/>
              </w:rPr>
              <w:t>ii</w:t>
            </w:r>
            <w:r>
              <w:rPr>
                <w:rFonts w:ascii="Arial" w:cs="Arial" w:eastAsia="Arial" w:hAnsi="Arial"/>
                <w:sz w:val="18"/>
                <w:szCs w:val="18"/>
                <w:color w:val="auto"/>
                <w:w w:val="92"/>
              </w:rPr>
              <w:t xml:space="preserve"> Lien Secured Parties,]</w:t>
            </w:r>
            <w:r>
              <w:rPr>
                <w:rFonts w:ascii="Arial" w:cs="Arial" w:eastAsia="Arial" w:hAnsi="Arial"/>
                <w:sz w:val="15"/>
                <w:szCs w:val="15"/>
                <w:color w:val="auto"/>
                <w:w w:val="92"/>
              </w:rPr>
              <w:t>xviii</w:t>
            </w:r>
            <w:r>
              <w:rPr>
                <w:rFonts w:ascii="Arial" w:cs="Arial" w:eastAsia="Arial" w:hAnsi="Arial"/>
                <w:sz w:val="18"/>
                <w:szCs w:val="18"/>
                <w:color w:val="auto"/>
                <w:w w:val="92"/>
              </w:rPr>
              <w:t xml:space="preserve"> hereby agrees to be bound by the terms and provisions of the Intercreditor Agreement and shall, as of the date</w:t>
            </w:r>
          </w:p>
        </w:tc>
        <w:tc>
          <w:tcPr>
            <w:tcW w:w="220" w:type="dxa"/>
            <w:vAlign w:val="bottom"/>
          </w:tcPr>
          <w:p>
            <w:pPr>
              <w:spacing w:after="0"/>
              <w:rPr>
                <w:sz w:val="19"/>
                <w:szCs w:val="19"/>
                <w:color w:val="auto"/>
              </w:rPr>
            </w:pPr>
          </w:p>
        </w:tc>
      </w:tr>
      <w:tr>
        <w:trPr>
          <w:trHeight w:val="216"/>
        </w:trPr>
        <w:tc>
          <w:tcPr>
            <w:tcW w:w="6180" w:type="dxa"/>
            <w:vAlign w:val="bottom"/>
            <w:gridSpan w:val="11"/>
          </w:tcPr>
          <w:p>
            <w:pPr>
              <w:spacing w:after="0"/>
              <w:rPr>
                <w:sz w:val="20"/>
                <w:szCs w:val="20"/>
                <w:color w:val="auto"/>
              </w:rPr>
            </w:pPr>
            <w:r>
              <w:rPr>
                <w:rFonts w:ascii="Arial" w:cs="Arial" w:eastAsia="Arial" w:hAnsi="Arial"/>
                <w:sz w:val="18"/>
                <w:szCs w:val="18"/>
                <w:color w:val="auto"/>
                <w:w w:val="94"/>
              </w:rPr>
              <w:t>hereof, be deemed to be a party to the Intercreditor Agreement as [the][a] [First] [ [</w:t>
            </w:r>
          </w:p>
        </w:tc>
        <w:tc>
          <w:tcPr>
            <w:tcW w:w="5000" w:type="dxa"/>
            <w:vAlign w:val="bottom"/>
            <w:gridSpan w:val="6"/>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i</w:t>
            </w:r>
            <w:r>
              <w:rPr>
                <w:rFonts w:ascii="Arial" w:cs="Arial" w:eastAsia="Arial" w:hAnsi="Arial"/>
                <w:sz w:val="18"/>
                <w:szCs w:val="18"/>
                <w:color w:val="auto"/>
                <w:w w:val="95"/>
              </w:rPr>
              <w:t xml:space="preserve"> [First/Second]</w:t>
            </w:r>
            <w:r>
              <w:rPr>
                <w:rFonts w:ascii="Arial" w:cs="Arial" w:eastAsia="Arial" w:hAnsi="Arial"/>
                <w:sz w:val="15"/>
                <w:szCs w:val="15"/>
                <w:color w:val="auto"/>
                <w:w w:val="95"/>
              </w:rPr>
              <w:t>ii</w:t>
            </w:r>
            <w:r>
              <w:rPr>
                <w:rFonts w:ascii="Arial" w:cs="Arial" w:eastAsia="Arial" w:hAnsi="Arial"/>
                <w:sz w:val="18"/>
                <w:szCs w:val="18"/>
                <w:color w:val="auto"/>
                <w:w w:val="95"/>
              </w:rPr>
              <w:t>] Lien Agent. As of the date hereof, the Joining</w:t>
            </w:r>
          </w:p>
        </w:tc>
        <w:tc>
          <w:tcPr>
            <w:tcW w:w="220" w:type="dxa"/>
            <w:vAlign w:val="bottom"/>
          </w:tcPr>
          <w:p>
            <w:pPr>
              <w:spacing w:after="0"/>
              <w:rPr>
                <w:sz w:val="18"/>
                <w:szCs w:val="18"/>
                <w:color w:val="auto"/>
              </w:rPr>
            </w:pPr>
          </w:p>
        </w:tc>
      </w:tr>
      <w:tr>
        <w:trPr>
          <w:trHeight w:val="229"/>
        </w:trPr>
        <w:tc>
          <w:tcPr>
            <w:tcW w:w="3160" w:type="dxa"/>
            <w:vAlign w:val="bottom"/>
            <w:gridSpan w:val="9"/>
          </w:tcPr>
          <w:p>
            <w:pPr>
              <w:spacing w:after="0"/>
              <w:rPr>
                <w:sz w:val="20"/>
                <w:szCs w:val="20"/>
                <w:color w:val="auto"/>
              </w:rPr>
            </w:pPr>
            <w:r>
              <w:rPr>
                <w:rFonts w:ascii="Arial" w:cs="Arial" w:eastAsia="Arial" w:hAnsi="Arial"/>
                <w:sz w:val="18"/>
                <w:szCs w:val="18"/>
                <w:color w:val="auto"/>
              </w:rPr>
              <w:t>[Original First Lien Credit Agreement][ [</w:t>
            </w:r>
          </w:p>
        </w:tc>
        <w:tc>
          <w:tcPr>
            <w:tcW w:w="8020" w:type="dxa"/>
            <w:vAlign w:val="bottom"/>
            <w:gridSpan w:val="8"/>
          </w:tcPr>
          <w:p>
            <w:pPr>
              <w:ind w:left="18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r>
              <w:rPr>
                <w:rFonts w:ascii="Arial" w:cs="Arial" w:eastAsia="Arial" w:hAnsi="Arial"/>
                <w:sz w:val="18"/>
                <w:szCs w:val="18"/>
                <w:color w:val="auto"/>
                <w:w w:val="94"/>
              </w:rPr>
              <w:t xml:space="preserve"> Lien Credit Agreement] shall be deemed [the][a] [Original First Lien Credit Agreement][</w:t>
            </w:r>
          </w:p>
        </w:tc>
        <w:tc>
          <w:tcPr>
            <w:tcW w:w="220" w:type="dxa"/>
            <w:vAlign w:val="bottom"/>
          </w:tcPr>
          <w:p>
            <w:pPr>
              <w:spacing w:after="0"/>
              <w:rPr>
                <w:sz w:val="19"/>
                <w:szCs w:val="19"/>
                <w:color w:val="auto"/>
              </w:rPr>
            </w:pPr>
          </w:p>
        </w:tc>
      </w:tr>
    </w:tbl>
    <w:p>
      <w:pPr>
        <w:ind w:right="180" w:firstLine="8"/>
        <w:spacing w:after="0" w:line="262" w:lineRule="auto"/>
        <w:tabs>
          <w:tab w:leader="none" w:pos="42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Credit Agreement] under the Intercreditor Agreement, and the obligations thereunder are subject to the terms and provisions of the Intercreditor Agreement.</w:t>
      </w:r>
    </w:p>
    <w:p>
      <w:pPr>
        <w:spacing w:after="0" w:line="179" w:lineRule="exact"/>
        <w:rPr>
          <w:sz w:val="20"/>
          <w:szCs w:val="20"/>
          <w:color w:val="auto"/>
        </w:rPr>
      </w:pPr>
    </w:p>
    <w:p>
      <w:pPr>
        <w:ind w:left="460"/>
        <w:spacing w:after="0"/>
        <w:tabs>
          <w:tab w:leader="none" w:pos="10380" w:val="left"/>
        </w:tabs>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u w:val="single" w:color="auto"/>
          <w:color w:val="auto"/>
        </w:rPr>
        <w:t>Notices</w:t>
      </w:r>
      <w:r>
        <w:rPr>
          <w:rFonts w:ascii="Arial" w:cs="Arial" w:eastAsia="Arial" w:hAnsi="Arial"/>
          <w:sz w:val="17"/>
          <w:szCs w:val="17"/>
          <w:color w:val="auto"/>
        </w:rPr>
        <w:t>. Notices and other communications provided for under the Intercreditor Agreement to be provided to the Joining [First][ [</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i</w:t>
      </w:r>
    </w:p>
    <w:p>
      <w:pPr>
        <w:spacing w:after="0" w:line="2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[First/Second]</w:t>
      </w:r>
      <w:r>
        <w:rPr>
          <w:rFonts w:ascii="Arial" w:cs="Arial" w:eastAsia="Arial" w:hAnsi="Arial"/>
          <w:sz w:val="15"/>
          <w:szCs w:val="15"/>
          <w:color w:val="auto"/>
        </w:rPr>
        <w:t>ii</w:t>
      </w:r>
      <w:r>
        <w:rPr>
          <w:rFonts w:ascii="Arial" w:cs="Arial" w:eastAsia="Arial" w:hAnsi="Arial"/>
          <w:sz w:val="18"/>
          <w:szCs w:val="18"/>
          <w:color w:val="auto"/>
        </w:rPr>
        <w:t>] Lien Agent shall be sent to the address set forth on Annex 1 attached hereto (until notice of a change thereof is delivered as provided in Section 7.05 of the Intercreditor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69" w:right="239" w:bottom="1440" w:gutter="0" w:footer="0" w:header="0"/>
        </w:sectPr>
      </w:pPr>
    </w:p>
    <w:bookmarkStart w:id="511" w:name="page512"/>
    <w:bookmarkEnd w:id="511"/>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r>
        <w:rPr>
          <w:rFonts w:ascii="Arial" w:cs="Arial" w:eastAsia="Arial" w:hAnsi="Arial"/>
          <w:sz w:val="18"/>
          <w:szCs w:val="18"/>
          <w:b w:val="1"/>
          <w:bCs w:val="1"/>
          <w:color w:val="auto"/>
        </w:rPr>
        <w:t xml:space="preserve"> THIS JOINDER SHALL BE CONSTRUED AND ENFORCED IN ACCORDANCE WITH AND GOVERNED BY THE LAW OF THE STATE OF NEW YORK.</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80"/>
          </w:cols>
          <w:pgMar w:left="240" w:top="269" w:right="579" w:bottom="1440" w:gutter="0" w:footer="0" w:header="0"/>
        </w:sectPr>
      </w:pPr>
    </w:p>
    <w:bookmarkStart w:id="512" w:name="page513"/>
    <w:bookmarkEnd w:id="512"/>
    <w:p>
      <w:pPr>
        <w:ind w:left="82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 to the Intercreditor Agreement</w:t>
      </w:r>
    </w:p>
    <w:p>
      <w:pPr>
        <w:spacing w:after="0" w:line="25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WITNESS WHEREOF, the undersigned has caused this Joinder to be duly executed by its duly authorized officer or other representative, all as of the day and year first above written.</w:t>
      </w:r>
    </w:p>
    <w:p>
      <w:pPr>
        <w:spacing w:after="0" w:line="197" w:lineRule="exact"/>
        <w:rPr>
          <w:sz w:val="20"/>
          <w:szCs w:val="20"/>
          <w:color w:val="auto"/>
        </w:rPr>
      </w:pPr>
    </w:p>
    <w:p>
      <w:pPr>
        <w:ind w:left="6860"/>
        <w:spacing w:after="0"/>
        <w:tabs>
          <w:tab w:leader="none" w:pos="8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24"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269" w:right="239" w:bottom="1440" w:gutter="0" w:footer="0" w:header="0"/>
        </w:sectPr>
      </w:pPr>
    </w:p>
    <w:bookmarkStart w:id="513" w:name="page514"/>
    <w:bookmarkEnd w:id="513"/>
    <w:p>
      <w:pPr>
        <w:ind w:left="82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 to the Intercreditor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 TRUSTEE JOINDER</w:t>
      </w:r>
    </w:p>
    <w:p>
      <w:pPr>
        <w:spacing w:after="0" w:line="229" w:lineRule="exact"/>
        <w:rPr>
          <w:sz w:val="20"/>
          <w:szCs w:val="20"/>
          <w:color w:val="auto"/>
        </w:rPr>
      </w:pPr>
    </w:p>
    <w:p>
      <w:pPr>
        <w:ind w:left="460"/>
        <w:spacing w:after="0"/>
        <w:tabs>
          <w:tab w:leader="none" w:pos="2640" w:val="left"/>
          <w:tab w:leader="none" w:pos="3100" w:val="left"/>
          <w:tab w:leader="none" w:pos="4680" w:val="left"/>
        </w:tabs>
        <w:rPr>
          <w:sz w:val="20"/>
          <w:szCs w:val="20"/>
          <w:color w:val="auto"/>
        </w:rPr>
      </w:pPr>
      <w:r>
        <w:rPr>
          <w:rFonts w:ascii="Arial" w:cs="Arial" w:eastAsia="Arial" w:hAnsi="Arial"/>
          <w:sz w:val="18"/>
          <w:szCs w:val="18"/>
          <w:color w:val="auto"/>
        </w:rPr>
        <w:t>JOINDER, dated as of</w:t>
      </w:r>
      <w:r>
        <w:rPr>
          <w:sz w:val="20"/>
          <w:szCs w:val="20"/>
          <w:color w:val="auto"/>
        </w:rPr>
        <w:tab/>
      </w:r>
      <w:r>
        <w:rPr>
          <w:rFonts w:ascii="Arial" w:cs="Arial" w:eastAsia="Arial" w:hAnsi="Arial"/>
          <w:sz w:val="18"/>
          <w:szCs w:val="18"/>
          <w:color w:val="auto"/>
        </w:rPr>
        <w:t>, 20</w:t>
        <w:tab/>
        <w:t>, among [</w:t>
      </w:r>
      <w:r>
        <w:rPr>
          <w:sz w:val="20"/>
          <w:szCs w:val="20"/>
          <w:color w:val="auto"/>
        </w:rPr>
        <w:tab/>
      </w:r>
      <w:r>
        <w:rPr>
          <w:rFonts w:ascii="Arial" w:cs="Arial" w:eastAsia="Arial" w:hAnsi="Arial"/>
          <w:sz w:val="16"/>
          <w:szCs w:val="16"/>
          <w:color w:val="auto"/>
        </w:rPr>
        <w:t>], in its capacity as collateral agent (together with its successors and assigns in such capacity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and as further defined in the Intercreditor Agreement, the “Original First Lien Agent”)</w:t>
      </w:r>
      <w:r>
        <w:rPr>
          <w:rFonts w:ascii="Arial" w:cs="Arial" w:eastAsia="Arial" w:hAnsi="Arial"/>
          <w:sz w:val="14"/>
          <w:szCs w:val="14"/>
          <w:color w:val="auto"/>
        </w:rPr>
        <w:t>xiii</w:t>
      </w:r>
      <w:r>
        <w:rPr>
          <w:rFonts w:ascii="Arial" w:cs="Arial" w:eastAsia="Arial" w:hAnsi="Arial"/>
          <w:sz w:val="17"/>
          <w:szCs w:val="17"/>
          <w:color w:val="auto"/>
        </w:rPr>
        <w:t xml:space="preserve"> for the Original First Lien Secured Parties,</w:t>
      </w:r>
    </w:p>
    <w:p>
      <w:pPr>
        <w:spacing w:after="0" w:line="22" w:lineRule="exact"/>
        <w:rPr>
          <w:sz w:val="20"/>
          <w:szCs w:val="20"/>
          <w:color w:val="auto"/>
        </w:rPr>
      </w:pPr>
    </w:p>
    <w:p>
      <w:pPr>
        <w:ind w:left="420" w:hanging="412"/>
        <w:spacing w:after="0"/>
        <w:tabs>
          <w:tab w:leader="none" w:pos="420" w:val="left"/>
        </w:tabs>
        <w:numPr>
          <w:ilvl w:val="0"/>
          <w:numId w:val="563"/>
        </w:numPr>
        <w:rPr>
          <w:rFonts w:ascii="Arial" w:cs="Arial" w:eastAsia="Arial" w:hAnsi="Arial"/>
          <w:sz w:val="17"/>
          <w:szCs w:val="17"/>
          <w:color w:val="auto"/>
        </w:rPr>
      </w:pPr>
      <w:r>
        <w:rPr>
          <w:rFonts w:ascii="Arial" w:cs="Arial" w:eastAsia="Arial" w:hAnsi="Arial"/>
          <w:sz w:val="17"/>
          <w:szCs w:val="17"/>
          <w:color w:val="auto"/>
        </w:rPr>
        <w:t>], in its capacity as trustee (together with its successors and assigns in such capacity from time to time, and as further defined in the Intercreditor</w:t>
      </w:r>
    </w:p>
    <w:p>
      <w:pPr>
        <w:spacing w:after="0" w:line="39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Agreement, the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Agent”)</w:t>
      </w:r>
      <w:r>
        <w:rPr>
          <w:rFonts w:ascii="Arial" w:cs="Arial" w:eastAsia="Arial" w:hAnsi="Arial"/>
          <w:sz w:val="14"/>
          <w:szCs w:val="14"/>
          <w:color w:val="auto"/>
        </w:rPr>
        <w:t>xiv</w:t>
      </w:r>
      <w:r>
        <w:rPr>
          <w:rFonts w:ascii="Arial" w:cs="Arial" w:eastAsia="Arial" w:hAnsi="Arial"/>
          <w:sz w:val="17"/>
          <w:szCs w:val="17"/>
          <w:color w:val="auto"/>
        </w:rPr>
        <w:t xml:space="preserve"> for the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Secured Parties, [list any previously added Additional Agent] [and insert name of additional Original First Lien Secured Parties, Original First Lien Agent, [ ]</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Secured Parties or [ ]</w:t>
      </w:r>
      <w:r>
        <w:rPr>
          <w:rFonts w:ascii="Arial" w:cs="Arial" w:eastAsia="Arial" w:hAnsi="Arial"/>
          <w:sz w:val="14"/>
          <w:szCs w:val="14"/>
          <w:color w:val="auto"/>
        </w:rPr>
        <w:t>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[First/Second]</w:t>
      </w:r>
      <w:r>
        <w:rPr>
          <w:rFonts w:ascii="Arial" w:cs="Arial" w:eastAsia="Arial" w:hAnsi="Arial"/>
          <w:sz w:val="13"/>
          <w:szCs w:val="13"/>
          <w:color w:val="auto"/>
        </w:rPr>
        <w:t>ii</w:t>
      </w:r>
      <w:r>
        <w:rPr>
          <w:rFonts w:ascii="Arial" w:cs="Arial" w:eastAsia="Arial" w:hAnsi="Arial"/>
          <w:sz w:val="16"/>
          <w:szCs w:val="16"/>
          <w:color w:val="auto"/>
        </w:rPr>
        <w:t xml:space="preserve"> Lien Agent, as applicable, being added hereby as party] and any successors or assigns thereof, to the Intercreditor Agreement dated as of</w:t>
      </w:r>
    </w:p>
    <w:p>
      <w:pPr>
        <w:spacing w:after="0" w:line="33" w:lineRule="exact"/>
        <w:rPr>
          <w:sz w:val="20"/>
          <w:szCs w:val="20"/>
          <w:color w:val="auto"/>
        </w:rPr>
      </w:pPr>
    </w:p>
    <w:p>
      <w:pPr>
        <w:ind w:left="600" w:hanging="592"/>
        <w:spacing w:after="0"/>
        <w:tabs>
          <w:tab w:leader="none" w:pos="60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 20[  ] (as amended, supplemented, waived or otherwise modified from time to time, the “</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among the Original First Lien</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Agent</w:t>
      </w:r>
      <w:r>
        <w:rPr>
          <w:rFonts w:ascii="Arial" w:cs="Arial" w:eastAsia="Arial" w:hAnsi="Arial"/>
          <w:sz w:val="15"/>
          <w:szCs w:val="15"/>
          <w:color w:val="auto"/>
        </w:rPr>
        <w:t>xv</w:t>
      </w:r>
      <w:r>
        <w:rPr>
          <w:rFonts w:ascii="Arial" w:cs="Arial" w:eastAsia="Arial" w:hAnsi="Arial"/>
          <w:sz w:val="18"/>
          <w:szCs w:val="18"/>
          <w:color w:val="auto"/>
        </w:rPr>
        <w:t>, [and] the [ ]</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xml:space="preserve"> Lien Agent</w:t>
      </w:r>
      <w:r>
        <w:rPr>
          <w:rFonts w:ascii="Arial" w:cs="Arial" w:eastAsia="Arial" w:hAnsi="Arial"/>
          <w:sz w:val="15"/>
          <w:szCs w:val="15"/>
          <w:color w:val="auto"/>
        </w:rPr>
        <w:t>xvi</w:t>
      </w:r>
      <w:r>
        <w:rPr>
          <w:rFonts w:ascii="Arial" w:cs="Arial" w:eastAsia="Arial" w:hAnsi="Arial"/>
          <w:sz w:val="18"/>
          <w:szCs w:val="18"/>
          <w:color w:val="auto"/>
        </w:rPr>
        <w:t xml:space="preserve"> [and (list any previously added Additional Agent)]. Capitalized terms used herein and not otherwise defined herein shall have the meaning specified in the Intercreditor Agreement.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ind w:left="460"/>
              <w:spacing w:after="0"/>
              <w:rPr>
                <w:sz w:val="20"/>
                <w:szCs w:val="20"/>
                <w:color w:val="auto"/>
              </w:rPr>
            </w:pPr>
            <w:r>
              <w:rPr>
                <w:rFonts w:ascii="Arial" w:cs="Arial" w:eastAsia="Arial" w:hAnsi="Arial"/>
                <w:sz w:val="18"/>
                <w:szCs w:val="18"/>
                <w:color w:val="auto"/>
              </w:rPr>
              <w:t>The Joining [First][ [</w:t>
            </w:r>
          </w:p>
        </w:tc>
        <w:tc>
          <w:tcPr>
            <w:tcW w:w="4840" w:type="dxa"/>
            <w:vAlign w:val="bottom"/>
            <w:gridSpan w:val="4"/>
          </w:tcPr>
          <w:p>
            <w:pPr>
              <w:ind w:left="180"/>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i</w:t>
            </w:r>
            <w:r>
              <w:rPr>
                <w:rFonts w:ascii="Arial" w:cs="Arial" w:eastAsia="Arial" w:hAnsi="Arial"/>
                <w:sz w:val="18"/>
                <w:szCs w:val="18"/>
                <w:color w:val="auto"/>
                <w:w w:val="97"/>
              </w:rPr>
              <w:t xml:space="preserve"> [First/Second]</w:t>
            </w:r>
            <w:r>
              <w:rPr>
                <w:rFonts w:ascii="Arial" w:cs="Arial" w:eastAsia="Arial" w:hAnsi="Arial"/>
                <w:sz w:val="15"/>
                <w:szCs w:val="15"/>
                <w:color w:val="auto"/>
                <w:w w:val="97"/>
              </w:rPr>
              <w:t>ii</w:t>
            </w:r>
            <w:r>
              <w:rPr>
                <w:rFonts w:ascii="Arial" w:cs="Arial" w:eastAsia="Arial" w:hAnsi="Arial"/>
                <w:sz w:val="18"/>
                <w:szCs w:val="18"/>
                <w:color w:val="auto"/>
                <w:w w:val="97"/>
              </w:rPr>
              <w:t>] Lien Agent, for itself and on behalf of the [</w:t>
            </w: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i</w:t>
            </w:r>
            <w:r>
              <w:rPr>
                <w:rFonts w:ascii="Arial" w:cs="Arial" w:eastAsia="Arial" w:hAnsi="Arial"/>
                <w:sz w:val="18"/>
                <w:szCs w:val="18"/>
                <w:color w:val="auto"/>
                <w:w w:val="98"/>
              </w:rPr>
              <w:t xml:space="preserve"> [First/Second]</w:t>
            </w:r>
            <w:r>
              <w:rPr>
                <w:rFonts w:ascii="Arial" w:cs="Arial" w:eastAsia="Arial" w:hAnsi="Arial"/>
                <w:sz w:val="15"/>
                <w:szCs w:val="15"/>
                <w:color w:val="auto"/>
                <w:w w:val="98"/>
              </w:rPr>
              <w:t>ii</w:t>
            </w:r>
            <w:r>
              <w:rPr>
                <w:rFonts w:ascii="Arial" w:cs="Arial" w:eastAsia="Arial" w:hAnsi="Arial"/>
                <w:sz w:val="18"/>
                <w:szCs w:val="18"/>
                <w:color w:val="auto"/>
                <w:w w:val="98"/>
              </w:rPr>
              <w:t xml:space="preserve"> Lien Secured Parties, hereby agrees</w:t>
            </w:r>
          </w:p>
        </w:tc>
      </w:tr>
      <w:tr>
        <w:trPr>
          <w:trHeight w:val="216"/>
        </w:trPr>
        <w:tc>
          <w:tcPr>
            <w:tcW w:w="6180" w:type="dxa"/>
            <w:vAlign w:val="bottom"/>
            <w:gridSpan w:val="5"/>
          </w:tcPr>
          <w:p>
            <w:pPr>
              <w:spacing w:after="0"/>
              <w:rPr>
                <w:sz w:val="20"/>
                <w:szCs w:val="20"/>
                <w:color w:val="auto"/>
              </w:rPr>
            </w:pPr>
            <w:r>
              <w:rPr>
                <w:rFonts w:ascii="Arial" w:cs="Arial" w:eastAsia="Arial" w:hAnsi="Arial"/>
                <w:sz w:val="18"/>
                <w:szCs w:val="18"/>
                <w:color w:val="auto"/>
                <w:w w:val="96"/>
              </w:rPr>
              <w:t>with the Original First Lien Borrower and the other Grantors, the [Original First][ [</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i</w:t>
            </w:r>
            <w:r>
              <w:rPr>
                <w:rFonts w:ascii="Arial" w:cs="Arial" w:eastAsia="Arial" w:hAnsi="Arial"/>
                <w:sz w:val="18"/>
                <w:szCs w:val="18"/>
                <w:color w:val="auto"/>
                <w:w w:val="96"/>
              </w:rPr>
              <w:t xml:space="preserve"> [First/Second]</w:t>
            </w:r>
            <w:r>
              <w:rPr>
                <w:rFonts w:ascii="Arial" w:cs="Arial" w:eastAsia="Arial" w:hAnsi="Arial"/>
                <w:sz w:val="15"/>
                <w:szCs w:val="15"/>
                <w:color w:val="auto"/>
                <w:w w:val="96"/>
              </w:rPr>
              <w:t>ii</w:t>
            </w:r>
            <w:r>
              <w:rPr>
                <w:rFonts w:ascii="Arial" w:cs="Arial" w:eastAsia="Arial" w:hAnsi="Arial"/>
                <w:sz w:val="18"/>
                <w:szCs w:val="18"/>
                <w:color w:val="auto"/>
                <w:w w:val="96"/>
              </w:rPr>
              <w:t>] Lien Agent and any other Additional Agent party</w:t>
            </w:r>
          </w:p>
        </w:tc>
      </w:tr>
      <w:tr>
        <w:trPr>
          <w:trHeight w:val="230"/>
        </w:trPr>
        <w:tc>
          <w:tcPr>
            <w:tcW w:w="4200" w:type="dxa"/>
            <w:vAlign w:val="bottom"/>
            <w:gridSpan w:val="4"/>
          </w:tcPr>
          <w:p>
            <w:pPr>
              <w:spacing w:after="0"/>
              <w:rPr>
                <w:sz w:val="20"/>
                <w:szCs w:val="20"/>
                <w:color w:val="auto"/>
              </w:rPr>
            </w:pPr>
            <w:r>
              <w:rPr>
                <w:rFonts w:ascii="Arial" w:cs="Arial" w:eastAsia="Arial" w:hAnsi="Arial"/>
                <w:sz w:val="18"/>
                <w:szCs w:val="18"/>
                <w:color w:val="auto"/>
              </w:rPr>
              <w:t>to the Intercreditor Agreement as follows:</w:t>
            </w: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2"/>
        </w:trPr>
        <w:tc>
          <w:tcPr>
            <w:tcW w:w="4200" w:type="dxa"/>
            <w:vAlign w:val="bottom"/>
            <w:gridSpan w:val="4"/>
          </w:tcPr>
          <w:p>
            <w:pPr>
              <w:ind w:left="460"/>
              <w:spacing w:after="0"/>
              <w:rPr>
                <w:sz w:val="20"/>
                <w:szCs w:val="20"/>
                <w:color w:val="auto"/>
              </w:rPr>
            </w:pPr>
            <w:r>
              <w:rPr>
                <w:rFonts w:ascii="Arial" w:cs="Arial" w:eastAsia="Arial" w:hAnsi="Arial"/>
                <w:sz w:val="18"/>
                <w:szCs w:val="18"/>
                <w:b w:val="1"/>
                <w:bCs w:val="1"/>
                <w:color w:val="auto"/>
                <w:w w:val="97"/>
              </w:rPr>
              <w:t xml:space="preserve">A. </w:t>
            </w:r>
            <w:r>
              <w:rPr>
                <w:rFonts w:ascii="Arial" w:cs="Arial" w:eastAsia="Arial" w:hAnsi="Arial"/>
                <w:sz w:val="18"/>
                <w:szCs w:val="18"/>
                <w:color w:val="auto"/>
                <w:w w:val="97"/>
              </w:rPr>
              <w:t>Agreement to be Bound. The Joining [First][ [</w:t>
            </w:r>
          </w:p>
        </w:tc>
        <w:tc>
          <w:tcPr>
            <w:tcW w:w="4760" w:type="dxa"/>
            <w:vAlign w:val="bottom"/>
            <w:gridSpan w:val="3"/>
          </w:tcPr>
          <w:p>
            <w:pPr>
              <w:ind w:left="180"/>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i</w:t>
            </w:r>
            <w:r>
              <w:rPr>
                <w:rFonts w:ascii="Arial" w:cs="Arial" w:eastAsia="Arial" w:hAnsi="Arial"/>
                <w:sz w:val="18"/>
                <w:szCs w:val="18"/>
                <w:color w:val="auto"/>
                <w:w w:val="97"/>
              </w:rPr>
              <w:t xml:space="preserve"> [First/Second]</w:t>
            </w:r>
            <w:r>
              <w:rPr>
                <w:rFonts w:ascii="Arial" w:cs="Arial" w:eastAsia="Arial" w:hAnsi="Arial"/>
                <w:sz w:val="15"/>
                <w:szCs w:val="15"/>
                <w:color w:val="auto"/>
                <w:w w:val="97"/>
              </w:rPr>
              <w:t>ii</w:t>
            </w:r>
            <w:r>
              <w:rPr>
                <w:rFonts w:ascii="Arial" w:cs="Arial" w:eastAsia="Arial" w:hAnsi="Arial"/>
                <w:sz w:val="18"/>
                <w:szCs w:val="18"/>
                <w:color w:val="auto"/>
                <w:w w:val="97"/>
              </w:rPr>
              <w:t xml:space="preserve"> Lien Agent, for itself and on behalf of the [</w:t>
            </w:r>
          </w:p>
        </w:tc>
        <w:tc>
          <w:tcPr>
            <w:tcW w:w="2460" w:type="dxa"/>
            <w:vAlign w:val="bottom"/>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5"/>
                <w:szCs w:val="15"/>
                <w:color w:val="auto"/>
                <w:w w:val="93"/>
              </w:rPr>
              <w:t>i</w:t>
            </w:r>
            <w:r>
              <w:rPr>
                <w:rFonts w:ascii="Arial" w:cs="Arial" w:eastAsia="Arial" w:hAnsi="Arial"/>
                <w:sz w:val="18"/>
                <w:szCs w:val="18"/>
                <w:color w:val="auto"/>
                <w:w w:val="93"/>
              </w:rPr>
              <w:t xml:space="preserve"> [First/Second]</w:t>
            </w:r>
            <w:r>
              <w:rPr>
                <w:rFonts w:ascii="Arial" w:cs="Arial" w:eastAsia="Arial" w:hAnsi="Arial"/>
                <w:sz w:val="15"/>
                <w:szCs w:val="15"/>
                <w:color w:val="auto"/>
                <w:w w:val="93"/>
              </w:rPr>
              <w:t>ii</w:t>
            </w:r>
            <w:r>
              <w:rPr>
                <w:rFonts w:ascii="Arial" w:cs="Arial" w:eastAsia="Arial" w:hAnsi="Arial"/>
                <w:sz w:val="18"/>
                <w:szCs w:val="18"/>
                <w:color w:val="auto"/>
                <w:w w:val="93"/>
              </w:rPr>
              <w:t xml:space="preserve"> Lien Secured</w:t>
            </w:r>
          </w:p>
        </w:tc>
      </w:tr>
      <w:tr>
        <w:trPr>
          <w:trHeight w:val="20"/>
        </w:trPr>
        <w:tc>
          <w:tcPr>
            <w:tcW w:w="6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Parties, hereby agrees to be bound by the terms and provisions of the Intercreditor Agreement and shall, as of the date hereof, be deemed to be a party to the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w w:val="99"/>
              </w:rPr>
              <w:t>Intercreditor Agreement as [the][a] [First][ [</w:t>
            </w:r>
          </w:p>
        </w:tc>
        <w:tc>
          <w:tcPr>
            <w:tcW w:w="628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Lien Agent.</w:t>
            </w:r>
          </w:p>
        </w:tc>
        <w:tc>
          <w:tcPr>
            <w:tcW w:w="1440" w:type="dxa"/>
            <w:vAlign w:val="bottom"/>
          </w:tcPr>
          <w:p>
            <w:pPr>
              <w:spacing w:after="0"/>
              <w:rPr>
                <w:sz w:val="20"/>
                <w:szCs w:val="20"/>
                <w:color w:val="auto"/>
              </w:rPr>
            </w:pPr>
          </w:p>
        </w:tc>
      </w:tr>
      <w:tr>
        <w:trPr>
          <w:trHeight w:val="379"/>
        </w:trPr>
        <w:tc>
          <w:tcPr>
            <w:tcW w:w="9660" w:type="dxa"/>
            <w:vAlign w:val="bottom"/>
            <w:gridSpan w:val="4"/>
          </w:tcPr>
          <w:p>
            <w:pPr>
              <w:ind w:left="460"/>
              <w:spacing w:after="0"/>
              <w:rPr>
                <w:sz w:val="20"/>
                <w:szCs w:val="20"/>
                <w:color w:val="auto"/>
              </w:rPr>
            </w:pPr>
            <w:r>
              <w:rPr>
                <w:rFonts w:ascii="Arial" w:cs="Arial" w:eastAsia="Arial" w:hAnsi="Arial"/>
                <w:sz w:val="18"/>
                <w:szCs w:val="18"/>
                <w:b w:val="1"/>
                <w:bCs w:val="1"/>
                <w:color w:val="auto"/>
                <w:w w:val="93"/>
              </w:rPr>
              <w:t xml:space="preserve">B. </w:t>
            </w:r>
            <w:r>
              <w:rPr>
                <w:rFonts w:ascii="Arial" w:cs="Arial" w:eastAsia="Arial" w:hAnsi="Arial"/>
                <w:sz w:val="18"/>
                <w:szCs w:val="18"/>
                <w:color w:val="auto"/>
                <w:w w:val="93"/>
              </w:rPr>
              <w:t>Notices. Notices and other communications provided for under the Intercreditor Agreement to be provided to the Joining [</w:t>
            </w:r>
          </w:p>
        </w:tc>
        <w:tc>
          <w:tcPr>
            <w:tcW w:w="1440" w:type="dxa"/>
            <w:vAlign w:val="bottom"/>
          </w:tcPr>
          <w:p>
            <w:pPr>
              <w:ind w:left="18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i</w:t>
            </w:r>
            <w:r>
              <w:rPr>
                <w:rFonts w:ascii="Arial" w:cs="Arial" w:eastAsia="Arial" w:hAnsi="Arial"/>
                <w:sz w:val="18"/>
                <w:szCs w:val="18"/>
                <w:color w:val="auto"/>
                <w:w w:val="94"/>
              </w:rPr>
              <w:t xml:space="preserve"> [First/Second]</w:t>
            </w:r>
            <w:r>
              <w:rPr>
                <w:rFonts w:ascii="Arial" w:cs="Arial" w:eastAsia="Arial" w:hAnsi="Arial"/>
                <w:sz w:val="15"/>
                <w:szCs w:val="15"/>
                <w:color w:val="auto"/>
                <w:w w:val="94"/>
              </w:rPr>
              <w:t>ii</w:t>
            </w:r>
          </w:p>
        </w:tc>
      </w:tr>
      <w:tr>
        <w:trPr>
          <w:trHeight w:val="20"/>
        </w:trPr>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Lien Agent shall be sent to the address set forth on Annex 1 attached hereto (until notice of a change thereof is delivered as provided in Section 7.05 of the Intercreditor Agreement).</w:t>
      </w:r>
    </w:p>
    <w:p>
      <w:pPr>
        <w:spacing w:after="0" w:line="16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u w:val="single" w:color="auto"/>
          <w:color w:val="auto"/>
        </w:rPr>
        <w:t>Miscellaneous</w:t>
      </w:r>
      <w:r>
        <w:rPr>
          <w:rFonts w:ascii="Arial" w:cs="Arial" w:eastAsia="Arial" w:hAnsi="Arial"/>
          <w:sz w:val="18"/>
          <w:szCs w:val="18"/>
          <w:color w:val="auto"/>
        </w:rPr>
        <w:t>. THIS JOINDER SHALL BE CONSTRUED AND ENFORCED IN ACCORDANCE WITH AND GOVERNED BY THE LAW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NEW YORK.</w:t>
      </w:r>
    </w:p>
    <w:p>
      <w:pPr>
        <w:sectPr>
          <w:pgSz w:w="11900" w:h="16838" w:orient="portrait"/>
          <w:cols w:equalWidth="0" w:num="1">
            <w:col w:w="11420"/>
          </w:cols>
          <w:pgMar w:left="240" w:top="270" w:right="239" w:bottom="1440" w:gutter="0" w:footer="0" w:header="0"/>
        </w:sectPr>
      </w:pPr>
    </w:p>
    <w:bookmarkStart w:id="514" w:name="page515"/>
    <w:bookmarkEnd w:id="51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Joinder to be duly executed by its duly authorized officer or other representative, all as of the day and year first above written.</w:t>
      </w:r>
    </w:p>
    <w:p>
      <w:pPr>
        <w:spacing w:after="0" w:line="197" w:lineRule="exact"/>
        <w:rPr>
          <w:sz w:val="20"/>
          <w:szCs w:val="20"/>
          <w:color w:val="auto"/>
        </w:rPr>
      </w:pPr>
    </w:p>
    <w:p>
      <w:pPr>
        <w:ind w:left="6860"/>
        <w:spacing w:after="0"/>
        <w:tabs>
          <w:tab w:leader="none" w:pos="8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24"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80" w:hanging="572"/>
        <w:spacing w:after="0"/>
        <w:tabs>
          <w:tab w:leader="none" w:pos="580" w:val="left"/>
        </w:tabs>
        <w:numPr>
          <w:ilvl w:val="0"/>
          <w:numId w:val="565"/>
        </w:numPr>
        <w:rPr>
          <w:rFonts w:ascii="Arial" w:cs="Arial" w:eastAsia="Arial" w:hAnsi="Arial"/>
          <w:sz w:val="15"/>
          <w:szCs w:val="15"/>
          <w:color w:val="auto"/>
        </w:rPr>
      </w:pPr>
      <w:r>
        <w:rPr>
          <w:rFonts w:ascii="Arial" w:cs="Arial" w:eastAsia="Arial" w:hAnsi="Arial"/>
          <w:sz w:val="18"/>
          <w:szCs w:val="18"/>
          <w:color w:val="auto"/>
        </w:rPr>
        <w:t>Insert month and year when this agreement is initially entered into (e.g., October 2014).</w:t>
      </w:r>
    </w:p>
    <w:p>
      <w:pPr>
        <w:spacing w:after="0" w:line="22" w:lineRule="exact"/>
        <w:rPr>
          <w:sz w:val="20"/>
          <w:szCs w:val="20"/>
          <w:color w:val="auto"/>
        </w:rPr>
      </w:pPr>
    </w:p>
    <w:p>
      <w:pPr>
        <w:jc w:val="both"/>
        <w:ind w:left="580" w:right="60" w:hanging="572"/>
        <w:spacing w:after="0" w:line="251" w:lineRule="auto"/>
        <w:tabs>
          <w:tab w:leader="none" w:pos="580" w:val="left"/>
        </w:tabs>
        <w:numPr>
          <w:ilvl w:val="0"/>
          <w:numId w:val="566"/>
        </w:numPr>
        <w:rPr>
          <w:rFonts w:ascii="Arial" w:cs="Arial" w:eastAsia="Arial" w:hAnsi="Arial"/>
          <w:sz w:val="15"/>
          <w:szCs w:val="15"/>
          <w:color w:val="auto"/>
        </w:rPr>
      </w:pPr>
      <w:r>
        <w:rPr>
          <w:rFonts w:ascii="Arial" w:cs="Arial" w:eastAsia="Arial" w:hAnsi="Arial"/>
          <w:sz w:val="18"/>
          <w:szCs w:val="18"/>
          <w:color w:val="auto"/>
        </w:rPr>
        <w:t>Insert “First,” if this Agreement is initially entered into in connection with the incurrence of debt with pari passu Lien priority to the Original First Lien Credit Agreement or “Second,” if this agreement is initially entered into in connection with the incurrence of debt with Junior Lien Priority to the Original First Lien Credit Agreement.</w:t>
      </w:r>
    </w:p>
    <w:p>
      <w:pPr>
        <w:ind w:left="580" w:hanging="572"/>
        <w:spacing w:after="0"/>
        <w:tabs>
          <w:tab w:leader="none" w:pos="580" w:val="left"/>
        </w:tabs>
        <w:numPr>
          <w:ilvl w:val="0"/>
          <w:numId w:val="566"/>
        </w:numPr>
        <w:rPr>
          <w:rFonts w:ascii="Arial" w:cs="Arial" w:eastAsia="Arial" w:hAnsi="Arial"/>
          <w:sz w:val="15"/>
          <w:szCs w:val="15"/>
          <w:color w:val="auto"/>
        </w:rPr>
      </w:pPr>
      <w:r>
        <w:rPr>
          <w:rFonts w:ascii="Arial" w:cs="Arial" w:eastAsia="Arial" w:hAnsi="Arial"/>
          <w:sz w:val="18"/>
          <w:szCs w:val="18"/>
          <w:color w:val="auto"/>
        </w:rPr>
        <w:t>Describe the applicable Borrower.</w:t>
      </w:r>
    </w:p>
    <w:p>
      <w:pPr>
        <w:sectPr>
          <w:pgSz w:w="11900" w:h="16838" w:orient="portrait"/>
          <w:cols w:equalWidth="0" w:num="1">
            <w:col w:w="11220"/>
          </w:cols>
          <w:pgMar w:left="240" w:top="274" w:right="4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iv</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br w:type="column"/>
      </w:r>
    </w:p>
    <w:p>
      <w:pPr>
        <w:spacing w:after="0"/>
        <w:tabs>
          <w:tab w:leader="none" w:pos="5740" w:val="left"/>
        </w:tabs>
        <w:rPr>
          <w:sz w:val="20"/>
          <w:szCs w:val="20"/>
          <w:color w:val="auto"/>
        </w:rPr>
      </w:pPr>
      <w:r>
        <w:rPr>
          <w:rFonts w:ascii="Arial" w:cs="Arial" w:eastAsia="Arial" w:hAnsi="Arial"/>
          <w:sz w:val="18"/>
          <w:szCs w:val="18"/>
          <w:color w:val="auto"/>
        </w:rPr>
        <w:t>Insert the section number of the negative covenant restricting Liens in the [</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Credit Facility.</w:t>
      </w:r>
    </w:p>
    <w:p>
      <w:pPr>
        <w:spacing w:after="0" w:line="9"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Insert the section number of the definitions section in the [</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xml:space="preserve"> Lien Credit Facility.</w:t>
      </w:r>
    </w:p>
    <w:p>
      <w:pPr>
        <w:spacing w:after="0" w:line="9" w:lineRule="exact"/>
        <w:rPr>
          <w:sz w:val="20"/>
          <w:szCs w:val="20"/>
          <w:color w:val="auto"/>
        </w:rPr>
      </w:pPr>
    </w:p>
    <w:p>
      <w:pPr>
        <w:sectPr>
          <w:pgSz w:w="11900" w:h="16838" w:orient="portrait"/>
          <w:cols w:equalWidth="0" w:num="2">
            <w:col w:w="120" w:space="460"/>
            <w:col w:w="10640"/>
          </w:cols>
          <w:pgMar w:left="240" w:top="274" w:right="439" w:bottom="1440" w:gutter="0" w:footer="0" w:header="0"/>
          <w:type w:val="continuous"/>
        </w:sectPr>
      </w:pPr>
    </w:p>
    <w:p>
      <w:pPr>
        <w:ind w:left="580" w:hanging="572"/>
        <w:spacing w:after="0"/>
        <w:tabs>
          <w:tab w:leader="none" w:pos="580" w:val="left"/>
        </w:tabs>
        <w:numPr>
          <w:ilvl w:val="0"/>
          <w:numId w:val="567"/>
        </w:numPr>
        <w:rPr>
          <w:rFonts w:ascii="Arial" w:cs="Arial" w:eastAsia="Arial" w:hAnsi="Arial"/>
          <w:sz w:val="14"/>
          <w:szCs w:val="14"/>
          <w:color w:val="auto"/>
        </w:rPr>
      </w:pPr>
      <w:r>
        <w:rPr>
          <w:rFonts w:ascii="Arial" w:cs="Arial" w:eastAsia="Arial" w:hAnsi="Arial"/>
          <w:sz w:val="16"/>
          <w:szCs w:val="16"/>
          <w:color w:val="auto"/>
        </w:rPr>
        <w:t>Include if this agreement is entered into in connection with Junior Priority Debt.</w:t>
      </w:r>
    </w:p>
    <w:p>
      <w:pPr>
        <w:sectPr>
          <w:pgSz w:w="11900" w:h="16838" w:orient="portrait"/>
          <w:cols w:equalWidth="0" w:num="1">
            <w:col w:w="11220"/>
          </w:cols>
          <w:pgMar w:left="240" w:top="274" w:right="439" w:bottom="1440" w:gutter="0" w:footer="0" w:header="0"/>
          <w:type w:val="continuous"/>
        </w:sectPr>
      </w:pPr>
    </w:p>
    <w:bookmarkStart w:id="515" w:name="page516"/>
    <w:bookmarkEnd w:id="515"/>
    <w:p>
      <w:pPr>
        <w:ind w:left="580" w:hanging="572"/>
        <w:spacing w:after="0"/>
        <w:tabs>
          <w:tab w:leader="none" w:pos="580" w:val="left"/>
        </w:tabs>
        <w:numPr>
          <w:ilvl w:val="0"/>
          <w:numId w:val="568"/>
        </w:numPr>
        <w:rPr>
          <w:rFonts w:ascii="Arial" w:cs="Arial" w:eastAsia="Arial" w:hAnsi="Arial"/>
          <w:sz w:val="15"/>
          <w:szCs w:val="15"/>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 if this agreement is initially entered into in connection with the incurrence of Senior Priority Debt.</w:t>
      </w:r>
    </w:p>
    <w:p>
      <w:pPr>
        <w:spacing w:after="0" w:line="22" w:lineRule="exact"/>
        <w:rPr>
          <w:rFonts w:ascii="Arial" w:cs="Arial" w:eastAsia="Arial" w:hAnsi="Arial"/>
          <w:sz w:val="15"/>
          <w:szCs w:val="15"/>
          <w:color w:val="auto"/>
        </w:rPr>
      </w:pPr>
    </w:p>
    <w:p>
      <w:pPr>
        <w:ind w:left="580" w:hanging="572"/>
        <w:spacing w:after="0" w:line="251" w:lineRule="auto"/>
        <w:tabs>
          <w:tab w:leader="none" w:pos="580" w:val="left"/>
        </w:tabs>
        <w:numPr>
          <w:ilvl w:val="0"/>
          <w:numId w:val="568"/>
        </w:numPr>
        <w:rPr>
          <w:rFonts w:ascii="Arial" w:cs="Arial" w:eastAsia="Arial" w:hAnsi="Arial"/>
          <w:sz w:val="15"/>
          <w:szCs w:val="15"/>
          <w:color w:val="auto"/>
        </w:rPr>
      </w:pPr>
      <w:r>
        <w:rPr>
          <w:rFonts w:ascii="Arial" w:cs="Arial" w:eastAsia="Arial" w:hAnsi="Arial"/>
          <w:sz w:val="18"/>
          <w:szCs w:val="18"/>
          <w:color w:val="auto"/>
        </w:rPr>
        <w:t>Insert (i) “Senior” if this agreement is initially entered into in connection with the incurrence of debt with pari passu Lien priority to the Original First Lien Credit Agreement or (ii) “Junior” if this agreement is initially entered into in connection with Junior Lien Priority to the Original First Lien Credit Agreement.</w:t>
      </w:r>
    </w:p>
    <w:p>
      <w:pPr>
        <w:ind w:left="580" w:hanging="572"/>
        <w:spacing w:after="0"/>
        <w:tabs>
          <w:tab w:leader="none" w:pos="580" w:val="left"/>
        </w:tabs>
        <w:numPr>
          <w:ilvl w:val="0"/>
          <w:numId w:val="568"/>
        </w:numPr>
        <w:rPr>
          <w:rFonts w:ascii="Arial" w:cs="Arial" w:eastAsia="Arial" w:hAnsi="Arial"/>
          <w:sz w:val="14"/>
          <w:szCs w:val="14"/>
          <w:color w:val="auto"/>
        </w:rPr>
      </w:pPr>
      <w:r>
        <w:rPr>
          <w:rFonts w:ascii="Arial" w:cs="Arial" w:eastAsia="Arial" w:hAnsi="Arial"/>
          <w:sz w:val="17"/>
          <w:szCs w:val="17"/>
          <w:color w:val="auto"/>
        </w:rPr>
        <w:t>If this agreement is initially entered into in connection with the entry into a new revolving loan facility, add the defined term for such facility here.</w:t>
      </w:r>
    </w:p>
    <w:p>
      <w:pPr>
        <w:spacing w:after="0" w:line="19" w:lineRule="exact"/>
        <w:rPr>
          <w:sz w:val="20"/>
          <w:szCs w:val="20"/>
          <w:color w:val="auto"/>
        </w:rPr>
      </w:pPr>
    </w:p>
    <w:p>
      <w:pPr>
        <w:ind w:left="580" w:right="160" w:hanging="572"/>
        <w:spacing w:after="0" w:line="250" w:lineRule="auto"/>
        <w:tabs>
          <w:tab w:leader="none" w:pos="580" w:val="left"/>
        </w:tabs>
        <w:numPr>
          <w:ilvl w:val="0"/>
          <w:numId w:val="569"/>
        </w:numPr>
        <w:rPr>
          <w:rFonts w:ascii="Arial" w:cs="Arial" w:eastAsia="Arial" w:hAnsi="Arial"/>
          <w:sz w:val="15"/>
          <w:szCs w:val="15"/>
          <w:color w:val="auto"/>
        </w:rPr>
      </w:pPr>
      <w:r>
        <w:rPr>
          <w:rFonts w:ascii="Arial" w:cs="Arial" w:eastAsia="Arial" w:hAnsi="Arial"/>
          <w:sz w:val="18"/>
          <w:szCs w:val="18"/>
          <w:color w:val="auto"/>
        </w:rPr>
        <w:t>If this agreement is initially entered into in connection with the entry into a new revolving loan facility, add the defined terms for the parties to such agreement.</w:t>
      </w:r>
    </w:p>
    <w:p>
      <w:pPr>
        <w:spacing w:after="0" w:line="1" w:lineRule="exact"/>
        <w:rPr>
          <w:sz w:val="20"/>
          <w:szCs w:val="20"/>
          <w:color w:val="auto"/>
        </w:rPr>
      </w:pPr>
    </w:p>
    <w:p>
      <w:pPr>
        <w:ind w:left="580" w:right="60" w:hanging="572"/>
        <w:spacing w:after="0" w:line="251" w:lineRule="auto"/>
        <w:tabs>
          <w:tab w:leader="none" w:pos="580" w:val="left"/>
        </w:tabs>
        <w:numPr>
          <w:ilvl w:val="0"/>
          <w:numId w:val="570"/>
        </w:numPr>
        <w:rPr>
          <w:rFonts w:ascii="Arial" w:cs="Arial" w:eastAsia="Arial" w:hAnsi="Arial"/>
          <w:sz w:val="15"/>
          <w:szCs w:val="15"/>
          <w:color w:val="auto"/>
        </w:rPr>
      </w:pPr>
      <w:r>
        <w:rPr>
          <w:rFonts w:ascii="Arial" w:cs="Arial" w:eastAsia="Arial" w:hAnsi="Arial"/>
          <w:sz w:val="18"/>
          <w:szCs w:val="18"/>
          <w:color w:val="auto"/>
        </w:rPr>
        <w:t>If this agreement is initially entered into in connection with the entry into a new revolving loan facility, add the defined term for the Obligations with respect to such facility.</w:t>
      </w:r>
    </w:p>
    <w:p>
      <w:pPr>
        <w:ind w:left="580" w:hanging="572"/>
        <w:spacing w:after="0"/>
        <w:tabs>
          <w:tab w:leader="none" w:pos="580" w:val="left"/>
        </w:tabs>
        <w:numPr>
          <w:ilvl w:val="0"/>
          <w:numId w:val="570"/>
        </w:numPr>
        <w:rPr>
          <w:rFonts w:ascii="Arial" w:cs="Arial" w:eastAsia="Arial" w:hAnsi="Arial"/>
          <w:sz w:val="15"/>
          <w:szCs w:val="15"/>
          <w:color w:val="auto"/>
        </w:rPr>
      </w:pPr>
      <w:r>
        <w:rPr>
          <w:rFonts w:ascii="Arial" w:cs="Arial" w:eastAsia="Arial" w:hAnsi="Arial"/>
          <w:sz w:val="18"/>
          <w:szCs w:val="18"/>
          <w:color w:val="auto"/>
        </w:rPr>
        <w:t>Revise as appropriate to refer to any successor Original First Lien Agent.</w:t>
      </w:r>
    </w:p>
    <w:p>
      <w:pPr>
        <w:spacing w:after="0" w:line="8" w:lineRule="exact"/>
        <w:rPr>
          <w:sz w:val="20"/>
          <w:szCs w:val="20"/>
          <w:color w:val="auto"/>
        </w:rPr>
      </w:pPr>
    </w:p>
    <w:p>
      <w:pPr>
        <w:spacing w:after="0"/>
        <w:tabs>
          <w:tab w:leader="none" w:pos="560" w:val="left"/>
          <w:tab w:leader="none" w:pos="4360" w:val="left"/>
        </w:tabs>
        <w:rPr>
          <w:sz w:val="20"/>
          <w:szCs w:val="20"/>
          <w:color w:val="auto"/>
        </w:rPr>
      </w:pPr>
      <w:r>
        <w:rPr>
          <w:rFonts w:ascii="Arial" w:cs="Arial" w:eastAsia="Arial" w:hAnsi="Arial"/>
          <w:sz w:val="15"/>
          <w:szCs w:val="15"/>
          <w:color w:val="auto"/>
        </w:rPr>
        <w:t>xiii</w:t>
      </w:r>
      <w:r>
        <w:rPr>
          <w:sz w:val="20"/>
          <w:szCs w:val="20"/>
          <w:color w:val="auto"/>
        </w:rPr>
        <w:tab/>
      </w:r>
      <w:r>
        <w:rPr>
          <w:rFonts w:ascii="Arial" w:cs="Arial" w:eastAsia="Arial" w:hAnsi="Arial"/>
          <w:sz w:val="18"/>
          <w:szCs w:val="18"/>
          <w:color w:val="auto"/>
        </w:rPr>
        <w:t>Revise as appropriate to refer to any successor [</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Lien Agent.</w:t>
      </w:r>
    </w:p>
    <w:p>
      <w:pPr>
        <w:spacing w:after="0" w:line="9" w:lineRule="exact"/>
        <w:rPr>
          <w:sz w:val="20"/>
          <w:szCs w:val="20"/>
          <w:color w:val="auto"/>
        </w:rPr>
      </w:pPr>
    </w:p>
    <w:p>
      <w:pPr>
        <w:ind w:left="580" w:right="220" w:hanging="572"/>
        <w:spacing w:after="0" w:line="250" w:lineRule="auto"/>
        <w:tabs>
          <w:tab w:leader="none" w:pos="580" w:val="left"/>
        </w:tabs>
        <w:numPr>
          <w:ilvl w:val="0"/>
          <w:numId w:val="571"/>
        </w:numPr>
        <w:rPr>
          <w:rFonts w:ascii="Arial" w:cs="Arial" w:eastAsia="Arial" w:hAnsi="Arial"/>
          <w:sz w:val="15"/>
          <w:szCs w:val="15"/>
          <w:color w:val="auto"/>
        </w:rPr>
      </w:pPr>
      <w:r>
        <w:rPr>
          <w:rFonts w:ascii="Arial" w:cs="Arial" w:eastAsia="Arial" w:hAnsi="Arial"/>
          <w:sz w:val="18"/>
          <w:szCs w:val="18"/>
          <w:color w:val="auto"/>
        </w:rPr>
        <w:t>Revise as appropriate to describe predecessor Original First Lien Agent or Original First Lien Secured Parties, if joinder is for a new Original First Lien Credit Agreement.</w:t>
      </w:r>
    </w:p>
    <w:p>
      <w:pPr>
        <w:spacing w:after="0" w:line="1" w:lineRule="exact"/>
        <w:rPr>
          <w:sz w:val="20"/>
          <w:szCs w:val="20"/>
          <w:color w:val="auto"/>
        </w:rPr>
      </w:pPr>
    </w:p>
    <w:p>
      <w:pPr>
        <w:spacing w:after="0"/>
        <w:tabs>
          <w:tab w:leader="none" w:pos="560" w:val="left"/>
          <w:tab w:leader="none" w:pos="4300" w:val="left"/>
          <w:tab w:leader="none" w:pos="7140" w:val="left"/>
        </w:tabs>
        <w:rPr>
          <w:sz w:val="20"/>
          <w:szCs w:val="20"/>
          <w:color w:val="auto"/>
        </w:rPr>
      </w:pPr>
      <w:r>
        <w:rPr>
          <w:rFonts w:ascii="Arial" w:cs="Arial" w:eastAsia="Arial" w:hAnsi="Arial"/>
          <w:sz w:val="15"/>
          <w:szCs w:val="15"/>
          <w:color w:val="auto"/>
        </w:rPr>
        <w:t>xv</w:t>
      </w:r>
      <w:r>
        <w:rPr>
          <w:sz w:val="20"/>
          <w:szCs w:val="20"/>
          <w:color w:val="auto"/>
        </w:rPr>
        <w:tab/>
      </w:r>
      <w:r>
        <w:rPr>
          <w:rFonts w:ascii="Arial" w:cs="Arial" w:eastAsia="Arial" w:hAnsi="Arial"/>
          <w:sz w:val="18"/>
          <w:szCs w:val="18"/>
          <w:color w:val="auto"/>
        </w:rPr>
        <w:t>Revise as appropriate to describe predecessor [</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i</w:t>
      </w:r>
      <w:r>
        <w:rPr>
          <w:rFonts w:ascii="Arial" w:cs="Arial" w:eastAsia="Arial" w:hAnsi="Arial"/>
          <w:sz w:val="18"/>
          <w:szCs w:val="18"/>
          <w:color w:val="auto"/>
        </w:rPr>
        <w:t xml:space="preserve"> [First/Second]</w:t>
      </w:r>
      <w:r>
        <w:rPr>
          <w:rFonts w:ascii="Arial" w:cs="Arial" w:eastAsia="Arial" w:hAnsi="Arial"/>
          <w:sz w:val="15"/>
          <w:szCs w:val="15"/>
          <w:color w:val="auto"/>
        </w:rPr>
        <w:t>ii</w:t>
      </w:r>
      <w:r>
        <w:rPr>
          <w:rFonts w:ascii="Arial" w:cs="Arial" w:eastAsia="Arial" w:hAnsi="Arial"/>
          <w:sz w:val="18"/>
          <w:szCs w:val="18"/>
          <w:color w:val="auto"/>
        </w:rPr>
        <w:t>] Lien Agent or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i</w:t>
      </w:r>
      <w:r>
        <w:rPr>
          <w:rFonts w:ascii="Arial" w:cs="Arial" w:eastAsia="Arial" w:hAnsi="Arial"/>
          <w:sz w:val="16"/>
          <w:szCs w:val="16"/>
          <w:color w:val="auto"/>
        </w:rPr>
        <w:t xml:space="preserve"> [First/Second]</w:t>
      </w:r>
      <w:r>
        <w:rPr>
          <w:rFonts w:ascii="Arial" w:cs="Arial" w:eastAsia="Arial" w:hAnsi="Arial"/>
          <w:sz w:val="13"/>
          <w:szCs w:val="13"/>
          <w:color w:val="auto"/>
        </w:rPr>
        <w:t>ii</w:t>
      </w:r>
      <w:r>
        <w:rPr>
          <w:rFonts w:ascii="Arial" w:cs="Arial" w:eastAsia="Arial" w:hAnsi="Arial"/>
          <w:sz w:val="16"/>
          <w:szCs w:val="16"/>
          <w:color w:val="auto"/>
        </w:rPr>
        <w:t>] Lien Secured Parties, if joinder is for a</w:t>
      </w:r>
    </w:p>
    <w:p>
      <w:pPr>
        <w:spacing w:after="0" w:line="10" w:lineRule="exact"/>
        <w:rPr>
          <w:sz w:val="20"/>
          <w:szCs w:val="20"/>
          <w:color w:val="auto"/>
        </w:rPr>
      </w:pPr>
    </w:p>
    <w:p>
      <w:pPr>
        <w:ind w:left="580"/>
        <w:spacing w:after="0"/>
        <w:tabs>
          <w:tab w:leader="none" w:pos="1320" w:val="left"/>
        </w:tabs>
        <w:rPr>
          <w:sz w:val="20"/>
          <w:szCs w:val="20"/>
          <w:color w:val="auto"/>
        </w:rPr>
      </w:pPr>
      <w:r>
        <w:rPr>
          <w:rFonts w:ascii="Arial" w:cs="Arial" w:eastAsia="Arial" w:hAnsi="Arial"/>
          <w:sz w:val="18"/>
          <w:szCs w:val="18"/>
          <w:color w:val="auto"/>
        </w:rPr>
        <w:t>new [</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i</w:t>
      </w:r>
      <w:r>
        <w:rPr>
          <w:rFonts w:ascii="Arial" w:cs="Arial" w:eastAsia="Arial" w:hAnsi="Arial"/>
          <w:sz w:val="17"/>
          <w:szCs w:val="17"/>
          <w:color w:val="auto"/>
        </w:rPr>
        <w:t xml:space="preserve"> [First/Second]</w:t>
      </w:r>
      <w:r>
        <w:rPr>
          <w:rFonts w:ascii="Arial" w:cs="Arial" w:eastAsia="Arial" w:hAnsi="Arial"/>
          <w:sz w:val="14"/>
          <w:szCs w:val="14"/>
          <w:color w:val="auto"/>
        </w:rPr>
        <w:t>ii</w:t>
      </w:r>
      <w:r>
        <w:rPr>
          <w:rFonts w:ascii="Arial" w:cs="Arial" w:eastAsia="Arial" w:hAnsi="Arial"/>
          <w:sz w:val="17"/>
          <w:szCs w:val="17"/>
          <w:color w:val="auto"/>
        </w:rPr>
        <w:t>] Lien Credit Agreement.</w:t>
      </w:r>
    </w:p>
    <w:p>
      <w:pPr>
        <w:spacing w:after="0" w:line="8" w:lineRule="exact"/>
        <w:rPr>
          <w:sz w:val="20"/>
          <w:szCs w:val="20"/>
          <w:color w:val="auto"/>
        </w:rPr>
      </w:pPr>
    </w:p>
    <w:p>
      <w:pPr>
        <w:ind w:left="580" w:hanging="572"/>
        <w:spacing w:after="0"/>
        <w:tabs>
          <w:tab w:leader="none" w:pos="580" w:val="left"/>
        </w:tabs>
        <w:numPr>
          <w:ilvl w:val="0"/>
          <w:numId w:val="572"/>
        </w:numPr>
        <w:rPr>
          <w:rFonts w:ascii="Arial" w:cs="Arial" w:eastAsia="Arial" w:hAnsi="Arial"/>
          <w:sz w:val="15"/>
          <w:szCs w:val="15"/>
          <w:color w:val="auto"/>
        </w:rPr>
      </w:pPr>
      <w:r>
        <w:rPr>
          <w:rFonts w:ascii="Arial" w:cs="Arial" w:eastAsia="Arial" w:hAnsi="Arial"/>
          <w:sz w:val="18"/>
          <w:szCs w:val="18"/>
          <w:color w:val="auto"/>
        </w:rPr>
        <w:t>Revise as appropriate to refer to the new credit facility, Secured Parties and Agents.</w:t>
      </w:r>
    </w:p>
    <w:p>
      <w:pPr>
        <w:spacing w:after="0" w:line="10" w:lineRule="exact"/>
        <w:rPr>
          <w:rFonts w:ascii="Arial" w:cs="Arial" w:eastAsia="Arial" w:hAnsi="Arial"/>
          <w:sz w:val="15"/>
          <w:szCs w:val="15"/>
          <w:color w:val="auto"/>
        </w:rPr>
      </w:pPr>
    </w:p>
    <w:p>
      <w:pPr>
        <w:ind w:left="580" w:hanging="572"/>
        <w:spacing w:after="0"/>
        <w:tabs>
          <w:tab w:leader="none" w:pos="580" w:val="left"/>
        </w:tabs>
        <w:numPr>
          <w:ilvl w:val="0"/>
          <w:numId w:val="572"/>
        </w:numPr>
        <w:rPr>
          <w:rFonts w:ascii="Arial" w:cs="Arial" w:eastAsia="Arial" w:hAnsi="Arial"/>
          <w:sz w:val="15"/>
          <w:szCs w:val="15"/>
          <w:color w:val="auto"/>
        </w:rPr>
      </w:pPr>
      <w:r>
        <w:rPr>
          <w:rFonts w:ascii="Arial" w:cs="Arial" w:eastAsia="Arial" w:hAnsi="Arial"/>
          <w:sz w:val="18"/>
          <w:szCs w:val="18"/>
          <w:color w:val="auto"/>
        </w:rPr>
        <w:t>Revise as appropriate to refer to any Agent being added hereby and any Secured Parties represented thereby.</w:t>
      </w:r>
    </w:p>
    <w:p>
      <w:pPr>
        <w:spacing w:after="0" w:line="9" w:lineRule="exact"/>
        <w:rPr>
          <w:rFonts w:ascii="Arial" w:cs="Arial" w:eastAsia="Arial" w:hAnsi="Arial"/>
          <w:sz w:val="15"/>
          <w:szCs w:val="15"/>
          <w:color w:val="auto"/>
        </w:rPr>
      </w:pPr>
    </w:p>
    <w:p>
      <w:pPr>
        <w:ind w:left="580" w:hanging="572"/>
        <w:spacing w:after="0"/>
        <w:tabs>
          <w:tab w:leader="none" w:pos="580" w:val="left"/>
        </w:tabs>
        <w:numPr>
          <w:ilvl w:val="0"/>
          <w:numId w:val="572"/>
        </w:numPr>
        <w:rPr>
          <w:rFonts w:ascii="Arial" w:cs="Arial" w:eastAsia="Arial" w:hAnsi="Arial"/>
          <w:sz w:val="15"/>
          <w:szCs w:val="15"/>
          <w:color w:val="auto"/>
        </w:rPr>
      </w:pPr>
      <w:r>
        <w:rPr>
          <w:rFonts w:ascii="Arial" w:cs="Arial" w:eastAsia="Arial" w:hAnsi="Arial"/>
          <w:sz w:val="18"/>
          <w:szCs w:val="18"/>
          <w:color w:val="auto"/>
        </w:rPr>
        <w:t>Revise references throughout as appropriate to refer to the party or parties being added.</w:t>
      </w:r>
    </w:p>
    <w:p>
      <w:pPr>
        <w:sectPr>
          <w:pgSz w:w="11900" w:h="16838" w:orient="portrait"/>
          <w:cols w:equalWidth="0" w:num="1">
            <w:col w:w="11360"/>
          </w:cols>
          <w:pgMar w:left="240" w:top="273" w:right="299" w:bottom="1440" w:gutter="0" w:footer="0" w:header="0"/>
        </w:sectPr>
      </w:pPr>
    </w:p>
    <w:bookmarkStart w:id="516" w:name="page517"/>
    <w:bookmarkEnd w:id="516"/>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AGREEMENT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03735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Boeing Model 737 MAX Aircraft</w:t>
      </w:r>
    </w:p>
    <w:p>
      <w:pPr>
        <w:spacing w:after="0" w:line="22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This SUPPLEMENTAL AGREEMENT No. 4 (</w:t>
      </w:r>
      <w:r>
        <w:rPr>
          <w:rFonts w:ascii="Arial" w:cs="Arial" w:eastAsia="Arial" w:hAnsi="Arial"/>
          <w:sz w:val="18"/>
          <w:szCs w:val="18"/>
          <w:b w:val="1"/>
          <w:bCs w:val="1"/>
          <w:i w:val="1"/>
          <w:iCs w:val="1"/>
          <w:color w:val="auto"/>
        </w:rPr>
        <w:t>SA-4</w:t>
      </w:r>
      <w:r>
        <w:rPr>
          <w:rFonts w:ascii="Arial" w:cs="Arial" w:eastAsia="Arial" w:hAnsi="Arial"/>
          <w:sz w:val="18"/>
          <w:szCs w:val="18"/>
          <w:i w:val="1"/>
          <w:iCs w:val="1"/>
          <w:color w:val="auto"/>
        </w:rPr>
        <w:t>)</w:t>
      </w:r>
      <w:r>
        <w:rPr>
          <w:rFonts w:ascii="Arial" w:cs="Arial" w:eastAsia="Arial" w:hAnsi="Arial"/>
          <w:sz w:val="18"/>
          <w:szCs w:val="18"/>
          <w:color w:val="auto"/>
        </w:rPr>
        <w:t>, entered into as of June 6, 2016 (</w:t>
      </w:r>
      <w:r>
        <w:rPr>
          <w:rFonts w:ascii="Arial" w:cs="Arial" w:eastAsia="Arial" w:hAnsi="Arial"/>
          <w:sz w:val="18"/>
          <w:szCs w:val="18"/>
          <w:b w:val="1"/>
          <w:bCs w:val="1"/>
          <w:i w:val="1"/>
          <w:iCs w:val="1"/>
          <w:color w:val="auto"/>
        </w:rPr>
        <w:t>SA-4 Effective Date</w:t>
      </w:r>
      <w:r>
        <w:rPr>
          <w:rFonts w:ascii="Arial" w:cs="Arial" w:eastAsia="Arial" w:hAnsi="Arial"/>
          <w:sz w:val="18"/>
          <w:szCs w:val="18"/>
          <w:color w:val="auto"/>
        </w:rPr>
        <w:t>), by and between THE BOEING COMPANY, a Delaware corporation with offices in Washington state (</w:t>
      </w:r>
      <w:r>
        <w:rPr>
          <w:rFonts w:ascii="Arial" w:cs="Arial" w:eastAsia="Arial" w:hAnsi="Arial"/>
          <w:sz w:val="18"/>
          <w:szCs w:val="18"/>
          <w:b w:val="1"/>
          <w:bCs w:val="1"/>
          <w:i w:val="1"/>
          <w:iCs w:val="1"/>
          <w:color w:val="auto"/>
        </w:rPr>
        <w:t>Boeing</w:t>
      </w:r>
      <w:r>
        <w:rPr>
          <w:rFonts w:ascii="Arial" w:cs="Arial" w:eastAsia="Arial" w:hAnsi="Arial"/>
          <w:sz w:val="18"/>
          <w:szCs w:val="18"/>
          <w:color w:val="auto"/>
        </w:rPr>
        <w:t>) and AMERICAN AIRLINES, INC. a Delaware corporation with offices in Fort Worth, Texas, together with its successors and permitted assigns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WHEREAS, Boeing and Customer entered into Purchase Agreement No. 03735 dated February 1, 2013 relating to Boeing Model 737 MAX Aircraft, as amended and supplemented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and capitalized terms used herein without definitions shall have the meanings specified therefore in such Purchase Agreement;</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Customer and Boeing desire to amend that certain Table 1R1 to change the Nominal Delivery Month to the Scheduled Delivery Month for [*CTR];</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WHEREAS, Customer and Boeing desire to replace that certain Supplemental Exhibit CS1 entitled “</w:t>
      </w:r>
      <w:r>
        <w:rPr>
          <w:rFonts w:ascii="Arial" w:cs="Arial" w:eastAsia="Arial" w:hAnsi="Arial"/>
          <w:sz w:val="18"/>
          <w:szCs w:val="18"/>
          <w:u w:val="single" w:color="auto"/>
          <w:color w:val="auto"/>
        </w:rPr>
        <w:t>Customer Support Variables</w:t>
      </w:r>
      <w:r>
        <w:rPr>
          <w:rFonts w:ascii="Arial" w:cs="Arial" w:eastAsia="Arial" w:hAnsi="Arial"/>
          <w:sz w:val="18"/>
          <w:szCs w:val="18"/>
          <w:color w:val="auto"/>
        </w:rPr>
        <w:t>” with the similarly titled Supplemental Exhibit CS1R1 [*CTR];</w:t>
      </w:r>
    </w:p>
    <w:p>
      <w:pPr>
        <w:spacing w:after="0" w:line="103"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PA 03735</w:t>
      </w:r>
      <w:r>
        <w:rPr>
          <w:sz w:val="20"/>
          <w:szCs w:val="20"/>
          <w:color w:val="auto"/>
        </w:rPr>
        <w:tab/>
      </w:r>
      <w:r>
        <w:rPr>
          <w:rFonts w:ascii="Arial" w:cs="Arial" w:eastAsia="Arial" w:hAnsi="Arial"/>
          <w:sz w:val="16"/>
          <w:szCs w:val="16"/>
          <w:color w:val="auto"/>
        </w:rPr>
        <w:t>SA-4, Page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517" w:name="page518"/>
    <w:bookmarkEnd w:id="517"/>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Customer and Boeing desire to amend Letter Agreement No. AAL-PA-03735-LA-1106673R1 entitled “</w:t>
      </w:r>
      <w:r>
        <w:rPr>
          <w:rFonts w:ascii="Arial" w:cs="Arial" w:eastAsia="Arial" w:hAnsi="Arial"/>
          <w:sz w:val="18"/>
          <w:szCs w:val="18"/>
          <w:u w:val="single" w:color="auto"/>
          <w:color w:val="auto"/>
        </w:rPr>
        <w:t>CS1 Special Matters</w:t>
      </w:r>
      <w:r>
        <w:rPr>
          <w:rFonts w:ascii="Arial" w:cs="Arial" w:eastAsia="Arial" w:hAnsi="Arial"/>
          <w:sz w:val="18"/>
          <w:szCs w:val="18"/>
          <w:color w:val="auto"/>
        </w:rPr>
        <w:t>” in order to further amend Supplemental Exhibit CS1R1 entitled “</w:t>
      </w:r>
      <w:r>
        <w:rPr>
          <w:rFonts w:ascii="Arial" w:cs="Arial" w:eastAsia="Arial" w:hAnsi="Arial"/>
          <w:sz w:val="18"/>
          <w:szCs w:val="18"/>
          <w:u w:val="single" w:color="auto"/>
          <w:color w:val="auto"/>
        </w:rPr>
        <w:t>Customer Support Variables</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Customer and Boeing previously entered into Letter Agreement No. AAL-PA-03735-LA-1600073 entitled “[*CTR</w:t>
      </w:r>
      <w:r>
        <w:rPr>
          <w:rFonts w:ascii="Arial" w:cs="Arial" w:eastAsia="Arial" w:hAnsi="Arial"/>
          <w:sz w:val="18"/>
          <w:szCs w:val="18"/>
          <w:u w:val="single" w:color="auto"/>
          <w:color w:val="auto"/>
        </w:rPr>
        <w:t>]</w:t>
      </w:r>
      <w:r>
        <w:rPr>
          <w:rFonts w:ascii="Arial" w:cs="Arial" w:eastAsia="Arial" w:hAnsi="Arial"/>
          <w:sz w:val="18"/>
          <w:szCs w:val="18"/>
          <w:color w:val="auto"/>
        </w:rPr>
        <w:t>”;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agree that the Purchase Agreement is amended as set forth below and otherwise agree as follows:</w:t>
      </w:r>
    </w:p>
    <w:p>
      <w:pPr>
        <w:spacing w:after="0" w:line="374" w:lineRule="exact"/>
        <w:rPr>
          <w:sz w:val="20"/>
          <w:szCs w:val="20"/>
          <w:color w:val="auto"/>
        </w:rPr>
      </w:pPr>
    </w:p>
    <w:p>
      <w:pPr>
        <w:ind w:left="460" w:hanging="452"/>
        <w:spacing w:after="0"/>
        <w:tabs>
          <w:tab w:leader="none" w:pos="460" w:val="left"/>
        </w:tabs>
        <w:numPr>
          <w:ilvl w:val="0"/>
          <w:numId w:val="573"/>
        </w:numPr>
        <w:rPr>
          <w:rFonts w:ascii="Arial" w:cs="Arial" w:eastAsia="Arial" w:hAnsi="Arial"/>
          <w:sz w:val="18"/>
          <w:szCs w:val="18"/>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Table Of Contents</w:t>
      </w:r>
      <w:r>
        <w:rPr>
          <w:rFonts w:ascii="Arial" w:cs="Arial" w:eastAsia="Arial" w:hAnsi="Arial"/>
          <w:sz w:val="18"/>
          <w:szCs w:val="18"/>
          <w:color w:val="auto"/>
        </w:rPr>
        <w:t>” to the Purchase Agreement referencing SA-3 in the footer is deleted in its entirety and is replaced with the new “</w:t>
      </w:r>
      <w:r>
        <w:rPr>
          <w:rFonts w:ascii="Arial" w:cs="Arial" w:eastAsia="Arial" w:hAnsi="Arial"/>
          <w:sz w:val="18"/>
          <w:szCs w:val="18"/>
          <w:u w:val="single" w:color="auto"/>
          <w:color w:val="auto"/>
        </w:rPr>
        <w:t>Table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Contents</w:t>
      </w:r>
      <w:r>
        <w:rPr>
          <w:rFonts w:ascii="Arial" w:cs="Arial" w:eastAsia="Arial" w:hAnsi="Arial"/>
          <w:sz w:val="18"/>
          <w:szCs w:val="18"/>
          <w:color w:val="auto"/>
        </w:rPr>
        <w:t>” (attached hereto) referencing SA-4 in the footer to reflect changes made to the Purchase Agreement by this SA-4. Such new Table of Contents is hereby incorporated into the Purchase Agreement in replacement of its predecessor.</w:t>
      </w:r>
    </w:p>
    <w:p>
      <w:pPr>
        <w:spacing w:after="0" w:line="330" w:lineRule="exact"/>
        <w:rPr>
          <w:sz w:val="20"/>
          <w:szCs w:val="20"/>
          <w:color w:val="auto"/>
        </w:rPr>
      </w:pPr>
    </w:p>
    <w:p>
      <w:pPr>
        <w:ind w:left="460" w:hanging="452"/>
        <w:spacing w:after="0"/>
        <w:tabs>
          <w:tab w:leader="none" w:pos="460" w:val="left"/>
        </w:tabs>
        <w:numPr>
          <w:ilvl w:val="0"/>
          <w:numId w:val="574"/>
        </w:numPr>
        <w:rPr>
          <w:rFonts w:ascii="Arial" w:cs="Arial" w:eastAsia="Arial" w:hAnsi="Arial"/>
          <w:sz w:val="18"/>
          <w:szCs w:val="18"/>
          <w:color w:val="auto"/>
        </w:rPr>
      </w:pPr>
      <w:r>
        <w:rPr>
          <w:rFonts w:ascii="Arial" w:cs="Arial" w:eastAsia="Arial" w:hAnsi="Arial"/>
          <w:sz w:val="18"/>
          <w:szCs w:val="18"/>
          <w:u w:val="single" w:color="auto"/>
          <w:color w:val="auto"/>
        </w:rPr>
        <w:t>Tables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u w:val="single" w:color="auto"/>
          <w:color w:val="auto"/>
        </w:rPr>
        <w:t>Table 1R1</w:t>
      </w:r>
      <w:r>
        <w:rPr>
          <w:rFonts w:ascii="Arial" w:cs="Arial" w:eastAsia="Arial" w:hAnsi="Arial"/>
          <w:sz w:val="18"/>
          <w:szCs w:val="18"/>
          <w:color w:val="auto"/>
        </w:rPr>
        <w:t>. Table 1R1 entitled “[*CTR</w:t>
      </w:r>
      <w:r>
        <w:rPr>
          <w:rFonts w:ascii="Arial" w:cs="Arial" w:eastAsia="Arial" w:hAnsi="Arial"/>
          <w:sz w:val="18"/>
          <w:szCs w:val="18"/>
          <w:u w:val="single" w:color="auto"/>
          <w:color w:val="auto"/>
        </w:rPr>
        <w:t>] 737-8 Aircraft Delivery, Description, Price and Advance Payments</w:t>
      </w:r>
      <w:r>
        <w:rPr>
          <w:rFonts w:ascii="Arial" w:cs="Arial" w:eastAsia="Arial" w:hAnsi="Arial"/>
          <w:sz w:val="18"/>
          <w:szCs w:val="18"/>
          <w:color w:val="auto"/>
        </w:rPr>
        <w:t>” referencing SA-1 in the footer is deleted in its entirety and replaced with the similarly titled Table 1R2 (attached hereto) referencing SA-4 in the footer and is hereby incorporated into the Purchase Agreement in replacement of its predecessor.</w:t>
      </w:r>
    </w:p>
    <w:p>
      <w:pPr>
        <w:spacing w:after="0" w:line="330" w:lineRule="exact"/>
        <w:rPr>
          <w:sz w:val="20"/>
          <w:szCs w:val="20"/>
          <w:color w:val="auto"/>
        </w:rPr>
      </w:pPr>
    </w:p>
    <w:p>
      <w:pPr>
        <w:ind w:left="460" w:hanging="452"/>
        <w:spacing w:after="0"/>
        <w:tabs>
          <w:tab w:leader="none" w:pos="460" w:val="left"/>
        </w:tabs>
        <w:numPr>
          <w:ilvl w:val="0"/>
          <w:numId w:val="575"/>
        </w:numPr>
        <w:rPr>
          <w:rFonts w:ascii="Arial" w:cs="Arial" w:eastAsia="Arial" w:hAnsi="Arial"/>
          <w:sz w:val="18"/>
          <w:szCs w:val="18"/>
          <w:color w:val="auto"/>
        </w:rPr>
      </w:pPr>
      <w:r>
        <w:rPr>
          <w:rFonts w:ascii="Arial" w:cs="Arial" w:eastAsia="Arial" w:hAnsi="Arial"/>
          <w:sz w:val="18"/>
          <w:szCs w:val="18"/>
          <w:u w:val="single" w:color="auto"/>
          <w:color w:val="auto"/>
        </w:rPr>
        <w:t>Supplemental Exhibit</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Supplemental Exhibit CS1 entitled “</w:t>
      </w:r>
      <w:r>
        <w:rPr>
          <w:rFonts w:ascii="Arial" w:cs="Arial" w:eastAsia="Arial" w:hAnsi="Arial"/>
          <w:sz w:val="18"/>
          <w:szCs w:val="18"/>
          <w:u w:val="single" w:color="auto"/>
          <w:color w:val="auto"/>
        </w:rPr>
        <w:t>Customer Support Variables</w:t>
      </w:r>
      <w:r>
        <w:rPr>
          <w:rFonts w:ascii="Arial" w:cs="Arial" w:eastAsia="Arial" w:hAnsi="Arial"/>
          <w:sz w:val="18"/>
          <w:szCs w:val="18"/>
          <w:color w:val="auto"/>
        </w:rPr>
        <w:t>” is deleted in its entirety and replaced with the similarly titled Supplemental Exhibit CS1R1 (attached hereto) referencing SA-4 in the footer (</w:t>
      </w:r>
      <w:r>
        <w:rPr>
          <w:rFonts w:ascii="Arial" w:cs="Arial" w:eastAsia="Arial" w:hAnsi="Arial"/>
          <w:sz w:val="18"/>
          <w:szCs w:val="18"/>
          <w:b w:val="1"/>
          <w:bCs w:val="1"/>
          <w:i w:val="1"/>
          <w:iCs w:val="1"/>
          <w:color w:val="auto"/>
        </w:rPr>
        <w:t>Revised Supplemental Exhibit</w:t>
      </w:r>
      <w:r>
        <w:rPr>
          <w:rFonts w:ascii="Arial" w:cs="Arial" w:eastAsia="Arial" w:hAnsi="Arial"/>
          <w:sz w:val="18"/>
          <w:szCs w:val="18"/>
          <w:color w:val="auto"/>
        </w:rPr>
        <w:t>). The Revised Supplemental Exhibit is hereby incorporated into the Purchase Agreement in replacement of its predecessor.</w:t>
      </w:r>
    </w:p>
    <w:p>
      <w:pPr>
        <w:spacing w:after="0" w:line="330" w:lineRule="exact"/>
        <w:rPr>
          <w:sz w:val="20"/>
          <w:szCs w:val="20"/>
          <w:color w:val="auto"/>
        </w:rPr>
      </w:pPr>
    </w:p>
    <w:p>
      <w:pPr>
        <w:ind w:left="460" w:hanging="452"/>
        <w:spacing w:after="0"/>
        <w:tabs>
          <w:tab w:leader="none" w:pos="460" w:val="left"/>
        </w:tabs>
        <w:numPr>
          <w:ilvl w:val="0"/>
          <w:numId w:val="576"/>
        </w:numPr>
        <w:rPr>
          <w:rFonts w:ascii="Arial" w:cs="Arial" w:eastAsia="Arial" w:hAnsi="Arial"/>
          <w:sz w:val="18"/>
          <w:szCs w:val="18"/>
          <w:color w:val="auto"/>
        </w:rPr>
      </w:pPr>
      <w:r>
        <w:rPr>
          <w:rFonts w:ascii="Arial" w:cs="Arial" w:eastAsia="Arial" w:hAnsi="Arial"/>
          <w:sz w:val="18"/>
          <w:szCs w:val="18"/>
          <w:u w:val="single" w:color="auto"/>
          <w:color w:val="auto"/>
        </w:rPr>
        <w:t>Letter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4.1 Letter Agreement No. AAL-PA-03735-LA1106673 entitled “</w:t>
      </w:r>
      <w:r>
        <w:rPr>
          <w:rFonts w:ascii="Arial" w:cs="Arial" w:eastAsia="Arial" w:hAnsi="Arial"/>
          <w:sz w:val="17"/>
          <w:szCs w:val="17"/>
          <w:u w:val="single" w:color="auto"/>
          <w:color w:val="auto"/>
        </w:rPr>
        <w:t>CS1 Matters</w:t>
      </w:r>
      <w:r>
        <w:rPr>
          <w:rFonts w:ascii="Arial" w:cs="Arial" w:eastAsia="Arial" w:hAnsi="Arial"/>
          <w:sz w:val="17"/>
          <w:szCs w:val="17"/>
          <w:color w:val="auto"/>
        </w:rPr>
        <w:t>” is deleted in its entirety and replaced with the similarly titled Letter</w:t>
      </w:r>
    </w:p>
    <w:p>
      <w:pPr>
        <w:spacing w:after="0" w:line="169"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PA 03735</w:t>
      </w:r>
      <w:r>
        <w:rPr>
          <w:sz w:val="20"/>
          <w:szCs w:val="20"/>
          <w:color w:val="auto"/>
        </w:rPr>
        <w:tab/>
      </w:r>
      <w:r>
        <w:rPr>
          <w:rFonts w:ascii="Arial" w:cs="Arial" w:eastAsia="Arial" w:hAnsi="Arial"/>
          <w:sz w:val="16"/>
          <w:szCs w:val="16"/>
          <w:color w:val="auto"/>
        </w:rPr>
        <w:t>SA-4, Page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518" w:name="page519"/>
    <w:bookmarkEnd w:id="518"/>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AAL-PA-03735-LA1106673R1 (attached hereto) referencing SA-4 in the footer (</w:t>
      </w:r>
      <w:r>
        <w:rPr>
          <w:rFonts w:ascii="Arial" w:cs="Arial" w:eastAsia="Arial" w:hAnsi="Arial"/>
          <w:sz w:val="18"/>
          <w:szCs w:val="18"/>
          <w:b w:val="1"/>
          <w:bCs w:val="1"/>
          <w:i w:val="1"/>
          <w:iCs w:val="1"/>
          <w:color w:val="auto"/>
        </w:rPr>
        <w:t>Revised Letter Agreement</w:t>
      </w:r>
      <w:r>
        <w:rPr>
          <w:rFonts w:ascii="Arial" w:cs="Arial" w:eastAsia="Arial" w:hAnsi="Arial"/>
          <w:sz w:val="18"/>
          <w:szCs w:val="18"/>
          <w:color w:val="auto"/>
        </w:rPr>
        <w:t>) to incorporate further revisions to the Revised Supplemental Exhibit into the Purchase Agreement. The Revised Letter Agreement is hereby incorporated into the Purchase Agreement in replacement of its predecessor.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4.2 Letter Agreement No. AAL-PA-03735-LA-1600073 entitled “[*CTR</w:t>
      </w:r>
      <w:r>
        <w:rPr>
          <w:rFonts w:ascii="Arial" w:cs="Arial" w:eastAsia="Arial" w:hAnsi="Arial"/>
          <w:sz w:val="16"/>
          <w:szCs w:val="16"/>
          <w:u w:val="single" w:color="auto"/>
          <w:color w:val="auto"/>
        </w:rPr>
        <w:t>]</w:t>
      </w:r>
      <w:r>
        <w:rPr>
          <w:rFonts w:ascii="Arial" w:cs="Arial" w:eastAsia="Arial" w:hAnsi="Arial"/>
          <w:sz w:val="16"/>
          <w:szCs w:val="16"/>
          <w:color w:val="auto"/>
        </w:rPr>
        <w:t>” was incorporated into the Purchase Agreement effective as of January 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w:t>
      </w:r>
      <w:r>
        <w:rPr>
          <w:rFonts w:ascii="Arial" w:cs="Arial" w:eastAsia="Arial" w:hAnsi="Arial"/>
          <w:sz w:val="18"/>
          <w:szCs w:val="18"/>
          <w:b w:val="1"/>
          <w:bCs w:val="1"/>
          <w:i w:val="1"/>
          <w:iCs w:val="1"/>
          <w:color w:val="auto"/>
        </w:rPr>
        <w:t>New Letter Agreement</w:t>
      </w:r>
      <w:r>
        <w:rPr>
          <w:rFonts w:ascii="Arial" w:cs="Arial" w:eastAsia="Arial" w:hAnsi="Arial"/>
          <w:sz w:val="18"/>
          <w:szCs w:val="18"/>
          <w:color w:val="auto"/>
        </w:rPr>
        <w:t>).</w:t>
      </w:r>
    </w:p>
    <w:p>
      <w:pPr>
        <w:spacing w:after="0" w:line="359" w:lineRule="exact"/>
        <w:rPr>
          <w:sz w:val="20"/>
          <w:szCs w:val="20"/>
          <w:color w:val="auto"/>
        </w:rPr>
      </w:pPr>
    </w:p>
    <w:p>
      <w:pPr>
        <w:ind w:left="460" w:hanging="452"/>
        <w:spacing w:after="0"/>
        <w:tabs>
          <w:tab w:leader="none" w:pos="460"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Aircraft Data and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5.1 Boeing agrees to [*CTR].</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5.2 Boeing agrees to provide to Customer, [*CTR].</w:t>
      </w:r>
    </w:p>
    <w:p>
      <w:pPr>
        <w:spacing w:after="0" w:line="374" w:lineRule="exact"/>
        <w:rPr>
          <w:sz w:val="20"/>
          <w:szCs w:val="20"/>
          <w:color w:val="auto"/>
        </w:rPr>
      </w:pPr>
    </w:p>
    <w:p>
      <w:pPr>
        <w:ind w:left="460" w:hanging="452"/>
        <w:spacing w:after="0"/>
        <w:tabs>
          <w:tab w:leader="none" w:pos="460" w:val="left"/>
        </w:tabs>
        <w:numPr>
          <w:ilvl w:val="0"/>
          <w:numId w:val="57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6.1 The Purchase Agreement is amended as set forth above, by the revised Table of Contents, Table 1R2, the Revised Supplemental Exhibit, the Revised Letter Agreement, and the New Letter Agreement. All other terms and conditions of the Purchase Agreement remain unchanged and are in full force and effect.</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6.2 References in the Purchase Agreement and any supplemental agreements and associated letter agreements to Table 1 or Table 1R1 are deemed to refer to Table 1R2.</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6.3 References in the Purchase Agreement and any supplemental agreements and associated letter agreements to Supplemental Exhibit CS1 are deemed to refer to Supplemental Exhibit CS1R1.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[This space intentionally left blank]</w:t>
      </w:r>
    </w:p>
    <w:p>
      <w:pPr>
        <w:spacing w:after="0" w:line="158"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PA 03735</w:t>
      </w:r>
      <w:r>
        <w:rPr>
          <w:sz w:val="20"/>
          <w:szCs w:val="20"/>
          <w:color w:val="auto"/>
        </w:rPr>
        <w:tab/>
      </w:r>
      <w:r>
        <w:rPr>
          <w:rFonts w:ascii="Arial" w:cs="Arial" w:eastAsia="Arial" w:hAnsi="Arial"/>
          <w:sz w:val="16"/>
          <w:szCs w:val="16"/>
          <w:color w:val="auto"/>
        </w:rPr>
        <w:t>SA-4, Page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519" w:name="page520"/>
    <w:bookmarkEnd w:id="5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AND ACCEPTED this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THE BOEING COMPANY</w:t>
      </w:r>
      <w:r>
        <w:rPr>
          <w:sz w:val="20"/>
          <w:szCs w:val="20"/>
          <w:color w:val="auto"/>
        </w:rPr>
        <w:tab/>
      </w:r>
      <w:r>
        <w:rPr>
          <w:rFonts w:ascii="Arial" w:cs="Arial" w:eastAsia="Arial" w:hAnsi="Arial"/>
          <w:sz w:val="18"/>
          <w:szCs w:val="18"/>
          <w:b w:val="1"/>
          <w:bCs w:val="1"/>
          <w:color w:val="auto"/>
        </w:rPr>
        <w:t>AMERICAN AIRLINES, INC.</w:t>
      </w:r>
    </w:p>
    <w:p>
      <w:pPr>
        <w:sectPr>
          <w:pgSz w:w="11900" w:h="16838" w:orient="portrait"/>
          <w:cols w:equalWidth="0" w:num="1">
            <w:col w:w="11420"/>
          </w:cols>
          <w:pgMar w:left="240" w:top="27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1312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 03735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SA-4, Page 4</w:t>
      </w:r>
    </w:p>
    <w:p>
      <w:pPr>
        <w:spacing w:after="0" w:line="23"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bookmarkStart w:id="520" w:name="page521"/>
    <w:bookmarkEnd w:id="520"/>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00" w:type="dxa"/>
            <w:vAlign w:val="bottom"/>
          </w:tcPr>
          <w:p>
            <w:pPr>
              <w:jc w:val="center"/>
              <w:ind w:right="101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ARTICLES</w:t>
            </w:r>
          </w:p>
        </w:tc>
        <w:tc>
          <w:tcPr>
            <w:tcW w:w="64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SA</w:t>
            </w:r>
          </w:p>
        </w:tc>
        <w:tc>
          <w:tcPr>
            <w:tcW w:w="0" w:type="dxa"/>
            <w:vAlign w:val="bottom"/>
          </w:tcPr>
          <w:p>
            <w:pPr>
              <w:spacing w:after="0"/>
              <w:rPr>
                <w:sz w:val="1"/>
                <w:szCs w:val="1"/>
                <w:color w:val="auto"/>
              </w:rPr>
            </w:pPr>
          </w:p>
        </w:tc>
      </w:tr>
      <w:tr>
        <w:trPr>
          <w:trHeight w:val="191"/>
        </w:trPr>
        <w:tc>
          <w:tcPr>
            <w:tcW w:w="760" w:type="dxa"/>
            <w:vAlign w:val="bottom"/>
            <w:tcBorders>
              <w:bottom w:val="single" w:sz="8" w:color="auto"/>
            </w:tcBorders>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83"/>
        </w:trPr>
        <w:tc>
          <w:tcPr>
            <w:tcW w:w="1400" w:type="dxa"/>
            <w:vAlign w:val="bottom"/>
            <w:gridSpan w:val="4"/>
          </w:tcPr>
          <w:p>
            <w:pPr>
              <w:jc w:val="center"/>
              <w:ind w:left="33"/>
              <w:spacing w:after="0"/>
              <w:rPr>
                <w:sz w:val="20"/>
                <w:szCs w:val="20"/>
                <w:color w:val="auto"/>
              </w:rPr>
            </w:pPr>
            <w:r>
              <w:rPr>
                <w:rFonts w:ascii="Arial" w:cs="Arial" w:eastAsia="Arial" w:hAnsi="Arial"/>
                <w:sz w:val="18"/>
                <w:szCs w:val="18"/>
                <w:color w:val="auto"/>
                <w:w w:val="97"/>
              </w:rPr>
              <w:t>Article 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Quantity, Model and Description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jc w:val="center"/>
              <w:ind w:left="33"/>
              <w:spacing w:after="0"/>
              <w:rPr>
                <w:sz w:val="20"/>
                <w:szCs w:val="20"/>
                <w:color w:val="auto"/>
              </w:rPr>
            </w:pPr>
            <w:r>
              <w:rPr>
                <w:rFonts w:ascii="Arial" w:cs="Arial" w:eastAsia="Arial" w:hAnsi="Arial"/>
                <w:sz w:val="18"/>
                <w:szCs w:val="18"/>
                <w:color w:val="auto"/>
                <w:w w:val="97"/>
              </w:rPr>
              <w:t>Article 2.</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Delivery Schedule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jc w:val="center"/>
              <w:ind w:left="33"/>
              <w:spacing w:after="0"/>
              <w:rPr>
                <w:sz w:val="20"/>
                <w:szCs w:val="20"/>
                <w:color w:val="auto"/>
              </w:rPr>
            </w:pPr>
            <w:r>
              <w:rPr>
                <w:rFonts w:ascii="Arial" w:cs="Arial" w:eastAsia="Arial" w:hAnsi="Arial"/>
                <w:sz w:val="18"/>
                <w:szCs w:val="18"/>
                <w:color w:val="auto"/>
                <w:w w:val="97"/>
              </w:rPr>
              <w:t>Article 3.</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Price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jc w:val="center"/>
              <w:ind w:left="33"/>
              <w:spacing w:after="0"/>
              <w:rPr>
                <w:sz w:val="20"/>
                <w:szCs w:val="20"/>
                <w:color w:val="auto"/>
              </w:rPr>
            </w:pPr>
            <w:r>
              <w:rPr>
                <w:rFonts w:ascii="Arial" w:cs="Arial" w:eastAsia="Arial" w:hAnsi="Arial"/>
                <w:sz w:val="18"/>
                <w:szCs w:val="18"/>
                <w:color w:val="auto"/>
                <w:w w:val="97"/>
              </w:rPr>
              <w:t>Article 4.</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Payment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jc w:val="center"/>
              <w:ind w:left="33"/>
              <w:spacing w:after="0"/>
              <w:rPr>
                <w:sz w:val="20"/>
                <w:szCs w:val="20"/>
                <w:color w:val="auto"/>
              </w:rPr>
            </w:pPr>
            <w:r>
              <w:rPr>
                <w:rFonts w:ascii="Arial" w:cs="Arial" w:eastAsia="Arial" w:hAnsi="Arial"/>
                <w:sz w:val="18"/>
                <w:szCs w:val="18"/>
                <w:color w:val="auto"/>
                <w:w w:val="97"/>
              </w:rPr>
              <w:t>Article 5.</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Additional Terms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gridSpan w:val="4"/>
          </w:tcPr>
          <w:p>
            <w:pPr>
              <w:jc w:val="center"/>
              <w:ind w:left="33"/>
              <w:spacing w:after="0"/>
              <w:rPr>
                <w:sz w:val="20"/>
                <w:szCs w:val="20"/>
                <w:color w:val="auto"/>
              </w:rPr>
            </w:pPr>
            <w:r>
              <w:rPr>
                <w:rFonts w:ascii="Arial" w:cs="Arial" w:eastAsia="Arial" w:hAnsi="Arial"/>
                <w:sz w:val="18"/>
                <w:szCs w:val="18"/>
                <w:color w:val="auto"/>
                <w:w w:val="97"/>
              </w:rPr>
              <w:t>Article 6.</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Confidentiality</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TABLE</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spacing w:after="0"/>
              <w:rPr>
                <w:sz w:val="24"/>
                <w:szCs w:val="24"/>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1R2.</w:t>
            </w:r>
          </w:p>
        </w:tc>
        <w:tc>
          <w:tcPr>
            <w:tcW w:w="9220" w:type="dxa"/>
            <w:vAlign w:val="bottom"/>
            <w:gridSpan w:val="3"/>
          </w:tcPr>
          <w:p>
            <w:pPr>
              <w:ind w:left="220"/>
              <w:spacing w:after="0"/>
              <w:rPr>
                <w:sz w:val="20"/>
                <w:szCs w:val="20"/>
                <w:color w:val="auto"/>
              </w:rPr>
            </w:pPr>
            <w:r>
              <w:rPr>
                <w:rFonts w:ascii="Arial" w:cs="Arial" w:eastAsia="Arial" w:hAnsi="Arial"/>
                <w:sz w:val="18"/>
                <w:szCs w:val="18"/>
                <w:b w:val="1"/>
                <w:bCs w:val="1"/>
                <w:color w:val="auto"/>
              </w:rPr>
              <w:t>Aircraft Information Table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365"/>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EXHIBITS</w:t>
            </w:r>
          </w:p>
        </w:tc>
        <w:tc>
          <w:tcPr>
            <w:tcW w:w="6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8"/>
                <w:szCs w:val="18"/>
                <w:color w:val="auto"/>
              </w:rPr>
              <w:t>A.</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Aircraft Configuration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8"/>
                <w:szCs w:val="18"/>
                <w:color w:val="auto"/>
              </w:rPr>
              <w:t>B.</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Aircraft Delivery Requirements and Responsibilities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C.</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Definitions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9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SUPPLEMENTAL EXHIBITS</w:t>
            </w:r>
          </w:p>
        </w:tc>
        <w:tc>
          <w:tcPr>
            <w:tcW w:w="8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8"/>
                <w:szCs w:val="18"/>
                <w:color w:val="auto"/>
                <w:w w:val="97"/>
              </w:rPr>
              <w:t>AE1.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BFE1.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BFE Variables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gridSpan w:val="4"/>
          </w:tcPr>
          <w:p>
            <w:pPr>
              <w:jc w:val="center"/>
              <w:ind w:left="13"/>
              <w:spacing w:after="0"/>
              <w:rPr>
                <w:sz w:val="20"/>
                <w:szCs w:val="20"/>
                <w:color w:val="auto"/>
              </w:rPr>
            </w:pPr>
            <w:r>
              <w:rPr>
                <w:rFonts w:ascii="Arial" w:cs="Arial" w:eastAsia="Arial" w:hAnsi="Arial"/>
                <w:sz w:val="18"/>
                <w:szCs w:val="18"/>
                <w:b w:val="1"/>
                <w:bCs w:val="1"/>
                <w:color w:val="auto"/>
                <w:w w:val="91"/>
              </w:rPr>
              <w:t>CS1R1.</w:t>
            </w:r>
          </w:p>
        </w:tc>
        <w:tc>
          <w:tcPr>
            <w:tcW w:w="9220" w:type="dxa"/>
            <w:vAlign w:val="bottom"/>
            <w:gridSpan w:val="3"/>
          </w:tcPr>
          <w:p>
            <w:pPr>
              <w:ind w:left="220"/>
              <w:spacing w:after="0"/>
              <w:rPr>
                <w:sz w:val="20"/>
                <w:szCs w:val="20"/>
                <w:color w:val="auto"/>
              </w:rPr>
            </w:pPr>
            <w:r>
              <w:rPr>
                <w:rFonts w:ascii="Arial" w:cs="Arial" w:eastAsia="Arial" w:hAnsi="Arial"/>
                <w:sz w:val="18"/>
                <w:szCs w:val="18"/>
                <w:b w:val="1"/>
                <w:bCs w:val="1"/>
                <w:color w:val="auto"/>
              </w:rPr>
              <w:t>Customer Support Variables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8"/>
                <w:szCs w:val="18"/>
                <w:color w:val="auto"/>
                <w:w w:val="86"/>
              </w:rPr>
              <w:t>EE1.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SLP1.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LETTER AGREEMENTS</w:t>
            </w:r>
          </w:p>
        </w:tc>
        <w:tc>
          <w:tcPr>
            <w:tcW w:w="89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400" w:type="dxa"/>
            <w:vAlign w:val="bottom"/>
            <w:gridSpan w:val="4"/>
          </w:tcPr>
          <w:p>
            <w:pPr>
              <w:spacing w:after="0"/>
              <w:rPr>
                <w:sz w:val="20"/>
                <w:szCs w:val="20"/>
                <w:color w:val="auto"/>
              </w:rPr>
            </w:pPr>
            <w:r>
              <w:rPr>
                <w:rFonts w:ascii="Arial" w:cs="Arial" w:eastAsia="Arial" w:hAnsi="Arial"/>
                <w:sz w:val="18"/>
                <w:szCs w:val="18"/>
                <w:color w:val="auto"/>
              </w:rPr>
              <w:t>LA-1106648</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Special Matters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LA-1106649</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LA-1106650R2</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LA-1106651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LA-1106652</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Aircraft Model Substitution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LA-1106654</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AGTA Terms Revisions for MAX</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LA-1106655</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Open Matters – 737 MAX</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LA-1106656R1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LA-1106657R1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LA-1106663 R1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LA-1106664 R1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LA-1106658</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4"/>
          </w:tcPr>
          <w:p>
            <w:pPr>
              <w:spacing w:after="0"/>
              <w:rPr>
                <w:sz w:val="20"/>
                <w:szCs w:val="20"/>
                <w:color w:val="auto"/>
              </w:rPr>
            </w:pPr>
            <w:r>
              <w:rPr>
                <w:rFonts w:ascii="Arial" w:cs="Arial" w:eastAsia="Arial" w:hAnsi="Arial"/>
                <w:sz w:val="18"/>
                <w:szCs w:val="18"/>
                <w:color w:val="auto"/>
              </w:rPr>
              <w:t>LA-1106659R1</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[*CTR]</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400" w:type="dxa"/>
            <w:vAlign w:val="bottom"/>
            <w:gridSpan w:val="4"/>
          </w:tcPr>
          <w:p>
            <w:pPr>
              <w:spacing w:after="0"/>
              <w:rPr>
                <w:sz w:val="20"/>
                <w:szCs w:val="20"/>
                <w:color w:val="auto"/>
              </w:rPr>
            </w:pPr>
            <w:r>
              <w:rPr>
                <w:rFonts w:ascii="Arial" w:cs="Arial" w:eastAsia="Arial" w:hAnsi="Arial"/>
                <w:sz w:val="18"/>
                <w:szCs w:val="18"/>
                <w:color w:val="auto"/>
              </w:rPr>
              <w:t>LA-1106660</w:t>
            </w:r>
          </w:p>
        </w:tc>
        <w:tc>
          <w:tcPr>
            <w:tcW w:w="9220" w:type="dxa"/>
            <w:vAlign w:val="bottom"/>
            <w:gridSpan w:val="3"/>
          </w:tcPr>
          <w:p>
            <w:pPr>
              <w:ind w:left="220"/>
              <w:spacing w:after="0"/>
              <w:rPr>
                <w:sz w:val="20"/>
                <w:szCs w:val="20"/>
                <w:color w:val="auto"/>
              </w:rPr>
            </w:pPr>
            <w:r>
              <w:rPr>
                <w:rFonts w:ascii="Arial" w:cs="Arial" w:eastAsia="Arial" w:hAnsi="Arial"/>
                <w:sz w:val="18"/>
                <w:szCs w:val="18"/>
                <w:color w:val="auto"/>
              </w:rPr>
              <w:t>Spare Parts Initial Provisioning</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400" w:type="dxa"/>
            <w:vAlign w:val="bottom"/>
            <w:gridSpan w:val="4"/>
          </w:tcPr>
          <w:p>
            <w:pPr>
              <w:spacing w:after="0"/>
              <w:rPr>
                <w:sz w:val="20"/>
                <w:szCs w:val="20"/>
                <w:color w:val="auto"/>
              </w:rPr>
            </w:pPr>
            <w:r>
              <w:rPr>
                <w:rFonts w:ascii="Arial" w:cs="Arial" w:eastAsia="Arial" w:hAnsi="Arial"/>
                <w:sz w:val="18"/>
                <w:szCs w:val="18"/>
                <w:color w:val="auto"/>
              </w:rPr>
              <w:t>PA-03735</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00" w:type="dxa"/>
            <w:vAlign w:val="bottom"/>
          </w:tcPr>
          <w:p>
            <w:pPr>
              <w:ind w:left="2500"/>
              <w:spacing w:after="0"/>
              <w:rPr>
                <w:sz w:val="20"/>
                <w:szCs w:val="20"/>
                <w:color w:val="auto"/>
              </w:rPr>
            </w:pPr>
            <w:r>
              <w:rPr>
                <w:rFonts w:ascii="Arial" w:cs="Arial" w:eastAsia="Arial" w:hAnsi="Arial"/>
                <w:sz w:val="18"/>
                <w:szCs w:val="18"/>
                <w:color w:val="auto"/>
              </w:rPr>
              <w:t>TABLE OF CONTENTS, Page 1 of 2</w:t>
            </w:r>
          </w:p>
        </w:tc>
        <w:tc>
          <w:tcPr>
            <w:tcW w:w="800" w:type="dxa"/>
            <w:vAlign w:val="bottom"/>
          </w:tcPr>
          <w:p>
            <w:pPr>
              <w:jc w:val="right"/>
              <w:spacing w:after="0"/>
              <w:rPr>
                <w:sz w:val="20"/>
                <w:szCs w:val="20"/>
                <w:color w:val="auto"/>
              </w:rPr>
            </w:pPr>
            <w:r>
              <w:rPr>
                <w:rFonts w:ascii="Arial" w:cs="Arial" w:eastAsia="Arial" w:hAnsi="Arial"/>
                <w:sz w:val="18"/>
                <w:szCs w:val="18"/>
                <w:color w:val="auto"/>
              </w:rPr>
              <w:t>SA-4</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00" w:type="dxa"/>
            <w:vAlign w:val="bottom"/>
          </w:tcPr>
          <w:p>
            <w:pPr>
              <w:jc w:val="center"/>
              <w:ind w:right="1030"/>
              <w:spacing w:after="0"/>
              <w:rPr>
                <w:sz w:val="20"/>
                <w:szCs w:val="20"/>
                <w:color w:val="auto"/>
              </w:rPr>
            </w:pPr>
            <w:r>
              <w:rPr>
                <w:rFonts w:ascii="Arial" w:cs="Arial" w:eastAsia="Arial" w:hAnsi="Arial"/>
                <w:sz w:val="18"/>
                <w:szCs w:val="18"/>
                <w:b w:val="1"/>
                <w:bCs w:val="1"/>
                <w:color w:val="auto"/>
                <w:w w:val="99"/>
              </w:rPr>
              <w:t>BOEING PROPRIETARY</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69" w:right="239"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5"/>
              </w:rPr>
              <w:t>TABLE OF CONTENTS, continued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0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LETTER AGREEMENTS, continued</w:t>
            </w:r>
          </w:p>
        </w:tc>
        <w:tc>
          <w:tcPr>
            <w:tcW w:w="800" w:type="dxa"/>
            <w:vAlign w:val="bottom"/>
          </w:tcPr>
          <w:p>
            <w:pPr>
              <w:jc w:val="right"/>
              <w:ind w:right="215"/>
              <w:spacing w:after="0"/>
              <w:rPr>
                <w:sz w:val="20"/>
                <w:szCs w:val="20"/>
                <w:color w:val="auto"/>
              </w:rPr>
            </w:pPr>
            <w:r>
              <w:rPr>
                <w:rFonts w:ascii="Arial" w:cs="Arial" w:eastAsia="Arial" w:hAnsi="Arial"/>
                <w:sz w:val="14"/>
                <w:szCs w:val="14"/>
                <w:b w:val="1"/>
                <w:bCs w:val="1"/>
                <w:color w:val="auto"/>
              </w:rPr>
              <w:t>SA</w:t>
            </w:r>
          </w:p>
        </w:tc>
        <w:tc>
          <w:tcPr>
            <w:tcW w:w="0" w:type="dxa"/>
            <w:vAlign w:val="bottom"/>
          </w:tcPr>
          <w:p>
            <w:pPr>
              <w:spacing w:after="0"/>
              <w:rPr>
                <w:sz w:val="1"/>
                <w:szCs w:val="1"/>
                <w:color w:val="auto"/>
              </w:rPr>
            </w:pPr>
          </w:p>
        </w:tc>
      </w:tr>
      <w:tr>
        <w:trPr>
          <w:trHeight w:val="178"/>
        </w:trPr>
        <w:tc>
          <w:tcPr>
            <w:tcW w:w="10620" w:type="dxa"/>
            <w:vAlign w:val="bottom"/>
            <w:tcBorders>
              <w:bottom w:val="single" w:sz="8" w:color="auto"/>
            </w:tcBorders>
            <w:gridSpan w:val="3"/>
            <w:vMerge w:val="continue"/>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96"/>
        </w:trPr>
        <w:tc>
          <w:tcPr>
            <w:tcW w:w="1500" w:type="dxa"/>
            <w:vAlign w:val="bottom"/>
          </w:tcPr>
          <w:p>
            <w:pPr>
              <w:spacing w:after="0"/>
              <w:rPr>
                <w:sz w:val="20"/>
                <w:szCs w:val="20"/>
                <w:color w:val="auto"/>
              </w:rPr>
            </w:pPr>
            <w:r>
              <w:rPr>
                <w:rFonts w:ascii="Arial" w:cs="Arial" w:eastAsia="Arial" w:hAnsi="Arial"/>
                <w:sz w:val="18"/>
                <w:szCs w:val="18"/>
                <w:color w:val="auto"/>
              </w:rPr>
              <w:t>LA-1106661R2</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LA-1106667</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LA-1106668</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LA-1106669</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LA-1106670</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Confidentiality</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LA-1106671R1</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Miscellaneous Commitments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1500" w:type="dxa"/>
            <w:vAlign w:val="bottom"/>
          </w:tcPr>
          <w:p>
            <w:pPr>
              <w:spacing w:after="0"/>
              <w:rPr>
                <w:sz w:val="20"/>
                <w:szCs w:val="20"/>
                <w:color w:val="auto"/>
              </w:rPr>
            </w:pPr>
            <w:r>
              <w:rPr>
                <w:rFonts w:ascii="Arial" w:cs="Arial" w:eastAsia="Arial" w:hAnsi="Arial"/>
                <w:sz w:val="18"/>
                <w:szCs w:val="18"/>
                <w:color w:val="auto"/>
              </w:rPr>
              <w:t>LA-1106672</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00" w:type="dxa"/>
            <w:vAlign w:val="bottom"/>
          </w:tcPr>
          <w:p>
            <w:pPr>
              <w:ind w:left="140"/>
              <w:spacing w:after="0"/>
              <w:rPr>
                <w:sz w:val="20"/>
                <w:szCs w:val="20"/>
                <w:color w:val="auto"/>
              </w:rPr>
            </w:pPr>
            <w:r>
              <w:rPr>
                <w:rFonts w:ascii="Arial" w:cs="Arial" w:eastAsia="Arial" w:hAnsi="Arial"/>
                <w:sz w:val="18"/>
                <w:szCs w:val="18"/>
                <w:b w:val="1"/>
                <w:bCs w:val="1"/>
                <w:color w:val="auto"/>
              </w:rPr>
              <w:t>LA-1106673R1*</w:t>
            </w:r>
          </w:p>
        </w:tc>
        <w:tc>
          <w:tcPr>
            <w:tcW w:w="9120" w:type="dxa"/>
            <w:vAlign w:val="bottom"/>
            <w:gridSpan w:val="2"/>
          </w:tcPr>
          <w:p>
            <w:pPr>
              <w:ind w:left="120"/>
              <w:spacing w:after="0"/>
              <w:rPr>
                <w:sz w:val="20"/>
                <w:szCs w:val="20"/>
                <w:color w:val="auto"/>
              </w:rPr>
            </w:pPr>
            <w:r>
              <w:rPr>
                <w:rFonts w:ascii="Arial" w:cs="Arial" w:eastAsia="Arial" w:hAnsi="Arial"/>
                <w:sz w:val="18"/>
                <w:szCs w:val="18"/>
                <w:b w:val="1"/>
                <w:bCs w:val="1"/>
                <w:color w:val="auto"/>
              </w:rPr>
              <w:t>CS1 Special Matters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2"/>
        </w:trPr>
        <w:tc>
          <w:tcPr>
            <w:tcW w:w="1500" w:type="dxa"/>
            <w:vAlign w:val="bottom"/>
          </w:tcPr>
          <w:p>
            <w:pPr>
              <w:spacing w:after="0"/>
              <w:rPr>
                <w:sz w:val="20"/>
                <w:szCs w:val="20"/>
                <w:color w:val="auto"/>
              </w:rPr>
            </w:pPr>
            <w:r>
              <w:rPr>
                <w:rFonts w:ascii="Arial" w:cs="Arial" w:eastAsia="Arial" w:hAnsi="Arial"/>
                <w:sz w:val="18"/>
                <w:szCs w:val="18"/>
                <w:color w:val="auto"/>
              </w:rPr>
              <w:t>LA-1106677</w:t>
            </w:r>
          </w:p>
        </w:tc>
        <w:tc>
          <w:tcPr>
            <w:tcW w:w="912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r>
              <w:rPr>
                <w:rFonts w:ascii="Arial" w:cs="Arial" w:eastAsia="Arial" w:hAnsi="Arial"/>
                <w:sz w:val="18"/>
                <w:szCs w:val="18"/>
                <w:b w:val="1"/>
                <w:bCs w:val="1"/>
                <w:color w:val="auto"/>
              </w:rPr>
              <w:t>LA-1600073</w:t>
            </w:r>
          </w:p>
        </w:tc>
        <w:tc>
          <w:tcPr>
            <w:tcW w:w="9120" w:type="dxa"/>
            <w:vAlign w:val="bottom"/>
            <w:gridSpan w:val="2"/>
          </w:tcPr>
          <w:p>
            <w:pPr>
              <w:ind w:left="120"/>
              <w:spacing w:after="0"/>
              <w:rPr>
                <w:sz w:val="20"/>
                <w:szCs w:val="20"/>
                <w:color w:val="auto"/>
              </w:rPr>
            </w:pPr>
            <w:r>
              <w:rPr>
                <w:rFonts w:ascii="Arial" w:cs="Arial" w:eastAsia="Arial" w:hAnsi="Arial"/>
                <w:sz w:val="18"/>
                <w:szCs w:val="18"/>
                <w:b w:val="1"/>
                <w:bCs w:val="1"/>
                <w:color w:val="auto"/>
              </w:rPr>
              <w:t>[*CTR]</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459"/>
        </w:trPr>
        <w:tc>
          <w:tcPr>
            <w:tcW w:w="11420" w:type="dxa"/>
            <w:vAlign w:val="bottom"/>
            <w:gridSpan w:val="4"/>
          </w:tcPr>
          <w:p>
            <w:pPr>
              <w:spacing w:after="0"/>
              <w:rPr>
                <w:sz w:val="20"/>
                <w:szCs w:val="20"/>
                <w:color w:val="auto"/>
              </w:rPr>
            </w:pPr>
            <w:r>
              <w:rPr>
                <w:rFonts w:ascii="Arial" w:cs="Arial" w:eastAsia="Arial" w:hAnsi="Arial"/>
                <w:sz w:val="18"/>
                <w:szCs w:val="18"/>
                <w:b w:val="1"/>
                <w:bCs w:val="1"/>
                <w:color w:val="auto"/>
                <w:w w:val="96"/>
              </w:rPr>
              <w:t>* -   This is an intended gap as there are no Letter Agreements LA-1106674 through LA-1106676 incorporated by the Purchase Agreement.</w:t>
            </w:r>
          </w:p>
        </w:tc>
        <w:tc>
          <w:tcPr>
            <w:tcW w:w="0" w:type="dxa"/>
            <w:vAlign w:val="bottom"/>
          </w:tcPr>
          <w:p>
            <w:pPr>
              <w:spacing w:after="0"/>
              <w:rPr>
                <w:sz w:val="1"/>
                <w:szCs w:val="1"/>
                <w:color w:val="auto"/>
              </w:rPr>
            </w:pPr>
          </w:p>
        </w:tc>
      </w:tr>
      <w:tr>
        <w:trPr>
          <w:trHeight w:val="346"/>
        </w:trPr>
        <w:tc>
          <w:tcPr>
            <w:tcW w:w="1500" w:type="dxa"/>
            <w:vAlign w:val="bottom"/>
          </w:tcPr>
          <w:p>
            <w:pPr>
              <w:spacing w:after="0"/>
              <w:rPr>
                <w:sz w:val="20"/>
                <w:szCs w:val="20"/>
                <w:color w:val="auto"/>
              </w:rPr>
            </w:pPr>
            <w:r>
              <w:rPr>
                <w:rFonts w:ascii="Arial" w:cs="Arial" w:eastAsia="Arial" w:hAnsi="Arial"/>
                <w:sz w:val="18"/>
                <w:szCs w:val="18"/>
                <w:color w:val="auto"/>
              </w:rPr>
              <w:t>PA-03735</w:t>
            </w:r>
          </w:p>
        </w:tc>
        <w:tc>
          <w:tcPr>
            <w:tcW w:w="840" w:type="dxa"/>
            <w:vAlign w:val="bottom"/>
          </w:tcPr>
          <w:p>
            <w:pPr>
              <w:spacing w:after="0"/>
              <w:rPr>
                <w:sz w:val="24"/>
                <w:szCs w:val="24"/>
                <w:color w:val="auto"/>
              </w:rPr>
            </w:pPr>
          </w:p>
        </w:tc>
        <w:tc>
          <w:tcPr>
            <w:tcW w:w="8280" w:type="dxa"/>
            <w:vAlign w:val="bottom"/>
          </w:tcPr>
          <w:p>
            <w:pPr>
              <w:ind w:left="2080"/>
              <w:spacing w:after="0"/>
              <w:rPr>
                <w:sz w:val="20"/>
                <w:szCs w:val="20"/>
                <w:color w:val="auto"/>
              </w:rPr>
            </w:pPr>
            <w:r>
              <w:rPr>
                <w:rFonts w:ascii="Arial" w:cs="Arial" w:eastAsia="Arial" w:hAnsi="Arial"/>
                <w:sz w:val="18"/>
                <w:szCs w:val="18"/>
                <w:color w:val="auto"/>
              </w:rPr>
              <w:t>TABLE OF CONTENTS, Page 2 of 2</w:t>
            </w:r>
          </w:p>
        </w:tc>
        <w:tc>
          <w:tcPr>
            <w:tcW w:w="800" w:type="dxa"/>
            <w:vAlign w:val="bottom"/>
          </w:tcPr>
          <w:p>
            <w:pPr>
              <w:jc w:val="right"/>
              <w:spacing w:after="0"/>
              <w:rPr>
                <w:sz w:val="20"/>
                <w:szCs w:val="20"/>
                <w:color w:val="auto"/>
              </w:rPr>
            </w:pPr>
            <w:r>
              <w:rPr>
                <w:rFonts w:ascii="Arial" w:cs="Arial" w:eastAsia="Arial" w:hAnsi="Arial"/>
                <w:sz w:val="18"/>
                <w:szCs w:val="18"/>
                <w:color w:val="auto"/>
              </w:rPr>
              <w:t>SA-4</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9"/>
              </w:rPr>
              <w:t>BOEING PROPRIETARY</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522" w:name="page523"/>
    <w:bookmarkEnd w:id="522"/>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Agreement No. 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 No. 1977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 Boeing Model 737-800 Aircraft</w:t>
      </w:r>
    </w:p>
    <w:p>
      <w:pPr>
        <w:spacing w:after="0" w:line="221" w:lineRule="exact"/>
        <w:rPr>
          <w:sz w:val="20"/>
          <w:szCs w:val="20"/>
          <w:color w:val="auto"/>
        </w:rPr>
      </w:pPr>
    </w:p>
    <w:p>
      <w:pPr>
        <w:jc w:val="both"/>
        <w:ind w:right="360" w:firstLine="456"/>
        <w:spacing w:after="0" w:line="266" w:lineRule="auto"/>
        <w:rPr>
          <w:sz w:val="20"/>
          <w:szCs w:val="20"/>
          <w:color w:val="auto"/>
        </w:rPr>
      </w:pPr>
      <w:r>
        <w:rPr>
          <w:rFonts w:ascii="Arial" w:cs="Arial" w:eastAsia="Arial" w:hAnsi="Arial"/>
          <w:sz w:val="18"/>
          <w:szCs w:val="18"/>
          <w:color w:val="auto"/>
        </w:rPr>
        <w:t>THIS SUPPLEMENTAL AGREEMENT No. 39 (</w:t>
      </w:r>
      <w:r>
        <w:rPr>
          <w:rFonts w:ascii="Arial" w:cs="Arial" w:eastAsia="Arial" w:hAnsi="Arial"/>
          <w:sz w:val="18"/>
          <w:szCs w:val="18"/>
          <w:b w:val="1"/>
          <w:bCs w:val="1"/>
          <w:color w:val="auto"/>
        </w:rPr>
        <w:t>SA-39</w:t>
      </w:r>
      <w:r>
        <w:rPr>
          <w:rFonts w:ascii="Arial" w:cs="Arial" w:eastAsia="Arial" w:hAnsi="Arial"/>
          <w:sz w:val="18"/>
          <w:szCs w:val="18"/>
          <w:color w:val="auto"/>
        </w:rPr>
        <w:t>), entered into as of June 2, 2016, by and between THE BOEING COMPANY, a Delaware corporation with offices in Seattle, Washington (</w:t>
      </w:r>
      <w:r>
        <w:rPr>
          <w:rFonts w:ascii="Arial" w:cs="Arial" w:eastAsia="Arial" w:hAnsi="Arial"/>
          <w:sz w:val="18"/>
          <w:szCs w:val="18"/>
          <w:b w:val="1"/>
          <w:bCs w:val="1"/>
          <w:color w:val="auto"/>
        </w:rPr>
        <w:t>Boeing</w:t>
      </w:r>
      <w:r>
        <w:rPr>
          <w:rFonts w:ascii="Arial" w:cs="Arial" w:eastAsia="Arial" w:hAnsi="Arial"/>
          <w:sz w:val="18"/>
          <w:szCs w:val="18"/>
          <w:color w:val="auto"/>
        </w:rPr>
        <w:t>), and AMERICAN AIRLINES, INC., a Delaware corporation with offices in Fort Worth, Texas, together with its successors and permitted assigns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18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WHEREAS, Boeing and Customer entered into Purchase Agreement No. 1977 dated October 31, 1997, relating to Boeing Model 737-823 aircraft, as amended and supplemented (</w:t>
      </w:r>
      <w:r>
        <w:rPr>
          <w:rFonts w:ascii="Arial" w:cs="Arial" w:eastAsia="Arial" w:hAnsi="Arial"/>
          <w:sz w:val="18"/>
          <w:szCs w:val="18"/>
          <w:b w:val="1"/>
          <w:bCs w:val="1"/>
          <w:color w:val="auto"/>
        </w:rPr>
        <w:t>Purchase Agreement</w:t>
      </w:r>
      <w:r>
        <w:rPr>
          <w:rFonts w:ascii="Arial" w:cs="Arial" w:eastAsia="Arial" w:hAnsi="Arial"/>
          <w:sz w:val="18"/>
          <w:szCs w:val="18"/>
          <w:color w:val="auto"/>
        </w:rPr>
        <w:t>) and capitalized terms used herein without definitions shall have the meanings specified therefore in such Purchase Agreement;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Boeing and Customer desire to add Letter Agreement No. AAL-PA-1977-LA-1502819 entitled “[*CTR]” to the Purchase Agreement;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mutual covenants herein contained, the parties agree to amend the Purchase Agreement as follows:</w:t>
      </w:r>
    </w:p>
    <w:p>
      <w:pPr>
        <w:spacing w:after="0" w:line="385" w:lineRule="exact"/>
        <w:rPr>
          <w:sz w:val="20"/>
          <w:szCs w:val="20"/>
          <w:color w:val="auto"/>
        </w:rPr>
      </w:pPr>
    </w:p>
    <w:p>
      <w:pPr>
        <w:ind w:left="460" w:hanging="452"/>
        <w:spacing w:after="0"/>
        <w:tabs>
          <w:tab w:leader="none" w:pos="460"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Table of Contents</w:t>
      </w:r>
      <w:r>
        <w:rPr>
          <w:rFonts w:ascii="Arial" w:cs="Arial" w:eastAsia="Arial" w:hAnsi="Arial"/>
          <w:sz w:val="18"/>
          <w:szCs w:val="18"/>
          <w:color w:val="auto"/>
        </w:rPr>
        <w:t>” to the Purchase Agreement referencing SA-38 in the footer is deleted in its entirety and is replaced with the new “</w:t>
      </w:r>
      <w:r>
        <w:rPr>
          <w:rFonts w:ascii="Arial" w:cs="Arial" w:eastAsia="Arial" w:hAnsi="Arial"/>
          <w:sz w:val="18"/>
          <w:szCs w:val="18"/>
          <w:u w:val="single" w:color="auto"/>
          <w:color w:val="auto"/>
        </w:rPr>
        <w:t>Table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Contents</w:t>
      </w:r>
      <w:r>
        <w:rPr>
          <w:rFonts w:ascii="Arial" w:cs="Arial" w:eastAsia="Arial" w:hAnsi="Arial"/>
          <w:sz w:val="18"/>
          <w:szCs w:val="18"/>
          <w:color w:val="auto"/>
        </w:rPr>
        <w:t>” (attached hereto) referencing SA-39 in the footer. Such new Table of Contents is hereby incorporated into the Purchase Agreement in replacement of its predecessor.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P.A. No. 1977</w:t>
            </w:r>
          </w:p>
        </w:tc>
        <w:tc>
          <w:tcPr>
            <w:tcW w:w="5980" w:type="dxa"/>
            <w:vAlign w:val="bottom"/>
          </w:tcPr>
          <w:p>
            <w:pPr>
              <w:ind w:left="2680"/>
              <w:spacing w:after="0"/>
              <w:rPr>
                <w:sz w:val="20"/>
                <w:szCs w:val="20"/>
                <w:color w:val="auto"/>
              </w:rPr>
            </w:pPr>
            <w:r>
              <w:rPr>
                <w:rFonts w:ascii="Arial" w:cs="Arial" w:eastAsia="Arial" w:hAnsi="Arial"/>
                <w:sz w:val="18"/>
                <w:szCs w:val="18"/>
                <w:color w:val="auto"/>
              </w:rPr>
              <w:t>SA-39</w:t>
            </w:r>
          </w:p>
        </w:tc>
        <w:tc>
          <w:tcPr>
            <w:tcW w:w="2580" w:type="dxa"/>
            <w:vAlign w:val="bottom"/>
          </w:tcPr>
          <w:p>
            <w:pPr>
              <w:ind w:left="2100"/>
              <w:spacing w:after="0"/>
              <w:rPr>
                <w:sz w:val="20"/>
                <w:szCs w:val="20"/>
                <w:color w:val="auto"/>
              </w:rPr>
            </w:pPr>
            <w:r>
              <w:rPr>
                <w:rFonts w:ascii="Arial" w:cs="Arial" w:eastAsia="Arial" w:hAnsi="Arial"/>
                <w:sz w:val="18"/>
                <w:szCs w:val="18"/>
                <w:color w:val="auto"/>
                <w:w w:val="80"/>
              </w:rPr>
              <w:t>Page 1</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AAL</w:t>
            </w:r>
          </w:p>
        </w:tc>
        <w:tc>
          <w:tcPr>
            <w:tcW w:w="598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BOEING PROPRIETARY</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5980" w:type="dxa"/>
            <w:vAlign w:val="bottom"/>
            <w:vMerge w:val="continue"/>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523" w:name="page524"/>
    <w:bookmarkEnd w:id="523"/>
    <w:p>
      <w:pPr>
        <w:ind w:left="460" w:hanging="452"/>
        <w:spacing w:after="0"/>
        <w:tabs>
          <w:tab w:leader="none" w:pos="460" w:val="left"/>
        </w:tabs>
        <w:numPr>
          <w:ilvl w:val="0"/>
          <w:numId w:val="5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Agreements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Letter Agreement No. AAL-PA-1977-LA-1502819 entitled “[*CTR]” is hereby incorporated into and made a part of the Purchase Agreement.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6240" w:type="dxa"/>
            <w:vAlign w:val="bottom"/>
          </w:tcPr>
          <w:p>
            <w:pPr>
              <w:jc w:val="center"/>
              <w:ind w:right="170"/>
              <w:spacing w:after="0"/>
              <w:rPr>
                <w:sz w:val="20"/>
                <w:szCs w:val="20"/>
                <w:color w:val="auto"/>
              </w:rPr>
            </w:pPr>
            <w:r>
              <w:rPr>
                <w:rFonts w:ascii="Arial" w:cs="Arial" w:eastAsia="Arial" w:hAnsi="Arial"/>
                <w:sz w:val="18"/>
                <w:szCs w:val="18"/>
                <w:color w:val="auto"/>
                <w:w w:val="94"/>
              </w:rPr>
              <w:t>[This space intentionally left blank]</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720" w:type="dxa"/>
            <w:vAlign w:val="bottom"/>
          </w:tcPr>
          <w:p>
            <w:pPr>
              <w:spacing w:after="0"/>
              <w:rPr>
                <w:sz w:val="20"/>
                <w:szCs w:val="20"/>
                <w:color w:val="auto"/>
              </w:rPr>
            </w:pPr>
            <w:r>
              <w:rPr>
                <w:rFonts w:ascii="Arial" w:cs="Arial" w:eastAsia="Arial" w:hAnsi="Arial"/>
                <w:sz w:val="18"/>
                <w:szCs w:val="18"/>
                <w:color w:val="auto"/>
              </w:rPr>
              <w:t>P.A. No. 1977</w:t>
            </w:r>
          </w:p>
        </w:tc>
        <w:tc>
          <w:tcPr>
            <w:tcW w:w="6240" w:type="dxa"/>
            <w:vAlign w:val="bottom"/>
          </w:tcPr>
          <w:p>
            <w:pPr>
              <w:ind w:left="2820"/>
              <w:spacing w:after="0"/>
              <w:rPr>
                <w:sz w:val="20"/>
                <w:szCs w:val="20"/>
                <w:color w:val="auto"/>
              </w:rPr>
            </w:pPr>
            <w:r>
              <w:rPr>
                <w:rFonts w:ascii="Arial" w:cs="Arial" w:eastAsia="Arial" w:hAnsi="Arial"/>
                <w:sz w:val="18"/>
                <w:szCs w:val="18"/>
                <w:color w:val="auto"/>
              </w:rPr>
              <w:t>SA-39</w:t>
            </w:r>
          </w:p>
        </w:tc>
        <w:tc>
          <w:tcPr>
            <w:tcW w:w="2460" w:type="dxa"/>
            <w:vAlign w:val="bottom"/>
          </w:tcPr>
          <w:p>
            <w:pPr>
              <w:ind w:left="1980"/>
              <w:spacing w:after="0"/>
              <w:rPr>
                <w:sz w:val="20"/>
                <w:szCs w:val="20"/>
                <w:color w:val="auto"/>
              </w:rPr>
            </w:pPr>
            <w:r>
              <w:rPr>
                <w:rFonts w:ascii="Arial" w:cs="Arial" w:eastAsia="Arial" w:hAnsi="Arial"/>
                <w:sz w:val="18"/>
                <w:szCs w:val="18"/>
                <w:color w:val="auto"/>
                <w:w w:val="80"/>
              </w:rPr>
              <w:t>Page 2</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AAL</w:t>
            </w:r>
          </w:p>
        </w:tc>
        <w:tc>
          <w:tcPr>
            <w:tcW w:w="624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9"/>
              </w:rPr>
              <w:t>BOEING PROPRIETARY</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524" w:name="page525"/>
    <w:bookmarkEnd w:id="5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IN DUPLICATE as of the day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THE BOEING COMPANY</w:t>
            </w:r>
          </w:p>
        </w:tc>
        <w:tc>
          <w:tcPr>
            <w:tcW w:w="1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AMERICAN AIRLINES, INC.</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 Boeing Company</w:t>
            </w:r>
          </w:p>
        </w:tc>
        <w:tc>
          <w:tcPr>
            <w:tcW w:w="19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Signature</w:t>
            </w:r>
          </w:p>
        </w:tc>
        <w:tc>
          <w:tcPr>
            <w:tcW w:w="1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Signature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Boeing Company</w:t>
            </w:r>
          </w:p>
        </w:tc>
        <w:tc>
          <w:tcPr>
            <w:tcW w:w="19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American Airlines, Inc.</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Printed name</w:t>
            </w:r>
          </w:p>
        </w:tc>
        <w:tc>
          <w:tcPr>
            <w:tcW w:w="1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Printed name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19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&amp; Treasurer</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Title</w:t>
            </w:r>
          </w:p>
        </w:tc>
        <w:tc>
          <w:tcPr>
            <w:tcW w:w="1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Title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3400" w:type="dxa"/>
            <w:vAlign w:val="bottom"/>
          </w:tcPr>
          <w:p>
            <w:pPr>
              <w:spacing w:after="0"/>
              <w:rPr>
                <w:sz w:val="20"/>
                <w:szCs w:val="20"/>
                <w:color w:val="auto"/>
              </w:rPr>
            </w:pPr>
            <w:r>
              <w:rPr>
                <w:rFonts w:ascii="Arial" w:cs="Arial" w:eastAsia="Arial" w:hAnsi="Arial"/>
                <w:sz w:val="18"/>
                <w:szCs w:val="18"/>
                <w:color w:val="auto"/>
              </w:rPr>
              <w:t>P.A. No. 1977</w:t>
            </w:r>
          </w:p>
        </w:tc>
        <w:tc>
          <w:tcPr>
            <w:tcW w:w="1980" w:type="dxa"/>
            <w:vAlign w:val="bottom"/>
          </w:tcPr>
          <w:p>
            <w:pPr>
              <w:spacing w:after="0"/>
              <w:rPr>
                <w:sz w:val="24"/>
                <w:szCs w:val="24"/>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SA-39</w:t>
            </w:r>
          </w:p>
        </w:tc>
        <w:tc>
          <w:tcPr>
            <w:tcW w:w="1720" w:type="dxa"/>
            <w:vAlign w:val="bottom"/>
          </w:tcPr>
          <w:p>
            <w:pPr>
              <w:ind w:left="1240"/>
              <w:spacing w:after="0"/>
              <w:rPr>
                <w:sz w:val="20"/>
                <w:szCs w:val="20"/>
                <w:color w:val="auto"/>
              </w:rPr>
            </w:pPr>
            <w:r>
              <w:rPr>
                <w:rFonts w:ascii="Arial" w:cs="Arial" w:eastAsia="Arial" w:hAnsi="Arial"/>
                <w:sz w:val="18"/>
                <w:szCs w:val="18"/>
                <w:color w:val="auto"/>
                <w:w w:val="80"/>
              </w:rPr>
              <w:t>Page 3</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AAL</w:t>
            </w:r>
          </w:p>
        </w:tc>
        <w:tc>
          <w:tcPr>
            <w:tcW w:w="6300" w:type="dxa"/>
            <w:vAlign w:val="bottom"/>
            <w:gridSpan w:val="3"/>
            <w:vMerge w:val="restart"/>
          </w:tcPr>
          <w:p>
            <w:pPr>
              <w:ind w:left="1280"/>
              <w:spacing w:after="0"/>
              <w:rPr>
                <w:sz w:val="20"/>
                <w:szCs w:val="20"/>
                <w:color w:val="auto"/>
              </w:rPr>
            </w:pPr>
            <w:r>
              <w:rPr>
                <w:rFonts w:ascii="Arial" w:cs="Arial" w:eastAsia="Arial" w:hAnsi="Arial"/>
                <w:sz w:val="18"/>
                <w:szCs w:val="18"/>
                <w:b w:val="1"/>
                <w:bCs w:val="1"/>
                <w:color w:val="auto"/>
              </w:rPr>
              <w:t>BOEING PROPRIETARY</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19"/>
                <w:szCs w:val="19"/>
                <w:color w:val="auto"/>
              </w:rPr>
            </w:pPr>
          </w:p>
        </w:tc>
        <w:tc>
          <w:tcPr>
            <w:tcW w:w="6300" w:type="dxa"/>
            <w:vAlign w:val="bottom"/>
            <w:gridSpan w:val="3"/>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25" w:name="page526"/>
    <w:bookmarkEnd w:id="5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600" w:type="dxa"/>
            <w:vAlign w:val="bottom"/>
            <w:gridSpan w:val="2"/>
          </w:tcPr>
          <w:p>
            <w:pPr>
              <w:jc w:val="right"/>
              <w:ind w:right="4622"/>
              <w:spacing w:after="0"/>
              <w:rPr>
                <w:sz w:val="20"/>
                <w:szCs w:val="20"/>
                <w:color w:val="auto"/>
              </w:rPr>
            </w:pPr>
            <w:r>
              <w:rPr>
                <w:rFonts w:ascii="Arial" w:cs="Arial" w:eastAsia="Arial" w:hAnsi="Arial"/>
                <w:sz w:val="18"/>
                <w:szCs w:val="18"/>
                <w:color w:val="auto"/>
                <w:w w:val="98"/>
              </w:rPr>
              <w:t>TABLE OF CONTENTS</w:t>
            </w:r>
          </w:p>
        </w:tc>
      </w:tr>
      <w:tr>
        <w:trPr>
          <w:trHeight w:val="373"/>
        </w:trPr>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620" w:type="dxa"/>
            <w:vAlign w:val="bottom"/>
          </w:tcPr>
          <w:p>
            <w:pPr>
              <w:jc w:val="right"/>
              <w:ind w:right="142"/>
              <w:spacing w:after="0"/>
              <w:rPr>
                <w:sz w:val="20"/>
                <w:szCs w:val="20"/>
                <w:color w:val="auto"/>
              </w:rPr>
            </w:pPr>
            <w:r>
              <w:rPr>
                <w:rFonts w:ascii="Arial" w:cs="Arial" w:eastAsia="Arial" w:hAnsi="Arial"/>
                <w:sz w:val="14"/>
                <w:szCs w:val="14"/>
                <w:color w:val="auto"/>
              </w:rPr>
              <w:t>SA</w:t>
            </w:r>
          </w:p>
        </w:tc>
      </w:tr>
      <w:tr>
        <w:trPr>
          <w:trHeight w:val="167"/>
        </w:trPr>
        <w:tc>
          <w:tcPr>
            <w:tcW w:w="700" w:type="dxa"/>
            <w:vAlign w:val="bottom"/>
          </w:tcPr>
          <w:p>
            <w:pPr>
              <w:jc w:val="center"/>
              <w:spacing w:after="0" w:line="147" w:lineRule="exact"/>
              <w:rPr>
                <w:sz w:val="20"/>
                <w:szCs w:val="20"/>
                <w:color w:val="auto"/>
              </w:rPr>
            </w:pPr>
            <w:r>
              <w:rPr>
                <w:rFonts w:ascii="Arial" w:cs="Arial" w:eastAsia="Arial" w:hAnsi="Arial"/>
                <w:sz w:val="14"/>
                <w:szCs w:val="14"/>
                <w:color w:val="auto"/>
                <w:w w:val="99"/>
              </w:rPr>
              <w:t>ARTICLES</w:t>
            </w:r>
          </w:p>
        </w:tc>
        <w:tc>
          <w:tcPr>
            <w:tcW w:w="33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w w:val="98"/>
              </w:rPr>
              <w:t>NUMBER</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5"/>
        </w:trPr>
        <w:tc>
          <w:tcPr>
            <w:tcW w:w="700" w:type="dxa"/>
            <w:vAlign w:val="bottom"/>
          </w:tcPr>
          <w:p>
            <w:pPr>
              <w:jc w:val="right"/>
              <w:ind w:right="199"/>
              <w:spacing w:after="0"/>
              <w:rPr>
                <w:sz w:val="20"/>
                <w:szCs w:val="20"/>
                <w:color w:val="auto"/>
              </w:rPr>
            </w:pPr>
            <w:r>
              <w:rPr>
                <w:rFonts w:ascii="Arial" w:cs="Arial" w:eastAsia="Arial" w:hAnsi="Arial"/>
                <w:sz w:val="18"/>
                <w:szCs w:val="18"/>
                <w:color w:val="auto"/>
              </w:rPr>
              <w:t>1.</w:t>
            </w:r>
          </w:p>
        </w:tc>
        <w:tc>
          <w:tcPr>
            <w:tcW w:w="3340" w:type="dxa"/>
            <w:vAlign w:val="bottom"/>
          </w:tcPr>
          <w:p>
            <w:pPr>
              <w:ind w:left="880"/>
              <w:spacing w:after="0"/>
              <w:rPr>
                <w:sz w:val="20"/>
                <w:szCs w:val="20"/>
                <w:color w:val="auto"/>
              </w:rPr>
            </w:pPr>
            <w:r>
              <w:rPr>
                <w:rFonts w:ascii="Arial" w:cs="Arial" w:eastAsia="Arial" w:hAnsi="Arial"/>
                <w:sz w:val="18"/>
                <w:szCs w:val="18"/>
                <w:color w:val="auto"/>
                <w:w w:val="95"/>
              </w:rPr>
              <w:t>Quantity, Model and Description</w:t>
            </w:r>
          </w:p>
        </w:tc>
        <w:tc>
          <w:tcPr>
            <w:tcW w:w="5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SA-21</w:t>
            </w:r>
          </w:p>
        </w:tc>
      </w:tr>
    </w:tbl>
    <w:p>
      <w:pPr>
        <w:ind w:left="2260" w:hanging="1300"/>
        <w:spacing w:after="0"/>
        <w:tabs>
          <w:tab w:leader="none" w:pos="22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Delivery Schedule</w:t>
      </w:r>
    </w:p>
    <w:p>
      <w:pPr>
        <w:spacing w:after="0" w:line="9" w:lineRule="exact"/>
        <w:rPr>
          <w:rFonts w:ascii="Arial" w:cs="Arial" w:eastAsia="Arial" w:hAnsi="Arial"/>
          <w:sz w:val="18"/>
          <w:szCs w:val="18"/>
          <w:color w:val="auto"/>
        </w:rPr>
      </w:pPr>
    </w:p>
    <w:p>
      <w:pPr>
        <w:ind w:left="2260" w:hanging="1300"/>
        <w:spacing w:after="0"/>
        <w:tabs>
          <w:tab w:leader="none" w:pos="22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2260" w:hanging="1300"/>
        <w:spacing w:after="0"/>
        <w:tabs>
          <w:tab w:leader="none" w:pos="22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Payment</w:t>
      </w:r>
    </w:p>
    <w:p>
      <w:pPr>
        <w:spacing w:after="0" w:line="9" w:lineRule="exact"/>
        <w:rPr>
          <w:rFonts w:ascii="Arial" w:cs="Arial" w:eastAsia="Arial" w:hAnsi="Arial"/>
          <w:sz w:val="18"/>
          <w:szCs w:val="18"/>
          <w:color w:val="auto"/>
        </w:rPr>
      </w:pPr>
    </w:p>
    <w:p>
      <w:pPr>
        <w:ind w:left="2260" w:hanging="1300"/>
        <w:spacing w:after="0"/>
        <w:tabs>
          <w:tab w:leader="none" w:pos="22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0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TABLE</w:t>
            </w:r>
          </w:p>
        </w:tc>
        <w:tc>
          <w:tcPr>
            <w:tcW w:w="85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580" w:type="dxa"/>
            <w:vAlign w:val="bottom"/>
          </w:tcPr>
          <w:p>
            <w:pPr>
              <w:ind w:left="1000"/>
              <w:spacing w:after="0"/>
              <w:rPr>
                <w:sz w:val="20"/>
                <w:szCs w:val="20"/>
                <w:color w:val="auto"/>
              </w:rPr>
            </w:pPr>
            <w:r>
              <w:rPr>
                <w:rFonts w:ascii="Arial" w:cs="Arial" w:eastAsia="Arial" w:hAnsi="Arial"/>
                <w:sz w:val="18"/>
                <w:szCs w:val="18"/>
                <w:color w:val="auto"/>
              </w:rPr>
              <w:t>Aircraft Delivery, Description, Price and Advance Payments</w:t>
            </w:r>
          </w:p>
        </w:tc>
        <w:tc>
          <w:tcPr>
            <w:tcW w:w="1480" w:type="dxa"/>
            <w:vAlign w:val="bottom"/>
          </w:tcPr>
          <w:p>
            <w:pPr>
              <w:ind w:left="1020"/>
              <w:spacing w:after="0"/>
              <w:rPr>
                <w:sz w:val="20"/>
                <w:szCs w:val="20"/>
                <w:color w:val="auto"/>
              </w:rPr>
            </w:pPr>
            <w:r>
              <w:rPr>
                <w:rFonts w:ascii="Arial" w:cs="Arial" w:eastAsia="Arial" w:hAnsi="Arial"/>
                <w:sz w:val="18"/>
                <w:szCs w:val="18"/>
                <w:color w:val="auto"/>
                <w:w w:val="87"/>
              </w:rPr>
              <w:t>SA-29</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9"/>
              </w:rPr>
              <w:t>1A</w:t>
            </w:r>
          </w:p>
        </w:tc>
        <w:tc>
          <w:tcPr>
            <w:tcW w:w="8580" w:type="dxa"/>
            <w:vAlign w:val="bottom"/>
          </w:tcPr>
          <w:p>
            <w:pPr>
              <w:ind w:left="1000"/>
              <w:spacing w:after="0"/>
              <w:rPr>
                <w:sz w:val="20"/>
                <w:szCs w:val="20"/>
                <w:color w:val="auto"/>
              </w:rPr>
            </w:pPr>
            <w:r>
              <w:rPr>
                <w:rFonts w:ascii="Arial" w:cs="Arial" w:eastAsia="Arial" w:hAnsi="Arial"/>
                <w:sz w:val="18"/>
                <w:szCs w:val="18"/>
                <w:color w:val="auto"/>
              </w:rPr>
              <w:t>Aircraft Delivery, Description, Price and Advance Payments – [*CTR]</w:t>
            </w:r>
          </w:p>
        </w:tc>
        <w:tc>
          <w:tcPr>
            <w:tcW w:w="1480" w:type="dxa"/>
            <w:vAlign w:val="bottom"/>
          </w:tcPr>
          <w:p>
            <w:pPr>
              <w:ind w:left="1020"/>
              <w:spacing w:after="0"/>
              <w:rPr>
                <w:sz w:val="20"/>
                <w:szCs w:val="20"/>
                <w:color w:val="auto"/>
              </w:rPr>
            </w:pPr>
            <w:r>
              <w:rPr>
                <w:rFonts w:ascii="Arial" w:cs="Arial" w:eastAsia="Arial" w:hAnsi="Arial"/>
                <w:sz w:val="18"/>
                <w:szCs w:val="18"/>
                <w:color w:val="auto"/>
                <w:w w:val="87"/>
              </w:rPr>
              <w:t>SA-33</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9"/>
              </w:rPr>
              <w:t>1B</w:t>
            </w:r>
          </w:p>
        </w:tc>
        <w:tc>
          <w:tcPr>
            <w:tcW w:w="8580" w:type="dxa"/>
            <w:vAlign w:val="bottom"/>
          </w:tcPr>
          <w:p>
            <w:pPr>
              <w:ind w:left="1000"/>
              <w:spacing w:after="0"/>
              <w:rPr>
                <w:sz w:val="20"/>
                <w:szCs w:val="20"/>
                <w:color w:val="auto"/>
              </w:rPr>
            </w:pPr>
            <w:r>
              <w:rPr>
                <w:rFonts w:ascii="Arial" w:cs="Arial" w:eastAsia="Arial" w:hAnsi="Arial"/>
                <w:sz w:val="18"/>
                <w:szCs w:val="18"/>
                <w:color w:val="auto"/>
              </w:rPr>
              <w:t>Aircraft Delivery, Description, Price and Advance Payments – Exercised MADP Aircraft</w:t>
            </w:r>
          </w:p>
        </w:tc>
        <w:tc>
          <w:tcPr>
            <w:tcW w:w="1480" w:type="dxa"/>
            <w:vAlign w:val="bottom"/>
          </w:tcPr>
          <w:p>
            <w:pPr>
              <w:ind w:left="1020"/>
              <w:spacing w:after="0"/>
              <w:rPr>
                <w:sz w:val="20"/>
                <w:szCs w:val="20"/>
                <w:color w:val="auto"/>
              </w:rPr>
            </w:pPr>
            <w:r>
              <w:rPr>
                <w:rFonts w:ascii="Arial" w:cs="Arial" w:eastAsia="Arial" w:hAnsi="Arial"/>
                <w:sz w:val="18"/>
                <w:szCs w:val="18"/>
                <w:color w:val="auto"/>
                <w:w w:val="87"/>
              </w:rPr>
              <w:t>SA-33</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5"/>
              </w:rPr>
              <w:t>1C</w:t>
            </w:r>
          </w:p>
        </w:tc>
        <w:tc>
          <w:tcPr>
            <w:tcW w:w="8580" w:type="dxa"/>
            <w:vAlign w:val="bottom"/>
          </w:tcPr>
          <w:p>
            <w:pPr>
              <w:ind w:left="1000"/>
              <w:spacing w:after="0"/>
              <w:rPr>
                <w:sz w:val="20"/>
                <w:szCs w:val="20"/>
                <w:color w:val="auto"/>
              </w:rPr>
            </w:pPr>
            <w:r>
              <w:rPr>
                <w:rFonts w:ascii="Arial" w:cs="Arial" w:eastAsia="Arial" w:hAnsi="Arial"/>
                <w:sz w:val="18"/>
                <w:szCs w:val="18"/>
                <w:color w:val="auto"/>
              </w:rPr>
              <w:t>Aircraft Delivery, Description, Price and Advance Payments – [*CTR]</w:t>
            </w:r>
          </w:p>
        </w:tc>
        <w:tc>
          <w:tcPr>
            <w:tcW w:w="1480" w:type="dxa"/>
            <w:vAlign w:val="bottom"/>
          </w:tcPr>
          <w:p>
            <w:pPr>
              <w:ind w:left="1020"/>
              <w:spacing w:after="0"/>
              <w:rPr>
                <w:sz w:val="20"/>
                <w:szCs w:val="20"/>
                <w:color w:val="auto"/>
              </w:rPr>
            </w:pPr>
            <w:r>
              <w:rPr>
                <w:rFonts w:ascii="Arial" w:cs="Arial" w:eastAsia="Arial" w:hAnsi="Arial"/>
                <w:sz w:val="18"/>
                <w:szCs w:val="18"/>
                <w:color w:val="auto"/>
                <w:w w:val="87"/>
              </w:rPr>
              <w:t>SA-33</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5"/>
              </w:rPr>
              <w:t>1D</w:t>
            </w:r>
          </w:p>
        </w:tc>
        <w:tc>
          <w:tcPr>
            <w:tcW w:w="8580" w:type="dxa"/>
            <w:vAlign w:val="bottom"/>
          </w:tcPr>
          <w:p>
            <w:pPr>
              <w:ind w:left="1000"/>
              <w:spacing w:after="0"/>
              <w:rPr>
                <w:sz w:val="20"/>
                <w:szCs w:val="20"/>
                <w:color w:val="auto"/>
              </w:rPr>
            </w:pPr>
            <w:r>
              <w:rPr>
                <w:rFonts w:ascii="Arial" w:cs="Arial" w:eastAsia="Arial" w:hAnsi="Arial"/>
                <w:sz w:val="18"/>
                <w:szCs w:val="18"/>
                <w:color w:val="auto"/>
              </w:rPr>
              <w:t>Aircraft Delivery, Description, Price and Advance Payments – Boeing Sky Interior Aircraft</w:t>
            </w:r>
          </w:p>
        </w:tc>
        <w:tc>
          <w:tcPr>
            <w:tcW w:w="1480" w:type="dxa"/>
            <w:vAlign w:val="bottom"/>
          </w:tcPr>
          <w:p>
            <w:pPr>
              <w:ind w:left="1020"/>
              <w:spacing w:after="0"/>
              <w:rPr>
                <w:sz w:val="20"/>
                <w:szCs w:val="20"/>
                <w:color w:val="auto"/>
              </w:rPr>
            </w:pPr>
            <w:r>
              <w:rPr>
                <w:rFonts w:ascii="Arial" w:cs="Arial" w:eastAsia="Arial" w:hAnsi="Arial"/>
                <w:sz w:val="18"/>
                <w:szCs w:val="18"/>
                <w:color w:val="auto"/>
                <w:w w:val="87"/>
              </w:rPr>
              <w:t>SA-33</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0"/>
              </w:rPr>
              <w:t>1E</w:t>
            </w:r>
          </w:p>
        </w:tc>
        <w:tc>
          <w:tcPr>
            <w:tcW w:w="8580" w:type="dxa"/>
            <w:vAlign w:val="bottom"/>
          </w:tcPr>
          <w:p>
            <w:pPr>
              <w:ind w:left="1000"/>
              <w:spacing w:after="0"/>
              <w:rPr>
                <w:sz w:val="20"/>
                <w:szCs w:val="20"/>
                <w:color w:val="auto"/>
              </w:rPr>
            </w:pPr>
            <w:r>
              <w:rPr>
                <w:rFonts w:ascii="Arial" w:cs="Arial" w:eastAsia="Arial" w:hAnsi="Arial"/>
                <w:sz w:val="18"/>
                <w:szCs w:val="18"/>
                <w:color w:val="auto"/>
              </w:rPr>
              <w:t>Aircraft Delivery, Description, Price and Advance Payments – SA-34 Exercised Aircraft</w:t>
            </w:r>
          </w:p>
        </w:tc>
        <w:tc>
          <w:tcPr>
            <w:tcW w:w="1480" w:type="dxa"/>
            <w:vAlign w:val="bottom"/>
          </w:tcPr>
          <w:p>
            <w:pPr>
              <w:ind w:left="1020"/>
              <w:spacing w:after="0"/>
              <w:rPr>
                <w:sz w:val="20"/>
                <w:szCs w:val="20"/>
                <w:color w:val="auto"/>
              </w:rPr>
            </w:pPr>
            <w:r>
              <w:rPr>
                <w:rFonts w:ascii="Arial" w:cs="Arial" w:eastAsia="Arial" w:hAnsi="Arial"/>
                <w:sz w:val="18"/>
                <w:szCs w:val="18"/>
                <w:color w:val="auto"/>
                <w:w w:val="87"/>
              </w:rPr>
              <w:t>SA-34</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5"/>
              </w:rPr>
              <w:t>1F</w:t>
            </w:r>
          </w:p>
        </w:tc>
        <w:tc>
          <w:tcPr>
            <w:tcW w:w="8580" w:type="dxa"/>
            <w:vAlign w:val="bottom"/>
          </w:tcPr>
          <w:p>
            <w:pPr>
              <w:ind w:left="1000"/>
              <w:spacing w:after="0"/>
              <w:rPr>
                <w:sz w:val="20"/>
                <w:szCs w:val="20"/>
                <w:color w:val="auto"/>
              </w:rPr>
            </w:pPr>
            <w:r>
              <w:rPr>
                <w:rFonts w:ascii="Arial" w:cs="Arial" w:eastAsia="Arial" w:hAnsi="Arial"/>
                <w:sz w:val="18"/>
                <w:szCs w:val="18"/>
                <w:color w:val="auto"/>
              </w:rPr>
              <w:t>Aircraft Delivery, Description, Price and Advance Payments – Purchased Aircraft</w:t>
            </w:r>
          </w:p>
        </w:tc>
        <w:tc>
          <w:tcPr>
            <w:tcW w:w="1480" w:type="dxa"/>
            <w:vAlign w:val="bottom"/>
          </w:tcPr>
          <w:p>
            <w:pPr>
              <w:ind w:left="1020"/>
              <w:spacing w:after="0"/>
              <w:rPr>
                <w:sz w:val="20"/>
                <w:szCs w:val="20"/>
                <w:color w:val="auto"/>
              </w:rPr>
            </w:pPr>
            <w:r>
              <w:rPr>
                <w:rFonts w:ascii="Arial" w:cs="Arial" w:eastAsia="Arial" w:hAnsi="Arial"/>
                <w:sz w:val="18"/>
                <w:szCs w:val="18"/>
                <w:color w:val="auto"/>
                <w:w w:val="87"/>
              </w:rPr>
              <w:t>SA-38</w:t>
            </w:r>
          </w:p>
        </w:tc>
      </w:tr>
    </w:tbl>
    <w:p>
      <w:pPr>
        <w:spacing w:after="0" w:line="197" w:lineRule="exact"/>
        <w:rPr>
          <w:sz w:val="20"/>
          <w:szCs w:val="20"/>
          <w:color w:val="auto"/>
        </w:rPr>
      </w:pPr>
    </w:p>
    <w:p>
      <w:pPr>
        <w:ind w:left="700"/>
        <w:spacing w:after="0"/>
        <w:rPr>
          <w:sz w:val="20"/>
          <w:szCs w:val="20"/>
          <w:color w:val="auto"/>
        </w:rPr>
      </w:pPr>
      <w:r>
        <w:rPr>
          <w:rFonts w:ascii="Arial" w:cs="Arial" w:eastAsia="Arial" w:hAnsi="Arial"/>
          <w:sz w:val="14"/>
          <w:szCs w:val="14"/>
          <w:u w:val="single" w:color="auto"/>
          <w:color w:val="auto"/>
        </w:rPr>
        <w:t>EXHIBITS</w:t>
      </w:r>
    </w:p>
    <w:p>
      <w:pPr>
        <w:spacing w:after="0" w:line="113" w:lineRule="exact"/>
        <w:rPr>
          <w:sz w:val="20"/>
          <w:szCs w:val="20"/>
          <w:color w:val="auto"/>
        </w:rPr>
      </w:pPr>
    </w:p>
    <w:p>
      <w:pPr>
        <w:ind w:left="2260" w:hanging="1297"/>
        <w:spacing w:after="0"/>
        <w:tabs>
          <w:tab w:leader="none" w:pos="226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Aircraft Configuration</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A1</w:t>
            </w:r>
          </w:p>
        </w:tc>
        <w:tc>
          <w:tcPr>
            <w:tcW w:w="5680" w:type="dxa"/>
            <w:vAlign w:val="bottom"/>
          </w:tcPr>
          <w:p>
            <w:pPr>
              <w:ind w:left="560"/>
              <w:spacing w:after="0"/>
              <w:rPr>
                <w:sz w:val="20"/>
                <w:szCs w:val="20"/>
                <w:color w:val="auto"/>
              </w:rPr>
            </w:pPr>
            <w:r>
              <w:rPr>
                <w:rFonts w:ascii="Arial" w:cs="Arial" w:eastAsia="Arial" w:hAnsi="Arial"/>
                <w:sz w:val="18"/>
                <w:szCs w:val="18"/>
                <w:color w:val="auto"/>
              </w:rPr>
              <w:t>Aircraft Configuration</w:t>
            </w:r>
          </w:p>
        </w:tc>
        <w:tc>
          <w:tcPr>
            <w:tcW w:w="3940" w:type="dxa"/>
            <w:vAlign w:val="bottom"/>
          </w:tcPr>
          <w:p>
            <w:pPr>
              <w:ind w:left="3480"/>
              <w:spacing w:after="0"/>
              <w:rPr>
                <w:sz w:val="20"/>
                <w:szCs w:val="20"/>
                <w:color w:val="auto"/>
              </w:rPr>
            </w:pPr>
            <w:r>
              <w:rPr>
                <w:rFonts w:ascii="Arial" w:cs="Arial" w:eastAsia="Arial" w:hAnsi="Arial"/>
                <w:sz w:val="18"/>
                <w:szCs w:val="18"/>
                <w:color w:val="auto"/>
                <w:w w:val="87"/>
              </w:rPr>
              <w:t>SA-33</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A2</w:t>
            </w:r>
          </w:p>
        </w:tc>
        <w:tc>
          <w:tcPr>
            <w:tcW w:w="5680" w:type="dxa"/>
            <w:vAlign w:val="bottom"/>
          </w:tcPr>
          <w:p>
            <w:pPr>
              <w:ind w:left="560"/>
              <w:spacing w:after="0"/>
              <w:rPr>
                <w:sz w:val="20"/>
                <w:szCs w:val="20"/>
                <w:color w:val="auto"/>
              </w:rPr>
            </w:pPr>
            <w:r>
              <w:rPr>
                <w:rFonts w:ascii="Arial" w:cs="Arial" w:eastAsia="Arial" w:hAnsi="Arial"/>
                <w:sz w:val="18"/>
                <w:szCs w:val="18"/>
                <w:color w:val="auto"/>
              </w:rPr>
              <w:t>Aircraft Configuration</w:t>
            </w:r>
          </w:p>
        </w:tc>
        <w:tc>
          <w:tcPr>
            <w:tcW w:w="3940" w:type="dxa"/>
            <w:vAlign w:val="bottom"/>
          </w:tcPr>
          <w:p>
            <w:pPr>
              <w:ind w:left="3480"/>
              <w:spacing w:after="0"/>
              <w:rPr>
                <w:sz w:val="20"/>
                <w:szCs w:val="20"/>
                <w:color w:val="auto"/>
              </w:rPr>
            </w:pPr>
            <w:r>
              <w:rPr>
                <w:rFonts w:ascii="Arial" w:cs="Arial" w:eastAsia="Arial" w:hAnsi="Arial"/>
                <w:sz w:val="18"/>
                <w:szCs w:val="18"/>
                <w:color w:val="auto"/>
                <w:w w:val="87"/>
              </w:rPr>
              <w:t>SA-33</w:t>
            </w:r>
          </w:p>
        </w:tc>
      </w:tr>
    </w:tbl>
    <w:p>
      <w:pPr>
        <w:spacing w:after="0" w:line="94" w:lineRule="exact"/>
        <w:rPr>
          <w:sz w:val="20"/>
          <w:szCs w:val="20"/>
          <w:color w:val="auto"/>
        </w:rPr>
      </w:pPr>
    </w:p>
    <w:p>
      <w:pPr>
        <w:ind w:left="2260" w:hanging="1292"/>
        <w:spacing w:after="0"/>
        <w:tabs>
          <w:tab w:leader="none" w:pos="226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Aircraft Delivery Requirements and Responsibilities</w:t>
      </w:r>
    </w:p>
    <w:p>
      <w:pPr>
        <w:spacing w:after="0" w:line="117" w:lineRule="exact"/>
        <w:rPr>
          <w:sz w:val="20"/>
          <w:szCs w:val="20"/>
          <w:color w:val="auto"/>
        </w:rPr>
      </w:pPr>
    </w:p>
    <w:p>
      <w:pPr>
        <w:ind w:left="2260" w:hanging="1292"/>
        <w:spacing w:after="0"/>
        <w:tabs>
          <w:tab w:leader="none" w:pos="226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Defined Terms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9"/>
              </w:rPr>
              <w:t>SUPPLEMENTAL EXHIBITS</w:t>
            </w:r>
          </w:p>
        </w:tc>
        <w:tc>
          <w:tcPr>
            <w:tcW w:w="672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318"/>
        </w:trPr>
        <w:tc>
          <w:tcPr>
            <w:tcW w:w="1820" w:type="dxa"/>
            <w:vAlign w:val="bottom"/>
          </w:tcPr>
          <w:p>
            <w:pPr>
              <w:jc w:val="center"/>
              <w:spacing w:after="0"/>
              <w:rPr>
                <w:sz w:val="20"/>
                <w:szCs w:val="20"/>
                <w:color w:val="auto"/>
              </w:rPr>
            </w:pPr>
            <w:r>
              <w:rPr>
                <w:rFonts w:ascii="Arial" w:cs="Arial" w:eastAsia="Arial" w:hAnsi="Arial"/>
                <w:sz w:val="18"/>
                <w:szCs w:val="18"/>
                <w:color w:val="auto"/>
                <w:w w:val="99"/>
              </w:rPr>
              <w:t>AE1</w:t>
            </w:r>
          </w:p>
        </w:tc>
        <w:tc>
          <w:tcPr>
            <w:tcW w:w="6720" w:type="dxa"/>
            <w:vAlign w:val="bottom"/>
          </w:tcPr>
          <w:p>
            <w:pPr>
              <w:ind w:left="320"/>
              <w:spacing w:after="0"/>
              <w:rPr>
                <w:sz w:val="20"/>
                <w:szCs w:val="20"/>
                <w:color w:val="auto"/>
              </w:rPr>
            </w:pPr>
            <w:r>
              <w:rPr>
                <w:rFonts w:ascii="Arial" w:cs="Arial" w:eastAsia="Arial" w:hAnsi="Arial"/>
                <w:sz w:val="18"/>
                <w:szCs w:val="18"/>
                <w:color w:val="auto"/>
              </w:rPr>
              <w:t>Escalation Adjustment Airframe and Optional Features</w:t>
            </w:r>
          </w:p>
        </w:tc>
        <w:tc>
          <w:tcPr>
            <w:tcW w:w="2660" w:type="dxa"/>
            <w:vAlign w:val="bottom"/>
          </w:tcPr>
          <w:p>
            <w:pPr>
              <w:ind w:left="2200"/>
              <w:spacing w:after="0"/>
              <w:rPr>
                <w:sz w:val="20"/>
                <w:szCs w:val="20"/>
                <w:color w:val="auto"/>
              </w:rPr>
            </w:pPr>
            <w:r>
              <w:rPr>
                <w:rFonts w:ascii="Arial" w:cs="Arial" w:eastAsia="Arial" w:hAnsi="Arial"/>
                <w:sz w:val="18"/>
                <w:szCs w:val="18"/>
                <w:color w:val="auto"/>
                <w:w w:val="87"/>
              </w:rPr>
              <w:t>SA-20</w:t>
            </w:r>
          </w:p>
        </w:tc>
      </w:tr>
      <w:tr>
        <w:trPr>
          <w:trHeight w:val="324"/>
        </w:trPr>
        <w:tc>
          <w:tcPr>
            <w:tcW w:w="1820" w:type="dxa"/>
            <w:vAlign w:val="bottom"/>
          </w:tcPr>
          <w:p>
            <w:pPr>
              <w:jc w:val="center"/>
              <w:spacing w:after="0"/>
              <w:rPr>
                <w:sz w:val="20"/>
                <w:szCs w:val="20"/>
                <w:color w:val="auto"/>
              </w:rPr>
            </w:pPr>
            <w:r>
              <w:rPr>
                <w:rFonts w:ascii="Arial" w:cs="Arial" w:eastAsia="Arial" w:hAnsi="Arial"/>
                <w:sz w:val="18"/>
                <w:szCs w:val="18"/>
                <w:color w:val="auto"/>
                <w:w w:val="93"/>
              </w:rPr>
              <w:t>BFE1</w:t>
            </w:r>
          </w:p>
        </w:tc>
        <w:tc>
          <w:tcPr>
            <w:tcW w:w="6720" w:type="dxa"/>
            <w:vAlign w:val="bottom"/>
          </w:tcPr>
          <w:p>
            <w:pPr>
              <w:ind w:left="320"/>
              <w:spacing w:after="0"/>
              <w:rPr>
                <w:sz w:val="20"/>
                <w:szCs w:val="20"/>
                <w:color w:val="auto"/>
              </w:rPr>
            </w:pPr>
            <w:r>
              <w:rPr>
                <w:rFonts w:ascii="Arial" w:cs="Arial" w:eastAsia="Arial" w:hAnsi="Arial"/>
                <w:sz w:val="18"/>
                <w:szCs w:val="18"/>
                <w:color w:val="auto"/>
              </w:rPr>
              <w:t>BFE Variables</w:t>
            </w:r>
          </w:p>
        </w:tc>
        <w:tc>
          <w:tcPr>
            <w:tcW w:w="2660" w:type="dxa"/>
            <w:vAlign w:val="bottom"/>
          </w:tcPr>
          <w:p>
            <w:pPr>
              <w:ind w:left="2200"/>
              <w:spacing w:after="0"/>
              <w:rPr>
                <w:sz w:val="20"/>
                <w:szCs w:val="20"/>
                <w:color w:val="auto"/>
              </w:rPr>
            </w:pPr>
            <w:r>
              <w:rPr>
                <w:rFonts w:ascii="Arial" w:cs="Arial" w:eastAsia="Arial" w:hAnsi="Arial"/>
                <w:sz w:val="18"/>
                <w:szCs w:val="18"/>
                <w:color w:val="auto"/>
                <w:w w:val="87"/>
              </w:rPr>
              <w:t>SA-35</w:t>
            </w:r>
          </w:p>
        </w:tc>
      </w:tr>
      <w:tr>
        <w:trPr>
          <w:trHeight w:val="324"/>
        </w:trPr>
        <w:tc>
          <w:tcPr>
            <w:tcW w:w="1820" w:type="dxa"/>
            <w:vAlign w:val="bottom"/>
          </w:tcPr>
          <w:p>
            <w:pPr>
              <w:jc w:val="center"/>
              <w:spacing w:after="0"/>
              <w:rPr>
                <w:sz w:val="20"/>
                <w:szCs w:val="20"/>
                <w:color w:val="auto"/>
              </w:rPr>
            </w:pPr>
            <w:r>
              <w:rPr>
                <w:rFonts w:ascii="Arial" w:cs="Arial" w:eastAsia="Arial" w:hAnsi="Arial"/>
                <w:sz w:val="18"/>
                <w:szCs w:val="18"/>
                <w:color w:val="auto"/>
                <w:w w:val="85"/>
              </w:rPr>
              <w:t>CS1</w:t>
            </w:r>
          </w:p>
        </w:tc>
        <w:tc>
          <w:tcPr>
            <w:tcW w:w="6720" w:type="dxa"/>
            <w:vAlign w:val="bottom"/>
          </w:tcPr>
          <w:p>
            <w:pPr>
              <w:ind w:left="320"/>
              <w:spacing w:after="0"/>
              <w:rPr>
                <w:sz w:val="20"/>
                <w:szCs w:val="20"/>
                <w:color w:val="auto"/>
              </w:rPr>
            </w:pPr>
            <w:r>
              <w:rPr>
                <w:rFonts w:ascii="Arial" w:cs="Arial" w:eastAsia="Arial" w:hAnsi="Arial"/>
                <w:sz w:val="18"/>
                <w:szCs w:val="18"/>
                <w:color w:val="auto"/>
              </w:rPr>
              <w:t>Customer Support Variables</w:t>
            </w:r>
          </w:p>
        </w:tc>
        <w:tc>
          <w:tcPr>
            <w:tcW w:w="2660" w:type="dxa"/>
            <w:vAlign w:val="bottom"/>
          </w:tcPr>
          <w:p>
            <w:pPr>
              <w:spacing w:after="0"/>
              <w:rPr>
                <w:sz w:val="24"/>
                <w:szCs w:val="24"/>
                <w:color w:val="auto"/>
              </w:rPr>
            </w:pPr>
          </w:p>
        </w:tc>
      </w:tr>
      <w:tr>
        <w:trPr>
          <w:trHeight w:val="324"/>
        </w:trPr>
        <w:tc>
          <w:tcPr>
            <w:tcW w:w="1820" w:type="dxa"/>
            <w:vAlign w:val="bottom"/>
          </w:tcPr>
          <w:p>
            <w:pPr>
              <w:jc w:val="center"/>
              <w:spacing w:after="0"/>
              <w:rPr>
                <w:sz w:val="20"/>
                <w:szCs w:val="20"/>
                <w:color w:val="auto"/>
              </w:rPr>
            </w:pPr>
            <w:r>
              <w:rPr>
                <w:rFonts w:ascii="Arial" w:cs="Arial" w:eastAsia="Arial" w:hAnsi="Arial"/>
                <w:sz w:val="18"/>
                <w:szCs w:val="18"/>
                <w:color w:val="auto"/>
                <w:w w:val="90"/>
              </w:rPr>
              <w:t>SLP1</w:t>
            </w:r>
          </w:p>
        </w:tc>
        <w:tc>
          <w:tcPr>
            <w:tcW w:w="6720" w:type="dxa"/>
            <w:vAlign w:val="bottom"/>
          </w:tcPr>
          <w:p>
            <w:pPr>
              <w:ind w:left="320"/>
              <w:spacing w:after="0"/>
              <w:rPr>
                <w:sz w:val="20"/>
                <w:szCs w:val="20"/>
                <w:color w:val="auto"/>
              </w:rPr>
            </w:pPr>
            <w:r>
              <w:rPr>
                <w:rFonts w:ascii="Arial" w:cs="Arial" w:eastAsia="Arial" w:hAnsi="Arial"/>
                <w:sz w:val="18"/>
                <w:szCs w:val="18"/>
                <w:color w:val="auto"/>
              </w:rPr>
              <w:t>Service Life Policy Components</w:t>
            </w:r>
          </w:p>
        </w:tc>
        <w:tc>
          <w:tcPr>
            <w:tcW w:w="2660" w:type="dxa"/>
            <w:vAlign w:val="bottom"/>
          </w:tcPr>
          <w:p>
            <w:pPr>
              <w:spacing w:after="0"/>
              <w:rPr>
                <w:sz w:val="24"/>
                <w:szCs w:val="24"/>
                <w:color w:val="auto"/>
              </w:rPr>
            </w:pPr>
          </w:p>
        </w:tc>
      </w:tr>
      <w:tr>
        <w:trPr>
          <w:trHeight w:val="324"/>
        </w:trPr>
        <w:tc>
          <w:tcPr>
            <w:tcW w:w="1820" w:type="dxa"/>
            <w:vAlign w:val="bottom"/>
          </w:tcPr>
          <w:p>
            <w:pPr>
              <w:jc w:val="center"/>
              <w:spacing w:after="0"/>
              <w:rPr>
                <w:sz w:val="20"/>
                <w:szCs w:val="20"/>
                <w:color w:val="auto"/>
              </w:rPr>
            </w:pPr>
            <w:r>
              <w:rPr>
                <w:rFonts w:ascii="Arial" w:cs="Arial" w:eastAsia="Arial" w:hAnsi="Arial"/>
                <w:sz w:val="18"/>
                <w:szCs w:val="18"/>
                <w:color w:val="auto"/>
                <w:w w:val="88"/>
              </w:rPr>
              <w:t>EE1</w:t>
            </w:r>
          </w:p>
        </w:tc>
        <w:tc>
          <w:tcPr>
            <w:tcW w:w="6720" w:type="dxa"/>
            <w:vAlign w:val="bottom"/>
          </w:tcPr>
          <w:p>
            <w:pPr>
              <w:ind w:left="320"/>
              <w:spacing w:after="0"/>
              <w:rPr>
                <w:sz w:val="20"/>
                <w:szCs w:val="20"/>
                <w:color w:val="auto"/>
              </w:rPr>
            </w:pPr>
            <w:r>
              <w:rPr>
                <w:rFonts w:ascii="Arial" w:cs="Arial" w:eastAsia="Arial" w:hAnsi="Arial"/>
                <w:sz w:val="18"/>
                <w:szCs w:val="18"/>
                <w:color w:val="auto"/>
              </w:rPr>
              <w:t>Engine Escalation, Engine Warranty and Patent Indemnity</w:t>
            </w:r>
          </w:p>
        </w:tc>
        <w:tc>
          <w:tcPr>
            <w:tcW w:w="2660" w:type="dxa"/>
            <w:vAlign w:val="bottom"/>
          </w:tcPr>
          <w:p>
            <w:pPr>
              <w:spacing w:after="0"/>
              <w:rPr>
                <w:sz w:val="24"/>
                <w:szCs w:val="24"/>
                <w:color w:val="auto"/>
              </w:rPr>
            </w:pPr>
          </w:p>
        </w:tc>
      </w:tr>
    </w:tbl>
    <w:p>
      <w:pPr>
        <w:spacing w:after="0" w:line="134" w:lineRule="exact"/>
        <w:rPr>
          <w:sz w:val="20"/>
          <w:szCs w:val="20"/>
          <w:color w:val="auto"/>
        </w:rPr>
      </w:pPr>
    </w:p>
    <w:p>
      <w:pPr>
        <w:sectPr>
          <w:pgSz w:w="11900" w:h="16838" w:orient="portrait"/>
          <w:cols w:equalWidth="0" w:num="1">
            <w:col w:w="11420"/>
          </w:cols>
          <w:pgMar w:left="240" w:top="273" w:right="239" w:bottom="1440" w:gutter="0" w:footer="0" w:header="0"/>
        </w:sectPr>
      </w:pPr>
    </w:p>
    <w:p>
      <w:pPr>
        <w:spacing w:after="0"/>
        <w:rPr>
          <w:sz w:val="20"/>
          <w:szCs w:val="20"/>
          <w:color w:val="auto"/>
        </w:rPr>
      </w:pPr>
      <w:r>
        <w:rPr>
          <w:rFonts w:ascii="Arial" w:cs="Arial" w:eastAsia="Arial" w:hAnsi="Arial"/>
          <w:sz w:val="16"/>
          <w:szCs w:val="16"/>
          <w:color w:val="auto"/>
        </w:rPr>
        <w:t>P.A. No. 1977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AAL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BOEING PROPRIETARY</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color w:val="auto"/>
        </w:rPr>
        <w:t>SA-39</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Page 1</w:t>
      </w:r>
    </w:p>
    <w:p>
      <w:pPr>
        <w:spacing w:after="0" w:line="439" w:lineRule="exact"/>
        <w:rPr>
          <w:sz w:val="20"/>
          <w:szCs w:val="20"/>
          <w:color w:val="auto"/>
        </w:rPr>
      </w:pPr>
    </w:p>
    <w:p>
      <w:pPr>
        <w:sectPr>
          <w:pgSz w:w="11900" w:h="16838" w:orient="portrait"/>
          <w:cols w:equalWidth="0" w:num="3">
            <w:col w:w="3960" w:space="720"/>
            <w:col w:w="5540" w:space="720"/>
            <w:col w:w="480"/>
          </w:cols>
          <w:pgMar w:left="240" w:top="273" w:right="239" w:bottom="1440" w:gutter="0" w:footer="0" w:header="0"/>
          <w:type w:val="continuous"/>
        </w:sectPr>
      </w:pPr>
    </w:p>
    <w:p>
      <w:pPr>
        <w:spacing w:after="0" w:line="2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526" w:name="page527"/>
    <w:bookmarkEnd w:id="526"/>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0" w:type="dxa"/>
            <w:vAlign w:val="bottom"/>
          </w:tcPr>
          <w:p>
            <w:pPr>
              <w:jc w:val="center"/>
              <w:ind w:right="2890"/>
              <w:spacing w:after="0"/>
              <w:rPr>
                <w:sz w:val="20"/>
                <w:szCs w:val="20"/>
                <w:color w:val="auto"/>
              </w:rPr>
            </w:pPr>
            <w:r>
              <w:rPr>
                <w:rFonts w:ascii="Arial" w:cs="Arial" w:eastAsia="Arial" w:hAnsi="Arial"/>
                <w:sz w:val="18"/>
                <w:szCs w:val="18"/>
                <w:color w:val="auto"/>
                <w:w w:val="93"/>
              </w:rPr>
              <w:t>TABLE OF CONTENTS, continued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320" w:type="dxa"/>
            <w:vAlign w:val="bottom"/>
            <w:gridSpan w:val="2"/>
            <w:vMerge w:val="restart"/>
          </w:tcPr>
          <w:p>
            <w:pPr>
              <w:spacing w:after="0"/>
              <w:rPr>
                <w:sz w:val="20"/>
                <w:szCs w:val="20"/>
                <w:color w:val="auto"/>
              </w:rPr>
            </w:pPr>
            <w:r>
              <w:rPr>
                <w:rFonts w:ascii="Arial" w:cs="Arial" w:eastAsia="Arial" w:hAnsi="Arial"/>
                <w:sz w:val="14"/>
                <w:szCs w:val="14"/>
                <w:color w:val="auto"/>
              </w:rPr>
              <w:t>LETTER AGREEMENTS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SA</w:t>
            </w:r>
          </w:p>
        </w:tc>
        <w:tc>
          <w:tcPr>
            <w:tcW w:w="0" w:type="dxa"/>
            <w:vAlign w:val="bottom"/>
          </w:tcPr>
          <w:p>
            <w:pPr>
              <w:spacing w:after="0"/>
              <w:rPr>
                <w:sz w:val="1"/>
                <w:szCs w:val="1"/>
                <w:color w:val="auto"/>
              </w:rPr>
            </w:pPr>
          </w:p>
        </w:tc>
      </w:tr>
      <w:tr>
        <w:trPr>
          <w:trHeight w:val="174"/>
        </w:trPr>
        <w:tc>
          <w:tcPr>
            <w:tcW w:w="23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72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w w:val="98"/>
              </w:rPr>
              <w:t>NUMBER</w:t>
            </w:r>
          </w:p>
        </w:tc>
        <w:tc>
          <w:tcPr>
            <w:tcW w:w="0" w:type="dxa"/>
            <w:vAlign w:val="bottom"/>
          </w:tcPr>
          <w:p>
            <w:pPr>
              <w:spacing w:after="0"/>
              <w:rPr>
                <w:sz w:val="1"/>
                <w:szCs w:val="1"/>
                <w:color w:val="auto"/>
              </w:rPr>
            </w:pPr>
          </w:p>
        </w:tc>
      </w:tr>
      <w:tr>
        <w:trPr>
          <w:trHeight w:val="298"/>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6-1162-AKP-070</w:t>
            </w:r>
          </w:p>
        </w:tc>
        <w:tc>
          <w:tcPr>
            <w:tcW w:w="780" w:type="dxa"/>
            <w:vAlign w:val="bottom"/>
          </w:tcPr>
          <w:p>
            <w:pPr>
              <w:spacing w:after="0"/>
              <w:rPr>
                <w:sz w:val="24"/>
                <w:szCs w:val="24"/>
                <w:color w:val="auto"/>
              </w:rPr>
            </w:pP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Miscellaneous Commitments for Model 737, 757,767 and 777 Aircraft</w:t>
            </w: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40" w:type="dxa"/>
            <w:vAlign w:val="bottom"/>
          </w:tcPr>
          <w:p>
            <w:pPr>
              <w:spacing w:after="0"/>
              <w:rPr>
                <w:sz w:val="20"/>
                <w:szCs w:val="20"/>
                <w:color w:val="auto"/>
              </w:rPr>
            </w:pPr>
            <w:r>
              <w:rPr>
                <w:rFonts w:ascii="Arial" w:cs="Arial" w:eastAsia="Arial" w:hAnsi="Arial"/>
                <w:sz w:val="18"/>
                <w:szCs w:val="18"/>
                <w:color w:val="auto"/>
                <w:strike w:val="1"/>
                <w:w w:val="96"/>
              </w:rPr>
              <w:t>6-1162-AKP-072R1</w:t>
            </w:r>
          </w:p>
        </w:tc>
        <w:tc>
          <w:tcPr>
            <w:tcW w:w="780" w:type="dxa"/>
            <w:vAlign w:val="bottom"/>
          </w:tcPr>
          <w:p>
            <w:pPr>
              <w:spacing w:after="0"/>
              <w:rPr>
                <w:sz w:val="24"/>
                <w:szCs w:val="24"/>
                <w:color w:val="auto"/>
              </w:rPr>
            </w:pP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Terminated Per AAL-PA-1977-LA-1105595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6-1162-AKP-073</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Accident Claims and Litigation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6-1162-AKP-074R2</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Business Considerations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6-1162-AKP-075R1</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Aircraft Purchase Rights and Substitution Rights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 Attachment A</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 Attachment B</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r>
              <w:rPr>
                <w:rFonts w:ascii="Arial" w:cs="Arial" w:eastAsia="Arial" w:hAnsi="Arial"/>
                <w:sz w:val="18"/>
                <w:szCs w:val="18"/>
                <w:color w:val="auto"/>
                <w:strike w:val="1"/>
                <w:w w:val="89"/>
              </w:rPr>
              <w:t>Attachment C</w:t>
            </w:r>
          </w:p>
        </w:tc>
        <w:tc>
          <w:tcPr>
            <w:tcW w:w="70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6-1162-AKP-076</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Aircraft Performance Guarantees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6-1162-AKP-077</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Spares Matters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6-1162-AKP-078</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Model 737 Miscellaneous Commitments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6-1162-AKP-079</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6-1162-AKP-080</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Installation of Cabin Systems Equipment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6-1162-AKP-081</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Model 737 Maintenance Cost Commitment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6-1162-AKP-082</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Confidentiality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6-1162-AKP-083</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Model 737 Introduction Cost Commitment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6-1162-AKP-084</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Performance Retention Commitment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6-1162-AKP-085</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Component Reliability Commitments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6-1162-AKP-117</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Delivery Schedule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320" w:type="dxa"/>
            <w:vAlign w:val="bottom"/>
            <w:gridSpan w:val="2"/>
          </w:tcPr>
          <w:p>
            <w:pPr>
              <w:spacing w:after="0"/>
              <w:rPr>
                <w:sz w:val="20"/>
                <w:szCs w:val="20"/>
                <w:color w:val="auto"/>
              </w:rPr>
            </w:pPr>
            <w:r>
              <w:rPr>
                <w:rFonts w:ascii="Arial" w:cs="Arial" w:eastAsia="Arial" w:hAnsi="Arial"/>
                <w:sz w:val="18"/>
                <w:szCs w:val="18"/>
                <w:color w:val="auto"/>
              </w:rPr>
              <w:t>6-1162-SSM-1405R1</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Multiple Operating Weight Program Attachment B</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 Attachment B</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6-1162-CLO-1035</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Aircraft Performance Guarantees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SA-28</w:t>
            </w: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AAL-PA-1977-LA-1105509</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Aircraft Performance Guarantees, 737-700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AAL-PA-1977-LA-1105511</w:t>
            </w:r>
          </w:p>
        </w:tc>
        <w:tc>
          <w:tcPr>
            <w:tcW w:w="8380" w:type="dxa"/>
            <w:vAlign w:val="bottom"/>
            <w:gridSpan w:val="3"/>
          </w:tcPr>
          <w:p>
            <w:pPr>
              <w:ind w:left="260"/>
              <w:spacing w:after="0"/>
              <w:rPr>
                <w:sz w:val="20"/>
                <w:szCs w:val="20"/>
                <w:color w:val="auto"/>
              </w:rPr>
            </w:pPr>
            <w:r>
              <w:rPr>
                <w:rFonts w:ascii="Arial" w:cs="Arial" w:eastAsia="Arial" w:hAnsi="Arial"/>
                <w:sz w:val="18"/>
                <w:szCs w:val="18"/>
                <w:color w:val="auto"/>
              </w:rPr>
              <w:t>Aircraft Performance Guarantees, 737-900ER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350"/>
        </w:trPr>
        <w:tc>
          <w:tcPr>
            <w:tcW w:w="2320" w:type="dxa"/>
            <w:vAlign w:val="bottom"/>
            <w:gridSpan w:val="2"/>
          </w:tcPr>
          <w:p>
            <w:pPr>
              <w:spacing w:after="0"/>
              <w:rPr>
                <w:sz w:val="20"/>
                <w:szCs w:val="20"/>
                <w:color w:val="auto"/>
              </w:rPr>
            </w:pPr>
            <w:r>
              <w:rPr>
                <w:rFonts w:ascii="Arial" w:cs="Arial" w:eastAsia="Arial" w:hAnsi="Arial"/>
                <w:sz w:val="18"/>
                <w:szCs w:val="18"/>
                <w:color w:val="auto"/>
              </w:rPr>
              <w:t>P.A. No. 1977</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SA-39</w:t>
            </w:r>
          </w:p>
        </w:tc>
        <w:tc>
          <w:tcPr>
            <w:tcW w:w="0" w:type="dxa"/>
            <w:vAlign w:val="bottom"/>
          </w:tcPr>
          <w:p>
            <w:pPr>
              <w:spacing w:after="0"/>
              <w:rPr>
                <w:sz w:val="1"/>
                <w:szCs w:val="1"/>
                <w:color w:val="auto"/>
              </w:rPr>
            </w:pPr>
          </w:p>
        </w:tc>
      </w:tr>
      <w:tr>
        <w:trPr>
          <w:trHeight w:val="212"/>
        </w:trPr>
        <w:tc>
          <w:tcPr>
            <w:tcW w:w="2320" w:type="dxa"/>
            <w:vAlign w:val="bottom"/>
            <w:gridSpan w:val="2"/>
          </w:tcPr>
          <w:p>
            <w:pPr>
              <w:spacing w:after="0"/>
              <w:rPr>
                <w:sz w:val="20"/>
                <w:szCs w:val="20"/>
                <w:color w:val="auto"/>
              </w:rPr>
            </w:pPr>
            <w:r>
              <w:rPr>
                <w:rFonts w:ascii="Arial" w:cs="Arial" w:eastAsia="Arial" w:hAnsi="Arial"/>
                <w:sz w:val="18"/>
                <w:szCs w:val="18"/>
                <w:color w:val="auto"/>
              </w:rPr>
              <w:t>AAL</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0" w:type="dxa"/>
            <w:vAlign w:val="bottom"/>
          </w:tcPr>
          <w:p>
            <w:pPr>
              <w:ind w:left="1440"/>
              <w:spacing w:after="0"/>
              <w:rPr>
                <w:sz w:val="20"/>
                <w:szCs w:val="20"/>
                <w:color w:val="auto"/>
              </w:rPr>
            </w:pPr>
            <w:r>
              <w:rPr>
                <w:rFonts w:ascii="Arial" w:cs="Arial" w:eastAsia="Arial" w:hAnsi="Arial"/>
                <w:sz w:val="18"/>
                <w:szCs w:val="18"/>
                <w:color w:val="auto"/>
              </w:rPr>
              <w:t>Table of Contents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0" w:type="dxa"/>
            <w:vAlign w:val="bottom"/>
          </w:tcPr>
          <w:p>
            <w:pPr>
              <w:jc w:val="center"/>
              <w:ind w:right="2890"/>
              <w:spacing w:after="0"/>
              <w:rPr>
                <w:sz w:val="20"/>
                <w:szCs w:val="20"/>
                <w:color w:val="auto"/>
              </w:rPr>
            </w:pPr>
            <w:r>
              <w:rPr>
                <w:rFonts w:ascii="Arial" w:cs="Arial" w:eastAsia="Arial" w:hAnsi="Arial"/>
                <w:sz w:val="18"/>
                <w:szCs w:val="18"/>
                <w:b w:val="1"/>
                <w:bCs w:val="1"/>
                <w:color w:val="auto"/>
                <w:w w:val="99"/>
              </w:rPr>
              <w:t>BOEING PROPRIETARY</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527" w:name="page528"/>
    <w:bookmarkEnd w:id="5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SA</w:t>
            </w:r>
          </w:p>
        </w:tc>
      </w:tr>
      <w:tr>
        <w:trPr>
          <w:trHeight w:val="167"/>
        </w:trPr>
        <w:tc>
          <w:tcPr>
            <w:tcW w:w="2540" w:type="dxa"/>
            <w:vAlign w:val="bottom"/>
          </w:tcPr>
          <w:p>
            <w:pPr>
              <w:spacing w:after="0"/>
              <w:rPr>
                <w:sz w:val="20"/>
                <w:szCs w:val="20"/>
                <w:color w:val="auto"/>
              </w:rPr>
            </w:pPr>
            <w:r>
              <w:rPr>
                <w:rFonts w:ascii="Arial" w:cs="Arial" w:eastAsia="Arial" w:hAnsi="Arial"/>
                <w:sz w:val="14"/>
                <w:szCs w:val="14"/>
                <w:color w:val="auto"/>
              </w:rPr>
              <w:t>LETTER AGREEMENTS, Continued</w:t>
            </w:r>
          </w:p>
        </w:tc>
        <w:tc>
          <w:tcPr>
            <w:tcW w:w="8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NUMBER</w:t>
            </w:r>
          </w:p>
        </w:tc>
      </w:tr>
      <w:tr>
        <w:trPr>
          <w:trHeight w:val="20"/>
        </w:trPr>
        <w:tc>
          <w:tcPr>
            <w:tcW w:w="25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2540" w:type="dxa"/>
            <w:vAlign w:val="bottom"/>
          </w:tcPr>
          <w:p>
            <w:pPr>
              <w:spacing w:after="0"/>
              <w:rPr>
                <w:sz w:val="20"/>
                <w:szCs w:val="20"/>
                <w:color w:val="auto"/>
              </w:rPr>
            </w:pPr>
            <w:r>
              <w:rPr>
                <w:rFonts w:ascii="Arial" w:cs="Arial" w:eastAsia="Arial" w:hAnsi="Arial"/>
                <w:sz w:val="18"/>
                <w:szCs w:val="18"/>
                <w:color w:val="auto"/>
              </w:rPr>
              <w:t>6-1162-CLO-1038</w:t>
            </w:r>
          </w:p>
        </w:tc>
        <w:tc>
          <w:tcPr>
            <w:tcW w:w="8160" w:type="dxa"/>
            <w:vAlign w:val="bottom"/>
          </w:tcPr>
          <w:p>
            <w:pPr>
              <w:ind w:left="280"/>
              <w:spacing w:after="0"/>
              <w:rPr>
                <w:sz w:val="20"/>
                <w:szCs w:val="20"/>
                <w:color w:val="auto"/>
              </w:rPr>
            </w:pPr>
            <w:r>
              <w:rPr>
                <w:rFonts w:ascii="Arial" w:cs="Arial" w:eastAsia="Arial" w:hAnsi="Arial"/>
                <w:sz w:val="18"/>
                <w:szCs w:val="18"/>
                <w:color w:val="auto"/>
              </w:rPr>
              <w:t>Advance Payments and Permitted Transactions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SA-31</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6-1162-CLO-1082</w:t>
            </w:r>
          </w:p>
        </w:tc>
        <w:tc>
          <w:tcPr>
            <w:tcW w:w="8160" w:type="dxa"/>
            <w:vAlign w:val="bottom"/>
          </w:tcPr>
          <w:p>
            <w:pPr>
              <w:ind w:left="280"/>
              <w:spacing w:after="0"/>
              <w:rPr>
                <w:sz w:val="20"/>
                <w:szCs w:val="20"/>
                <w:color w:val="auto"/>
              </w:rPr>
            </w:pPr>
            <w:r>
              <w:rPr>
                <w:rFonts w:ascii="Arial" w:cs="Arial" w:eastAsia="Arial" w:hAnsi="Arial"/>
                <w:sz w:val="18"/>
                <w:szCs w:val="18"/>
                <w:color w:val="auto"/>
              </w:rPr>
              <w:t>Advance Payments and Permitted Transactions 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SA-32</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AAL-PA-1977-LA-01073</w:t>
            </w:r>
          </w:p>
        </w:tc>
        <w:tc>
          <w:tcPr>
            <w:tcW w:w="8160" w:type="dxa"/>
            <w:vAlign w:val="bottom"/>
          </w:tcPr>
          <w:p>
            <w:pPr>
              <w:ind w:left="280"/>
              <w:spacing w:after="0"/>
              <w:rPr>
                <w:sz w:val="20"/>
                <w:szCs w:val="20"/>
                <w:color w:val="auto"/>
              </w:rPr>
            </w:pPr>
            <w:r>
              <w:rPr>
                <w:rFonts w:ascii="Arial" w:cs="Arial" w:eastAsia="Arial" w:hAnsi="Arial"/>
                <w:sz w:val="18"/>
                <w:szCs w:val="18"/>
                <w:color w:val="auto"/>
              </w:rPr>
              <w:t>Advance Payments and Permitted Transactions 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SA-34</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AAL-PA-1977-LA-1105271</w:t>
            </w:r>
          </w:p>
        </w:tc>
        <w:tc>
          <w:tcPr>
            <w:tcW w:w="8160" w:type="dxa"/>
            <w:vAlign w:val="bottom"/>
          </w:tcPr>
          <w:p>
            <w:pPr>
              <w:ind w:left="280"/>
              <w:spacing w:after="0"/>
              <w:rPr>
                <w:sz w:val="20"/>
                <w:szCs w:val="20"/>
                <w:color w:val="auto"/>
              </w:rPr>
            </w:pPr>
            <w:r>
              <w:rPr>
                <w:rFonts w:ascii="Arial" w:cs="Arial" w:eastAsia="Arial" w:hAnsi="Arial"/>
                <w:sz w:val="18"/>
                <w:szCs w:val="18"/>
                <w:color w:val="auto"/>
              </w:rPr>
              <w:t>Advance Payments and Permitted Transactions 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AAL-PA-1977-LA-1105272R1</w:t>
            </w:r>
          </w:p>
        </w:tc>
        <w:tc>
          <w:tcPr>
            <w:tcW w:w="8160" w:type="dxa"/>
            <w:vAlign w:val="bottom"/>
          </w:tcPr>
          <w:p>
            <w:pPr>
              <w:ind w:left="280"/>
              <w:spacing w:after="0"/>
              <w:rPr>
                <w:sz w:val="20"/>
                <w:szCs w:val="20"/>
                <w:color w:val="auto"/>
              </w:rPr>
            </w:pPr>
            <w:r>
              <w:rPr>
                <w:rFonts w:ascii="Arial" w:cs="Arial" w:eastAsia="Arial" w:hAnsi="Arial"/>
                <w:sz w:val="18"/>
                <w:szCs w:val="18"/>
                <w:color w:val="auto"/>
              </w:rPr>
              <w:t>Business Considerations 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AAL-PA-1977-LA-1105616</w:t>
            </w:r>
          </w:p>
        </w:tc>
        <w:tc>
          <w:tcPr>
            <w:tcW w:w="8160" w:type="dxa"/>
            <w:vAlign w:val="bottom"/>
          </w:tcPr>
          <w:p>
            <w:pPr>
              <w:ind w:left="280"/>
              <w:spacing w:after="0"/>
              <w:rPr>
                <w:sz w:val="20"/>
                <w:szCs w:val="20"/>
                <w:color w:val="auto"/>
              </w:rPr>
            </w:pPr>
            <w:r>
              <w:rPr>
                <w:rFonts w:ascii="Arial" w:cs="Arial" w:eastAsia="Arial" w:hAnsi="Arial"/>
                <w:sz w:val="18"/>
                <w:szCs w:val="18"/>
                <w:color w:val="auto"/>
              </w:rPr>
              <w:t>Open Configuration Matters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AAL-PA-1977-LA-1105863</w:t>
            </w:r>
          </w:p>
        </w:tc>
        <w:tc>
          <w:tcPr>
            <w:tcW w:w="8160" w:type="dxa"/>
            <w:vAlign w:val="bottom"/>
          </w:tcPr>
          <w:p>
            <w:pPr>
              <w:ind w:left="280"/>
              <w:spacing w:after="0"/>
              <w:rPr>
                <w:sz w:val="20"/>
                <w:szCs w:val="20"/>
                <w:color w:val="auto"/>
              </w:rPr>
            </w:pPr>
            <w:r>
              <w:rPr>
                <w:rFonts w:ascii="Arial" w:cs="Arial" w:eastAsia="Arial" w:hAnsi="Arial"/>
                <w:sz w:val="18"/>
                <w:szCs w:val="18"/>
                <w:color w:val="auto"/>
              </w:rPr>
              <w:t>Performance Guarantees for Rights Aircraft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AAL-PA-1977-LA-08834</w:t>
            </w:r>
          </w:p>
        </w:tc>
        <w:tc>
          <w:tcPr>
            <w:tcW w:w="8160" w:type="dxa"/>
            <w:vAlign w:val="bottom"/>
          </w:tcPr>
          <w:p>
            <w:pPr>
              <w:ind w:left="280"/>
              <w:spacing w:after="0"/>
              <w:rPr>
                <w:sz w:val="20"/>
                <w:szCs w:val="20"/>
                <w:color w:val="auto"/>
              </w:rPr>
            </w:pPr>
            <w:r>
              <w:rPr>
                <w:rFonts w:ascii="Arial" w:cs="Arial" w:eastAsia="Arial" w:hAnsi="Arial"/>
                <w:sz w:val="18"/>
                <w:szCs w:val="18"/>
                <w:color w:val="auto"/>
              </w:rPr>
              <w:t>Business Considerations 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AAL-PA-1977-LA-08835</w:t>
            </w:r>
          </w:p>
        </w:tc>
        <w:tc>
          <w:tcPr>
            <w:tcW w:w="8160" w:type="dxa"/>
            <w:vAlign w:val="bottom"/>
          </w:tcPr>
          <w:p>
            <w:pPr>
              <w:ind w:left="28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AAL-PA-1977-LA-1106665</w:t>
            </w:r>
          </w:p>
        </w:tc>
        <w:tc>
          <w:tcPr>
            <w:tcW w:w="8160" w:type="dxa"/>
            <w:vAlign w:val="bottom"/>
          </w:tcPr>
          <w:p>
            <w:pPr>
              <w:ind w:left="28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AAL-PA-1977-LA-1106666</w:t>
            </w:r>
          </w:p>
        </w:tc>
        <w:tc>
          <w:tcPr>
            <w:tcW w:w="8160" w:type="dxa"/>
            <w:vAlign w:val="bottom"/>
          </w:tcPr>
          <w:p>
            <w:pPr>
              <w:ind w:left="28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AAL-LA-1106678</w:t>
            </w:r>
          </w:p>
        </w:tc>
        <w:tc>
          <w:tcPr>
            <w:tcW w:w="8160" w:type="dxa"/>
            <w:vAlign w:val="bottom"/>
          </w:tcPr>
          <w:p>
            <w:pPr>
              <w:ind w:left="280"/>
              <w:spacing w:after="0"/>
              <w:rPr>
                <w:sz w:val="20"/>
                <w:szCs w:val="20"/>
                <w:color w:val="auto"/>
              </w:rPr>
            </w:pPr>
            <w:r>
              <w:rPr>
                <w:rFonts w:ascii="Arial" w:cs="Arial" w:eastAsia="Arial" w:hAnsi="Arial"/>
                <w:sz w:val="18"/>
                <w:szCs w:val="18"/>
                <w:color w:val="auto"/>
              </w:rPr>
              <w:t>Assignment Matters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540" w:type="dxa"/>
            <w:vAlign w:val="bottom"/>
          </w:tcPr>
          <w:p>
            <w:pPr>
              <w:spacing w:after="0"/>
              <w:rPr>
                <w:sz w:val="20"/>
                <w:szCs w:val="20"/>
                <w:color w:val="auto"/>
              </w:rPr>
            </w:pPr>
            <w:r>
              <w:rPr>
                <w:rFonts w:ascii="Arial" w:cs="Arial" w:eastAsia="Arial" w:hAnsi="Arial"/>
                <w:sz w:val="18"/>
                <w:szCs w:val="18"/>
                <w:b w:val="1"/>
                <w:bCs w:val="1"/>
                <w:color w:val="auto"/>
              </w:rPr>
              <w:t>AAL-PA-1977-LA-1502819</w:t>
            </w:r>
          </w:p>
        </w:tc>
        <w:tc>
          <w:tcPr>
            <w:tcW w:w="8160" w:type="dxa"/>
            <w:vAlign w:val="bottom"/>
          </w:tcPr>
          <w:p>
            <w:pPr>
              <w:ind w:left="28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SA-39</w:t>
            </w:r>
          </w:p>
        </w:tc>
      </w:tr>
      <w:tr>
        <w:trPr>
          <w:trHeight w:val="350"/>
        </w:trPr>
        <w:tc>
          <w:tcPr>
            <w:tcW w:w="2540" w:type="dxa"/>
            <w:vAlign w:val="bottom"/>
          </w:tcPr>
          <w:p>
            <w:pPr>
              <w:spacing w:after="0"/>
              <w:rPr>
                <w:sz w:val="20"/>
                <w:szCs w:val="20"/>
                <w:color w:val="auto"/>
              </w:rPr>
            </w:pPr>
            <w:r>
              <w:rPr>
                <w:rFonts w:ascii="Arial" w:cs="Arial" w:eastAsia="Arial" w:hAnsi="Arial"/>
                <w:sz w:val="18"/>
                <w:szCs w:val="18"/>
                <w:color w:val="auto"/>
              </w:rPr>
              <w:t>P.A. No. 1977</w:t>
            </w:r>
          </w:p>
        </w:tc>
        <w:tc>
          <w:tcPr>
            <w:tcW w:w="8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SA-39</w:t>
            </w:r>
          </w:p>
        </w:tc>
      </w:tr>
      <w:tr>
        <w:trPr>
          <w:trHeight w:val="212"/>
        </w:trPr>
        <w:tc>
          <w:tcPr>
            <w:tcW w:w="2540" w:type="dxa"/>
            <w:vAlign w:val="bottom"/>
          </w:tcPr>
          <w:p>
            <w:pPr>
              <w:spacing w:after="0"/>
              <w:rPr>
                <w:sz w:val="20"/>
                <w:szCs w:val="20"/>
                <w:color w:val="auto"/>
              </w:rPr>
            </w:pPr>
            <w:r>
              <w:rPr>
                <w:rFonts w:ascii="Arial" w:cs="Arial" w:eastAsia="Arial" w:hAnsi="Arial"/>
                <w:sz w:val="18"/>
                <w:szCs w:val="18"/>
                <w:color w:val="auto"/>
              </w:rPr>
              <w:t>AAL</w:t>
            </w:r>
          </w:p>
        </w:tc>
        <w:tc>
          <w:tcPr>
            <w:tcW w:w="8160" w:type="dxa"/>
            <w:vAlign w:val="bottom"/>
          </w:tcPr>
          <w:p>
            <w:pPr>
              <w:ind w:left="2600"/>
              <w:spacing w:after="0"/>
              <w:rPr>
                <w:sz w:val="20"/>
                <w:szCs w:val="20"/>
                <w:color w:val="auto"/>
              </w:rPr>
            </w:pPr>
            <w:r>
              <w:rPr>
                <w:rFonts w:ascii="Arial" w:cs="Arial" w:eastAsia="Arial" w:hAnsi="Arial"/>
                <w:sz w:val="18"/>
                <w:szCs w:val="18"/>
                <w:color w:val="auto"/>
              </w:rPr>
              <w:t>Table of Contents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Page 3</w:t>
            </w:r>
          </w:p>
        </w:tc>
      </w:tr>
      <w:tr>
        <w:trPr>
          <w:trHeight w:val="234"/>
        </w:trPr>
        <w:tc>
          <w:tcPr>
            <w:tcW w:w="2540" w:type="dxa"/>
            <w:vAlign w:val="bottom"/>
          </w:tcPr>
          <w:p>
            <w:pPr>
              <w:spacing w:after="0"/>
              <w:rPr>
                <w:sz w:val="20"/>
                <w:szCs w:val="20"/>
                <w:color w:val="auto"/>
              </w:rPr>
            </w:pPr>
          </w:p>
        </w:tc>
        <w:tc>
          <w:tcPr>
            <w:tcW w:w="8160" w:type="dxa"/>
            <w:vAlign w:val="bottom"/>
          </w:tcPr>
          <w:p>
            <w:pPr>
              <w:ind w:left="2140"/>
              <w:spacing w:after="0"/>
              <w:rPr>
                <w:sz w:val="20"/>
                <w:szCs w:val="20"/>
                <w:color w:val="auto"/>
              </w:rPr>
            </w:pPr>
            <w:r>
              <w:rPr>
                <w:rFonts w:ascii="Arial" w:cs="Arial" w:eastAsia="Arial" w:hAnsi="Arial"/>
                <w:sz w:val="18"/>
                <w:szCs w:val="18"/>
                <w:b w:val="1"/>
                <w:bCs w:val="1"/>
                <w:color w:val="auto"/>
              </w:rPr>
              <w:t>BOEING PROPRIETARY</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528" w:name="page529"/>
    <w:bookmarkEnd w:id="528"/>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jc w:val="center"/>
              <w:ind w:left="2350"/>
              <w:spacing w:after="0"/>
              <w:rPr>
                <w:sz w:val="20"/>
                <w:szCs w:val="20"/>
                <w:color w:val="auto"/>
              </w:rPr>
            </w:pPr>
            <w:r>
              <w:rPr>
                <w:rFonts w:ascii="Arial" w:cs="Arial" w:eastAsia="Arial" w:hAnsi="Arial"/>
                <w:sz w:val="18"/>
                <w:szCs w:val="18"/>
                <w:b w:val="1"/>
                <w:bCs w:val="1"/>
                <w:color w:val="auto"/>
                <w:w w:val="92"/>
              </w:rPr>
              <w:t>American Airlines Group Inc.</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tcPr>
          <w:p>
            <w:pPr>
              <w:jc w:val="center"/>
              <w:ind w:left="2350"/>
              <w:spacing w:after="0"/>
              <w:rPr>
                <w:sz w:val="20"/>
                <w:szCs w:val="20"/>
                <w:color w:val="auto"/>
              </w:rPr>
            </w:pPr>
            <w:r>
              <w:rPr>
                <w:rFonts w:ascii="Arial" w:cs="Arial" w:eastAsia="Arial" w:hAnsi="Arial"/>
                <w:sz w:val="18"/>
                <w:szCs w:val="18"/>
                <w:b w:val="1"/>
                <w:bCs w:val="1"/>
                <w:color w:val="auto"/>
                <w:w w:val="90"/>
              </w:rPr>
              <w:t>Computation of Ratio of Earnings to Fixed Charges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980" w:type="dxa"/>
            <w:vAlign w:val="bottom"/>
          </w:tcPr>
          <w:p>
            <w:pPr>
              <w:jc w:val="center"/>
              <w:ind w:left="2350"/>
              <w:spacing w:after="0"/>
              <w:rPr>
                <w:sz w:val="20"/>
                <w:szCs w:val="20"/>
                <w:color w:val="auto"/>
              </w:rPr>
            </w:pPr>
            <w:r>
              <w:rPr>
                <w:rFonts w:ascii="Arial" w:cs="Arial" w:eastAsia="Arial" w:hAnsi="Arial"/>
                <w:sz w:val="18"/>
                <w:szCs w:val="18"/>
                <w:b w:val="1"/>
                <w:bCs w:val="1"/>
                <w:color w:val="auto"/>
                <w:w w:val="93"/>
              </w:rPr>
              <w:t>(In millions)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8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Six Months Ended</w:t>
            </w:r>
          </w:p>
        </w:tc>
      </w:tr>
      <w:tr>
        <w:trPr>
          <w:trHeight w:val="167"/>
        </w:trPr>
        <w:tc>
          <w:tcPr>
            <w:tcW w:w="8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June 30,</w:t>
            </w:r>
          </w:p>
        </w:tc>
      </w:tr>
      <w:tr>
        <w:trPr>
          <w:trHeight w:val="142"/>
        </w:trPr>
        <w:tc>
          <w:tcPr>
            <w:tcW w:w="89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Add: Total fixed charges (per below)</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Interest capitalized</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3"/>
        </w:trPr>
        <w:tc>
          <w:tcPr>
            <w:tcW w:w="8980" w:type="dxa"/>
            <w:vAlign w:val="bottom"/>
          </w:tcPr>
          <w:p>
            <w:pPr>
              <w:ind w:left="720"/>
              <w:spacing w:after="0"/>
              <w:rPr>
                <w:sz w:val="20"/>
                <w:szCs w:val="20"/>
                <w:color w:val="auto"/>
              </w:rPr>
            </w:pPr>
            <w:r>
              <w:rPr>
                <w:rFonts w:ascii="Arial" w:cs="Arial" w:eastAsia="Arial" w:hAnsi="Arial"/>
                <w:sz w:val="18"/>
                <w:szCs w:val="18"/>
                <w:color w:val="auto"/>
              </w:rPr>
              <w:t>Total earnings before income taxes</w:t>
            </w:r>
          </w:p>
        </w:tc>
        <w:tc>
          <w:tcPr>
            <w:tcW w:w="1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Portion of rental expense representative of the interest factor</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r>
      <w:tr>
        <w:trPr>
          <w:trHeight w:val="223"/>
        </w:trPr>
        <w:tc>
          <w:tcPr>
            <w:tcW w:w="8980" w:type="dxa"/>
            <w:vAlign w:val="bottom"/>
          </w:tcPr>
          <w:p>
            <w:pPr>
              <w:ind w:left="720"/>
              <w:spacing w:after="0"/>
              <w:rPr>
                <w:sz w:val="20"/>
                <w:szCs w:val="20"/>
                <w:color w:val="auto"/>
              </w:rPr>
            </w:pPr>
            <w:r>
              <w:rPr>
                <w:rFonts w:ascii="Arial" w:cs="Arial" w:eastAsia="Arial" w:hAnsi="Arial"/>
                <w:sz w:val="18"/>
                <w:szCs w:val="18"/>
                <w:color w:val="auto"/>
              </w:rPr>
              <w:t>Total fixed charges</w:t>
            </w:r>
          </w:p>
        </w:tc>
        <w:tc>
          <w:tcPr>
            <w:tcW w:w="1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jc w:val="center"/>
              <w:ind w:left="2370"/>
              <w:spacing w:after="0"/>
              <w:rPr>
                <w:sz w:val="20"/>
                <w:szCs w:val="20"/>
                <w:color w:val="auto"/>
              </w:rPr>
            </w:pPr>
            <w:r>
              <w:rPr>
                <w:rFonts w:ascii="Arial" w:cs="Arial" w:eastAsia="Arial" w:hAnsi="Arial"/>
                <w:sz w:val="18"/>
                <w:szCs w:val="18"/>
                <w:b w:val="1"/>
                <w:bCs w:val="1"/>
                <w:color w:val="auto"/>
                <w:w w:val="92"/>
              </w:rPr>
              <w:t>American Airlines, Inc.</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tcPr>
          <w:p>
            <w:pPr>
              <w:jc w:val="center"/>
              <w:ind w:left="2350"/>
              <w:spacing w:after="0"/>
              <w:rPr>
                <w:sz w:val="20"/>
                <w:szCs w:val="20"/>
                <w:color w:val="auto"/>
              </w:rPr>
            </w:pPr>
            <w:r>
              <w:rPr>
                <w:rFonts w:ascii="Arial" w:cs="Arial" w:eastAsia="Arial" w:hAnsi="Arial"/>
                <w:sz w:val="18"/>
                <w:szCs w:val="18"/>
                <w:b w:val="1"/>
                <w:bCs w:val="1"/>
                <w:color w:val="auto"/>
                <w:w w:val="90"/>
              </w:rPr>
              <w:t>Computation of Ratio of Earnings to Fixed Charges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980" w:type="dxa"/>
            <w:vAlign w:val="bottom"/>
          </w:tcPr>
          <w:p>
            <w:pPr>
              <w:jc w:val="center"/>
              <w:ind w:left="2350"/>
              <w:spacing w:after="0"/>
              <w:rPr>
                <w:sz w:val="20"/>
                <w:szCs w:val="20"/>
                <w:color w:val="auto"/>
              </w:rPr>
            </w:pPr>
            <w:r>
              <w:rPr>
                <w:rFonts w:ascii="Arial" w:cs="Arial" w:eastAsia="Arial" w:hAnsi="Arial"/>
                <w:sz w:val="18"/>
                <w:szCs w:val="18"/>
                <w:b w:val="1"/>
                <w:bCs w:val="1"/>
                <w:color w:val="auto"/>
                <w:w w:val="93"/>
              </w:rPr>
              <w:t>(In millions)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8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Six Months Ended</w:t>
            </w:r>
          </w:p>
        </w:tc>
      </w:tr>
      <w:tr>
        <w:trPr>
          <w:trHeight w:val="167"/>
        </w:trPr>
        <w:tc>
          <w:tcPr>
            <w:tcW w:w="8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June 30,</w:t>
            </w:r>
          </w:p>
        </w:tc>
      </w:tr>
      <w:tr>
        <w:trPr>
          <w:trHeight w:val="142"/>
        </w:trPr>
        <w:tc>
          <w:tcPr>
            <w:tcW w:w="89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Add: Total fixed charges (per below)</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Interest capitalized</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3"/>
        </w:trPr>
        <w:tc>
          <w:tcPr>
            <w:tcW w:w="8980" w:type="dxa"/>
            <w:vAlign w:val="bottom"/>
          </w:tcPr>
          <w:p>
            <w:pPr>
              <w:ind w:left="720"/>
              <w:spacing w:after="0"/>
              <w:rPr>
                <w:sz w:val="20"/>
                <w:szCs w:val="20"/>
                <w:color w:val="auto"/>
              </w:rPr>
            </w:pPr>
            <w:r>
              <w:rPr>
                <w:rFonts w:ascii="Arial" w:cs="Arial" w:eastAsia="Arial" w:hAnsi="Arial"/>
                <w:sz w:val="18"/>
                <w:szCs w:val="18"/>
                <w:color w:val="auto"/>
              </w:rPr>
              <w:t>Total earnings before income taxes</w:t>
            </w:r>
          </w:p>
        </w:tc>
        <w:tc>
          <w:tcPr>
            <w:tcW w:w="1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Portion of rental expense representative of the interest factor</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23"/>
        </w:trPr>
        <w:tc>
          <w:tcPr>
            <w:tcW w:w="8980" w:type="dxa"/>
            <w:vAlign w:val="bottom"/>
          </w:tcPr>
          <w:p>
            <w:pPr>
              <w:ind w:left="720"/>
              <w:spacing w:after="0"/>
              <w:rPr>
                <w:sz w:val="20"/>
                <w:szCs w:val="20"/>
                <w:color w:val="auto"/>
              </w:rPr>
            </w:pPr>
            <w:r>
              <w:rPr>
                <w:rFonts w:ascii="Arial" w:cs="Arial" w:eastAsia="Arial" w:hAnsi="Arial"/>
                <w:sz w:val="18"/>
                <w:szCs w:val="18"/>
                <w:color w:val="auto"/>
              </w:rPr>
              <w:t>Total fixed charges</w:t>
            </w:r>
          </w:p>
        </w:tc>
        <w:tc>
          <w:tcPr>
            <w:tcW w:w="1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530" w:name="page531"/>
    <w:bookmarkEnd w:id="5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1100" w:hanging="179"/>
        <w:spacing w:after="0"/>
        <w:tabs>
          <w:tab w:leader="none" w:pos="110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5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5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5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5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5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5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5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5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531" w:name="page532"/>
    <w:bookmarkEnd w:id="5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1100" w:hanging="179"/>
        <w:spacing w:after="0"/>
        <w:tabs>
          <w:tab w:leader="none" w:pos="110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5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5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5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5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5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5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5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5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5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 and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532" w:name="page533"/>
    <w:bookmarkEnd w:id="532"/>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1100" w:hanging="179"/>
        <w:spacing w:after="0"/>
        <w:tabs>
          <w:tab w:leader="none" w:pos="110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5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5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5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5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5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5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5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5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533" w:name="page534"/>
    <w:bookmarkEnd w:id="533"/>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1100" w:hanging="179"/>
        <w:spacing w:after="0"/>
        <w:tabs>
          <w:tab w:leader="none" w:pos="110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5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5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5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5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5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5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5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5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5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 and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June 30, 2016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720" w:hanging="256"/>
        <w:spacing w:after="0"/>
        <w:tabs>
          <w:tab w:leader="none" w:pos="72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22,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22, 2016</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1" w:right="239" w:bottom="1440" w:gutter="0" w:footer="0" w:header="0"/>
        </w:sectPr>
      </w:pPr>
    </w:p>
    <w:bookmarkStart w:id="535" w:name="page536"/>
    <w:bookmarkEnd w:id="5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June 30, 2016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720" w:hanging="256"/>
        <w:spacing w:after="0"/>
        <w:tabs>
          <w:tab w:leader="none" w:pos="72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22,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22, 2016</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3B662"/>
    <w:multiLevelType w:val="hybridMultilevel"/>
    <w:lvl w:ilvl="0">
      <w:lvlJc w:val="left"/>
      <w:lvlText w:val="☒"/>
      <w:numFmt w:val="bullet"/>
      <w:start w:val="1"/>
    </w:lvl>
  </w:abstractNum>
  <w:abstractNum w:abstractNumId="1">
    <w:nsid w:val="3BAB699E"/>
    <w:multiLevelType w:val="hybridMultilevel"/>
    <w:lvl w:ilvl="0">
      <w:lvlJc w:val="left"/>
      <w:lvlText w:val="☐"/>
      <w:numFmt w:val="bullet"/>
      <w:start w:val="1"/>
    </w:lvl>
  </w:abstractNum>
  <w:abstractNum w:abstractNumId="2">
    <w:nsid w:val="71315369"/>
    <w:multiLevelType w:val="hybridMultilevel"/>
    <w:lvl w:ilvl="0">
      <w:lvlJc w:val="left"/>
      <w:lvlText w:val="(%1)"/>
      <w:numFmt w:val="decimal"/>
      <w:start w:val="1"/>
    </w:lvl>
  </w:abstractNum>
  <w:abstractNum w:abstractNumId="3">
    <w:nsid w:val="7BCFBAFC"/>
    <w:multiLevelType w:val="hybridMultilevel"/>
    <w:lvl w:ilvl="0">
      <w:lvlJc w:val="left"/>
      <w:lvlText w:val="(%1)"/>
      <w:numFmt w:val="decimal"/>
      <w:start w:val="1"/>
    </w:lvl>
  </w:abstractNum>
  <w:abstractNum w:abstractNumId="4">
    <w:nsid w:val="17859F72"/>
    <w:multiLevelType w:val="hybridMultilevel"/>
    <w:lvl w:ilvl="0">
      <w:lvlJc w:val="left"/>
      <w:lvlText w:val="%1"/>
      <w:numFmt w:val="upperLetter"/>
      <w:start w:val="27"/>
    </w:lvl>
  </w:abstractNum>
  <w:abstractNum w:abstractNumId="5">
    <w:nsid w:val="3AA10581"/>
    <w:multiLevelType w:val="hybridMultilevel"/>
    <w:lvl w:ilvl="0">
      <w:lvlJc w:val="left"/>
      <w:lvlText w:val="(%1)"/>
      <w:numFmt w:val="decimal"/>
      <w:start w:val="1"/>
    </w:lvl>
  </w:abstractNum>
  <w:abstractNum w:abstractNumId="6">
    <w:nsid w:val="63DE60CD"/>
    <w:multiLevelType w:val="hybridMultilevel"/>
    <w:lvl w:ilvl="0">
      <w:lvlJc w:val="left"/>
      <w:lvlText w:val="(%1)"/>
      <w:numFmt w:val="decimal"/>
      <w:start w:val="1"/>
    </w:lvl>
  </w:abstractNum>
  <w:abstractNum w:abstractNumId="7">
    <w:nsid w:val="621AF471"/>
    <w:multiLevelType w:val="hybridMultilevel"/>
    <w:lvl w:ilvl="0">
      <w:lvlJc w:val="left"/>
      <w:lvlText w:val="(%1)"/>
      <w:numFmt w:val="decimal"/>
      <w:start w:val="1"/>
    </w:lvl>
  </w:abstractNum>
  <w:abstractNum w:abstractNumId="8">
    <w:nsid w:val="73CFE165"/>
    <w:multiLevelType w:val="hybridMultilevel"/>
    <w:lvl w:ilvl="0">
      <w:lvlJc w:val="left"/>
      <w:lvlText w:val="(%1)"/>
      <w:numFmt w:val="decimal"/>
      <w:start w:val="1"/>
    </w:lvl>
  </w:abstractNum>
  <w:abstractNum w:abstractNumId="9">
    <w:nsid w:val="20F88EA6"/>
    <w:multiLevelType w:val="hybridMultilevel"/>
    <w:lvl w:ilvl="0">
      <w:lvlJc w:val="left"/>
      <w:lvlText w:val="(%1)"/>
      <w:numFmt w:val="decimal"/>
      <w:start w:val="1"/>
    </w:lvl>
  </w:abstractNum>
  <w:abstractNum w:abstractNumId="10">
    <w:nsid w:val="617C843E"/>
    <w:multiLevelType w:val="hybridMultilevel"/>
    <w:lvl w:ilvl="0">
      <w:lvlJc w:val="left"/>
      <w:lvlText w:val="(%1)"/>
      <w:numFmt w:val="decimal"/>
      <w:start w:val="1"/>
    </w:lvl>
  </w:abstractNum>
  <w:abstractNum w:abstractNumId="11">
    <w:nsid w:val="7B541FAB"/>
    <w:multiLevelType w:val="hybridMultilevel"/>
    <w:lvl w:ilvl="0">
      <w:lvlJc w:val="left"/>
      <w:lvlText w:val="%1"/>
      <w:numFmt w:val="upperLetter"/>
      <w:start w:val="27"/>
    </w:lvl>
  </w:abstractNum>
  <w:abstractNum w:abstractNumId="12">
    <w:nsid w:val="2A79EC49"/>
    <w:multiLevelType w:val="hybridMultilevel"/>
    <w:lvl w:ilvl="0">
      <w:lvlJc w:val="left"/>
      <w:lvlText w:val="(%1)"/>
      <w:numFmt w:val="decimal"/>
      <w:start w:val="1"/>
    </w:lvl>
  </w:abstractNum>
  <w:abstractNum w:abstractNumId="13">
    <w:nsid w:val="338125CF"/>
    <w:multiLevelType w:val="hybridMultilevel"/>
    <w:lvl w:ilvl="0">
      <w:lvlJc w:val="left"/>
      <w:lvlText w:val="(%1)"/>
      <w:numFmt w:val="decimal"/>
      <w:start w:val="2"/>
    </w:lvl>
  </w:abstractNum>
  <w:abstractNum w:abstractNumId="14">
    <w:nsid w:val="47C7C971"/>
    <w:multiLevelType w:val="hybridMultilevel"/>
    <w:lvl w:ilvl="0">
      <w:lvlJc w:val="left"/>
      <w:lvlText w:val="(%1)"/>
      <w:numFmt w:val="decimal"/>
      <w:start w:val="1"/>
    </w:lvl>
  </w:abstractNum>
  <w:abstractNum w:abstractNumId="15">
    <w:nsid w:val="46F8284B"/>
    <w:multiLevelType w:val="hybridMultilevel"/>
    <w:lvl w:ilvl="0">
      <w:lvlJc w:val="left"/>
      <w:lvlText w:val="(%1)"/>
      <w:numFmt w:val="decimal"/>
      <w:start w:val="1"/>
    </w:lvl>
  </w:abstractNum>
  <w:abstractNum w:abstractNumId="16">
    <w:nsid w:val="4FA327CE"/>
    <w:multiLevelType w:val="hybridMultilevel"/>
    <w:lvl w:ilvl="0">
      <w:lvlJc w:val="left"/>
      <w:lvlText w:val="(%1)"/>
      <w:numFmt w:val="decimal"/>
      <w:start w:val="1"/>
    </w:lvl>
  </w:abstractNum>
  <w:abstractNum w:abstractNumId="17">
    <w:nsid w:val="1873983A"/>
    <w:multiLevelType w:val="hybridMultilevel"/>
    <w:lvl w:ilvl="0">
      <w:lvlJc w:val="left"/>
      <w:lvlText w:val="(%1)"/>
      <w:numFmt w:val="decimal"/>
      <w:start w:val="1"/>
    </w:lvl>
  </w:abstractNum>
  <w:abstractNum w:abstractNumId="18">
    <w:nsid w:val="3D2DD275"/>
    <w:multiLevelType w:val="hybridMultilevel"/>
    <w:lvl w:ilvl="0">
      <w:lvlJc w:val="left"/>
      <w:lvlText w:val="(%1)"/>
      <w:numFmt w:val="decimal"/>
      <w:start w:val="1"/>
    </w:lvl>
  </w:abstractNum>
  <w:abstractNum w:abstractNumId="19">
    <w:nsid w:val="2E17ECA7"/>
    <w:multiLevelType w:val="hybridMultilevel"/>
    <w:lvl w:ilvl="0">
      <w:lvlJc w:val="left"/>
      <w:lvlText w:val="(%1)"/>
      <w:numFmt w:val="decimal"/>
      <w:start w:val="1"/>
    </w:lvl>
  </w:abstractNum>
  <w:abstractNum w:abstractNumId="20">
    <w:nsid w:val="53B2564F"/>
    <w:multiLevelType w:val="hybridMultilevel"/>
    <w:lvl w:ilvl="0">
      <w:lvlJc w:val="left"/>
      <w:lvlText w:val="(%1)"/>
      <w:numFmt w:val="lowerLetter"/>
      <w:start w:val="1"/>
    </w:lvl>
  </w:abstractNum>
  <w:abstractNum w:abstractNumId="21">
    <w:nsid w:val="75509D76"/>
    <w:multiLevelType w:val="hybridMultilevel"/>
    <w:lvl w:ilvl="0">
      <w:lvlJc w:val="left"/>
      <w:lvlText w:val="(%1)"/>
      <w:numFmt w:val="lowerLetter"/>
      <w:start w:val="5"/>
    </w:lvl>
  </w:abstractNum>
  <w:abstractNum w:abstractNumId="22">
    <w:nsid w:val="1AF7F0EA"/>
    <w:multiLevelType w:val="hybridMultilevel"/>
    <w:lvl w:ilvl="0">
      <w:lvlJc w:val="left"/>
      <w:lvlText w:val="(%1)"/>
      <w:numFmt w:val="decimal"/>
      <w:start w:val="1"/>
    </w:lvl>
  </w:abstractNum>
  <w:abstractNum w:abstractNumId="23">
    <w:nsid w:val="4DA32C7E"/>
    <w:multiLevelType w:val="hybridMultilevel"/>
    <w:lvl w:ilvl="0">
      <w:lvlJc w:val="left"/>
      <w:lvlText w:val="(%1)"/>
      <w:numFmt w:val="decimal"/>
      <w:start w:val="2"/>
    </w:lvl>
  </w:abstractNum>
  <w:abstractNum w:abstractNumId="24">
    <w:nsid w:val="6EC68664"/>
    <w:multiLevelType w:val="hybridMultilevel"/>
    <w:lvl w:ilvl="0">
      <w:lvlJc w:val="left"/>
      <w:lvlText w:val="(%1)"/>
      <w:numFmt w:val="lowerLetter"/>
      <w:start w:val="1"/>
    </w:lvl>
  </w:abstractNum>
  <w:abstractNum w:abstractNumId="25">
    <w:nsid w:val="E0D31FF"/>
    <w:multiLevelType w:val="hybridMultilevel"/>
    <w:lvl w:ilvl="0">
      <w:lvlJc w:val="left"/>
      <w:lvlText w:val="(%1)"/>
      <w:numFmt w:val="lowerLetter"/>
      <w:start w:val="5"/>
    </w:lvl>
  </w:abstractNum>
  <w:abstractNum w:abstractNumId="26">
    <w:nsid w:val="2FD0AD81"/>
    <w:multiLevelType w:val="hybridMultilevel"/>
    <w:lvl w:ilvl="0">
      <w:lvlJc w:val="left"/>
      <w:lvlText w:val="•"/>
      <w:numFmt w:val="bullet"/>
      <w:start w:val="1"/>
    </w:lvl>
  </w:abstractNum>
  <w:abstractNum w:abstractNumId="27">
    <w:nsid w:val="1978EBEB"/>
    <w:multiLevelType w:val="hybridMultilevel"/>
    <w:lvl w:ilvl="0">
      <w:lvlJc w:val="left"/>
      <w:lvlText w:val="(%1)"/>
      <w:numFmt w:val="decimal"/>
      <w:start w:val="1"/>
    </w:lvl>
  </w:abstractNum>
  <w:abstractNum w:abstractNumId="28">
    <w:nsid w:val="52C12C61"/>
    <w:multiLevelType w:val="hybridMultilevel"/>
    <w:lvl w:ilvl="0">
      <w:lvlJc w:val="left"/>
      <w:lvlText w:val="•"/>
      <w:numFmt w:val="bullet"/>
      <w:start w:val="1"/>
    </w:lvl>
  </w:abstractNum>
  <w:abstractNum w:abstractNumId="29">
    <w:nsid w:val="4BDD53FD"/>
    <w:multiLevelType w:val="hybridMultilevel"/>
    <w:lvl w:ilvl="0">
      <w:lvlJc w:val="left"/>
      <w:lvlText w:val="•"/>
      <w:numFmt w:val="bullet"/>
      <w:start w:val="1"/>
    </w:lvl>
  </w:abstractNum>
  <w:abstractNum w:abstractNumId="30">
    <w:nsid w:val="569951FE"/>
    <w:multiLevelType w:val="hybridMultilevel"/>
    <w:lvl w:ilvl="0">
      <w:lvlJc w:val="left"/>
      <w:lvlText w:val="(%1)"/>
      <w:numFmt w:val="decimal"/>
      <w:start w:val="1"/>
    </w:lvl>
  </w:abstractNum>
  <w:abstractNum w:abstractNumId="31">
    <w:nsid w:val="4C54E2C3"/>
    <w:multiLevelType w:val="hybridMultilevel"/>
    <w:lvl w:ilvl="0">
      <w:lvlJc w:val="left"/>
      <w:lvlText w:val="•"/>
      <w:numFmt w:val="bullet"/>
      <w:start w:val="1"/>
    </w:lvl>
  </w:abstractNum>
  <w:abstractNum w:abstractNumId="32">
    <w:nsid w:val="788BD9B"/>
    <w:multiLevelType w:val="hybridMultilevel"/>
    <w:lvl w:ilvl="0">
      <w:lvlJc w:val="left"/>
      <w:lvlText w:val="(%1)"/>
      <w:numFmt w:val="decimal"/>
      <w:start w:val="1"/>
    </w:lvl>
  </w:abstractNum>
  <w:abstractNum w:abstractNumId="33">
    <w:nsid w:val="47CAA567"/>
    <w:multiLevelType w:val="hybridMultilevel"/>
    <w:lvl w:ilvl="0">
      <w:lvlJc w:val="left"/>
      <w:lvlText w:val="•"/>
      <w:numFmt w:val="bullet"/>
      <w:start w:val="1"/>
    </w:lvl>
  </w:abstractNum>
  <w:abstractNum w:abstractNumId="34">
    <w:nsid w:val="48249DBF"/>
    <w:multiLevelType w:val="hybridMultilevel"/>
    <w:lvl w:ilvl="0">
      <w:lvlJc w:val="left"/>
      <w:lvlText w:val="•"/>
      <w:numFmt w:val="bullet"/>
      <w:start w:val="1"/>
    </w:lvl>
  </w:abstractNum>
  <w:abstractNum w:abstractNumId="35">
    <w:nsid w:val="1F0E5D0D"/>
    <w:multiLevelType w:val="hybridMultilevel"/>
    <w:lvl w:ilvl="0">
      <w:lvlJc w:val="left"/>
      <w:lvlText w:val="•"/>
      <w:numFmt w:val="bullet"/>
      <w:start w:val="1"/>
    </w:lvl>
  </w:abstractNum>
  <w:abstractNum w:abstractNumId="36">
    <w:nsid w:val="26BAAE9"/>
    <w:multiLevelType w:val="hybridMultilevel"/>
    <w:lvl w:ilvl="0">
      <w:lvlJc w:val="left"/>
      <w:lvlText w:val="•"/>
      <w:numFmt w:val="bullet"/>
      <w:start w:val="1"/>
    </w:lvl>
  </w:abstractNum>
  <w:abstractNum w:abstractNumId="37">
    <w:nsid w:val="2C02FE8C"/>
    <w:multiLevelType w:val="hybridMultilevel"/>
    <w:lvl w:ilvl="0">
      <w:lvlJc w:val="left"/>
      <w:lvlText w:val="•"/>
      <w:numFmt w:val="bullet"/>
      <w:start w:val="1"/>
    </w:lvl>
  </w:abstractNum>
  <w:abstractNum w:abstractNumId="38">
    <w:nsid w:val="129517E"/>
    <w:multiLevelType w:val="hybridMultilevel"/>
    <w:lvl w:ilvl="0">
      <w:lvlJc w:val="left"/>
      <w:lvlText w:val="\endash "/>
      <w:numFmt w:val="bullet"/>
      <w:start w:val="1"/>
    </w:lvl>
  </w:abstractNum>
  <w:abstractNum w:abstractNumId="39">
    <w:nsid w:val="763B8C4E"/>
    <w:multiLevelType w:val="hybridMultilevel"/>
    <w:lvl w:ilvl="0">
      <w:lvlJc w:val="left"/>
      <w:lvlText w:val="(%1)"/>
      <w:numFmt w:val="decimal"/>
      <w:start w:val="1"/>
    </w:lvl>
  </w:abstractNum>
  <w:abstractNum w:abstractNumId="40">
    <w:nsid w:val="4CFB8D32"/>
    <w:multiLevelType w:val="hybridMultilevel"/>
    <w:lvl w:ilvl="0">
      <w:lvlJc w:val="left"/>
      <w:lvlText w:val="(%1)"/>
      <w:numFmt w:val="decimal"/>
      <w:start w:val="1"/>
    </w:lvl>
  </w:abstractNum>
  <w:abstractNum w:abstractNumId="41">
    <w:nsid w:val="62A5D5BD"/>
    <w:multiLevelType w:val="hybridMultilevel"/>
    <w:lvl w:ilvl="0">
      <w:lvlJc w:val="left"/>
      <w:lvlText w:val="(%1)"/>
      <w:numFmt w:val="decimal"/>
      <w:start w:val="1"/>
    </w:lvl>
  </w:abstractNum>
  <w:abstractNum w:abstractNumId="42">
    <w:nsid w:val="718FABF9"/>
    <w:multiLevelType w:val="hybridMultilevel"/>
    <w:lvl w:ilvl="0">
      <w:lvlJc w:val="left"/>
      <w:lvlText w:val="•"/>
      <w:numFmt w:val="bullet"/>
      <w:start w:val="1"/>
    </w:lvl>
  </w:abstractNum>
  <w:abstractNum w:abstractNumId="43">
    <w:nsid w:val="7775797C"/>
    <w:multiLevelType w:val="hybridMultilevel"/>
    <w:lvl w:ilvl="0">
      <w:lvlJc w:val="left"/>
      <w:lvlText w:val="•"/>
      <w:numFmt w:val="bullet"/>
      <w:start w:val="1"/>
    </w:lvl>
    <w:lvl w:ilvl="1">
      <w:lvlJc w:val="left"/>
      <w:lvlText w:val="•"/>
      <w:numFmt w:val="bullet"/>
      <w:start w:val="1"/>
    </w:lvl>
  </w:abstractNum>
  <w:abstractNum w:abstractNumId="44">
    <w:nsid w:val="1626FB8C"/>
    <w:multiLevelType w:val="hybridMultilevel"/>
    <w:lvl w:ilvl="0">
      <w:lvlJc w:val="left"/>
      <w:lvlText w:val="•"/>
      <w:numFmt w:val="bullet"/>
      <w:start w:val="1"/>
    </w:lvl>
  </w:abstractNum>
  <w:abstractNum w:abstractNumId="45">
    <w:nsid w:val="3957756A"/>
    <w:multiLevelType w:val="hybridMultilevel"/>
    <w:lvl w:ilvl="0">
      <w:lvlJc w:val="left"/>
      <w:lvlText w:val="•"/>
      <w:numFmt w:val="bullet"/>
      <w:start w:val="1"/>
    </w:lvl>
  </w:abstractNum>
  <w:abstractNum w:abstractNumId="46">
    <w:nsid w:val="3E6DA1C7"/>
    <w:multiLevelType w:val="hybridMultilevel"/>
    <w:lvl w:ilvl="0">
      <w:lvlJc w:val="left"/>
      <w:lvlText w:val="•"/>
      <w:numFmt w:val="bullet"/>
      <w:start w:val="1"/>
    </w:lvl>
  </w:abstractNum>
  <w:abstractNum w:abstractNumId="47">
    <w:nsid w:val="65CA235B"/>
    <w:multiLevelType w:val="hybridMultilevel"/>
    <w:lvl w:ilvl="0">
      <w:lvlJc w:val="left"/>
      <w:lvlText w:val="•"/>
      <w:numFmt w:val="bullet"/>
      <w:start w:val="1"/>
    </w:lvl>
  </w:abstractNum>
  <w:abstractNum w:abstractNumId="48">
    <w:nsid w:val="51CB0DA4"/>
    <w:multiLevelType w:val="hybridMultilevel"/>
    <w:lvl w:ilvl="0">
      <w:lvlJc w:val="left"/>
      <w:lvlText w:val="•"/>
      <w:numFmt w:val="bullet"/>
      <w:start w:val="1"/>
    </w:lvl>
  </w:abstractNum>
  <w:abstractNum w:abstractNumId="49">
    <w:nsid w:val="7B9B743C"/>
    <w:multiLevelType w:val="hybridMultilevel"/>
    <w:lvl w:ilvl="0">
      <w:lvlJc w:val="left"/>
      <w:lvlText w:val="•"/>
      <w:numFmt w:val="bullet"/>
      <w:start w:val="1"/>
    </w:lvl>
  </w:abstractNum>
  <w:abstractNum w:abstractNumId="50">
    <w:nsid w:val="13E21002"/>
    <w:multiLevelType w:val="hybridMultilevel"/>
    <w:lvl w:ilvl="0">
      <w:lvlJc w:val="left"/>
      <w:lvlText w:val="•"/>
      <w:numFmt w:val="bullet"/>
      <w:start w:val="1"/>
    </w:lvl>
  </w:abstractNum>
  <w:abstractNum w:abstractNumId="51">
    <w:nsid w:val="257D63F4"/>
    <w:multiLevelType w:val="hybridMultilevel"/>
    <w:lvl w:ilvl="0">
      <w:lvlJc w:val="left"/>
      <w:lvlText w:val="*"/>
      <w:numFmt w:val="bullet"/>
      <w:start w:val="1"/>
    </w:lvl>
  </w:abstractNum>
  <w:abstractNum w:abstractNumId="52">
    <w:nsid w:val="70EC11B2"/>
    <w:multiLevelType w:val="hybridMultilevel"/>
    <w:lvl w:ilvl="0">
      <w:lvlJc w:val="left"/>
      <w:lvlText w:val="(%1)"/>
      <w:numFmt w:val="lowerLetter"/>
      <w:start w:val="2"/>
    </w:lvl>
  </w:abstractNum>
  <w:abstractNum w:abstractNumId="53">
    <w:nsid w:val="2EDA00ED"/>
    <w:multiLevelType w:val="hybridMultilevel"/>
    <w:lvl w:ilvl="0">
      <w:lvlJc w:val="left"/>
      <w:lvlText w:val="(%1)"/>
      <w:numFmt w:val="lowerLetter"/>
      <w:start w:val="2"/>
    </w:lvl>
  </w:abstractNum>
  <w:abstractNum w:abstractNumId="54">
    <w:nsid w:val="73209072"/>
    <w:multiLevelType w:val="hybridMultilevel"/>
    <w:lvl w:ilvl="0">
      <w:lvlJc w:val="left"/>
      <w:lvlText w:val="(%1)"/>
      <w:numFmt w:val="lowerLetter"/>
      <w:start w:val="6"/>
    </w:lvl>
  </w:abstractNum>
  <w:abstractNum w:abstractNumId="55">
    <w:nsid w:val="5FB29816"/>
    <w:multiLevelType w:val="hybridMultilevel"/>
    <w:lvl w:ilvl="0">
      <w:lvlJc w:val="left"/>
      <w:lvlText w:val="(%1)"/>
      <w:numFmt w:val="lowerRoman"/>
      <w:start w:val="2"/>
    </w:lvl>
  </w:abstractNum>
  <w:abstractNum w:abstractNumId="56">
    <w:nsid w:val="3CE732EC"/>
    <w:multiLevelType w:val="hybridMultilevel"/>
    <w:lvl w:ilvl="0">
      <w:lvlJc w:val="left"/>
      <w:lvlText w:val="(%1)"/>
      <w:numFmt w:val="lowerRoman"/>
      <w:start w:val="2"/>
    </w:lvl>
  </w:abstractNum>
  <w:abstractNum w:abstractNumId="57">
    <w:nsid w:val="22F13DF3"/>
    <w:multiLevelType w:val="hybridMultilevel"/>
    <w:lvl w:ilvl="0">
      <w:lvlJc w:val="left"/>
      <w:lvlText w:val="(%1)"/>
      <w:numFmt w:val="decimal"/>
      <w:start w:val="1"/>
    </w:lvl>
  </w:abstractNum>
  <w:abstractNum w:abstractNumId="58">
    <w:nsid w:val="792B8401"/>
    <w:multiLevelType w:val="hybridMultilevel"/>
    <w:lvl w:ilvl="0">
      <w:lvlJc w:val="left"/>
      <w:lvlText w:val="(%1)"/>
      <w:numFmt w:val="decimal"/>
      <w:start w:val="2"/>
    </w:lvl>
  </w:abstractNum>
  <w:abstractNum w:abstractNumId="59">
    <w:nsid w:val="FA85F4D"/>
    <w:multiLevelType w:val="hybridMultilevel"/>
    <w:lvl w:ilvl="0">
      <w:lvlJc w:val="left"/>
      <w:lvlText w:val="(%1)"/>
      <w:numFmt w:val="decimal"/>
      <w:start w:val="1"/>
    </w:lvl>
  </w:abstractNum>
  <w:abstractNum w:abstractNumId="60">
    <w:nsid w:val="6ECE91F0"/>
    <w:multiLevelType w:val="hybridMultilevel"/>
    <w:lvl w:ilvl="0">
      <w:lvlJc w:val="left"/>
      <w:lvlText w:val="(%1)"/>
      <w:numFmt w:val="decimal"/>
      <w:start w:val="1"/>
    </w:lvl>
  </w:abstractNum>
  <w:abstractNum w:abstractNumId="61">
    <w:nsid w:val="4FC4D600"/>
    <w:multiLevelType w:val="hybridMultilevel"/>
    <w:lvl w:ilvl="0">
      <w:lvlJc w:val="left"/>
      <w:lvlText w:val="(%1)"/>
      <w:numFmt w:val="decimal"/>
      <w:start w:val="1"/>
    </w:lvl>
  </w:abstractNum>
  <w:abstractNum w:abstractNumId="62">
    <w:nsid w:val="5BFD4210"/>
    <w:multiLevelType w:val="hybridMultilevel"/>
    <w:lvl w:ilvl="0">
      <w:lvlJc w:val="left"/>
      <w:lvlText w:val="(%1)"/>
      <w:numFmt w:val="decimal"/>
      <w:start w:val="1"/>
    </w:lvl>
    <w:lvl w:ilvl="1">
      <w:lvlJc w:val="left"/>
      <w:lvlText w:val="(%2)"/>
      <w:numFmt w:val="decimal"/>
      <w:start w:val="8"/>
    </w:lvl>
  </w:abstractNum>
  <w:abstractNum w:abstractNumId="63">
    <w:nsid w:val="76574F8B"/>
    <w:multiLevelType w:val="hybridMultilevel"/>
    <w:lvl w:ilvl="0">
      <w:lvlJc w:val="left"/>
      <w:lvlText w:val="(%1)"/>
      <w:numFmt w:val="lowerLetter"/>
      <w:start w:val="2"/>
    </w:lvl>
  </w:abstractNum>
  <w:abstractNum w:abstractNumId="64">
    <w:nsid w:val="178F7B67"/>
    <w:multiLevelType w:val="hybridMultilevel"/>
    <w:lvl w:ilvl="0">
      <w:lvlJc w:val="left"/>
      <w:lvlText w:val="(%1)"/>
      <w:numFmt w:val="decimal"/>
      <w:start w:val="1"/>
    </w:lvl>
  </w:abstractNum>
  <w:abstractNum w:abstractNumId="65">
    <w:nsid w:val="2421DFCF"/>
    <w:multiLevelType w:val="hybridMultilevel"/>
    <w:lvl w:ilvl="0">
      <w:lvlJc w:val="left"/>
      <w:lvlText w:val="(%1)"/>
      <w:numFmt w:val="decimal"/>
      <w:start w:val="2"/>
    </w:lvl>
  </w:abstractNum>
  <w:abstractNum w:abstractNumId="66">
    <w:nsid w:val="1565AC99"/>
    <w:multiLevelType w:val="hybridMultilevel"/>
    <w:lvl w:ilvl="0">
      <w:lvlJc w:val="left"/>
      <w:lvlText w:val="(%1)"/>
      <w:numFmt w:val="decimal"/>
      <w:start w:val="1"/>
    </w:lvl>
  </w:abstractNum>
  <w:abstractNum w:abstractNumId="67">
    <w:nsid w:val="19FB2650"/>
    <w:multiLevelType w:val="hybridMultilevel"/>
    <w:lvl w:ilvl="0">
      <w:lvlJc w:val="left"/>
      <w:lvlText w:val="(%1)"/>
      <w:numFmt w:val="decimal"/>
      <w:start w:val="9"/>
    </w:lvl>
  </w:abstractNum>
  <w:abstractNum w:abstractNumId="68">
    <w:nsid w:val="5024DE5B"/>
    <w:multiLevelType w:val="hybridMultilevel"/>
    <w:lvl w:ilvl="0">
      <w:lvlJc w:val="left"/>
      <w:lvlText w:val="(%1)"/>
      <w:numFmt w:val="decimal"/>
      <w:start w:val="1"/>
    </w:lvl>
  </w:abstractNum>
  <w:abstractNum w:abstractNumId="69">
    <w:nsid w:val="168EFE17"/>
    <w:multiLevelType w:val="hybridMultilevel"/>
    <w:lvl w:ilvl="0">
      <w:lvlJc w:val="left"/>
      <w:lvlText w:val="(%1)"/>
      <w:numFmt w:val="decimal"/>
      <w:start w:val="2"/>
    </w:lvl>
  </w:abstractNum>
  <w:abstractNum w:abstractNumId="70">
    <w:nsid w:val="1036B29F"/>
    <w:multiLevelType w:val="hybridMultilevel"/>
    <w:lvl w:ilvl="0">
      <w:lvlJc w:val="left"/>
      <w:lvlText w:val="(%1)"/>
      <w:numFmt w:val="decimal"/>
      <w:start w:val="6"/>
    </w:lvl>
  </w:abstractNum>
  <w:abstractNum w:abstractNumId="71">
    <w:nsid w:val="1D206B8E"/>
    <w:multiLevelType w:val="hybridMultilevel"/>
    <w:lvl w:ilvl="0">
      <w:lvlJc w:val="left"/>
      <w:lvlText w:val="(%1)"/>
      <w:numFmt w:val="lowerLetter"/>
      <w:start w:val="1"/>
    </w:lvl>
  </w:abstractNum>
  <w:abstractNum w:abstractNumId="72">
    <w:nsid w:val="7934D3D4"/>
    <w:multiLevelType w:val="hybridMultilevel"/>
    <w:lvl w:ilvl="0">
      <w:lvlJc w:val="left"/>
      <w:lvlText w:val="(%1)"/>
      <w:numFmt w:val="lowerLetter"/>
      <w:start w:val="4"/>
    </w:lvl>
  </w:abstractNum>
  <w:abstractNum w:abstractNumId="73">
    <w:nsid w:val="1C65E98"/>
    <w:multiLevelType w:val="hybridMultilevel"/>
    <w:lvl w:ilvl="0">
      <w:lvlJc w:val="left"/>
      <w:lvlText w:val="(%1)"/>
      <w:numFmt w:val="lowerLetter"/>
      <w:start w:val="2"/>
    </w:lvl>
  </w:abstractNum>
  <w:abstractNum w:abstractNumId="74">
    <w:nsid w:val="1495E50A"/>
    <w:multiLevelType w:val="hybridMultilevel"/>
    <w:lvl w:ilvl="0">
      <w:lvlJc w:val="left"/>
      <w:lvlText w:val="(%1)"/>
      <w:numFmt w:val="decimal"/>
      <w:start w:val="1"/>
    </w:lvl>
  </w:abstractNum>
  <w:abstractNum w:abstractNumId="75">
    <w:nsid w:val="F5BCF61"/>
    <w:multiLevelType w:val="hybridMultilevel"/>
    <w:lvl w:ilvl="0">
      <w:lvlJc w:val="left"/>
      <w:lvlText w:val="(%1)"/>
      <w:numFmt w:val="lowerLetter"/>
      <w:start w:val="4"/>
    </w:lvl>
  </w:abstractNum>
  <w:abstractNum w:abstractNumId="76">
    <w:nsid w:val="3B1DD403"/>
    <w:multiLevelType w:val="hybridMultilevel"/>
    <w:lvl w:ilvl="0">
      <w:lvlJc w:val="left"/>
      <w:lvlText w:val="(%1)"/>
      <w:numFmt w:val="decimal"/>
      <w:start w:val="1"/>
    </w:lvl>
  </w:abstractNum>
  <w:abstractNum w:abstractNumId="77">
    <w:nsid w:val="530386D1"/>
    <w:multiLevelType w:val="hybridMultilevel"/>
    <w:lvl w:ilvl="0">
      <w:lvlJc w:val="left"/>
      <w:lvlText w:val="(%1)"/>
      <w:numFmt w:val="decimal"/>
      <w:start w:val="1"/>
    </w:lvl>
  </w:abstractNum>
  <w:abstractNum w:abstractNumId="78">
    <w:nsid w:val="7525F2BC"/>
    <w:multiLevelType w:val="hybridMultilevel"/>
    <w:lvl w:ilvl="0">
      <w:lvlJc w:val="left"/>
      <w:lvlText w:val="(%1)"/>
      <w:numFmt w:val="decimal"/>
      <w:start w:val="2"/>
    </w:lvl>
  </w:abstractNum>
  <w:abstractNum w:abstractNumId="79">
    <w:nsid w:val="CE8E1A7"/>
    <w:multiLevelType w:val="hybridMultilevel"/>
    <w:lvl w:ilvl="0">
      <w:lvlJc w:val="left"/>
      <w:lvlText w:val="(%1)"/>
      <w:numFmt w:val="decimal"/>
      <w:start w:val="1"/>
    </w:lvl>
  </w:abstractNum>
  <w:abstractNum w:abstractNumId="80">
    <w:nsid w:val="4E9EFB0D"/>
    <w:multiLevelType w:val="hybridMultilevel"/>
    <w:lvl w:ilvl="0">
      <w:lvlJc w:val="left"/>
      <w:lvlText w:val="(%1)"/>
      <w:numFmt w:val="decimal"/>
      <w:start w:val="1"/>
    </w:lvl>
  </w:abstractNum>
  <w:abstractNum w:abstractNumId="81">
    <w:nsid w:val="90802BE"/>
    <w:multiLevelType w:val="hybridMultilevel"/>
    <w:lvl w:ilvl="0">
      <w:lvlJc w:val="left"/>
      <w:lvlText w:val="(%1)"/>
      <w:numFmt w:val="lowerLetter"/>
      <w:start w:val="2"/>
    </w:lvl>
  </w:abstractNum>
  <w:abstractNum w:abstractNumId="82">
    <w:nsid w:val="3266459B"/>
    <w:multiLevelType w:val="hybridMultilevel"/>
    <w:lvl w:ilvl="0">
      <w:lvlJc w:val="left"/>
      <w:lvlText w:val="(%1)"/>
      <w:numFmt w:val="decimal"/>
      <w:start w:val="1"/>
    </w:lvl>
  </w:abstractNum>
  <w:abstractNum w:abstractNumId="83">
    <w:nsid w:val="3F8B0CBF"/>
    <w:multiLevelType w:val="hybridMultilevel"/>
    <w:lvl w:ilvl="0">
      <w:lvlJc w:val="left"/>
      <w:lvlText w:val="(%1)"/>
      <w:numFmt w:val="decimal"/>
      <w:start w:val="3"/>
    </w:lvl>
  </w:abstractNum>
  <w:abstractNum w:abstractNumId="84">
    <w:nsid w:val="37E203AB"/>
    <w:multiLevelType w:val="hybridMultilevel"/>
    <w:lvl w:ilvl="0">
      <w:lvlJc w:val="left"/>
      <w:lvlText w:val="(%1)"/>
      <w:numFmt w:val="decimal"/>
      <w:start w:val="8"/>
    </w:lvl>
  </w:abstractNum>
  <w:abstractNum w:abstractNumId="85">
    <w:nsid w:val="2586D60E"/>
    <w:multiLevelType w:val="hybridMultilevel"/>
    <w:lvl w:ilvl="0">
      <w:lvlJc w:val="left"/>
      <w:lvlText w:val="(%1)"/>
      <w:numFmt w:val="decimal"/>
      <w:start w:val="1"/>
    </w:lvl>
    <w:lvl w:ilvl="1">
      <w:lvlJc w:val="left"/>
      <w:lvlText w:val="(%2)"/>
      <w:numFmt w:val="upperLetter"/>
      <w:start w:val="1"/>
    </w:lvl>
  </w:abstractNum>
  <w:abstractNum w:abstractNumId="86">
    <w:nsid w:val="1F3DA4D5"/>
    <w:multiLevelType w:val="hybridMultilevel"/>
    <w:lvl w:ilvl="0">
      <w:lvlJc w:val="left"/>
      <w:lvlText w:val="(%1)"/>
      <w:numFmt w:val="decimal"/>
      <w:start w:val="4"/>
    </w:lvl>
  </w:abstractNum>
  <w:abstractNum w:abstractNumId="87">
    <w:nsid w:val="74C93698"/>
    <w:multiLevelType w:val="hybridMultilevel"/>
    <w:lvl w:ilvl="0">
      <w:lvlJc w:val="left"/>
      <w:lvlText w:val="(%1)"/>
      <w:numFmt w:val="decimal"/>
      <w:start w:val="14"/>
    </w:lvl>
  </w:abstractNum>
  <w:abstractNum w:abstractNumId="88">
    <w:nsid w:val="48781401"/>
    <w:multiLevelType w:val="hybridMultilevel"/>
    <w:lvl w:ilvl="0">
      <w:lvlJc w:val="left"/>
      <w:lvlText w:val="(%1)"/>
      <w:numFmt w:val="decimal"/>
      <w:start w:val="24"/>
    </w:lvl>
  </w:abstractNum>
  <w:abstractNum w:abstractNumId="89">
    <w:nsid w:val="186928D6"/>
    <w:multiLevelType w:val="hybridMultilevel"/>
    <w:lvl w:ilvl="0">
      <w:lvlJc w:val="left"/>
      <w:lvlText w:val="(%1)"/>
      <w:numFmt w:val="decimal"/>
      <w:start w:val="1"/>
    </w:lvl>
  </w:abstractNum>
  <w:abstractNum w:abstractNumId="90">
    <w:nsid w:val="47195E5"/>
    <w:multiLevelType w:val="hybridMultilevel"/>
    <w:lvl w:ilvl="0">
      <w:lvlJc w:val="left"/>
      <w:lvlText w:val="(%1)"/>
      <w:numFmt w:val="decimal"/>
      <w:start w:val="2"/>
    </w:lvl>
  </w:abstractNum>
  <w:abstractNum w:abstractNumId="91">
    <w:nsid w:val="3746A5F2"/>
    <w:multiLevelType w:val="hybridMultilevel"/>
    <w:lvl w:ilvl="0">
      <w:lvlJc w:val="left"/>
      <w:lvlText w:val="(%1)"/>
      <w:numFmt w:val="decimal"/>
      <w:start w:val="12"/>
    </w:lvl>
  </w:abstractNum>
  <w:abstractNum w:abstractNumId="92">
    <w:nsid w:val="682DFED6"/>
    <w:multiLevelType w:val="hybridMultilevel"/>
    <w:lvl w:ilvl="0">
      <w:lvlJc w:val="left"/>
      <w:lvlText w:val="(%1)"/>
      <w:numFmt w:val="decimal"/>
      <w:start w:val="23"/>
    </w:lvl>
  </w:abstractNum>
  <w:abstractNum w:abstractNumId="93">
    <w:nsid w:val="606ED7F6"/>
    <w:multiLevelType w:val="hybridMultilevel"/>
    <w:lvl w:ilvl="0">
      <w:lvlJc w:val="left"/>
      <w:lvlText w:val="(%1)"/>
      <w:numFmt w:val="decimal"/>
      <w:start w:val="1"/>
    </w:lvl>
  </w:abstractNum>
  <w:abstractNum w:abstractNumId="94">
    <w:nsid w:val="2D9DF57D"/>
    <w:multiLevelType w:val="hybridMultilevel"/>
    <w:lvl w:ilvl="0">
      <w:lvlJc w:val="left"/>
      <w:lvlText w:val="(%1)"/>
      <w:numFmt w:val="lowerLetter"/>
      <w:start w:val="1"/>
    </w:lvl>
  </w:abstractNum>
  <w:abstractNum w:abstractNumId="95">
    <w:nsid w:val="7FBD7A3E"/>
    <w:multiLevelType w:val="hybridMultilevel"/>
    <w:lvl w:ilvl="0">
      <w:lvlJc w:val="left"/>
      <w:lvlText w:val="(%1)"/>
      <w:numFmt w:val="lowerLetter"/>
      <w:start w:val="2"/>
    </w:lvl>
  </w:abstractNum>
  <w:abstractNum w:abstractNumId="96">
    <w:nsid w:val="490B7C5"/>
    <w:multiLevelType w:val="hybridMultilevel"/>
    <w:lvl w:ilvl="0">
      <w:lvlJc w:val="left"/>
      <w:lvlText w:val="(%1)"/>
      <w:numFmt w:val="decimal"/>
      <w:start w:val="1"/>
    </w:lvl>
  </w:abstractNum>
  <w:abstractNum w:abstractNumId="97">
    <w:nsid w:val="4303A216"/>
    <w:multiLevelType w:val="hybridMultilevel"/>
    <w:lvl w:ilvl="0">
      <w:lvlJc w:val="left"/>
      <w:lvlText w:val="(%1)"/>
      <w:numFmt w:val="decimal"/>
      <w:start w:val="1"/>
    </w:lvl>
  </w:abstractNum>
  <w:abstractNum w:abstractNumId="98">
    <w:nsid w:val="19B8A08E"/>
    <w:multiLevelType w:val="hybridMultilevel"/>
    <w:lvl w:ilvl="0">
      <w:lvlJc w:val="left"/>
      <w:lvlText w:val="(%1)"/>
      <w:numFmt w:val="decimal"/>
      <w:start w:val="4"/>
    </w:lvl>
  </w:abstractNum>
  <w:abstractNum w:abstractNumId="99">
    <w:nsid w:val="54B59621"/>
    <w:multiLevelType w:val="hybridMultilevel"/>
    <w:lvl w:ilvl="0">
      <w:lvlJc w:val="left"/>
      <w:lvlText w:val="(%1)"/>
      <w:numFmt w:val="decimal"/>
      <w:start w:val="1"/>
    </w:lvl>
  </w:abstractNum>
  <w:abstractNum w:abstractNumId="100">
    <w:nsid w:val="5992A02E"/>
    <w:multiLevelType w:val="hybridMultilevel"/>
    <w:lvl w:ilvl="0">
      <w:lvlJc w:val="left"/>
      <w:lvlText w:val="(%1)"/>
      <w:numFmt w:val="lowerLetter"/>
      <w:start w:val="1"/>
    </w:lvl>
  </w:abstractNum>
  <w:abstractNum w:abstractNumId="101">
    <w:nsid w:val="29EF532D"/>
    <w:multiLevelType w:val="hybridMultilevel"/>
    <w:lvl w:ilvl="0">
      <w:lvlJc w:val="left"/>
      <w:lvlText w:val="(%1)"/>
      <w:numFmt w:val="lowerRoman"/>
      <w:start w:val="1"/>
    </w:lvl>
  </w:abstractNum>
  <w:abstractNum w:abstractNumId="102">
    <w:nsid w:val="71D601AF"/>
    <w:multiLevelType w:val="hybridMultilevel"/>
    <w:lvl w:ilvl="0">
      <w:lvlJc w:val="left"/>
      <w:lvlText w:val="(%1)"/>
      <w:numFmt w:val="lowerLetter"/>
      <w:start w:val="2"/>
    </w:lvl>
  </w:abstractNum>
  <w:abstractNum w:abstractNumId="103">
    <w:nsid w:val="52C77402"/>
    <w:multiLevelType w:val="hybridMultilevel"/>
    <w:lvl w:ilvl="0">
      <w:lvlJc w:val="left"/>
      <w:lvlText w:val="(%1)"/>
      <w:numFmt w:val="lowerLetter"/>
      <w:start w:val="5"/>
    </w:lvl>
  </w:abstractNum>
  <w:abstractNum w:abstractNumId="104">
    <w:nsid w:val="2BB5B1C6"/>
    <w:multiLevelType w:val="hybridMultilevel"/>
    <w:lvl w:ilvl="0">
      <w:lvlJc w:val="left"/>
      <w:lvlText w:val="%1"/>
      <w:numFmt w:val="decimal"/>
      <w:start w:val="1"/>
    </w:lvl>
    <w:lvl w:ilvl="1">
      <w:lvlJc w:val="left"/>
      <w:lvlText w:val="(%2)"/>
      <w:numFmt w:val="lowerLetter"/>
      <w:start w:val="1"/>
    </w:lvl>
  </w:abstractNum>
  <w:abstractNum w:abstractNumId="105">
    <w:nsid w:val="66BE6B9"/>
    <w:multiLevelType w:val="hybridMultilevel"/>
    <w:lvl w:ilvl="0">
      <w:lvlJc w:val="left"/>
      <w:lvlText w:val="(%1)"/>
      <w:numFmt w:val="decimal"/>
      <w:start w:val="2"/>
    </w:lvl>
    <w:lvl w:ilvl="1">
      <w:lvlJc w:val="left"/>
      <w:lvlText w:val="%2"/>
      <w:numFmt w:val="lowerLetter"/>
      <w:start w:val="1"/>
    </w:lvl>
  </w:abstractNum>
  <w:abstractNum w:abstractNumId="106">
    <w:nsid w:val="62234363"/>
    <w:multiLevelType w:val="hybridMultilevel"/>
    <w:lvl w:ilvl="0">
      <w:lvlJc w:val="left"/>
      <w:lvlText w:val="(%1)"/>
      <w:numFmt w:val="decimal"/>
      <w:start w:val="4"/>
    </w:lvl>
    <w:lvl w:ilvl="1">
      <w:lvlJc w:val="left"/>
      <w:lvlText w:val="%2"/>
      <w:numFmt w:val="lowerLetter"/>
      <w:start w:val="1"/>
    </w:lvl>
  </w:abstractNum>
  <w:abstractNum w:abstractNumId="107">
    <w:nsid w:val="66D385C9"/>
    <w:multiLevelType w:val="hybridMultilevel"/>
    <w:lvl w:ilvl="0">
      <w:lvlJc w:val="left"/>
      <w:lvlText w:val="(%1)"/>
      <w:numFmt w:val="lowerLetter"/>
      <w:start w:val="3"/>
    </w:lvl>
  </w:abstractNum>
  <w:abstractNum w:abstractNumId="108">
    <w:nsid w:val="596F6D8A"/>
    <w:multiLevelType w:val="hybridMultilevel"/>
    <w:lvl w:ilvl="0">
      <w:lvlJc w:val="left"/>
      <w:lvlText w:val="(%1)"/>
      <w:numFmt w:val="lowerRoman"/>
      <w:start w:val="1"/>
    </w:lvl>
  </w:abstractNum>
  <w:abstractNum w:abstractNumId="109">
    <w:nsid w:val="5749361F"/>
    <w:multiLevelType w:val="hybridMultilevel"/>
    <w:lvl w:ilvl="0">
      <w:lvlJc w:val="left"/>
      <w:lvlText w:val="(%1)"/>
      <w:numFmt w:val="lowerRoman"/>
      <w:start w:val="2"/>
    </w:lvl>
  </w:abstractNum>
  <w:abstractNum w:abstractNumId="110">
    <w:nsid w:val="73BC6770"/>
    <w:multiLevelType w:val="hybridMultilevel"/>
    <w:lvl w:ilvl="0">
      <w:lvlJc w:val="left"/>
      <w:lvlText w:val="(%1)"/>
      <w:numFmt w:val="lowerLetter"/>
      <w:start w:val="6"/>
    </w:lvl>
  </w:abstractNum>
  <w:abstractNum w:abstractNumId="111">
    <w:nsid w:val="280E6897"/>
    <w:multiLevelType w:val="hybridMultilevel"/>
    <w:lvl w:ilvl="0">
      <w:lvlJc w:val="left"/>
      <w:lvlText w:val="(%1)"/>
      <w:numFmt w:val="lowerLetter"/>
      <w:start w:val="7"/>
    </w:lvl>
  </w:abstractNum>
  <w:abstractNum w:abstractNumId="112">
    <w:nsid w:val="605138DE"/>
    <w:multiLevelType w:val="hybridMultilevel"/>
    <w:lvl w:ilvl="0">
      <w:lvlJc w:val="left"/>
      <w:lvlText w:val="(%1)"/>
      <w:numFmt w:val="lowerLetter"/>
      <w:start w:val="10"/>
    </w:lvl>
  </w:abstractNum>
  <w:abstractNum w:abstractNumId="113">
    <w:nsid w:val="2622AD0C"/>
    <w:multiLevelType w:val="hybridMultilevel"/>
    <w:lvl w:ilvl="0">
      <w:lvlJc w:val="left"/>
      <w:lvlText w:val="%1"/>
      <w:numFmt w:val="lowerLetter"/>
      <w:start w:val="1"/>
    </w:lvl>
    <w:lvl w:ilvl="1">
      <w:lvlJc w:val="left"/>
      <w:lvlText w:val="(%2)"/>
      <w:numFmt w:val="lowerLetter"/>
      <w:start w:val="11"/>
    </w:lvl>
  </w:abstractNum>
  <w:abstractNum w:abstractNumId="114">
    <w:nsid w:val="67997556"/>
    <w:multiLevelType w:val="hybridMultilevel"/>
    <w:lvl w:ilvl="0">
      <w:lvlJc w:val="left"/>
      <w:lvlText w:val="(%1)"/>
      <w:numFmt w:val="lowerLetter"/>
      <w:start w:val="35"/>
    </w:lvl>
    <w:lvl w:ilvl="1">
      <w:lvlJc w:val="left"/>
      <w:lvlText w:val="(%2)"/>
      <w:numFmt w:val="lowerLetter"/>
      <w:start w:val="12"/>
    </w:lvl>
  </w:abstractNum>
  <w:abstractNum w:abstractNumId="115">
    <w:nsid w:val="18333C89"/>
    <w:multiLevelType w:val="hybridMultilevel"/>
    <w:lvl w:ilvl="0">
      <w:lvlJc w:val="left"/>
      <w:lvlText w:val="%1"/>
      <w:numFmt w:val="lowerRoman"/>
      <w:start w:val="1"/>
    </w:lvl>
    <w:lvl w:ilvl="1">
      <w:lvlJc w:val="left"/>
      <w:lvlText w:val="(%2)"/>
      <w:numFmt w:val="lowerLetter"/>
      <w:start w:val="1"/>
    </w:lvl>
  </w:abstractNum>
  <w:abstractNum w:abstractNumId="116">
    <w:nsid w:val="4BA9831A"/>
    <w:multiLevelType w:val="hybridMultilevel"/>
    <w:lvl w:ilvl="0">
      <w:lvlJc w:val="left"/>
      <w:lvlText w:val="(%1)"/>
      <w:numFmt w:val="lowerRoman"/>
      <w:start w:val="1"/>
    </w:lvl>
    <w:lvl w:ilvl="1">
      <w:lvlJc w:val="left"/>
      <w:lvlText w:val="%2"/>
      <w:numFmt w:val="lowerLetter"/>
      <w:start w:val="1"/>
    </w:lvl>
  </w:abstractNum>
  <w:abstractNum w:abstractNumId="117">
    <w:nsid w:val="6D71A2B"/>
    <w:multiLevelType w:val="hybridMultilevel"/>
    <w:lvl w:ilvl="0">
      <w:lvlJc w:val="left"/>
      <w:lvlText w:val="%1"/>
      <w:numFmt w:val="lowerRoman"/>
      <w:start w:val="1"/>
    </w:lvl>
    <w:lvl w:ilvl="1">
      <w:lvlJc w:val="left"/>
      <w:lvlText w:val="(%2)"/>
      <w:numFmt w:val="lowerLetter"/>
      <w:start w:val="2"/>
    </w:lvl>
  </w:abstractNum>
  <w:abstractNum w:abstractNumId="118">
    <w:nsid w:val="CFC7321"/>
    <w:multiLevelType w:val="hybridMultilevel"/>
    <w:lvl w:ilvl="0">
      <w:lvlJc w:val="left"/>
      <w:lvlText w:val="(%1)"/>
      <w:numFmt w:val="lowerRoman"/>
      <w:start w:val="1"/>
    </w:lvl>
    <w:lvl w:ilvl="1">
      <w:lvlJc w:val="left"/>
      <w:lvlText w:val="%2"/>
      <w:numFmt w:val="lowerLetter"/>
      <w:start w:val="1"/>
    </w:lvl>
  </w:abstractNum>
  <w:abstractNum w:abstractNumId="119">
    <w:nsid w:val="1421971B"/>
    <w:multiLevelType w:val="hybridMultilevel"/>
    <w:lvl w:ilvl="0">
      <w:lvlJc w:val="left"/>
      <w:lvlText w:val="(%1)"/>
      <w:numFmt w:val="lowerLetter"/>
      <w:start w:val="1"/>
    </w:lvl>
  </w:abstractNum>
  <w:abstractNum w:abstractNumId="120">
    <w:nsid w:val="1F404301"/>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21">
    <w:nsid w:val="116E0907"/>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22">
    <w:nsid w:val="4B683D0D"/>
    <w:multiLevelType w:val="hybridMultilevel"/>
    <w:lvl w:ilvl="0">
      <w:lvlJc w:val="left"/>
      <w:lvlText w:val="(%1)"/>
      <w:numFmt w:val="lowerRoman"/>
      <w:start w:val="4"/>
    </w:lvl>
    <w:lvl w:ilvl="1">
      <w:lvlJc w:val="left"/>
      <w:lvlText w:val="(%2)"/>
      <w:numFmt w:val="lowerRoman"/>
      <w:start w:val="2"/>
    </w:lvl>
    <w:lvl w:ilvl="2">
      <w:lvlJc w:val="left"/>
      <w:lvlText w:val="%3"/>
      <w:numFmt w:val="lowerLetter"/>
      <w:start w:val="1"/>
    </w:lvl>
  </w:abstractNum>
  <w:abstractNum w:abstractNumId="123">
    <w:nsid w:val="76E41D8"/>
    <w:multiLevelType w:val="hybridMultilevel"/>
    <w:lvl w:ilvl="0">
      <w:lvlJc w:val="left"/>
      <w:lvlText w:val="(%1)"/>
      <w:numFmt w:val="lowerLetter"/>
      <w:start w:val="4"/>
    </w:lvl>
  </w:abstractNum>
  <w:abstractNum w:abstractNumId="124">
    <w:nsid w:val="71DCE0FD"/>
    <w:multiLevelType w:val="hybridMultilevel"/>
    <w:lvl w:ilvl="0">
      <w:lvlJc w:val="left"/>
      <w:lvlText w:val="(%1)"/>
      <w:numFmt w:val="lowerLetter"/>
      <w:start w:val="1"/>
    </w:lvl>
  </w:abstractNum>
  <w:abstractNum w:abstractNumId="125">
    <w:nsid w:val="7906328B"/>
    <w:multiLevelType w:val="hybridMultilevel"/>
    <w:lvl w:ilvl="0">
      <w:lvlJc w:val="left"/>
      <w:lvlText w:val="(%1)"/>
      <w:numFmt w:val="lowerLetter"/>
      <w:start w:val="1"/>
    </w:lvl>
  </w:abstractNum>
  <w:abstractNum w:abstractNumId="126">
    <w:nsid w:val="72BBC16"/>
    <w:multiLevelType w:val="hybridMultilevel"/>
    <w:lvl w:ilvl="0">
      <w:lvlJc w:val="left"/>
      <w:lvlText w:val="(%1)"/>
      <w:numFmt w:val="lowerLetter"/>
      <w:start w:val="5"/>
    </w:lvl>
  </w:abstractNum>
  <w:abstractNum w:abstractNumId="127">
    <w:nsid w:val="766D98C2"/>
    <w:multiLevelType w:val="hybridMultilevel"/>
    <w:lvl w:ilvl="0">
      <w:lvlJc w:val="left"/>
      <w:lvlText w:val="(%1)"/>
      <w:numFmt w:val="lowerLetter"/>
      <w:start w:val="1"/>
    </w:lvl>
  </w:abstractNum>
  <w:abstractNum w:abstractNumId="128">
    <w:nsid w:val="3C09D4A1"/>
    <w:multiLevelType w:val="hybridMultilevel"/>
    <w:lvl w:ilvl="0">
      <w:lvlJc w:val="left"/>
      <w:lvlText w:val="(%1)"/>
      <w:numFmt w:val="lowerLetter"/>
      <w:start w:val="2"/>
    </w:lvl>
  </w:abstractNum>
  <w:abstractNum w:abstractNumId="129">
    <w:nsid w:val="20E45CA4"/>
    <w:multiLevelType w:val="hybridMultilevel"/>
    <w:lvl w:ilvl="0">
      <w:lvlJc w:val="left"/>
      <w:lvlText w:val="%1"/>
      <w:numFmt w:val="lowerLetter"/>
      <w:start w:val="1"/>
    </w:lvl>
    <w:lvl w:ilvl="1">
      <w:lvlJc w:val="left"/>
      <w:lvlText w:val="(%2)"/>
      <w:numFmt w:val="lowerLetter"/>
      <w:start w:val="7"/>
    </w:lvl>
  </w:abstractNum>
  <w:abstractNum w:abstractNumId="130">
    <w:nsid w:val="4B232EE3"/>
    <w:multiLevelType w:val="hybridMultilevel"/>
    <w:lvl w:ilvl="0">
      <w:lvlJc w:val="left"/>
      <w:lvlText w:val="(%1)"/>
      <w:numFmt w:val="lowerLetter"/>
      <w:start w:val="61"/>
    </w:lvl>
    <w:lvl w:ilvl="1">
      <w:lvlJc w:val="left"/>
      <w:lvlText w:val="(%2)"/>
      <w:numFmt w:val="lowerLetter"/>
      <w:start w:val="8"/>
    </w:lvl>
  </w:abstractNum>
  <w:abstractNum w:abstractNumId="131">
    <w:nsid w:val="159C74CF"/>
    <w:multiLevelType w:val="hybridMultilevel"/>
    <w:lvl w:ilvl="0">
      <w:lvlJc w:val="left"/>
      <w:lvlText w:val="(%1)"/>
      <w:numFmt w:val="lowerLetter"/>
      <w:start w:val="1"/>
    </w:lvl>
  </w:abstractNum>
  <w:abstractNum w:abstractNumId="132">
    <w:nsid w:val="4AD3AFD2"/>
    <w:multiLevelType w:val="hybridMultilevel"/>
    <w:lvl w:ilvl="0">
      <w:lvlJc w:val="left"/>
      <w:lvlText w:val="(%1)"/>
      <w:numFmt w:val="lowerLetter"/>
      <w:start w:val="2"/>
    </w:lvl>
  </w:abstractNum>
  <w:abstractNum w:abstractNumId="133">
    <w:nsid w:val="3CF93092"/>
    <w:multiLevelType w:val="hybridMultilevel"/>
    <w:lvl w:ilvl="0">
      <w:lvlJc w:val="left"/>
      <w:lvlText w:val="%1"/>
      <w:numFmt w:val="lowerRoman"/>
      <w:start w:val="1"/>
    </w:lvl>
    <w:lvl w:ilvl="1">
      <w:lvlJc w:val="left"/>
      <w:lvlText w:val="(%2)"/>
      <w:numFmt w:val="lowerLetter"/>
      <w:start w:val="1"/>
    </w:lvl>
  </w:abstractNum>
  <w:abstractNum w:abstractNumId="134">
    <w:nsid w:val="6863E8D2"/>
    <w:multiLevelType w:val="hybridMultilevel"/>
    <w:lvl w:ilvl="0">
      <w:lvlJc w:val="left"/>
      <w:lvlText w:val="(%1)"/>
      <w:numFmt w:val="lowerRoman"/>
      <w:start w:val="1"/>
    </w:lvl>
    <w:lvl w:ilvl="1">
      <w:lvlJc w:val="left"/>
      <w:lvlText w:val="%2"/>
      <w:numFmt w:val="lowerLetter"/>
      <w:start w:val="1"/>
    </w:lvl>
  </w:abstractNum>
  <w:abstractNum w:abstractNumId="135">
    <w:nsid w:val="76896198"/>
    <w:multiLevelType w:val="hybridMultilevel"/>
    <w:lvl w:ilvl="0">
      <w:lvlJc w:val="left"/>
      <w:lvlText w:val="(%1)"/>
      <w:numFmt w:val="lowerLetter"/>
      <w:start w:val="2"/>
    </w:lvl>
  </w:abstractNum>
  <w:abstractNum w:abstractNumId="136">
    <w:nsid w:val="4365174B"/>
    <w:multiLevelType w:val="hybridMultilevel"/>
    <w:lvl w:ilvl="0">
      <w:lvlJc w:val="left"/>
      <w:lvlText w:val="(%1)"/>
      <w:numFmt w:val="lowerLetter"/>
      <w:start w:val="4"/>
    </w:lvl>
  </w:abstractNum>
  <w:abstractNum w:abstractNumId="137">
    <w:nsid w:val="4A872C35"/>
    <w:multiLevelType w:val="hybridMultilevel"/>
    <w:lvl w:ilvl="0">
      <w:lvlJc w:val="left"/>
      <w:lvlText w:val="(%1)"/>
      <w:numFmt w:val="lowerLetter"/>
      <w:start w:val="1"/>
    </w:lvl>
  </w:abstractNum>
  <w:abstractNum w:abstractNumId="138">
    <w:nsid w:val="5D5CE761"/>
    <w:multiLevelType w:val="hybridMultilevel"/>
    <w:lvl w:ilvl="0">
      <w:lvlJc w:val="left"/>
      <w:lvlText w:val="%1"/>
      <w:numFmt w:val="lowerLetter"/>
      <w:start w:val="1"/>
    </w:lvl>
    <w:lvl w:ilvl="1">
      <w:lvlJc w:val="left"/>
      <w:lvlText w:val="(%2)"/>
      <w:numFmt w:val="lowerLetter"/>
      <w:start w:val="2"/>
    </w:lvl>
  </w:abstractNum>
  <w:abstractNum w:abstractNumId="139">
    <w:nsid w:val="1CD484D5"/>
    <w:multiLevelType w:val="hybridMultilevel"/>
    <w:lvl w:ilvl="0">
      <w:lvlJc w:val="left"/>
      <w:lvlText w:val="(%1)"/>
      <w:numFmt w:val="lowerLetter"/>
      <w:start w:val="9"/>
    </w:lvl>
    <w:lvl w:ilvl="1">
      <w:lvlJc w:val="left"/>
      <w:lvlText w:val="%2"/>
      <w:numFmt w:val="lowerLetter"/>
      <w:start w:val="1"/>
    </w:lvl>
  </w:abstractNum>
  <w:abstractNum w:abstractNumId="140">
    <w:nsid w:val="21D06255"/>
    <w:multiLevelType w:val="hybridMultilevel"/>
    <w:lvl w:ilvl="0">
      <w:lvlJc w:val="left"/>
      <w:lvlText w:val="(%1)"/>
      <w:numFmt w:val="lowerRoman"/>
      <w:start w:val="2"/>
    </w:lvl>
  </w:abstractNum>
  <w:abstractNum w:abstractNumId="141">
    <w:nsid w:val="51194ED1"/>
    <w:multiLevelType w:val="hybridMultilevel"/>
    <w:lvl w:ilvl="0">
      <w:lvlJc w:val="left"/>
      <w:lvlText w:val="(%1)"/>
      <w:numFmt w:val="decimal"/>
      <w:start w:val="2"/>
    </w:lvl>
  </w:abstractNum>
  <w:abstractNum w:abstractNumId="142">
    <w:nsid w:val="44E2ED6C"/>
    <w:multiLevelType w:val="hybridMultilevel"/>
    <w:lvl w:ilvl="0">
      <w:lvlJc w:val="left"/>
      <w:lvlText w:val="(%1)"/>
      <w:numFmt w:val="decimal"/>
      <w:start w:val="4"/>
    </w:lvl>
  </w:abstractNum>
  <w:abstractNum w:abstractNumId="143">
    <w:nsid w:val="2219B33"/>
    <w:multiLevelType w:val="hybridMultilevel"/>
    <w:lvl w:ilvl="0">
      <w:lvlJc w:val="left"/>
      <w:lvlText w:val="(%1)"/>
      <w:numFmt w:val="lowerLetter"/>
      <w:start w:val="8"/>
    </w:lvl>
  </w:abstractNum>
  <w:abstractNum w:abstractNumId="144">
    <w:nsid w:val="773BFBDD"/>
    <w:multiLevelType w:val="hybridMultilevel"/>
    <w:lvl w:ilvl="0">
      <w:lvlJc w:val="left"/>
      <w:lvlText w:val="(%1)"/>
      <w:numFmt w:val="lowerLetter"/>
      <w:start w:val="1"/>
    </w:lvl>
  </w:abstractNum>
  <w:abstractNum w:abstractNumId="145">
    <w:nsid w:val="2C7C62C2"/>
    <w:multiLevelType w:val="hybridMultilevel"/>
    <w:lvl w:ilvl="0">
      <w:lvlJc w:val="left"/>
      <w:lvlText w:val="(%1)"/>
      <w:numFmt w:val="lowerLetter"/>
      <w:start w:val="2"/>
    </w:lvl>
  </w:abstractNum>
  <w:abstractNum w:abstractNumId="146">
    <w:nsid w:val="1A54D7BC"/>
    <w:multiLevelType w:val="hybridMultilevel"/>
    <w:lvl w:ilvl="0">
      <w:lvlJc w:val="left"/>
      <w:lvlText w:val="(%1)"/>
      <w:numFmt w:val="lowerLetter"/>
      <w:start w:val="4"/>
    </w:lvl>
  </w:abstractNum>
  <w:abstractNum w:abstractNumId="147">
    <w:nsid w:val="42E57EF7"/>
    <w:multiLevelType w:val="hybridMultilevel"/>
    <w:lvl w:ilvl="0">
      <w:lvlJc w:val="left"/>
      <w:lvlText w:val="(%1)"/>
      <w:numFmt w:val="lowerRoman"/>
      <w:start w:val="1"/>
    </w:lvl>
  </w:abstractNum>
  <w:abstractNum w:abstractNumId="148">
    <w:nsid w:val="33537CED"/>
    <w:multiLevelType w:val="hybridMultilevel"/>
    <w:lvl w:ilvl="0">
      <w:lvlJc w:val="left"/>
      <w:lvlText w:val="(%1)"/>
      <w:numFmt w:val="lowerLetter"/>
      <w:start w:val="1"/>
    </w:lvl>
  </w:abstractNum>
  <w:abstractNum w:abstractNumId="149">
    <w:nsid w:val="27514ADE"/>
    <w:multiLevelType w:val="hybridMultilevel"/>
    <w:lvl w:ilvl="0">
      <w:lvlJc w:val="left"/>
      <w:lvlText w:val="(%1)"/>
      <w:numFmt w:val="lowerLetter"/>
      <w:start w:val="2"/>
    </w:lvl>
  </w:abstractNum>
  <w:abstractNum w:abstractNumId="150">
    <w:nsid w:val="57071613"/>
    <w:multiLevelType w:val="hybridMultilevel"/>
    <w:lvl w:ilvl="0">
      <w:lvlJc w:val="left"/>
      <w:lvlText w:val="(%1)"/>
      <w:numFmt w:val="lowerLetter"/>
      <w:start w:val="1"/>
    </w:lvl>
  </w:abstractNum>
  <w:abstractNum w:abstractNumId="151">
    <w:nsid w:val="5293BFEF"/>
    <w:multiLevelType w:val="hybridMultilevel"/>
    <w:lvl w:ilvl="0">
      <w:lvlJc w:val="left"/>
      <w:lvlText w:val="(%1)"/>
      <w:numFmt w:val="lowerLetter"/>
      <w:start w:val="1"/>
    </w:lvl>
  </w:abstractNum>
  <w:abstractNum w:abstractNumId="152">
    <w:nsid w:val="38BF53E5"/>
    <w:multiLevelType w:val="hybridMultilevel"/>
    <w:lvl w:ilvl="0">
      <w:lvlJc w:val="left"/>
      <w:lvlText w:val="%1"/>
      <w:numFmt w:val="lowerLetter"/>
      <w:start w:val="1"/>
    </w:lvl>
    <w:lvl w:ilvl="1">
      <w:lvlJc w:val="left"/>
      <w:lvlText w:val="(%2)"/>
      <w:numFmt w:val="lowerLetter"/>
      <w:start w:val="3"/>
    </w:lvl>
  </w:abstractNum>
  <w:abstractNum w:abstractNumId="153">
    <w:nsid w:val="226F5320"/>
    <w:multiLevelType w:val="hybridMultilevel"/>
    <w:lvl w:ilvl="0">
      <w:lvlJc w:val="left"/>
      <w:lvlText w:val="(%1)"/>
      <w:numFmt w:val="lowerLetter"/>
      <w:start w:val="9"/>
    </w:lvl>
    <w:lvl w:ilvl="1">
      <w:lvlJc w:val="left"/>
      <w:lvlText w:val="%2"/>
      <w:numFmt w:val="lowerLetter"/>
      <w:start w:val="1"/>
    </w:lvl>
  </w:abstractNum>
  <w:abstractNum w:abstractNumId="154">
    <w:nsid w:val="5A0201C7"/>
    <w:multiLevelType w:val="hybridMultilevel"/>
    <w:lvl w:ilvl="0">
      <w:lvlJc w:val="left"/>
      <w:lvlText w:val="(%1)"/>
      <w:numFmt w:val="upperLetter"/>
      <w:start w:val="1"/>
    </w:lvl>
    <w:lvl w:ilvl="1">
      <w:lvlJc w:val="left"/>
      <w:lvlText w:val="(%2)"/>
      <w:numFmt w:val="lowerRoman"/>
      <w:start w:val="2"/>
    </w:lvl>
  </w:abstractNum>
  <w:abstractNum w:abstractNumId="155">
    <w:nsid w:val="2A9C34E2"/>
    <w:multiLevelType w:val="hybridMultilevel"/>
    <w:lvl w:ilvl="0">
      <w:lvlJc w:val="left"/>
      <w:lvlText w:val="%1"/>
      <w:numFmt w:val="lowerRoman"/>
      <w:start w:val="1"/>
    </w:lvl>
    <w:lvl w:ilvl="1">
      <w:lvlJc w:val="left"/>
      <w:lvlText w:val="(%2)"/>
      <w:numFmt w:val="lowerLetter"/>
      <w:start w:val="5"/>
    </w:lvl>
  </w:abstractNum>
  <w:abstractNum w:abstractNumId="156">
    <w:nsid w:val="1B7585AB"/>
    <w:multiLevelType w:val="hybridMultilevel"/>
    <w:lvl w:ilvl="0">
      <w:lvlJc w:val="left"/>
      <w:lvlText w:val="(%1)"/>
      <w:numFmt w:val="lowerRoman"/>
      <w:start w:val="1"/>
    </w:lvl>
    <w:lvl w:ilvl="1">
      <w:lvlJc w:val="left"/>
      <w:lvlText w:val="(%2)"/>
      <w:numFmt w:val="lowerLetter"/>
      <w:start w:val="6"/>
    </w:lvl>
  </w:abstractNum>
  <w:abstractNum w:abstractNumId="157">
    <w:nsid w:val="612DBDDD"/>
    <w:multiLevelType w:val="hybridMultilevel"/>
    <w:lvl w:ilvl="0">
      <w:lvlJc w:val="left"/>
      <w:lvlText w:val="(%1)"/>
      <w:numFmt w:val="lowerLetter"/>
      <w:start w:val="7"/>
    </w:lvl>
  </w:abstractNum>
  <w:abstractNum w:abstractNumId="158">
    <w:nsid w:val="2109CDA4"/>
    <w:multiLevelType w:val="hybridMultilevel"/>
    <w:lvl w:ilvl="0">
      <w:lvlJc w:val="left"/>
      <w:lvlText w:val="(%1)"/>
      <w:numFmt w:val="lowerLetter"/>
      <w:start w:val="8"/>
    </w:lvl>
  </w:abstractNum>
  <w:abstractNum w:abstractNumId="159">
    <w:nsid w:val="577F5A4D"/>
    <w:multiLevelType w:val="hybridMultilevel"/>
    <w:lvl w:ilvl="0">
      <w:lvlJc w:val="left"/>
      <w:lvlText w:val="(%1)"/>
      <w:numFmt w:val="lowerLetter"/>
      <w:start w:val="1"/>
    </w:lvl>
  </w:abstractNum>
  <w:abstractNum w:abstractNumId="160">
    <w:nsid w:val="2121A81"/>
    <w:multiLevelType w:val="hybridMultilevel"/>
    <w:lvl w:ilvl="0">
      <w:lvlJc w:val="left"/>
      <w:lvlText w:val="%1"/>
      <w:numFmt w:val="lowerRoman"/>
      <w:start w:val="1"/>
    </w:lvl>
    <w:lvl w:ilvl="1">
      <w:lvlJc w:val="left"/>
      <w:lvlText w:val="(%2)"/>
      <w:numFmt w:val="lowerLetter"/>
      <w:start w:val="2"/>
    </w:lvl>
  </w:abstractNum>
  <w:abstractNum w:abstractNumId="161">
    <w:nsid w:val="6C2CFC88"/>
    <w:multiLevelType w:val="hybridMultilevel"/>
    <w:lvl w:ilvl="0">
      <w:lvlJc w:val="left"/>
      <w:lvlText w:val="(%1)"/>
      <w:numFmt w:val="lowerRoman"/>
      <w:start w:val="1"/>
    </w:lvl>
    <w:lvl w:ilvl="1">
      <w:lvlJc w:val="left"/>
      <w:lvlText w:val="(%2)"/>
      <w:numFmt w:val="lowerLetter"/>
      <w:start w:val="3"/>
    </w:lvl>
  </w:abstractNum>
  <w:abstractNum w:abstractNumId="162">
    <w:nsid w:val="6D1BCF1C"/>
    <w:multiLevelType w:val="hybridMultilevel"/>
    <w:lvl w:ilvl="0">
      <w:lvlJc w:val="left"/>
      <w:lvlText w:val="(%1)"/>
      <w:numFmt w:val="lowerRoman"/>
      <w:start w:val="1"/>
    </w:lvl>
  </w:abstractNum>
  <w:abstractNum w:abstractNumId="163">
    <w:nsid w:val="4CE5CA53"/>
    <w:multiLevelType w:val="hybridMultilevel"/>
    <w:lvl w:ilvl="0">
      <w:lvlJc w:val="left"/>
      <w:lvlText w:val="(%1)"/>
      <w:numFmt w:val="lowerRoman"/>
      <w:start w:val="5"/>
    </w:lvl>
  </w:abstractNum>
  <w:abstractNum w:abstractNumId="164">
    <w:nsid w:val="29262D1A"/>
    <w:multiLevelType w:val="hybridMultilevel"/>
    <w:lvl w:ilvl="0">
      <w:lvlJc w:val="left"/>
      <w:lvlText w:val="(%1)"/>
      <w:numFmt w:val="lowerLetter"/>
      <w:start w:val="4"/>
    </w:lvl>
  </w:abstractNum>
  <w:abstractNum w:abstractNumId="165">
    <w:nsid w:val="557FB7EE"/>
    <w:multiLevelType w:val="hybridMultilevel"/>
    <w:lvl w:ilvl="0">
      <w:lvlJc w:val="left"/>
      <w:lvlText w:val="(%1)"/>
      <w:numFmt w:val="lowerLetter"/>
      <w:start w:val="5"/>
    </w:lvl>
  </w:abstractNum>
  <w:abstractNum w:abstractNumId="166">
    <w:nsid w:val="436F2BEB"/>
    <w:multiLevelType w:val="hybridMultilevel"/>
    <w:lvl w:ilvl="0">
      <w:lvlJc w:val="left"/>
      <w:lvlText w:val="%1"/>
      <w:numFmt w:val="lowerRoman"/>
      <w:start w:val="1"/>
    </w:lvl>
    <w:lvl w:ilvl="1">
      <w:lvlJc w:val="left"/>
      <w:lvlText w:val="(%2)"/>
      <w:numFmt w:val="lowerLetter"/>
      <w:start w:val="1"/>
    </w:lvl>
  </w:abstractNum>
  <w:abstractNum w:abstractNumId="167">
    <w:nsid w:val="6C8B4466"/>
    <w:multiLevelType w:val="hybridMultilevel"/>
    <w:lvl w:ilvl="0">
      <w:lvlJc w:val="left"/>
      <w:lvlText w:val="(%1)"/>
      <w:numFmt w:val="lowerRoman"/>
      <w:start w:val="1"/>
    </w:lvl>
    <w:lvl w:ilvl="1">
      <w:lvlJc w:val="left"/>
      <w:lvlText w:val="%2"/>
      <w:numFmt w:val="lowerLetter"/>
      <w:start w:val="1"/>
    </w:lvl>
  </w:abstractNum>
  <w:abstractNum w:abstractNumId="168">
    <w:nsid w:val="2006E424"/>
    <w:multiLevelType w:val="hybridMultilevel"/>
    <w:lvl w:ilvl="0">
      <w:lvlJc w:val="left"/>
      <w:lvlText w:val="(%1)"/>
      <w:numFmt w:val="decimal"/>
      <w:start w:val="1"/>
    </w:lvl>
    <w:lvl w:ilvl="1">
      <w:lvlJc w:val="left"/>
      <w:lvlText w:val="%2"/>
      <w:numFmt w:val="lowerRoman"/>
      <w:start w:val="1"/>
    </w:lvl>
  </w:abstractNum>
  <w:abstractNum w:abstractNumId="169">
    <w:nsid w:val="20CC134C"/>
    <w:multiLevelType w:val="hybridMultilevel"/>
    <w:lvl w:ilvl="0">
      <w:lvlJc w:val="left"/>
      <w:lvlText w:val="(%1)"/>
      <w:numFmt w:val="decimal"/>
      <w:start w:val="6"/>
    </w:lvl>
    <w:lvl w:ilvl="1">
      <w:lvlJc w:val="left"/>
      <w:lvlText w:val="(%2)"/>
      <w:numFmt w:val="lowerRoman"/>
      <w:start w:val="3"/>
    </w:lvl>
  </w:abstractNum>
  <w:abstractNum w:abstractNumId="170">
    <w:nsid w:val="95FC93B"/>
    <w:multiLevelType w:val="hybridMultilevel"/>
    <w:lvl w:ilvl="0">
      <w:lvlJc w:val="left"/>
      <w:lvlText w:val="%1"/>
      <w:numFmt w:val="lowerLetter"/>
      <w:start w:val="1"/>
    </w:lvl>
    <w:lvl w:ilvl="1">
      <w:lvlJc w:val="left"/>
      <w:lvlText w:val="(%2)"/>
      <w:numFmt w:val="lowerRoman"/>
      <w:start w:val="1"/>
    </w:lvl>
  </w:abstractNum>
  <w:abstractNum w:abstractNumId="171">
    <w:nsid w:val="41D74679"/>
    <w:multiLevelType w:val="hybridMultilevel"/>
    <w:lvl w:ilvl="0">
      <w:lvlJc w:val="left"/>
      <w:lvlText w:val="(%1)"/>
      <w:numFmt w:val="lowerLetter"/>
      <w:start w:val="1"/>
    </w:lvl>
    <w:lvl w:ilvl="1">
      <w:lvlJc w:val="left"/>
      <w:lvlText w:val="(%2)"/>
      <w:numFmt w:val="lowerRoman"/>
      <w:start w:val="3"/>
    </w:lvl>
  </w:abstractNum>
  <w:abstractNum w:abstractNumId="172">
    <w:nsid w:val="71E5621E"/>
    <w:multiLevelType w:val="hybridMultilevel"/>
    <w:lvl w:ilvl="0">
      <w:lvlJc w:val="left"/>
      <w:lvlText w:val="(%1)"/>
      <w:numFmt w:val="lowerRoman"/>
      <w:start w:val="5"/>
    </w:lvl>
    <w:lvl w:ilvl="1">
      <w:lvlJc w:val="left"/>
      <w:lvlText w:val="(%2)"/>
      <w:numFmt w:val="lowerLetter"/>
      <w:start w:val="3"/>
    </w:lvl>
  </w:abstractNum>
  <w:abstractNum w:abstractNumId="173">
    <w:nsid w:val="4E42B6A8"/>
    <w:multiLevelType w:val="hybridMultilevel"/>
    <w:lvl w:ilvl="0">
      <w:lvlJc w:val="left"/>
      <w:lvlText w:val="(%1)"/>
      <w:numFmt w:val="lowerLetter"/>
      <w:start w:val="4"/>
    </w:lvl>
  </w:abstractNum>
  <w:abstractNum w:abstractNumId="174">
    <w:nsid w:val="43F8E1AC"/>
    <w:multiLevelType w:val="hybridMultilevel"/>
    <w:lvl w:ilvl="0">
      <w:lvlJc w:val="left"/>
      <w:lvlText w:val="(%1)"/>
      <w:numFmt w:val="lowerRoman"/>
      <w:start w:val="4"/>
    </w:lvl>
  </w:abstractNum>
  <w:abstractNum w:abstractNumId="175">
    <w:nsid w:val="69215DFB"/>
    <w:multiLevelType w:val="hybridMultilevel"/>
    <w:lvl w:ilvl="0">
      <w:lvlJc w:val="left"/>
      <w:lvlText w:val="(%1)"/>
      <w:numFmt w:val="lowerLetter"/>
      <w:start w:val="1"/>
    </w:lvl>
  </w:abstractNum>
  <w:abstractNum w:abstractNumId="176">
    <w:nsid w:val="7ABF196A"/>
    <w:multiLevelType w:val="hybridMultilevel"/>
    <w:lvl w:ilvl="0">
      <w:lvlJc w:val="left"/>
      <w:lvlText w:val="(%1)"/>
      <w:numFmt w:val="lowerLetter"/>
      <w:start w:val="1"/>
    </w:lvl>
  </w:abstractNum>
  <w:abstractNum w:abstractNumId="177">
    <w:nsid w:val="5E4DB968"/>
    <w:multiLevelType w:val="hybridMultilevel"/>
    <w:lvl w:ilvl="0">
      <w:lvlJc w:val="left"/>
      <w:lvlText w:val="(%1)"/>
      <w:numFmt w:val="lowerLetter"/>
      <w:start w:val="2"/>
    </w:lvl>
  </w:abstractNum>
  <w:abstractNum w:abstractNumId="178">
    <w:nsid w:val="2C06DCF3"/>
    <w:multiLevelType w:val="hybridMultilevel"/>
    <w:lvl w:ilvl="0">
      <w:lvlJc w:val="left"/>
      <w:lvlText w:val="(%1)"/>
      <w:numFmt w:val="lowerLetter"/>
      <w:start w:val="1"/>
    </w:lvl>
  </w:abstractNum>
  <w:abstractNum w:abstractNumId="179">
    <w:nsid w:val="2E129658"/>
    <w:multiLevelType w:val="hybridMultilevel"/>
    <w:lvl w:ilvl="0">
      <w:lvlJc w:val="left"/>
      <w:lvlText w:val="(%1)"/>
      <w:numFmt w:val="lowerLetter"/>
      <w:start w:val="1"/>
    </w:lvl>
  </w:abstractNum>
  <w:abstractNum w:abstractNumId="180">
    <w:nsid w:val="59F0446"/>
    <w:multiLevelType w:val="hybridMultilevel"/>
    <w:lvl w:ilvl="0">
      <w:lvlJc w:val="left"/>
      <w:lvlText w:val="(%1)"/>
      <w:numFmt w:val="decimal"/>
      <w:start w:val="4"/>
    </w:lvl>
  </w:abstractNum>
  <w:abstractNum w:abstractNumId="181">
    <w:nsid w:val="30DF306"/>
    <w:multiLevelType w:val="hybridMultilevel"/>
    <w:lvl w:ilvl="0">
      <w:lvlJc w:val="left"/>
      <w:lvlText w:val="%1"/>
      <w:numFmt w:val="lowerRoman"/>
      <w:start w:val="1"/>
    </w:lvl>
    <w:lvl w:ilvl="1">
      <w:lvlJc w:val="left"/>
      <w:lvlText w:val="(%2)"/>
      <w:numFmt w:val="lowerLetter"/>
      <w:start w:val="1"/>
    </w:lvl>
  </w:abstractNum>
  <w:abstractNum w:abstractNumId="182">
    <w:nsid w:val="A65647"/>
    <w:multiLevelType w:val="hybridMultilevel"/>
    <w:lvl w:ilvl="0">
      <w:lvlJc w:val="left"/>
      <w:lvlText w:val="(%1)"/>
      <w:numFmt w:val="lowerRoman"/>
      <w:start w:val="1"/>
    </w:lvl>
    <w:lvl w:ilvl="1">
      <w:lvlJc w:val="left"/>
      <w:lvlText w:val="%2"/>
      <w:numFmt w:val="lowerLetter"/>
      <w:start w:val="1"/>
    </w:lvl>
  </w:abstractNum>
  <w:abstractNum w:abstractNumId="183">
    <w:nsid w:val="3E5E582B"/>
    <w:multiLevelType w:val="hybridMultilevel"/>
    <w:lvl w:ilvl="0">
      <w:lvlJc w:val="left"/>
      <w:lvlText w:val="(%1)"/>
      <w:numFmt w:val="lowerRoman"/>
      <w:start w:val="3"/>
    </w:lvl>
  </w:abstractNum>
  <w:abstractNum w:abstractNumId="184">
    <w:nsid w:val="257D4626"/>
    <w:multiLevelType w:val="hybridMultilevel"/>
    <w:lvl w:ilvl="0">
      <w:lvlJc w:val="left"/>
      <w:lvlText w:val="(%1)"/>
      <w:numFmt w:val="lowerLetter"/>
      <w:start w:val="2"/>
    </w:lvl>
  </w:abstractNum>
  <w:abstractNum w:abstractNumId="185">
    <w:nsid w:val="5AA8580E"/>
    <w:multiLevelType w:val="hybridMultilevel"/>
    <w:lvl w:ilvl="0">
      <w:lvlJc w:val="left"/>
      <w:lvlText w:val="(%1)"/>
      <w:numFmt w:val="lowerLetter"/>
      <w:start w:val="5"/>
    </w:lvl>
    <w:lvl w:ilvl="1">
      <w:lvlJc w:val="left"/>
      <w:lvlText w:val="(%2)"/>
      <w:numFmt w:val="lowerRoman"/>
      <w:start w:val="1"/>
    </w:lvl>
  </w:abstractNum>
  <w:abstractNum w:abstractNumId="186">
    <w:nsid w:val="68FA8D0D"/>
    <w:multiLevelType w:val="hybridMultilevel"/>
    <w:lvl w:ilvl="0">
      <w:lvlJc w:val="left"/>
      <w:lvlText w:val="(%1)"/>
      <w:numFmt w:val="lowerLetter"/>
      <w:start w:val="11"/>
    </w:lvl>
  </w:abstractNum>
  <w:abstractNum w:abstractNumId="187">
    <w:nsid w:val="40F2CBD2"/>
    <w:multiLevelType w:val="hybridMultilevel"/>
    <w:lvl w:ilvl="0">
      <w:lvlJc w:val="left"/>
      <w:lvlText w:val="(%1)"/>
      <w:numFmt w:val="lowerLetter"/>
      <w:start w:val="1"/>
    </w:lvl>
  </w:abstractNum>
  <w:abstractNum w:abstractNumId="188">
    <w:nsid w:val="3BD615EB"/>
    <w:multiLevelType w:val="hybridMultilevel"/>
    <w:lvl w:ilvl="0">
      <w:lvlJc w:val="left"/>
      <w:lvlText w:val="(%1)"/>
      <w:numFmt w:val="lowerLetter"/>
      <w:start w:val="3"/>
    </w:lvl>
  </w:abstractNum>
  <w:abstractNum w:abstractNumId="189">
    <w:nsid w:val="A045AB2"/>
    <w:multiLevelType w:val="hybridMultilevel"/>
    <w:lvl w:ilvl="0">
      <w:lvlJc w:val="left"/>
      <w:lvlText w:val="(%1)"/>
      <w:numFmt w:val="lowerLetter"/>
      <w:start w:val="1"/>
    </w:lvl>
  </w:abstractNum>
  <w:abstractNum w:abstractNumId="190">
    <w:nsid w:val="1872261F"/>
    <w:multiLevelType w:val="hybridMultilevel"/>
    <w:lvl w:ilvl="0">
      <w:lvlJc w:val="left"/>
      <w:lvlText w:val="(%1)"/>
      <w:numFmt w:val="lowerLetter"/>
      <w:start w:val="2"/>
    </w:lvl>
  </w:abstractNum>
  <w:abstractNum w:abstractNumId="191">
    <w:nsid w:val="3DE8306C"/>
    <w:multiLevelType w:val="hybridMultilevel"/>
    <w:lvl w:ilvl="0">
      <w:lvlJc w:val="left"/>
      <w:lvlText w:val="(%1)"/>
      <w:numFmt w:val="lowerLetter"/>
      <w:start w:val="6"/>
    </w:lvl>
  </w:abstractNum>
  <w:abstractNum w:abstractNumId="192">
    <w:nsid w:val="7631573A"/>
    <w:multiLevelType w:val="hybridMultilevel"/>
    <w:lvl w:ilvl="0">
      <w:lvlJc w:val="left"/>
      <w:lvlText w:val="(%1)"/>
      <w:numFmt w:val="lowerLetter"/>
      <w:start w:val="8"/>
    </w:lvl>
  </w:abstractNum>
  <w:abstractNum w:abstractNumId="193">
    <w:nsid w:val="58DF53B"/>
    <w:multiLevelType w:val="hybridMultilevel"/>
    <w:lvl w:ilvl="0">
      <w:lvlJc w:val="left"/>
      <w:lvlText w:val="(%1)"/>
      <w:numFmt w:val="decimal"/>
      <w:start w:val="1"/>
    </w:lvl>
  </w:abstractNum>
  <w:abstractNum w:abstractNumId="194">
    <w:nsid w:val="ACDFAC0"/>
    <w:multiLevelType w:val="hybridMultilevel"/>
    <w:lvl w:ilvl="0">
      <w:lvlJc w:val="left"/>
      <w:lvlText w:val="(%1)"/>
      <w:numFmt w:val="lowerLetter"/>
      <w:start w:val="1"/>
    </w:lvl>
  </w:abstractNum>
  <w:abstractNum w:abstractNumId="195">
    <w:nsid w:val="1F578454"/>
    <w:multiLevelType w:val="hybridMultilevel"/>
    <w:lvl w:ilvl="0">
      <w:lvlJc w:val="left"/>
      <w:lvlText w:val="(%1)"/>
      <w:numFmt w:val="decimal"/>
      <w:start w:val="1"/>
    </w:lvl>
  </w:abstractNum>
  <w:abstractNum w:abstractNumId="196">
    <w:nsid w:val="5B0DAD2A"/>
    <w:multiLevelType w:val="hybridMultilevel"/>
    <w:lvl w:ilvl="0">
      <w:lvlJc w:val="left"/>
      <w:lvlText w:val="%1"/>
      <w:numFmt w:val="decimal"/>
      <w:start w:val="1"/>
    </w:lvl>
    <w:lvl w:ilvl="1">
      <w:lvlJc w:val="left"/>
      <w:lvlText w:val="(%2)"/>
      <w:numFmt w:val="lowerLetter"/>
      <w:start w:val="1"/>
    </w:lvl>
  </w:abstractNum>
  <w:abstractNum w:abstractNumId="197">
    <w:nsid w:val="4E3D26AB"/>
    <w:multiLevelType w:val="hybridMultilevel"/>
    <w:lvl w:ilvl="0">
      <w:lvlJc w:val="left"/>
      <w:lvlText w:val="(%1)"/>
      <w:numFmt w:val="decimal"/>
      <w:start w:val="1"/>
    </w:lvl>
    <w:lvl w:ilvl="1">
      <w:lvlJc w:val="left"/>
      <w:lvlText w:val="%2"/>
      <w:numFmt w:val="lowerLetter"/>
      <w:start w:val="1"/>
    </w:lvl>
  </w:abstractNum>
  <w:abstractNum w:abstractNumId="198">
    <w:nsid w:val="BE2C8BA"/>
    <w:multiLevelType w:val="hybridMultilevel"/>
    <w:lvl w:ilvl="0">
      <w:lvlJc w:val="left"/>
      <w:lvlText w:val="(%1)"/>
      <w:numFmt w:val="decimal"/>
      <w:start w:val="4"/>
    </w:lvl>
    <w:lvl w:ilvl="1">
      <w:lvlJc w:val="left"/>
      <w:lvlText w:val="(%2)"/>
      <w:numFmt w:val="lowerLetter"/>
      <w:start w:val="2"/>
    </w:lvl>
  </w:abstractNum>
  <w:abstractNum w:abstractNumId="199">
    <w:nsid w:val="7B14914E"/>
    <w:multiLevelType w:val="hybridMultilevel"/>
    <w:lvl w:ilvl="0">
      <w:lvlJc w:val="left"/>
      <w:lvlText w:val="(%1)"/>
      <w:numFmt w:val="lowerLetter"/>
      <w:start w:val="1"/>
    </w:lvl>
  </w:abstractNum>
  <w:abstractNum w:abstractNumId="200">
    <w:nsid w:val="6F0939F8"/>
    <w:multiLevelType w:val="hybridMultilevel"/>
    <w:lvl w:ilvl="0">
      <w:lvlJc w:val="left"/>
      <w:lvlText w:val="(%1)"/>
      <w:numFmt w:val="lowerLetter"/>
      <w:start w:val="3"/>
    </w:lvl>
  </w:abstractNum>
  <w:abstractNum w:abstractNumId="201">
    <w:nsid w:val="154291F6"/>
    <w:multiLevelType w:val="hybridMultilevel"/>
    <w:lvl w:ilvl="0">
      <w:lvlJc w:val="left"/>
      <w:lvlText w:val="(%1)"/>
      <w:numFmt w:val="lowerLetter"/>
      <w:start w:val="1"/>
    </w:lvl>
  </w:abstractNum>
  <w:abstractNum w:abstractNumId="202">
    <w:nsid w:val="3CEBD7C7"/>
    <w:multiLevelType w:val="hybridMultilevel"/>
    <w:lvl w:ilvl="0">
      <w:lvlJc w:val="left"/>
      <w:lvlText w:val="(%1)"/>
      <w:numFmt w:val="lowerLetter"/>
      <w:start w:val="1"/>
    </w:lvl>
  </w:abstractNum>
  <w:abstractNum w:abstractNumId="203">
    <w:nsid w:val="60EE9C16"/>
    <w:multiLevelType w:val="hybridMultilevel"/>
    <w:lvl w:ilvl="0">
      <w:lvlJc w:val="left"/>
      <w:lvlText w:val="(%1)"/>
      <w:numFmt w:val="lowerLetter"/>
      <w:start w:val="5"/>
    </w:lvl>
  </w:abstractNum>
  <w:abstractNum w:abstractNumId="204">
    <w:nsid w:val="6385489E"/>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05">
    <w:nsid w:val="E4B973"/>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06">
    <w:nsid w:val="4A0FFA11"/>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abstractNum>
  <w:abstractNum w:abstractNumId="207">
    <w:nsid w:val="5E446208"/>
    <w:multiLevelType w:val="hybridMultilevel"/>
    <w:lvl w:ilvl="0">
      <w:lvlJc w:val="left"/>
      <w:lvlText w:val="(%1)"/>
      <w:numFmt w:val="lowerRoman"/>
      <w:start w:val="4"/>
    </w:lvl>
  </w:abstractNum>
  <w:abstractNum w:abstractNumId="208">
    <w:nsid w:val="5F3272DB"/>
    <w:multiLevelType w:val="hybridMultilevel"/>
    <w:lvl w:ilvl="0">
      <w:lvlJc w:val="left"/>
      <w:lvlText w:val="(%1)"/>
      <w:numFmt w:val="lowerLetter"/>
      <w:start w:val="24"/>
    </w:lvl>
    <w:lvl w:ilvl="1">
      <w:lvlJc w:val="left"/>
      <w:lvlText w:val="(%2)"/>
      <w:numFmt w:val="upperLetter"/>
      <w:start w:val="1"/>
    </w:lvl>
  </w:abstractNum>
  <w:abstractNum w:abstractNumId="209">
    <w:nsid w:val="7616D704"/>
    <w:multiLevelType w:val="hybridMultilevel"/>
    <w:lvl w:ilvl="0">
      <w:lvlJc w:val="left"/>
      <w:lvlText w:val="%1"/>
      <w:numFmt w:val="lowerRoman"/>
      <w:start w:val="1"/>
    </w:lvl>
    <w:lvl w:ilvl="1">
      <w:lvlJc w:val="left"/>
      <w:lvlText w:val="(%2)"/>
      <w:numFmt w:val="upperLetter"/>
      <w:start w:val="4"/>
    </w:lvl>
  </w:abstractNum>
  <w:abstractNum w:abstractNumId="210">
    <w:nsid w:val="C56F860"/>
    <w:multiLevelType w:val="hybridMultilevel"/>
    <w:lvl w:ilvl="0">
      <w:lvlJc w:val="left"/>
      <w:lvlText w:val="(%1)"/>
      <w:numFmt w:val="lowerRoman"/>
      <w:start w:val="2"/>
    </w:lvl>
    <w:lvl w:ilvl="1">
      <w:lvlJc w:val="left"/>
      <w:lvlText w:val="(%2)"/>
      <w:numFmt w:val="upperLetter"/>
      <w:start w:val="6"/>
    </w:lvl>
  </w:abstractNum>
  <w:abstractNum w:abstractNumId="211">
    <w:nsid w:val="64D17722"/>
    <w:multiLevelType w:val="hybridMultilevel"/>
    <w:lvl w:ilvl="0">
      <w:lvlJc w:val="left"/>
      <w:lvlText w:val="%1"/>
      <w:numFmt w:val="decimal"/>
      <w:start w:val="1"/>
    </w:lvl>
    <w:lvl w:ilvl="1">
      <w:lvlJc w:val="left"/>
      <w:lvlText w:val="(%2)"/>
      <w:numFmt w:val="lowerLetter"/>
      <w:start w:val="2"/>
    </w:lvl>
  </w:abstractNum>
  <w:abstractNum w:abstractNumId="212">
    <w:nsid w:val="7924CA0A"/>
    <w:multiLevelType w:val="hybridMultilevel"/>
    <w:lvl w:ilvl="0">
      <w:lvlJc w:val="left"/>
      <w:lvlText w:val="(%1)"/>
      <w:numFmt w:val="decimal"/>
      <w:start w:val="1"/>
    </w:lvl>
    <w:lvl w:ilvl="1">
      <w:lvlJc w:val="left"/>
      <w:lvlText w:val="%2"/>
      <w:numFmt w:val="lowerLetter"/>
      <w:start w:val="1"/>
    </w:lvl>
  </w:abstractNum>
  <w:abstractNum w:abstractNumId="213">
    <w:nsid w:val="CFD4EA7"/>
    <w:multiLevelType w:val="hybridMultilevel"/>
    <w:lvl w:ilvl="0">
      <w:lvlJc w:val="left"/>
      <w:lvlText w:val="(%1)"/>
      <w:numFmt w:val="decimal"/>
      <w:start w:val="3"/>
    </w:lvl>
  </w:abstractNum>
  <w:abstractNum w:abstractNumId="214">
    <w:nsid w:val="232FCF4D"/>
    <w:multiLevelType w:val="hybridMultilevel"/>
    <w:lvl w:ilvl="0">
      <w:lvlJc w:val="left"/>
      <w:lvlText w:val="(%1)"/>
      <w:numFmt w:val="decimal"/>
      <w:start w:val="8"/>
    </w:lvl>
  </w:abstractNum>
  <w:abstractNum w:abstractNumId="215">
    <w:nsid w:val="1EA21031"/>
    <w:multiLevelType w:val="hybridMultilevel"/>
    <w:lvl w:ilvl="0">
      <w:lvlJc w:val="left"/>
      <w:lvlText w:val="(%1)"/>
      <w:numFmt w:val="decimal"/>
      <w:start w:val="18"/>
    </w:lvl>
  </w:abstractNum>
  <w:abstractNum w:abstractNumId="216">
    <w:nsid w:val="67A5A6B5"/>
    <w:multiLevelType w:val="hybridMultilevel"/>
    <w:lvl w:ilvl="0">
      <w:lvlJc w:val="left"/>
      <w:lvlText w:val="%1"/>
      <w:numFmt w:val="decimal"/>
      <w:start w:val="1"/>
    </w:lvl>
    <w:lvl w:ilvl="1">
      <w:lvlJc w:val="left"/>
      <w:lvlText w:val="(%2)"/>
      <w:numFmt w:val="lowerLetter"/>
      <w:start w:val="1"/>
    </w:lvl>
  </w:abstractNum>
  <w:abstractNum w:abstractNumId="217">
    <w:nsid w:val="C2A5C5B"/>
    <w:multiLevelType w:val="hybridMultilevel"/>
    <w:lvl w:ilvl="0">
      <w:lvlJc w:val="left"/>
      <w:lvlText w:val="(%1)"/>
      <w:numFmt w:val="decimal"/>
      <w:start w:val="1"/>
    </w:lvl>
    <w:lvl w:ilvl="1">
      <w:lvlJc w:val="left"/>
      <w:lvlText w:val="(%2)"/>
      <w:numFmt w:val="lowerLetter"/>
      <w:start w:val="2"/>
    </w:lvl>
  </w:abstractNum>
  <w:abstractNum w:abstractNumId="218">
    <w:nsid w:val="5F94DC03"/>
    <w:multiLevelType w:val="hybridMultilevel"/>
    <w:lvl w:ilvl="0">
      <w:lvlJc w:val="left"/>
      <w:lvlText w:val="%1"/>
      <w:numFmt w:val="lowerRoman"/>
      <w:start w:val="1"/>
    </w:lvl>
    <w:lvl w:ilvl="1">
      <w:lvlJc w:val="left"/>
      <w:lvlText w:val="(%2)"/>
      <w:numFmt w:val="decimal"/>
      <w:start w:val="1"/>
    </w:lvl>
  </w:abstractNum>
  <w:abstractNum w:abstractNumId="219">
    <w:nsid w:val="237BBCA0"/>
    <w:multiLevelType w:val="hybridMultilevel"/>
    <w:lvl w:ilvl="0">
      <w:lvlJc w:val="left"/>
      <w:lvlText w:val="(%1)"/>
      <w:numFmt w:val="lowerRoman"/>
      <w:start w:val="1"/>
    </w:lvl>
    <w:lvl w:ilvl="1">
      <w:lvlJc w:val="left"/>
      <w:lvlText w:val="%2"/>
      <w:numFmt w:val="decimal"/>
      <w:start w:val="1"/>
    </w:lvl>
  </w:abstractNum>
  <w:abstractNum w:abstractNumId="220">
    <w:nsid w:val="162EB70D"/>
    <w:multiLevelType w:val="hybridMultilevel"/>
    <w:lvl w:ilvl="0">
      <w:lvlJc w:val="left"/>
      <w:lvlText w:val="%1"/>
      <w:numFmt w:val="upperLetter"/>
      <w:start w:val="1"/>
    </w:lvl>
    <w:lvl w:ilvl="1">
      <w:lvlJc w:val="left"/>
      <w:lvlText w:val="(%2)"/>
      <w:numFmt w:val="decimal"/>
      <w:start w:val="4"/>
    </w:lvl>
  </w:abstractNum>
  <w:abstractNum w:abstractNumId="221">
    <w:nsid w:val="78070222"/>
    <w:multiLevelType w:val="hybridMultilevel"/>
    <w:lvl w:ilvl="0">
      <w:lvlJc w:val="left"/>
      <w:lvlText w:val="(%1)"/>
      <w:numFmt w:val="upperLetter"/>
      <w:start w:val="2"/>
    </w:lvl>
    <w:lvl w:ilvl="1">
      <w:lvlJc w:val="left"/>
      <w:lvlText w:val="(%2)"/>
      <w:numFmt w:val="decimal"/>
      <w:start w:val="10"/>
    </w:lvl>
  </w:abstractNum>
  <w:abstractNum w:abstractNumId="222">
    <w:nsid w:val="6163ED0D"/>
    <w:multiLevelType w:val="hybridMultilevel"/>
    <w:lvl w:ilvl="0">
      <w:lvlJc w:val="left"/>
      <w:lvlText w:val="(%1)"/>
      <w:numFmt w:val="decimal"/>
      <w:start w:val="13"/>
    </w:lvl>
  </w:abstractNum>
  <w:abstractNum w:abstractNumId="223">
    <w:nsid w:val="C600E47"/>
    <w:multiLevelType w:val="hybridMultilevel"/>
    <w:lvl w:ilvl="0">
      <w:lvlJc w:val="left"/>
      <w:lvlText w:val="(%1)"/>
      <w:numFmt w:val="upperLetter"/>
      <w:start w:val="4"/>
    </w:lvl>
  </w:abstractNum>
  <w:abstractNum w:abstractNumId="224">
    <w:nsid w:val="7D94F75D"/>
    <w:multiLevelType w:val="hybridMultilevel"/>
    <w:lvl w:ilvl="0">
      <w:lvlJc w:val="left"/>
      <w:lvlText w:val="%1"/>
      <w:numFmt w:val="decimal"/>
      <w:start w:val="1"/>
    </w:lvl>
    <w:lvl w:ilvl="1">
      <w:lvlJc w:val="left"/>
      <w:lvlText w:val="(%2)"/>
      <w:numFmt w:val="lowerLetter"/>
      <w:start w:val="1"/>
    </w:lvl>
  </w:abstractNum>
  <w:abstractNum w:abstractNumId="225">
    <w:nsid w:val="6C31E7CD"/>
    <w:multiLevelType w:val="hybridMultilevel"/>
    <w:lvl w:ilvl="0">
      <w:lvlJc w:val="left"/>
      <w:lvlText w:val="(%1)"/>
      <w:numFmt w:val="decimal"/>
      <w:start w:val="1"/>
    </w:lvl>
    <w:lvl w:ilvl="1">
      <w:lvlJc w:val="left"/>
      <w:lvlText w:val="%2"/>
      <w:numFmt w:val="lowerLetter"/>
      <w:start w:val="1"/>
    </w:lvl>
  </w:abstractNum>
  <w:abstractNum w:abstractNumId="226">
    <w:nsid w:val="2BB7929B"/>
    <w:multiLevelType w:val="hybridMultilevel"/>
    <w:lvl w:ilvl="0">
      <w:lvlJc w:val="left"/>
      <w:lvlText w:val="(%1)"/>
      <w:numFmt w:val="upperLetter"/>
      <w:start w:val="1"/>
    </w:lvl>
  </w:abstractNum>
  <w:abstractNum w:abstractNumId="227">
    <w:nsid w:val="58A2A487"/>
    <w:multiLevelType w:val="hybridMultilevel"/>
    <w:lvl w:ilvl="0">
      <w:lvlJc w:val="left"/>
      <w:lvlText w:val="%1"/>
      <w:numFmt w:val="decimal"/>
      <w:start w:val="1"/>
    </w:lvl>
    <w:lvl w:ilvl="1">
      <w:lvlJc w:val="left"/>
      <w:lvlText w:val="(%2)"/>
      <w:numFmt w:val="lowerLetter"/>
      <w:start w:val="2"/>
    </w:lvl>
  </w:abstractNum>
  <w:abstractNum w:abstractNumId="228">
    <w:nsid w:val="3A6F0E78"/>
    <w:multiLevelType w:val="hybridMultilevel"/>
    <w:lvl w:ilvl="0">
      <w:lvlJc w:val="left"/>
      <w:lvlText w:val="(%1)"/>
      <w:numFmt w:val="decimal"/>
      <w:start w:val="1"/>
    </w:lvl>
    <w:lvl w:ilvl="1">
      <w:lvlJc w:val="left"/>
      <w:lvlText w:val="%2"/>
      <w:numFmt w:val="lowerLetter"/>
      <w:start w:val="1"/>
    </w:lvl>
  </w:abstractNum>
  <w:abstractNum w:abstractNumId="229">
    <w:nsid w:val="379A5B56"/>
    <w:multiLevelType w:val="hybridMultilevel"/>
    <w:lvl w:ilvl="0">
      <w:lvlJc w:val="left"/>
      <w:lvlText w:val="(%1)"/>
      <w:numFmt w:val="decimal"/>
      <w:start w:val="2"/>
    </w:lvl>
  </w:abstractNum>
  <w:abstractNum w:abstractNumId="230">
    <w:nsid w:val="53B735D5"/>
    <w:multiLevelType w:val="hybridMultilevel"/>
    <w:lvl w:ilvl="0">
      <w:lvlJc w:val="left"/>
      <w:lvlText w:val="(%1)"/>
      <w:numFmt w:val="decimal"/>
      <w:start w:val="10"/>
    </w:lvl>
  </w:abstractNum>
  <w:abstractNum w:abstractNumId="231">
    <w:nsid w:val="29784870"/>
    <w:multiLevelType w:val="hybridMultilevel"/>
    <w:lvl w:ilvl="0">
      <w:lvlJc w:val="left"/>
      <w:lvlText w:val="(%1)"/>
      <w:numFmt w:val="lowerLetter"/>
      <w:start w:val="1"/>
    </w:lvl>
  </w:abstractNum>
  <w:abstractNum w:abstractNumId="232">
    <w:nsid w:val="4CDCED4C"/>
    <w:multiLevelType w:val="hybridMultilevel"/>
    <w:lvl w:ilvl="0">
      <w:lvlJc w:val="left"/>
      <w:lvlText w:val="(%1)"/>
      <w:numFmt w:val="lowerLetter"/>
      <w:start w:val="2"/>
    </w:lvl>
  </w:abstractNum>
  <w:abstractNum w:abstractNumId="233">
    <w:nsid w:val="10A30D9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34">
    <w:nsid w:val="A66E486"/>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35">
    <w:nsid w:val="306235EA"/>
    <w:multiLevelType w:val="hybridMultilevel"/>
    <w:lvl w:ilvl="0">
      <w:lvlJc w:val="left"/>
      <w:lvlText w:val="(%1)"/>
      <w:numFmt w:val="decimal"/>
      <w:start w:val="2"/>
    </w:lvl>
  </w:abstractNum>
  <w:abstractNum w:abstractNumId="236">
    <w:nsid w:val="1187C70F"/>
    <w:multiLevelType w:val="hybridMultilevel"/>
    <w:lvl w:ilvl="0">
      <w:lvlJc w:val="left"/>
      <w:lvlText w:val="(%1)"/>
      <w:numFmt w:val="lowerLetter"/>
      <w:start w:val="2"/>
    </w:lvl>
  </w:abstractNum>
  <w:abstractNum w:abstractNumId="237">
    <w:nsid w:val="5476DE98"/>
    <w:multiLevelType w:val="hybridMultilevel"/>
    <w:lvl w:ilvl="0">
      <w:lvlJc w:val="left"/>
      <w:lvlText w:val="(%1)"/>
      <w:numFmt w:val="decimal"/>
      <w:start w:val="1"/>
    </w:lvl>
    <w:lvl w:ilvl="1">
      <w:lvlJc w:val="left"/>
      <w:lvlText w:val="(%2)"/>
      <w:numFmt w:val="lowerLetter"/>
      <w:start w:val="3"/>
    </w:lvl>
  </w:abstractNum>
  <w:abstractNum w:abstractNumId="238">
    <w:nsid w:val="EA697F2"/>
    <w:multiLevelType w:val="hybridMultilevel"/>
    <w:lvl w:ilvl="0">
      <w:lvlJc w:val="left"/>
      <w:lvlText w:val="%1"/>
      <w:numFmt w:val="decimal"/>
      <w:start w:val="1"/>
    </w:lvl>
    <w:lvl w:ilvl="1">
      <w:lvlJc w:val="left"/>
      <w:lvlText w:val="(%2)"/>
      <w:numFmt w:val="lowerLetter"/>
      <w:start w:val="1"/>
    </w:lvl>
  </w:abstractNum>
  <w:abstractNum w:abstractNumId="239">
    <w:nsid w:val="70BA39EB"/>
    <w:multiLevelType w:val="hybridMultilevel"/>
    <w:lvl w:ilvl="0">
      <w:lvlJc w:val="left"/>
      <w:lvlText w:val="(%1)"/>
      <w:numFmt w:val="decimal"/>
      <w:start w:val="10"/>
    </w:lvl>
    <w:lvl w:ilvl="1">
      <w:lvlJc w:val="left"/>
      <w:lvlText w:val="(%2)"/>
      <w:numFmt w:val="lowerLetter"/>
      <w:start w:val="2"/>
    </w:lvl>
  </w:abstractNum>
  <w:abstractNum w:abstractNumId="240">
    <w:nsid w:val="4A8DB59C"/>
    <w:multiLevelType w:val="hybridMultilevel"/>
    <w:lvl w:ilvl="0">
      <w:lvlJc w:val="left"/>
      <w:lvlText w:val="(%1)"/>
      <w:numFmt w:val="decimal"/>
      <w:start w:val="10"/>
    </w:lvl>
    <w:lvl w:ilvl="1">
      <w:lvlJc w:val="left"/>
      <w:lvlText w:val="(%2)"/>
      <w:numFmt w:val="lowerLetter"/>
      <w:start w:val="3"/>
    </w:lvl>
  </w:abstractNum>
  <w:abstractNum w:abstractNumId="241">
    <w:nsid w:val="1AFD9053"/>
    <w:multiLevelType w:val="hybridMultilevel"/>
    <w:lvl w:ilvl="0">
      <w:lvlJc w:val="left"/>
      <w:lvlText w:val="(%1)"/>
      <w:numFmt w:val="lowerLetter"/>
      <w:start w:val="6"/>
    </w:lvl>
    <w:lvl w:ilvl="1">
      <w:lvlJc w:val="left"/>
      <w:lvlText w:val="(%2)"/>
      <w:numFmt w:val="decimal"/>
      <w:start w:val="1"/>
    </w:lvl>
  </w:abstractNum>
  <w:abstractNum w:abstractNumId="242">
    <w:nsid w:val="558BB10D"/>
    <w:multiLevelType w:val="hybridMultilevel"/>
    <w:lvl w:ilvl="0">
      <w:lvlJc w:val="left"/>
      <w:lvlText w:val="(%1)"/>
      <w:numFmt w:val="lowerLetter"/>
      <w:start w:val="8"/>
    </w:lvl>
  </w:abstractNum>
  <w:abstractNum w:abstractNumId="243">
    <w:nsid w:val="43B27FA7"/>
    <w:multiLevelType w:val="hybridMultilevel"/>
    <w:lvl w:ilvl="0">
      <w:lvlJc w:val="left"/>
      <w:lvlText w:val="(%1)"/>
      <w:numFmt w:val="lowerRoman"/>
      <w:start w:val="1"/>
    </w:lvl>
  </w:abstractNum>
  <w:abstractNum w:abstractNumId="244">
    <w:nsid w:val="27FADEFA"/>
    <w:multiLevelType w:val="hybridMultilevel"/>
    <w:lvl w:ilvl="0">
      <w:lvlJc w:val="left"/>
      <w:lvlText w:val="(%1)"/>
      <w:numFmt w:val="lowerRoman"/>
      <w:start w:val="4"/>
    </w:lvl>
  </w:abstractNum>
  <w:abstractNum w:abstractNumId="245">
    <w:nsid w:val="78BB805A"/>
    <w:multiLevelType w:val="hybridMultilevel"/>
    <w:lvl w:ilvl="0">
      <w:lvlJc w:val="left"/>
      <w:lvlText w:val="%1"/>
      <w:numFmt w:val="lowerLetter"/>
      <w:start w:val="1"/>
    </w:lvl>
    <w:lvl w:ilvl="1">
      <w:lvlJc w:val="left"/>
      <w:lvlText w:val="(%2)"/>
      <w:numFmt w:val="lowerLetter"/>
      <w:start w:val="1"/>
    </w:lvl>
  </w:abstractNum>
  <w:abstractNum w:abstractNumId="246">
    <w:nsid w:val="62548FD8"/>
    <w:multiLevelType w:val="hybridMultilevel"/>
    <w:lvl w:ilvl="0">
      <w:lvlJc w:val="left"/>
      <w:lvlText w:val="(%1)"/>
      <w:numFmt w:val="lowerLetter"/>
      <w:start w:val="9"/>
    </w:lvl>
    <w:lvl w:ilvl="1">
      <w:lvlJc w:val="left"/>
      <w:lvlText w:val="%2"/>
      <w:numFmt w:val="lowerLetter"/>
      <w:start w:val="1"/>
    </w:lvl>
  </w:abstractNum>
  <w:abstractNum w:abstractNumId="247">
    <w:nsid w:val="FA085B0"/>
    <w:multiLevelType w:val="hybridMultilevel"/>
    <w:lvl w:ilvl="0">
      <w:lvlJc w:val="left"/>
      <w:lvlText w:val="(%1)"/>
      <w:numFmt w:val="lowerRoman"/>
      <w:start w:val="2"/>
    </w:lvl>
    <w:lvl w:ilvl="1">
      <w:lvlJc w:val="left"/>
      <w:lvlText w:val="(%2)"/>
      <w:numFmt w:val="lowerLetter"/>
      <w:start w:val="3"/>
    </w:lvl>
  </w:abstractNum>
  <w:abstractNum w:abstractNumId="248">
    <w:nsid w:val="4E5DCB5"/>
    <w:multiLevelType w:val="hybridMultilevel"/>
    <w:lvl w:ilvl="0">
      <w:lvlJc w:val="left"/>
      <w:lvlText w:val="%1"/>
      <w:numFmt w:val="lowerLetter"/>
      <w:start w:val="1"/>
    </w:lvl>
    <w:lvl w:ilvl="1">
      <w:lvlJc w:val="left"/>
      <w:lvlText w:val="(%2)"/>
      <w:numFmt w:val="lowerLetter"/>
      <w:start w:val="1"/>
    </w:lvl>
  </w:abstractNum>
  <w:abstractNum w:abstractNumId="249">
    <w:nsid w:val="41E96BDB"/>
    <w:multiLevelType w:val="hybridMultilevel"/>
    <w:lvl w:ilvl="0">
      <w:lvlJc w:val="left"/>
      <w:lvlText w:val="(%1)"/>
      <w:numFmt w:val="lowerLetter"/>
      <w:start w:val="61"/>
    </w:lvl>
    <w:lvl w:ilvl="1">
      <w:lvlJc w:val="left"/>
      <w:lvlText w:val="(%2)"/>
      <w:numFmt w:val="lowerLetter"/>
      <w:start w:val="2"/>
    </w:lvl>
  </w:abstractNum>
  <w:abstractNum w:abstractNumId="250">
    <w:nsid w:val="331C4250"/>
    <w:multiLevelType w:val="hybridMultilevel"/>
    <w:lvl w:ilvl="0">
      <w:lvlJc w:val="left"/>
      <w:lvlText w:val="(%1)"/>
      <w:numFmt w:val="lowerLetter"/>
      <w:start w:val="3"/>
    </w:lvl>
  </w:abstractNum>
  <w:abstractNum w:abstractNumId="251">
    <w:nsid w:val="1B1493C2"/>
    <w:multiLevelType w:val="hybridMultilevel"/>
    <w:lvl w:ilvl="0">
      <w:lvlJc w:val="left"/>
      <w:lvlText w:val="(%1)"/>
      <w:numFmt w:val="lowerRoman"/>
      <w:start w:val="1"/>
    </w:lvl>
  </w:abstractNum>
  <w:abstractNum w:abstractNumId="252">
    <w:nsid w:val="39F06DFD"/>
    <w:multiLevelType w:val="hybridMultilevel"/>
    <w:lvl w:ilvl="0">
      <w:lvlJc w:val="left"/>
      <w:lvlText w:val="(%1)"/>
      <w:numFmt w:val="lowerLetter"/>
      <w:start w:val="1"/>
    </w:lvl>
  </w:abstractNum>
  <w:abstractNum w:abstractNumId="253">
    <w:nsid w:val="14802F5D"/>
    <w:multiLevelType w:val="hybridMultilevel"/>
    <w:lvl w:ilvl="0">
      <w:lvlJc w:val="left"/>
      <w:lvlText w:val="(%1)"/>
      <w:numFmt w:val="lowerLetter"/>
      <w:start w:val="1"/>
    </w:lvl>
  </w:abstractNum>
  <w:abstractNum w:abstractNumId="254">
    <w:nsid w:val="2774A209"/>
    <w:multiLevelType w:val="hybridMultilevel"/>
    <w:lvl w:ilvl="0">
      <w:lvlJc w:val="left"/>
      <w:lvlText w:val="(%1)"/>
      <w:numFmt w:val="lowerLetter"/>
      <w:start w:val="2"/>
    </w:lvl>
  </w:abstractNum>
  <w:abstractNum w:abstractNumId="255">
    <w:nsid w:val="3785655A"/>
    <w:multiLevelType w:val="hybridMultilevel"/>
    <w:lvl w:ilvl="0">
      <w:lvlJc w:val="left"/>
      <w:lvlText w:val="(%1)"/>
      <w:numFmt w:val="lowerLetter"/>
      <w:start w:val="1"/>
    </w:lvl>
  </w:abstractNum>
  <w:abstractNum w:abstractNumId="256">
    <w:nsid w:val="B2172A"/>
    <w:multiLevelType w:val="hybridMultilevel"/>
    <w:lvl w:ilvl="0">
      <w:lvlJc w:val="left"/>
      <w:lvlText w:val="(%1)"/>
      <w:numFmt w:val="lowerLetter"/>
      <w:start w:val="2"/>
    </w:lvl>
  </w:abstractNum>
  <w:abstractNum w:abstractNumId="257">
    <w:nsid w:val="532C34A5"/>
    <w:multiLevelType w:val="hybridMultilevel"/>
    <w:lvl w:ilvl="0">
      <w:lvlJc w:val="left"/>
      <w:lvlText w:val="%1"/>
      <w:numFmt w:val="lowerLetter"/>
      <w:start w:val="1"/>
    </w:lvl>
    <w:lvl w:ilvl="1">
      <w:lvlJc w:val="left"/>
      <w:lvlText w:val="(%2)"/>
      <w:numFmt w:val="lowerLetter"/>
      <w:start w:val="1"/>
    </w:lvl>
  </w:abstractNum>
  <w:abstractNum w:abstractNumId="258">
    <w:nsid w:val="102809E2"/>
    <w:multiLevelType w:val="hybridMultilevel"/>
    <w:lvl w:ilvl="0">
      <w:lvlJc w:val="left"/>
      <w:lvlText w:val="(%1)"/>
      <w:numFmt w:val="lowerLetter"/>
      <w:start w:val="9"/>
    </w:lvl>
    <w:lvl w:ilvl="1">
      <w:lvlJc w:val="left"/>
      <w:lvlText w:val="%2"/>
      <w:numFmt w:val="lowerLetter"/>
      <w:start w:val="1"/>
    </w:lvl>
  </w:abstractNum>
  <w:abstractNum w:abstractNumId="259">
    <w:nsid w:val="3B2125A3"/>
    <w:multiLevelType w:val="hybridMultilevel"/>
    <w:lvl w:ilvl="0">
      <w:lvlJc w:val="left"/>
      <w:lvlText w:val="(%1)"/>
      <w:numFmt w:val="lowerRoman"/>
      <w:start w:val="2"/>
    </w:lvl>
    <w:lvl w:ilvl="1">
      <w:lvlJc w:val="left"/>
      <w:lvlText w:val="(%2)"/>
      <w:numFmt w:val="lowerLetter"/>
      <w:start w:val="2"/>
    </w:lvl>
  </w:abstractNum>
  <w:abstractNum w:abstractNumId="260">
    <w:nsid w:val="AC68FFB"/>
    <w:multiLevelType w:val="hybridMultilevel"/>
    <w:lvl w:ilvl="0">
      <w:lvlJc w:val="left"/>
      <w:lvlText w:val="(%1)"/>
      <w:numFmt w:val="lowerLetter"/>
      <w:start w:val="1"/>
    </w:lvl>
  </w:abstractNum>
  <w:abstractNum w:abstractNumId="261">
    <w:nsid w:val="63DF3FB7"/>
    <w:multiLevelType w:val="hybridMultilevel"/>
    <w:lvl w:ilvl="0">
      <w:lvlJc w:val="left"/>
      <w:lvlText w:val="(%1)"/>
      <w:numFmt w:val="lowerLetter"/>
      <w:start w:val="2"/>
    </w:lvl>
  </w:abstractNum>
  <w:abstractNum w:abstractNumId="262">
    <w:nsid w:val="64996E13"/>
    <w:multiLevelType w:val="hybridMultilevel"/>
    <w:lvl w:ilvl="0">
      <w:lvlJc w:val="left"/>
      <w:lvlText w:val="(%1)"/>
      <w:numFmt w:val="upperLetter"/>
      <w:start w:val="1"/>
    </w:lvl>
  </w:abstractNum>
  <w:abstractNum w:abstractNumId="263">
    <w:nsid w:val="57A37D47"/>
    <w:multiLevelType w:val="hybridMultilevel"/>
    <w:lvl w:ilvl="0">
      <w:lvlJc w:val="left"/>
      <w:lvlText w:val="(%1)"/>
      <w:numFmt w:val="upperLetter"/>
      <w:start w:val="1"/>
    </w:lvl>
  </w:abstractNum>
  <w:abstractNum w:abstractNumId="264">
    <w:nsid w:val="74824D54"/>
    <w:multiLevelType w:val="hybridMultilevel"/>
    <w:lvl w:ilvl="0">
      <w:lvlJc w:val="left"/>
      <w:lvlText w:val="(%1)"/>
      <w:numFmt w:val="upperLetter"/>
      <w:start w:val="3"/>
    </w:lvl>
  </w:abstractNum>
  <w:abstractNum w:abstractNumId="265">
    <w:nsid w:val="6F00529A"/>
    <w:multiLevelType w:val="hybridMultilevel"/>
    <w:lvl w:ilvl="0">
      <w:lvlJc w:val="left"/>
      <w:lvlText w:val="(%1)"/>
      <w:numFmt w:val="lowerRoman"/>
      <w:start w:val="3"/>
    </w:lvl>
  </w:abstractNum>
  <w:abstractNum w:abstractNumId="266">
    <w:nsid w:val="805B331"/>
    <w:multiLevelType w:val="hybridMultilevel"/>
    <w:lvl w:ilvl="0">
      <w:lvlJc w:val="left"/>
      <w:lvlText w:val="(%1)"/>
      <w:numFmt w:val="lowerRoman"/>
      <w:start w:val="4"/>
    </w:lvl>
  </w:abstractNum>
  <w:abstractNum w:abstractNumId="267">
    <w:nsid w:val="60A1463"/>
    <w:multiLevelType w:val="hybridMultilevel"/>
    <w:lvl w:ilvl="0">
      <w:lvlJc w:val="left"/>
      <w:lvlText w:val="(%1)"/>
      <w:numFmt w:val="lowerLetter"/>
      <w:start w:val="3"/>
    </w:lvl>
  </w:abstractNum>
  <w:abstractNum w:abstractNumId="268">
    <w:nsid w:val="43773132"/>
    <w:multiLevelType w:val="hybridMultilevel"/>
    <w:lvl w:ilvl="0">
      <w:lvlJc w:val="left"/>
      <w:lvlText w:val="(%1)"/>
      <w:numFmt w:val="lowerLetter"/>
      <w:start w:val="4"/>
    </w:lvl>
  </w:abstractNum>
  <w:abstractNum w:abstractNumId="269">
    <w:nsid w:val="16AC4B23"/>
    <w:multiLevelType w:val="hybridMultilevel"/>
    <w:lvl w:ilvl="0">
      <w:lvlJc w:val="left"/>
      <w:lvlText w:val="(%1)"/>
      <w:numFmt w:val="lowerRoman"/>
      <w:start w:val="2"/>
    </w:lvl>
  </w:abstractNum>
  <w:abstractNum w:abstractNumId="270">
    <w:nsid w:val="76C44E4E"/>
    <w:multiLevelType w:val="hybridMultilevel"/>
    <w:lvl w:ilvl="0">
      <w:lvlJc w:val="left"/>
      <w:lvlText w:val="%1"/>
      <w:numFmt w:val="lowerRoman"/>
      <w:start w:val="1"/>
    </w:lvl>
    <w:lvl w:ilvl="1">
      <w:lvlJc w:val="left"/>
      <w:lvlText w:val="(%2)"/>
      <w:numFmt w:val="lowerLetter"/>
      <w:start w:val="5"/>
    </w:lvl>
  </w:abstractNum>
  <w:abstractNum w:abstractNumId="271">
    <w:nsid w:val="E04E6CE"/>
    <w:multiLevelType w:val="hybridMultilevel"/>
    <w:lvl w:ilvl="0">
      <w:lvlJc w:val="left"/>
      <w:lvlText w:val="(%1)"/>
      <w:numFmt w:val="lowerRoman"/>
      <w:start w:val="1"/>
    </w:lvl>
    <w:lvl w:ilvl="1">
      <w:lvlJc w:val="left"/>
      <w:lvlText w:val="%2"/>
      <w:numFmt w:val="lowerLetter"/>
      <w:start w:val="1"/>
    </w:lvl>
  </w:abstractNum>
  <w:abstractNum w:abstractNumId="272">
    <w:nsid w:val="31A9DB76"/>
    <w:multiLevelType w:val="hybridMultilevel"/>
    <w:lvl w:ilvl="0">
      <w:lvlJc w:val="left"/>
      <w:lvlText w:val="(%1)"/>
      <w:numFmt w:val="lowerLetter"/>
      <w:start w:val="8"/>
    </w:lvl>
  </w:abstractNum>
  <w:abstractNum w:abstractNumId="273">
    <w:nsid w:val="4C4FFF5B"/>
    <w:multiLevelType w:val="hybridMultilevel"/>
    <w:lvl w:ilvl="0">
      <w:lvlJc w:val="left"/>
      <w:lvlText w:val="(%1)"/>
      <w:numFmt w:val="lowerLetter"/>
      <w:start w:val="10"/>
    </w:lvl>
  </w:abstractNum>
  <w:abstractNum w:abstractNumId="274">
    <w:nsid w:val="51B76675"/>
    <w:multiLevelType w:val="hybridMultilevel"/>
    <w:lvl w:ilvl="0">
      <w:lvlJc w:val="left"/>
      <w:lvlText w:val="(%1)"/>
      <w:numFmt w:val="lowerLetter"/>
      <w:start w:val="1"/>
    </w:lvl>
  </w:abstractNum>
  <w:abstractNum w:abstractNumId="275">
    <w:nsid w:val="59A4BA71"/>
    <w:multiLevelType w:val="hybridMultilevel"/>
    <w:lvl w:ilvl="0">
      <w:lvlJc w:val="left"/>
      <w:lvlText w:val="(%1)"/>
      <w:numFmt w:val="lowerRoman"/>
      <w:start w:val="2"/>
    </w:lvl>
  </w:abstractNum>
  <w:abstractNum w:abstractNumId="276">
    <w:nsid w:val="450B7FB6"/>
    <w:multiLevelType w:val="hybridMultilevel"/>
    <w:lvl w:ilvl="0">
      <w:lvlJc w:val="left"/>
      <w:lvlText w:val="(%1)"/>
      <w:numFmt w:val="lowerLetter"/>
      <w:start w:val="2"/>
    </w:lvl>
  </w:abstractNum>
  <w:abstractNum w:abstractNumId="277">
    <w:nsid w:val="340BF64D"/>
    <w:multiLevelType w:val="hybridMultilevel"/>
    <w:lvl w:ilvl="0">
      <w:lvlJc w:val="left"/>
      <w:lvlText w:val="%1"/>
      <w:numFmt w:val="lowerLetter"/>
      <w:start w:val="1"/>
    </w:lvl>
    <w:lvl w:ilvl="1">
      <w:lvlJc w:val="left"/>
      <w:lvlText w:val="(%2)"/>
      <w:numFmt w:val="lowerLetter"/>
      <w:start w:val="3"/>
    </w:lvl>
  </w:abstractNum>
  <w:abstractNum w:abstractNumId="278">
    <w:nsid w:val="69454021"/>
    <w:multiLevelType w:val="hybridMultilevel"/>
    <w:lvl w:ilvl="0">
      <w:lvlJc w:val="left"/>
      <w:lvlText w:val="(%1)"/>
      <w:numFmt w:val="lowerLetter"/>
      <w:start w:val="25"/>
    </w:lvl>
    <w:lvl w:ilvl="1">
      <w:lvlJc w:val="left"/>
      <w:lvlText w:val="%2"/>
      <w:numFmt w:val="lowerLetter"/>
      <w:start w:val="1"/>
    </w:lvl>
  </w:abstractNum>
  <w:abstractNum w:abstractNumId="279">
    <w:nsid w:val="49F15C6B"/>
    <w:multiLevelType w:val="hybridMultilevel"/>
    <w:lvl w:ilvl="0">
      <w:lvlJc w:val="left"/>
      <w:lvlText w:val="(%1)"/>
      <w:numFmt w:val="lowerRoman"/>
      <w:start w:val="2"/>
    </w:lvl>
  </w:abstractNum>
  <w:abstractNum w:abstractNumId="280">
    <w:nsid w:val="75F56228"/>
    <w:multiLevelType w:val="hybridMultilevel"/>
    <w:lvl w:ilvl="0">
      <w:lvlJc w:val="left"/>
      <w:lvlText w:val="(%1)"/>
      <w:numFmt w:val="lowerLetter"/>
      <w:start w:val="4"/>
    </w:lvl>
  </w:abstractNum>
  <w:abstractNum w:abstractNumId="281">
    <w:nsid w:val="1C618271"/>
    <w:multiLevelType w:val="hybridMultilevel"/>
    <w:lvl w:ilvl="0">
      <w:lvlJc w:val="left"/>
      <w:lvlText w:val="(%1)"/>
      <w:numFmt w:val="lowerLetter"/>
      <w:start w:val="1"/>
    </w:lvl>
  </w:abstractNum>
  <w:abstractNum w:abstractNumId="282">
    <w:nsid w:val="6505F02E"/>
    <w:multiLevelType w:val="hybridMultilevel"/>
    <w:lvl w:ilvl="0">
      <w:lvlJc w:val="left"/>
      <w:lvlText w:val="(%1)"/>
      <w:numFmt w:val="lowerLetter"/>
      <w:start w:val="3"/>
    </w:lvl>
  </w:abstractNum>
  <w:abstractNum w:abstractNumId="283">
    <w:nsid w:val="2FE5D025"/>
    <w:multiLevelType w:val="hybridMultilevel"/>
    <w:lvl w:ilvl="0">
      <w:lvlJc w:val="left"/>
      <w:lvlText w:val="%1"/>
      <w:numFmt w:val="lowerLetter"/>
      <w:start w:val="1"/>
    </w:lvl>
    <w:lvl w:ilvl="1">
      <w:lvlJc w:val="left"/>
      <w:lvlText w:val="(%2)"/>
      <w:numFmt w:val="lowerLetter"/>
      <w:start w:val="1"/>
    </w:lvl>
  </w:abstractNum>
  <w:abstractNum w:abstractNumId="284">
    <w:nsid w:val="30E1B1CF"/>
    <w:multiLevelType w:val="hybridMultilevel"/>
    <w:lvl w:ilvl="0">
      <w:lvlJc w:val="left"/>
      <w:lvlText w:val="(%1)"/>
      <w:numFmt w:val="lowerLetter"/>
      <w:start w:val="9"/>
    </w:lvl>
    <w:lvl w:ilvl="1">
      <w:lvlJc w:val="left"/>
      <w:lvlText w:val="%2"/>
      <w:numFmt w:val="lowerLetter"/>
      <w:start w:val="1"/>
    </w:lvl>
  </w:abstractNum>
  <w:abstractNum w:abstractNumId="285">
    <w:nsid w:val="C7A9237"/>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2"/>
    </w:lvl>
    <w:lvl w:ilvl="3">
      <w:lvlJc w:val="left"/>
      <w:lvlText w:val="(%4)"/>
      <w:numFmt w:val="lowerLetter"/>
      <w:start w:val="2"/>
    </w:lvl>
  </w:abstractNum>
  <w:abstractNum w:abstractNumId="286">
    <w:nsid w:val="676B3580"/>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287">
    <w:nsid w:val="3193C8F9"/>
    <w:multiLevelType w:val="hybridMultilevel"/>
    <w:lvl w:ilvl="0">
      <w:lvlJc w:val="left"/>
      <w:lvlText w:val="(%1)"/>
      <w:numFmt w:val="lowerLetter"/>
      <w:start w:val="5"/>
    </w:lvl>
  </w:abstractNum>
  <w:abstractNum w:abstractNumId="288">
    <w:nsid w:val="5FA6C6DC"/>
    <w:multiLevelType w:val="hybridMultilevel"/>
    <w:lvl w:ilvl="0">
      <w:lvlJc w:val="left"/>
      <w:lvlText w:val="(%1)"/>
      <w:numFmt w:val="lowerLetter"/>
      <w:start w:val="4"/>
    </w:lvl>
    <w:lvl w:ilvl="1">
      <w:lvlJc w:val="left"/>
      <w:lvlText w:val="(%2)"/>
      <w:numFmt w:val="lowerLetter"/>
      <w:start w:val="6"/>
    </w:lvl>
  </w:abstractNum>
  <w:abstractNum w:abstractNumId="289">
    <w:nsid w:val="77933F62"/>
    <w:multiLevelType w:val="hybridMultilevel"/>
    <w:lvl w:ilvl="0">
      <w:lvlJc w:val="left"/>
      <w:lvlText w:val="(%1)"/>
      <w:numFmt w:val="lowerLetter"/>
      <w:start w:val="10"/>
    </w:lvl>
  </w:abstractNum>
  <w:abstractNum w:abstractNumId="290">
    <w:nsid w:val="6CB4EE9C"/>
    <w:multiLevelType w:val="hybridMultilevel"/>
    <w:lvl w:ilvl="0">
      <w:lvlJc w:val="left"/>
      <w:lvlText w:val="(%1)"/>
      <w:numFmt w:val="lowerLetter"/>
      <w:start w:val="1"/>
    </w:lvl>
  </w:abstractNum>
  <w:abstractNum w:abstractNumId="291">
    <w:nsid w:val="6A6D56D7"/>
    <w:multiLevelType w:val="hybridMultilevel"/>
    <w:lvl w:ilvl="0">
      <w:lvlJc w:val="left"/>
      <w:lvlText w:val="%1"/>
      <w:numFmt w:val="lowerRoman"/>
      <w:start w:val="1"/>
    </w:lvl>
    <w:lvl w:ilvl="1">
      <w:lvlJc w:val="left"/>
      <w:lvlText w:val="(%2)"/>
      <w:numFmt w:val="lowerLetter"/>
      <w:start w:val="2"/>
    </w:lvl>
  </w:abstractNum>
  <w:abstractNum w:abstractNumId="292">
    <w:nsid w:val="5B727F19"/>
    <w:multiLevelType w:val="hybridMultilevel"/>
    <w:lvl w:ilvl="0">
      <w:lvlJc w:val="left"/>
      <w:lvlText w:val="(%1)"/>
      <w:numFmt w:val="lowerRoman"/>
      <w:start w:val="1"/>
    </w:lvl>
    <w:lvl w:ilvl="1">
      <w:lvlJc w:val="left"/>
      <w:lvlText w:val="%2"/>
      <w:numFmt w:val="lowerLetter"/>
      <w:start w:val="1"/>
    </w:lvl>
  </w:abstractNum>
  <w:abstractNum w:abstractNumId="293">
    <w:nsid w:val="514E5CB0"/>
    <w:multiLevelType w:val="hybridMultilevel"/>
    <w:lvl w:ilvl="0">
      <w:lvlJc w:val="left"/>
      <w:lvlText w:val="1"/>
      <w:numFmt w:val="bullet"/>
      <w:start w:val="1"/>
    </w:lvl>
  </w:abstractNum>
  <w:abstractNum w:abstractNumId="294">
    <w:nsid w:val="4210D41E"/>
    <w:multiLevelType w:val="hybridMultilevel"/>
    <w:lvl w:ilvl="0">
      <w:lvlJc w:val="left"/>
      <w:lvlText w:val="["/>
      <w:numFmt w:val="bullet"/>
      <w:start w:val="1"/>
    </w:lvl>
  </w:abstractNum>
  <w:abstractNum w:abstractNumId="295">
    <w:nsid w:val="4FF4CC6D"/>
    <w:multiLevelType w:val="hybridMultilevel"/>
    <w:lvl w:ilvl="0">
      <w:lvlJc w:val="left"/>
      <w:lvlText w:val="%1."/>
      <w:numFmt w:val="decimal"/>
      <w:start w:val="1"/>
    </w:lvl>
  </w:abstractNum>
  <w:abstractNum w:abstractNumId="296">
    <w:nsid w:val="404EAF4A"/>
    <w:multiLevelType w:val="hybridMultilevel"/>
    <w:lvl w:ilvl="0">
      <w:lvlJc w:val="left"/>
      <w:lvlText w:val="%1."/>
      <w:numFmt w:val="decimal"/>
      <w:start w:val="1"/>
    </w:lvl>
  </w:abstractNum>
  <w:abstractNum w:abstractNumId="297">
    <w:nsid w:val="4A16874F"/>
    <w:multiLevelType w:val="hybridMultilevel"/>
    <w:lvl w:ilvl="0">
      <w:lvlJc w:val="left"/>
      <w:lvlText w:val="%1."/>
      <w:numFmt w:val="decimal"/>
      <w:start w:val="5"/>
    </w:lvl>
  </w:abstractNum>
  <w:abstractNum w:abstractNumId="298">
    <w:nsid w:val="55FEE0D1"/>
    <w:multiLevelType w:val="hybridMultilevel"/>
    <w:lvl w:ilvl="0">
      <w:lvlJc w:val="left"/>
      <w:lvlText w:val="%1."/>
      <w:numFmt w:val="decimal"/>
      <w:start w:val="1"/>
    </w:lvl>
  </w:abstractNum>
  <w:abstractNum w:abstractNumId="299">
    <w:nsid w:val="3C5E07C"/>
    <w:multiLevelType w:val="hybridMultilevel"/>
    <w:lvl w:ilvl="0">
      <w:lvlJc w:val="left"/>
      <w:lvlText w:val="%1"/>
      <w:numFmt w:val="upperLetter"/>
      <w:start w:val="1"/>
    </w:lvl>
    <w:lvl w:ilvl="1">
      <w:lvlJc w:val="left"/>
      <w:lvlText w:val="%2."/>
      <w:numFmt w:val="decimal"/>
      <w:start w:val="3"/>
    </w:lvl>
  </w:abstractNum>
  <w:abstractNum w:abstractNumId="300">
    <w:nsid w:val="60C2D273"/>
    <w:multiLevelType w:val="hybridMultilevel"/>
    <w:lvl w:ilvl="0">
      <w:lvlJc w:val="left"/>
      <w:lvlText w:val="%1."/>
      <w:numFmt w:val="upperLetter"/>
      <w:start w:val="2"/>
    </w:lvl>
    <w:lvl w:ilvl="1">
      <w:lvlJc w:val="left"/>
      <w:lvlText w:val="%2."/>
      <w:numFmt w:val="decimal"/>
      <w:start w:val="1"/>
    </w:lvl>
  </w:abstractNum>
  <w:abstractNum w:abstractNumId="301">
    <w:nsid w:val="4CC32F1F"/>
    <w:multiLevelType w:val="hybridMultilevel"/>
    <w:lvl w:ilvl="0">
      <w:lvlJc w:val="left"/>
      <w:lvlText w:val="%1"/>
      <w:numFmt w:val="upperLetter"/>
      <w:start w:val="1"/>
    </w:lvl>
    <w:lvl w:ilvl="1">
      <w:lvlJc w:val="left"/>
      <w:lvlText w:val="%2."/>
      <w:numFmt w:val="decimal"/>
      <w:start w:val="2"/>
    </w:lvl>
  </w:abstractNum>
  <w:abstractNum w:abstractNumId="302">
    <w:nsid w:val="11CAC74A"/>
    <w:multiLevelType w:val="hybridMultilevel"/>
    <w:lvl w:ilvl="0">
      <w:lvlJc w:val="left"/>
      <w:lvlText w:val="%1."/>
      <w:numFmt w:val="upperLetter"/>
      <w:start w:val="3"/>
    </w:lvl>
    <w:lvl w:ilvl="1">
      <w:lvlJc w:val="left"/>
      <w:lvlText w:val="%2."/>
      <w:numFmt w:val="decimal"/>
      <w:start w:val="1"/>
    </w:lvl>
  </w:abstractNum>
  <w:abstractNum w:abstractNumId="303">
    <w:nsid w:val="126CADE9"/>
    <w:multiLevelType w:val="hybridMultilevel"/>
    <w:lvl w:ilvl="0">
      <w:lvlJc w:val="left"/>
      <w:lvlText w:val="%1."/>
      <w:numFmt w:val="decimal"/>
      <w:start w:val="1"/>
    </w:lvl>
  </w:abstractNum>
  <w:abstractNum w:abstractNumId="304">
    <w:nsid w:val="19132E7B"/>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05">
    <w:nsid w:val="63822DC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06">
    <w:nsid w:val="6C11685A"/>
    <w:multiLevelType w:val="hybridMultilevel"/>
    <w:lvl w:ilvl="0">
      <w:lvlJc w:val="left"/>
      <w:lvlText w:val="%1."/>
      <w:numFmt w:val="decimal"/>
      <w:start w:val="1"/>
    </w:lvl>
    <w:lvl w:ilvl="1">
      <w:lvlJc w:val="left"/>
      <w:lvlText w:val="%2"/>
      <w:numFmt w:val="lowerLetter"/>
      <w:start w:val="1"/>
    </w:lvl>
  </w:abstractNum>
  <w:abstractNum w:abstractNumId="307">
    <w:nsid w:val="5E1EAE31"/>
    <w:multiLevelType w:val="hybridMultilevel"/>
    <w:lvl w:ilvl="0">
      <w:lvlJc w:val="left"/>
      <w:lvlText w:val="%1."/>
      <w:numFmt w:val="decimal"/>
      <w:start w:val="2"/>
    </w:lvl>
  </w:abstractNum>
  <w:abstractNum w:abstractNumId="308">
    <w:nsid w:val="178E240D"/>
    <w:multiLevelType w:val="hybridMultilevel"/>
    <w:lvl w:ilvl="0">
      <w:lvlJc w:val="left"/>
      <w:lvlText w:val="%1"/>
      <w:numFmt w:val="upperLetter"/>
      <w:start w:val="1"/>
    </w:lvl>
    <w:lvl w:ilvl="1">
      <w:lvlJc w:val="left"/>
      <w:lvlText w:val="%2."/>
      <w:numFmt w:val="decimal"/>
      <w:start w:val="3"/>
    </w:lvl>
  </w:abstractNum>
  <w:abstractNum w:abstractNumId="309">
    <w:nsid w:val="5556A87B"/>
    <w:multiLevelType w:val="hybridMultilevel"/>
    <w:lvl w:ilvl="0">
      <w:lvlJc w:val="left"/>
      <w:lvlText w:val="%1."/>
      <w:numFmt w:val="upperLetter"/>
      <w:start w:val="8"/>
    </w:lvl>
    <w:lvl w:ilvl="1">
      <w:lvlJc w:val="left"/>
      <w:lvlText w:val="%2"/>
      <w:numFmt w:val="decimal"/>
      <w:start w:val="1"/>
    </w:lvl>
  </w:abstractNum>
  <w:abstractNum w:abstractNumId="310">
    <w:nsid w:val="28100A9C"/>
    <w:multiLevelType w:val="hybridMultilevel"/>
    <w:lvl w:ilvl="0">
      <w:lvlJc w:val="left"/>
      <w:lvlText w:val="%1."/>
      <w:numFmt w:val="decimal"/>
      <w:start w:val="1"/>
    </w:lvl>
    <w:lvl w:ilvl="1">
      <w:lvlJc w:val="left"/>
      <w:lvlText w:val="%2."/>
      <w:numFmt w:val="lowerLetter"/>
      <w:start w:val="1"/>
    </w:lvl>
  </w:abstractNum>
  <w:abstractNum w:abstractNumId="311">
    <w:nsid w:val="D838636"/>
    <w:multiLevelType w:val="hybridMultilevel"/>
    <w:lvl w:ilvl="0">
      <w:lvlJc w:val="left"/>
      <w:lvlText w:val="%1."/>
      <w:numFmt w:val="decimal"/>
      <w:start w:val="2"/>
    </w:lvl>
  </w:abstractNum>
  <w:abstractNum w:abstractNumId="312">
    <w:nsid w:val="71B82AED"/>
    <w:multiLevelType w:val="hybridMultilevel"/>
    <w:lvl w:ilvl="0">
      <w:lvlJc w:val="left"/>
      <w:lvlText w:val="%1"/>
      <w:numFmt w:val="upperLetter"/>
      <w:start w:val="1"/>
    </w:lvl>
    <w:lvl w:ilvl="1">
      <w:lvlJc w:val="left"/>
      <w:lvlText w:val="%2."/>
      <w:numFmt w:val="decimal"/>
      <w:start w:val="3"/>
    </w:lvl>
  </w:abstractNum>
  <w:abstractNum w:abstractNumId="313">
    <w:nsid w:val="D15FACA"/>
    <w:multiLevelType w:val="hybridMultilevel"/>
    <w:lvl w:ilvl="0">
      <w:lvlJc w:val="left"/>
      <w:lvlText w:val="%1."/>
      <w:numFmt w:val="upperLetter"/>
      <w:start w:val="2"/>
    </w:lvl>
    <w:lvl w:ilvl="1">
      <w:lvlJc w:val="left"/>
      <w:lvlText w:val="%2"/>
      <w:numFmt w:val="decimal"/>
      <w:start w:val="1"/>
    </w:lvl>
  </w:abstractNum>
  <w:abstractNum w:abstractNumId="314">
    <w:nsid w:val="3D69565B"/>
    <w:multiLevelType w:val="hybridMultilevel"/>
    <w:lvl w:ilvl="0">
      <w:lvlJc w:val="left"/>
      <w:lvlText w:val="%1"/>
      <w:numFmt w:val="upperLetter"/>
      <w:start w:val="1"/>
    </w:lvl>
    <w:lvl w:ilvl="1">
      <w:lvlJc w:val="left"/>
      <w:lvlText w:val="%2."/>
      <w:numFmt w:val="decimal"/>
      <w:start w:val="1"/>
    </w:lvl>
  </w:abstractNum>
  <w:abstractNum w:abstractNumId="315">
    <w:nsid w:val="2299DCBC"/>
    <w:multiLevelType w:val="hybridMultilevel"/>
    <w:lvl w:ilvl="0">
      <w:lvlJc w:val="left"/>
      <w:lvlText w:val="%1."/>
      <w:numFmt w:val="upperLetter"/>
      <w:start w:val="4"/>
    </w:lvl>
    <w:lvl w:ilvl="1">
      <w:lvlJc w:val="left"/>
      <w:lvlText w:val="%2"/>
      <w:numFmt w:val="decimal"/>
      <w:start w:val="1"/>
    </w:lvl>
  </w:abstractNum>
  <w:abstractNum w:abstractNumId="316">
    <w:nsid w:val="19908D02"/>
    <w:multiLevelType w:val="hybridMultilevel"/>
    <w:lvl w:ilvl="0">
      <w:lvlJc w:val="left"/>
      <w:lvlText w:val="(%1)"/>
      <w:numFmt w:val="lowerLetter"/>
      <w:start w:val="1"/>
    </w:lvl>
    <w:lvl w:ilvl="1">
      <w:lvlJc w:val="left"/>
      <w:lvlText w:val="(%2)"/>
      <w:numFmt w:val="lowerLetter"/>
      <w:start w:val="9"/>
    </w:lvl>
  </w:abstractNum>
  <w:abstractNum w:abstractNumId="317">
    <w:nsid w:val="24D48BDB"/>
    <w:multiLevelType w:val="hybridMultilevel"/>
    <w:lvl w:ilvl="0">
      <w:lvlJc w:val="left"/>
      <w:lvlText w:val="(%1)"/>
      <w:numFmt w:val="lowerRoman"/>
      <w:start w:val="2"/>
    </w:lvl>
  </w:abstractNum>
  <w:abstractNum w:abstractNumId="318">
    <w:nsid w:val="542DA5B5"/>
    <w:multiLevelType w:val="hybridMultilevel"/>
    <w:lvl w:ilvl="0">
      <w:lvlJc w:val="left"/>
      <w:lvlText w:val="(%1)"/>
      <w:numFmt w:val="lowerLetter"/>
      <w:start w:val="2"/>
    </w:lvl>
  </w:abstractNum>
  <w:abstractNum w:abstractNumId="319">
    <w:nsid w:val="793753DE"/>
    <w:multiLevelType w:val="hybridMultilevel"/>
    <w:lvl w:ilvl="0">
      <w:lvlJc w:val="left"/>
      <w:lvlText w:val="(%1)"/>
      <w:numFmt w:val="lowerLetter"/>
      <w:start w:val="1"/>
    </w:lvl>
  </w:abstractNum>
  <w:abstractNum w:abstractNumId="320">
    <w:nsid w:val="1C67CB3D"/>
    <w:multiLevelType w:val="hybridMultilevel"/>
    <w:lvl w:ilvl="0">
      <w:lvlJc w:val="left"/>
      <w:lvlText w:val="%1."/>
      <w:numFmt w:val="decimal"/>
      <w:start w:val="1"/>
    </w:lvl>
  </w:abstractNum>
  <w:abstractNum w:abstractNumId="321">
    <w:nsid w:val="40E29452"/>
    <w:multiLevelType w:val="hybridMultilevel"/>
    <w:lvl w:ilvl="0">
      <w:lvlJc w:val="left"/>
      <w:lvlText w:val="%1"/>
      <w:numFmt w:val="upperLetter"/>
      <w:start w:val="1"/>
    </w:lvl>
    <w:lvl w:ilvl="1">
      <w:lvlJc w:val="left"/>
      <w:lvlText w:val="%2."/>
      <w:numFmt w:val="decimal"/>
      <w:start w:val="4"/>
    </w:lvl>
  </w:abstractNum>
  <w:abstractNum w:abstractNumId="322">
    <w:nsid w:val="63A4AAB6"/>
    <w:multiLevelType w:val="hybridMultilevel"/>
    <w:lvl w:ilvl="0">
      <w:lvlJc w:val="left"/>
      <w:lvlText w:val="%1."/>
      <w:numFmt w:val="upperLetter"/>
      <w:start w:val="13"/>
    </w:lvl>
    <w:lvl w:ilvl="1">
      <w:lvlJc w:val="left"/>
      <w:lvlText w:val="%2"/>
      <w:numFmt w:val="decimal"/>
      <w:start w:val="1"/>
    </w:lvl>
  </w:abstractNum>
  <w:abstractNum w:abstractNumId="323">
    <w:nsid w:val="77DA4A57"/>
    <w:multiLevelType w:val="hybridMultilevel"/>
    <w:lvl w:ilvl="0">
      <w:lvlJc w:val="left"/>
      <w:lvlText w:val="(%1)"/>
      <w:numFmt w:val="lowerRoman"/>
      <w:start w:val="4"/>
    </w:lvl>
  </w:abstractNum>
  <w:abstractNum w:abstractNumId="324">
    <w:nsid w:val="1230F102"/>
    <w:multiLevelType w:val="hybridMultilevel"/>
    <w:lvl w:ilvl="0">
      <w:lvlJc w:val="left"/>
      <w:lvlText w:val="2"/>
      <w:numFmt w:val="bullet"/>
      <w:start w:val="1"/>
    </w:lvl>
  </w:abstractNum>
  <w:abstractNum w:abstractNumId="325">
    <w:nsid w:val="25B57ED4"/>
    <w:multiLevelType w:val="hybridMultilevel"/>
    <w:lvl w:ilvl="0">
      <w:lvlJc w:val="left"/>
      <w:lvlText w:val="(%1)"/>
      <w:numFmt w:val="lowerLetter"/>
      <w:start w:val="1"/>
    </w:lvl>
  </w:abstractNum>
  <w:abstractNum w:abstractNumId="326">
    <w:nsid w:val="47CF16C4"/>
    <w:multiLevelType w:val="hybridMultilevel"/>
    <w:lvl w:ilvl="0">
      <w:lvlJc w:val="left"/>
      <w:lvlText w:val="(%1)"/>
      <w:numFmt w:val="lowerLetter"/>
      <w:start w:val="1"/>
    </w:lvl>
  </w:abstractNum>
  <w:abstractNum w:abstractNumId="327">
    <w:nsid w:val="527FA04C"/>
    <w:multiLevelType w:val="hybridMultilevel"/>
    <w:lvl w:ilvl="0">
      <w:lvlJc w:val="left"/>
      <w:lvlText w:val="(%1)"/>
      <w:numFmt w:val="lowerLetter"/>
      <w:start w:val="1"/>
    </w:lvl>
  </w:abstractNum>
  <w:abstractNum w:abstractNumId="328">
    <w:nsid w:val="6FCC0624"/>
    <w:multiLevelType w:val="hybridMultilevel"/>
    <w:lvl w:ilvl="0">
      <w:lvlJc w:val="left"/>
      <w:lvlText w:val="(%1)"/>
      <w:numFmt w:val="lowerLetter"/>
      <w:start w:val="1"/>
    </w:lvl>
  </w:abstractNum>
  <w:abstractNum w:abstractNumId="329">
    <w:nsid w:val="1DCDF795"/>
    <w:multiLevelType w:val="hybridMultilevel"/>
    <w:lvl w:ilvl="0">
      <w:lvlJc w:val="left"/>
      <w:lvlText w:val="(%1)"/>
      <w:numFmt w:val="lowerLetter"/>
      <w:start w:val="2"/>
    </w:lvl>
  </w:abstractNum>
  <w:abstractNum w:abstractNumId="330">
    <w:nsid w:val="564580C8"/>
    <w:multiLevelType w:val="hybridMultilevel"/>
    <w:lvl w:ilvl="0">
      <w:lvlJc w:val="left"/>
      <w:lvlText w:val="(%1)"/>
      <w:numFmt w:val="lowerLetter"/>
      <w:start w:val="8"/>
    </w:lvl>
  </w:abstractNum>
  <w:abstractNum w:abstractNumId="331">
    <w:nsid w:val="508ED897"/>
    <w:multiLevelType w:val="hybridMultilevel"/>
    <w:lvl w:ilvl="0">
      <w:lvlJc w:val="left"/>
      <w:lvlText w:val="(%1)"/>
      <w:numFmt w:val="lowerLetter"/>
      <w:start w:val="13"/>
    </w:lvl>
  </w:abstractNum>
  <w:abstractNum w:abstractNumId="332">
    <w:nsid w:val="6A9126B5"/>
    <w:multiLevelType w:val="hybridMultilevel"/>
    <w:lvl w:ilvl="0">
      <w:lvlJc w:val="left"/>
      <w:lvlText w:val="(%1)"/>
      <w:numFmt w:val="lowerLetter"/>
      <w:start w:val="1"/>
    </w:lvl>
  </w:abstractNum>
  <w:abstractNum w:abstractNumId="333">
    <w:nsid w:val="68104812"/>
    <w:multiLevelType w:val="hybridMultilevel"/>
    <w:lvl w:ilvl="0">
      <w:lvlJc w:val="left"/>
      <w:lvlText w:val="(%1)"/>
      <w:numFmt w:val="lowerLetter"/>
      <w:start w:val="1"/>
    </w:lvl>
  </w:abstractNum>
  <w:abstractNum w:abstractNumId="334">
    <w:nsid w:val="62FB8680"/>
    <w:multiLevelType w:val="hybridMultilevel"/>
    <w:lvl w:ilvl="0">
      <w:lvlJc w:val="left"/>
      <w:lvlText w:val="(%1)"/>
      <w:numFmt w:val="lowerLetter"/>
      <w:start w:val="1"/>
    </w:lvl>
  </w:abstractNum>
  <w:abstractNum w:abstractNumId="335">
    <w:nsid w:val="3A45530"/>
    <w:multiLevelType w:val="hybridMultilevel"/>
    <w:lvl w:ilvl="0">
      <w:lvlJc w:val="left"/>
      <w:lvlText w:val="(%1)"/>
      <w:numFmt w:val="lowerLetter"/>
      <w:start w:val="2"/>
    </w:lvl>
  </w:abstractNum>
  <w:abstractNum w:abstractNumId="336">
    <w:nsid w:val="4B9275D2"/>
    <w:multiLevelType w:val="hybridMultilevel"/>
    <w:lvl w:ilvl="0">
      <w:lvlJc w:val="left"/>
      <w:lvlText w:val="(%1)"/>
      <w:numFmt w:val="lowerLetter"/>
      <w:start w:val="1"/>
    </w:lvl>
    <w:lvl w:ilvl="1">
      <w:lvlJc w:val="left"/>
      <w:lvlText w:val="(%2)"/>
      <w:numFmt w:val="lowerLetter"/>
      <w:start w:val="9"/>
    </w:lvl>
  </w:abstractNum>
  <w:abstractNum w:abstractNumId="337">
    <w:nsid w:val="4F0CEEDB"/>
    <w:multiLevelType w:val="hybridMultilevel"/>
    <w:lvl w:ilvl="0">
      <w:lvlJc w:val="left"/>
      <w:lvlText w:val="%1"/>
      <w:numFmt w:val="lowerLetter"/>
      <w:start w:val="1"/>
    </w:lvl>
    <w:lvl w:ilvl="1">
      <w:lvlJc w:val="left"/>
      <w:lvlText w:val="(%2)"/>
      <w:numFmt w:val="lowerLetter"/>
      <w:start w:val="35"/>
    </w:lvl>
  </w:abstractNum>
  <w:abstractNum w:abstractNumId="338">
    <w:nsid w:val="61C30361"/>
    <w:multiLevelType w:val="hybridMultilevel"/>
    <w:lvl w:ilvl="0">
      <w:lvlJc w:val="left"/>
      <w:lvlText w:val="(%1)"/>
      <w:numFmt w:val="lowerLetter"/>
      <w:start w:val="2"/>
    </w:lvl>
    <w:lvl w:ilvl="1">
      <w:lvlJc w:val="left"/>
      <w:lvlText w:val="(%2)"/>
      <w:numFmt w:val="lowerLetter"/>
      <w:start w:val="9"/>
    </w:lvl>
  </w:abstractNum>
  <w:abstractNum w:abstractNumId="339">
    <w:nsid w:val="632099E0"/>
    <w:multiLevelType w:val="hybridMultilevel"/>
    <w:lvl w:ilvl="0">
      <w:lvlJc w:val="left"/>
      <w:lvlText w:val="(%1)"/>
      <w:numFmt w:val="lowerRoman"/>
      <w:start w:val="2"/>
    </w:lvl>
  </w:abstractNum>
  <w:abstractNum w:abstractNumId="340">
    <w:nsid w:val="24639756"/>
    <w:multiLevelType w:val="hybridMultilevel"/>
    <w:lvl w:ilvl="0">
      <w:lvlJc w:val="left"/>
      <w:lvlText w:val="(%1)"/>
      <w:numFmt w:val="lowerLetter"/>
      <w:start w:val="1"/>
    </w:lvl>
    <w:lvl w:ilvl="1">
      <w:lvlJc w:val="left"/>
      <w:lvlText w:val="(%2)"/>
      <w:numFmt w:val="lowerRoman"/>
      <w:start w:val="1"/>
    </w:lvl>
  </w:abstractNum>
  <w:abstractNum w:abstractNumId="341">
    <w:nsid w:val="9D30DFD"/>
    <w:multiLevelType w:val="hybridMultilevel"/>
    <w:lvl w:ilvl="0">
      <w:lvlJc w:val="left"/>
      <w:lvlText w:val="%1"/>
      <w:numFmt w:val="lowerLetter"/>
      <w:start w:val="1"/>
    </w:lvl>
    <w:lvl w:ilvl="1">
      <w:lvlJc w:val="left"/>
      <w:lvlText w:val="(%2)"/>
      <w:numFmt w:val="lowerRoman"/>
      <w:start w:val="3"/>
    </w:lvl>
  </w:abstractNum>
  <w:abstractNum w:abstractNumId="342">
    <w:nsid w:val="70A42016"/>
    <w:multiLevelType w:val="hybridMultilevel"/>
    <w:lvl w:ilvl="0">
      <w:lvlJc w:val="left"/>
      <w:lvlText w:val="(%1)"/>
      <w:numFmt w:val="lowerLetter"/>
      <w:start w:val="2"/>
    </w:lvl>
    <w:lvl w:ilvl="1">
      <w:lvlJc w:val="left"/>
      <w:lvlText w:val="%2"/>
      <w:numFmt w:val="lowerRoman"/>
      <w:start w:val="1"/>
    </w:lvl>
  </w:abstractNum>
  <w:abstractNum w:abstractNumId="343">
    <w:nsid w:val="161BC243"/>
    <w:multiLevelType w:val="hybridMultilevel"/>
    <w:lvl w:ilvl="0">
      <w:lvlJc w:val="left"/>
      <w:lvlText w:val="(%1)"/>
      <w:numFmt w:val="lowerLetter"/>
      <w:start w:val="3"/>
    </w:lvl>
  </w:abstractNum>
  <w:abstractNum w:abstractNumId="344">
    <w:nsid w:val="16E908C8"/>
    <w:multiLevelType w:val="hybridMultilevel"/>
    <w:lvl w:ilvl="0">
      <w:lvlJc w:val="left"/>
      <w:lvlText w:val="(%1)"/>
      <w:numFmt w:val="lowerLetter"/>
      <w:start w:val="1"/>
    </w:lvl>
  </w:abstractNum>
  <w:abstractNum w:abstractNumId="345">
    <w:nsid w:val="2E0D7671"/>
    <w:multiLevelType w:val="hybridMultilevel"/>
    <w:lvl w:ilvl="0">
      <w:lvlJc w:val="left"/>
      <w:lvlText w:val="(%1)"/>
      <w:numFmt w:val="lowerLetter"/>
      <w:start w:val="1"/>
    </w:lvl>
  </w:abstractNum>
  <w:abstractNum w:abstractNumId="346">
    <w:nsid w:val="38B59EFF"/>
    <w:multiLevelType w:val="hybridMultilevel"/>
    <w:lvl w:ilvl="0">
      <w:lvlJc w:val="left"/>
      <w:lvlText w:val="(%1)"/>
      <w:numFmt w:val="lowerLetter"/>
      <w:start w:val="2"/>
    </w:lvl>
  </w:abstractNum>
  <w:abstractNum w:abstractNumId="347">
    <w:nsid w:val="307995CA"/>
    <w:multiLevelType w:val="hybridMultilevel"/>
    <w:lvl w:ilvl="0">
      <w:lvlJc w:val="left"/>
      <w:lvlText w:val="(%1)"/>
      <w:numFmt w:val="lowerLetter"/>
      <w:start w:val="1"/>
    </w:lvl>
  </w:abstractNum>
  <w:abstractNum w:abstractNumId="348">
    <w:nsid w:val="52E2024D"/>
    <w:multiLevelType w:val="hybridMultilevel"/>
    <w:lvl w:ilvl="0">
      <w:lvlJc w:val="left"/>
      <w:lvlText w:val="(%1)"/>
      <w:numFmt w:val="lowerLetter"/>
      <w:start w:val="3"/>
    </w:lvl>
  </w:abstractNum>
  <w:abstractNum w:abstractNumId="349">
    <w:nsid w:val="CE344B5"/>
    <w:multiLevelType w:val="hybridMultilevel"/>
    <w:lvl w:ilvl="0">
      <w:lvlJc w:val="left"/>
      <w:lvlText w:val="(%1)"/>
      <w:numFmt w:val="lowerLetter"/>
      <w:start w:val="6"/>
    </w:lvl>
  </w:abstractNum>
  <w:abstractNum w:abstractNumId="350">
    <w:nsid w:val="29B0E9A8"/>
    <w:multiLevelType w:val="hybridMultilevel"/>
    <w:lvl w:ilvl="0">
      <w:lvlJc w:val="left"/>
      <w:lvlText w:val="(%1)"/>
      <w:numFmt w:val="lowerLetter"/>
      <w:start w:val="2"/>
    </w:lvl>
    <w:lvl w:ilvl="1">
      <w:lvlJc w:val="left"/>
      <w:lvlText w:val="(%2)"/>
      <w:numFmt w:val="lowerRoman"/>
      <w:start w:val="1"/>
    </w:lvl>
  </w:abstractNum>
  <w:abstractNum w:abstractNumId="351">
    <w:nsid w:val="6F49CD8A"/>
    <w:multiLevelType w:val="hybridMultilevel"/>
    <w:lvl w:ilvl="0">
      <w:lvlJc w:val="left"/>
      <w:lvlText w:val="(%1)"/>
      <w:numFmt w:val="lowerLetter"/>
      <w:start w:val="1"/>
    </w:lvl>
    <w:lvl w:ilvl="1">
      <w:lvlJc w:val="left"/>
      <w:lvlText w:val="(%2)"/>
      <w:numFmt w:val="lowerRoman"/>
      <w:start w:val="1"/>
    </w:lvl>
  </w:abstractNum>
  <w:abstractNum w:abstractNumId="352">
    <w:nsid w:val="4DC5D907"/>
    <w:multiLevelType w:val="hybridMultilevel"/>
    <w:lvl w:ilvl="0">
      <w:lvlJc w:val="left"/>
      <w:lvlText w:val="(%1)"/>
      <w:numFmt w:val="lowerLetter"/>
      <w:start w:val="1"/>
    </w:lvl>
  </w:abstractNum>
  <w:abstractNum w:abstractNumId="353">
    <w:nsid w:val="D55945E"/>
    <w:multiLevelType w:val="hybridMultilevel"/>
    <w:lvl w:ilvl="0">
      <w:lvlJc w:val="left"/>
      <w:lvlText w:val="(%1)"/>
      <w:numFmt w:val="lowerLetter"/>
      <w:start w:val="2"/>
    </w:lvl>
  </w:abstractNum>
  <w:abstractNum w:abstractNumId="354">
    <w:nsid w:val="672417E1"/>
    <w:multiLevelType w:val="hybridMultilevel"/>
    <w:lvl w:ilvl="0">
      <w:lvlJc w:val="left"/>
      <w:lvlText w:val="["/>
      <w:numFmt w:val="bullet"/>
      <w:start w:val="1"/>
    </w:lvl>
  </w:abstractNum>
  <w:abstractNum w:abstractNumId="355">
    <w:nsid w:val="5FF6CA09"/>
    <w:multiLevelType w:val="hybridMultilevel"/>
    <w:lvl w:ilvl="0">
      <w:lvlJc w:val="left"/>
      <w:lvlText w:val="(%1)"/>
      <w:numFmt w:val="lowerRoman"/>
      <w:start w:val="10"/>
    </w:lvl>
  </w:abstractNum>
  <w:abstractNum w:abstractNumId="356">
    <w:nsid w:val="330B1333"/>
    <w:multiLevelType w:val="hybridMultilevel"/>
    <w:lvl w:ilvl="0">
      <w:lvlJc w:val="left"/>
      <w:lvlText w:val="(%1)"/>
      <w:numFmt w:val="lowerRoman"/>
      <w:start w:val="1"/>
    </w:lvl>
  </w:abstractNum>
  <w:abstractNum w:abstractNumId="357">
    <w:nsid w:val="2EF32EA6"/>
    <w:multiLevelType w:val="hybridMultilevel"/>
    <w:lvl w:ilvl="0">
      <w:lvlJc w:val="left"/>
      <w:lvlText w:val="1"/>
      <w:numFmt w:val="bullet"/>
      <w:start w:val="1"/>
    </w:lvl>
  </w:abstractNum>
  <w:abstractNum w:abstractNumId="358">
    <w:nsid w:val="32766A55"/>
    <w:multiLevelType w:val="hybridMultilevel"/>
    <w:lvl w:ilvl="0">
      <w:lvlJc w:val="left"/>
      <w:lvlText w:val="2"/>
      <w:numFmt w:val="bullet"/>
      <w:start w:val="1"/>
    </w:lvl>
  </w:abstractNum>
  <w:abstractNum w:abstractNumId="359">
    <w:nsid w:val="22D71957"/>
    <w:multiLevelType w:val="hybridMultilevel"/>
    <w:lvl w:ilvl="0">
      <w:lvlJc w:val="left"/>
      <w:lvlText w:val="3"/>
      <w:numFmt w:val="bullet"/>
      <w:start w:val="1"/>
    </w:lvl>
  </w:abstractNum>
  <w:abstractNum w:abstractNumId="360">
    <w:nsid w:val="4CC1263B"/>
    <w:multiLevelType w:val="hybridMultilevel"/>
    <w:lvl w:ilvl="0">
      <w:lvlJc w:val="left"/>
      <w:lvlText w:val="4"/>
      <w:numFmt w:val="bullet"/>
      <w:start w:val="1"/>
    </w:lvl>
  </w:abstractNum>
  <w:abstractNum w:abstractNumId="361">
    <w:nsid w:val="8BBEB1D"/>
    <w:multiLevelType w:val="hybridMultilevel"/>
    <w:lvl w:ilvl="0">
      <w:lvlJc w:val="left"/>
      <w:lvlText w:val="5"/>
      <w:numFmt w:val="bullet"/>
      <w:start w:val="1"/>
    </w:lvl>
  </w:abstractNum>
  <w:abstractNum w:abstractNumId="362">
    <w:nsid w:val="7365F1EE"/>
    <w:multiLevelType w:val="hybridMultilevel"/>
    <w:lvl w:ilvl="0">
      <w:lvlJc w:val="left"/>
      <w:lvlText w:val="6"/>
      <w:numFmt w:val="bullet"/>
      <w:start w:val="1"/>
    </w:lvl>
  </w:abstractNum>
  <w:abstractNum w:abstractNumId="363">
    <w:nsid w:val="37524CF0"/>
    <w:multiLevelType w:val="hybridMultilevel"/>
    <w:lvl w:ilvl="0">
      <w:lvlJc w:val="left"/>
      <w:lvlText w:val="["/>
      <w:numFmt w:val="bullet"/>
      <w:start w:val="1"/>
    </w:lvl>
  </w:abstractNum>
  <w:abstractNum w:abstractNumId="364">
    <w:nsid w:val="70CC332F"/>
    <w:multiLevelType w:val="hybridMultilevel"/>
    <w:lvl w:ilvl="0">
      <w:lvlJc w:val="left"/>
      <w:lvlText w:val="%1."/>
      <w:numFmt w:val="decimal"/>
      <w:start w:val="1"/>
    </w:lvl>
  </w:abstractNum>
  <w:abstractNum w:abstractNumId="365">
    <w:nsid w:val="5661786E"/>
    <w:multiLevelType w:val="hybridMultilevel"/>
    <w:lvl w:ilvl="0">
      <w:lvlJc w:val="left"/>
      <w:lvlText w:val="%1."/>
      <w:numFmt w:val="decimal"/>
      <w:start w:val="5"/>
    </w:lvl>
  </w:abstractNum>
  <w:abstractNum w:abstractNumId="366">
    <w:nsid w:val="3AF6A220"/>
    <w:multiLevelType w:val="hybridMultilevel"/>
    <w:lvl w:ilvl="0">
      <w:lvlJc w:val="left"/>
      <w:lvlText w:val="1"/>
      <w:numFmt w:val="bullet"/>
      <w:start w:val="1"/>
    </w:lvl>
  </w:abstractNum>
  <w:abstractNum w:abstractNumId="367">
    <w:nsid w:val="3C5EA902"/>
    <w:multiLevelType w:val="hybridMultilevel"/>
    <w:lvl w:ilvl="0">
      <w:lvlJc w:val="left"/>
      <w:lvlText w:val="2"/>
      <w:numFmt w:val="bullet"/>
      <w:start w:val="1"/>
    </w:lvl>
  </w:abstractNum>
  <w:abstractNum w:abstractNumId="368">
    <w:nsid w:val="256E6749"/>
    <w:multiLevelType w:val="hybridMultilevel"/>
    <w:lvl w:ilvl="0">
      <w:lvlJc w:val="left"/>
      <w:lvlText w:val="3"/>
      <w:numFmt w:val="bullet"/>
      <w:start w:val="1"/>
    </w:lvl>
  </w:abstractNum>
  <w:abstractNum w:abstractNumId="369">
    <w:nsid w:val="1CB9A581"/>
    <w:multiLevelType w:val="hybridMultilevel"/>
    <w:lvl w:ilvl="0">
      <w:lvlJc w:val="left"/>
      <w:lvlText w:val="4"/>
      <w:numFmt w:val="bullet"/>
      <w:start w:val="1"/>
    </w:lvl>
  </w:abstractNum>
  <w:abstractNum w:abstractNumId="370">
    <w:nsid w:val="1F7F42E2"/>
    <w:multiLevelType w:val="hybridMultilevel"/>
    <w:lvl w:ilvl="0">
      <w:lvlJc w:val="left"/>
      <w:lvlText w:val="%1."/>
      <w:numFmt w:val="decimal"/>
      <w:start w:val="1"/>
    </w:lvl>
  </w:abstractNum>
  <w:abstractNum w:abstractNumId="371">
    <w:nsid w:val="49D1FEA0"/>
    <w:multiLevelType w:val="hybridMultilevel"/>
    <w:lvl w:ilvl="0">
      <w:lvlJc w:val="left"/>
      <w:lvlText w:val="5"/>
      <w:numFmt w:val="bullet"/>
      <w:start w:val="1"/>
    </w:lvl>
  </w:abstractNum>
  <w:abstractNum w:abstractNumId="372">
    <w:nsid w:val="268CB37F"/>
    <w:multiLevelType w:val="hybridMultilevel"/>
    <w:lvl w:ilvl="0">
      <w:lvlJc w:val="left"/>
      <w:lvlText w:val="6"/>
      <w:numFmt w:val="bullet"/>
      <w:start w:val="1"/>
    </w:lvl>
  </w:abstractNum>
  <w:abstractNum w:abstractNumId="373">
    <w:nsid w:val="102362F8"/>
    <w:multiLevelType w:val="hybridMultilevel"/>
    <w:lvl w:ilvl="0">
      <w:lvlJc w:val="left"/>
      <w:lvlText w:val="7"/>
      <w:numFmt w:val="bullet"/>
      <w:start w:val="1"/>
    </w:lvl>
  </w:abstractNum>
  <w:abstractNum w:abstractNumId="374">
    <w:nsid w:val="5FEDC0E3"/>
    <w:multiLevelType w:val="hybridMultilevel"/>
    <w:lvl w:ilvl="0">
      <w:lvlJc w:val="left"/>
      <w:lvlText w:val="8"/>
      <w:numFmt w:val="bullet"/>
      <w:start w:val="1"/>
    </w:lvl>
  </w:abstractNum>
  <w:abstractNum w:abstractNumId="375">
    <w:nsid w:val="3D75BC47"/>
    <w:multiLevelType w:val="hybridMultilevel"/>
    <w:lvl w:ilvl="0">
      <w:lvlJc w:val="left"/>
      <w:lvlText w:val="9"/>
      <w:numFmt w:val="bullet"/>
      <w:start w:val="1"/>
    </w:lvl>
  </w:abstractNum>
  <w:abstractNum w:abstractNumId="376">
    <w:nsid w:val="3E30D969"/>
    <w:multiLevelType w:val="hybridMultilevel"/>
    <w:lvl w:ilvl="0">
      <w:lvlJc w:val="left"/>
      <w:lvlText w:val="%1"/>
      <w:numFmt w:val="decimal"/>
      <w:start w:val="10"/>
    </w:lvl>
  </w:abstractNum>
  <w:abstractNum w:abstractNumId="377">
    <w:nsid w:val="18A35FE3"/>
    <w:multiLevelType w:val="hybridMultilevel"/>
    <w:lvl w:ilvl="0">
      <w:lvlJc w:val="left"/>
      <w:lvlText w:val="%1."/>
      <w:numFmt w:val="decimal"/>
      <w:start w:val="1"/>
    </w:lvl>
  </w:abstractNum>
  <w:abstractNum w:abstractNumId="378">
    <w:nsid w:val="6DEF5211"/>
    <w:multiLevelType w:val="hybridMultilevel"/>
    <w:lvl w:ilvl="0">
      <w:lvlJc w:val="left"/>
      <w:lvlText w:val="(%1)"/>
      <w:numFmt w:val="lowerRoman"/>
      <w:start w:val="2"/>
    </w:lvl>
  </w:abstractNum>
  <w:abstractNum w:abstractNumId="379">
    <w:nsid w:val="1112DBB6"/>
    <w:multiLevelType w:val="hybridMultilevel"/>
    <w:lvl w:ilvl="0">
      <w:lvlJc w:val="left"/>
      <w:lvlText w:val="(%1)"/>
      <w:numFmt w:val="lowerRoman"/>
      <w:start w:val="7"/>
    </w:lvl>
  </w:abstractNum>
  <w:abstractNum w:abstractNumId="380">
    <w:nsid w:val="2586A498"/>
    <w:multiLevelType w:val="hybridMultilevel"/>
    <w:lvl w:ilvl="0">
      <w:lvlJc w:val="left"/>
      <w:lvlText w:val="%1."/>
      <w:numFmt w:val="decimal"/>
      <w:start w:val="2"/>
    </w:lvl>
  </w:abstractNum>
  <w:abstractNum w:abstractNumId="381">
    <w:nsid w:val="17A03BB9"/>
    <w:multiLevelType w:val="hybridMultilevel"/>
    <w:lvl w:ilvl="0">
      <w:lvlJc w:val="left"/>
      <w:lvlText w:val="%1"/>
      <w:numFmt w:val="decimal"/>
      <w:start w:val="12"/>
    </w:lvl>
  </w:abstractNum>
  <w:abstractNum w:abstractNumId="382">
    <w:nsid w:val="5CA941"/>
    <w:multiLevelType w:val="hybridMultilevel"/>
    <w:lvl w:ilvl="0">
      <w:lvlJc w:val="left"/>
      <w:lvlText w:val="%1."/>
      <w:numFmt w:val="decimal"/>
      <w:start w:val="1"/>
    </w:lvl>
  </w:abstractNum>
  <w:abstractNum w:abstractNumId="383">
    <w:nsid w:val="734C7D9F"/>
    <w:multiLevelType w:val="hybridMultilevel"/>
    <w:lvl w:ilvl="0">
      <w:lvlJc w:val="left"/>
      <w:lvlText w:val="1"/>
      <w:numFmt w:val="bullet"/>
      <w:start w:val="1"/>
    </w:lvl>
  </w:abstractNum>
  <w:abstractNum w:abstractNumId="384">
    <w:nsid w:val="24F5D018"/>
    <w:multiLevelType w:val="hybridMultilevel"/>
    <w:lvl w:ilvl="0">
      <w:lvlJc w:val="left"/>
      <w:lvlText w:val="2"/>
      <w:numFmt w:val="bullet"/>
      <w:start w:val="1"/>
    </w:lvl>
  </w:abstractNum>
  <w:abstractNum w:abstractNumId="385">
    <w:nsid w:val="6780C122"/>
    <w:multiLevelType w:val="hybridMultilevel"/>
    <w:lvl w:ilvl="0">
      <w:lvlJc w:val="left"/>
      <w:lvlText w:val="(%1)"/>
      <w:numFmt w:val="lowerRoman"/>
      <w:start w:val="1"/>
    </w:lvl>
  </w:abstractNum>
  <w:abstractNum w:abstractNumId="386">
    <w:nsid w:val="534347A8"/>
    <w:multiLevelType w:val="hybridMultilevel"/>
    <w:lvl w:ilvl="0">
      <w:lvlJc w:val="left"/>
      <w:lvlText w:val="(%1)"/>
      <w:numFmt w:val="lowerRoman"/>
      <w:start w:val="4"/>
    </w:lvl>
  </w:abstractNum>
  <w:abstractNum w:abstractNumId="387">
    <w:nsid w:val="5800E34B"/>
    <w:multiLevelType w:val="hybridMultilevel"/>
    <w:lvl w:ilvl="0">
      <w:lvlJc w:val="left"/>
      <w:lvlText w:val="(%1)"/>
      <w:numFmt w:val="lowerRoman"/>
      <w:start w:val="4"/>
    </w:lvl>
  </w:abstractNum>
  <w:abstractNum w:abstractNumId="388">
    <w:nsid w:val="1673EFC8"/>
    <w:multiLevelType w:val="hybridMultilevel"/>
    <w:lvl w:ilvl="0">
      <w:lvlJc w:val="left"/>
      <w:lvlText w:val="3"/>
      <w:numFmt w:val="bullet"/>
      <w:start w:val="1"/>
    </w:lvl>
  </w:abstractNum>
  <w:abstractNum w:abstractNumId="389">
    <w:nsid w:val="5B9B1FD"/>
    <w:multiLevelType w:val="hybridMultilevel"/>
    <w:lvl w:ilvl="0">
      <w:lvlJc w:val="left"/>
      <w:lvlText w:val="4"/>
      <w:numFmt w:val="bullet"/>
      <w:start w:val="1"/>
    </w:lvl>
  </w:abstractNum>
  <w:abstractNum w:abstractNumId="390">
    <w:nsid w:val="7AD7FCA2"/>
    <w:multiLevelType w:val="hybridMultilevel"/>
    <w:lvl w:ilvl="0">
      <w:lvlJc w:val="left"/>
      <w:lvlText w:val="5"/>
      <w:numFmt w:val="bullet"/>
      <w:start w:val="1"/>
    </w:lvl>
  </w:abstractNum>
  <w:abstractNum w:abstractNumId="391">
    <w:nsid w:val="63351604"/>
    <w:multiLevelType w:val="hybridMultilevel"/>
    <w:lvl w:ilvl="0">
      <w:lvlJc w:val="left"/>
      <w:lvlText w:val="6"/>
      <w:numFmt w:val="bullet"/>
      <w:start w:val="1"/>
    </w:lvl>
  </w:abstractNum>
  <w:abstractNum w:abstractNumId="392">
    <w:nsid w:val="E759D1A"/>
    <w:multiLevelType w:val="hybridMultilevel"/>
    <w:lvl w:ilvl="0">
      <w:lvlJc w:val="left"/>
      <w:lvlText w:val="%1."/>
      <w:numFmt w:val="decimal"/>
      <w:start w:val="1"/>
    </w:lvl>
  </w:abstractNum>
  <w:abstractNum w:abstractNumId="393">
    <w:nsid w:val="6E3DEE90"/>
    <w:multiLevelType w:val="hybridMultilevel"/>
    <w:lvl w:ilvl="0">
      <w:lvlJc w:val="left"/>
      <w:lvlText w:val="(%1)"/>
      <w:numFmt w:val="lowerRoman"/>
      <w:start w:val="1"/>
    </w:lvl>
  </w:abstractNum>
  <w:abstractNum w:abstractNumId="394">
    <w:nsid w:val="1A8762F4"/>
    <w:multiLevelType w:val="hybridMultilevel"/>
    <w:lvl w:ilvl="0">
      <w:lvlJc w:val="left"/>
      <w:lvlText w:val="(%1)"/>
      <w:numFmt w:val="lowerRoman"/>
      <w:start w:val="3"/>
    </w:lvl>
  </w:abstractNum>
  <w:abstractNum w:abstractNumId="395">
    <w:nsid w:val="7F41D049"/>
    <w:multiLevelType w:val="hybridMultilevel"/>
    <w:lvl w:ilvl="0">
      <w:lvlJc w:val="left"/>
      <w:lvlText w:val="1"/>
      <w:numFmt w:val="bullet"/>
      <w:start w:val="1"/>
    </w:lvl>
  </w:abstractNum>
  <w:abstractNum w:abstractNumId="396">
    <w:nsid w:val="449F66FE"/>
    <w:multiLevelType w:val="hybridMultilevel"/>
    <w:lvl w:ilvl="0">
      <w:lvlJc w:val="left"/>
      <w:lvlText w:val="2"/>
      <w:numFmt w:val="bullet"/>
      <w:start w:val="1"/>
    </w:lvl>
  </w:abstractNum>
  <w:abstractNum w:abstractNumId="397">
    <w:nsid w:val="557E0515"/>
    <w:multiLevelType w:val="hybridMultilevel"/>
    <w:lvl w:ilvl="0">
      <w:lvlJc w:val="left"/>
      <w:lvlText w:val="3"/>
      <w:numFmt w:val="bullet"/>
      <w:start w:val="1"/>
    </w:lvl>
  </w:abstractNum>
  <w:abstractNum w:abstractNumId="398">
    <w:nsid w:val="3BA0794B"/>
    <w:multiLevelType w:val="hybridMultilevel"/>
    <w:lvl w:ilvl="0">
      <w:lvlJc w:val="left"/>
      <w:lvlText w:val="%1."/>
      <w:numFmt w:val="decimal"/>
      <w:start w:val="1"/>
    </w:lvl>
  </w:abstractNum>
  <w:abstractNum w:abstractNumId="399">
    <w:nsid w:val="6A0DCE48"/>
    <w:multiLevelType w:val="hybridMultilevel"/>
    <w:lvl w:ilvl="0">
      <w:lvlJc w:val="left"/>
      <w:lvlText w:val="%1."/>
      <w:numFmt w:val="decimal"/>
      <w:start w:val="2"/>
    </w:lvl>
  </w:abstractNum>
  <w:abstractNum w:abstractNumId="400">
    <w:nsid w:val="7237AA96"/>
    <w:multiLevelType w:val="hybridMultilevel"/>
    <w:lvl w:ilvl="0">
      <w:lvlJc w:val="left"/>
      <w:lvlText w:val="%1."/>
      <w:numFmt w:val="decimal"/>
      <w:start w:val="13"/>
    </w:lvl>
  </w:abstractNum>
  <w:abstractNum w:abstractNumId="401">
    <w:nsid w:val="5B1FBC2D"/>
    <w:multiLevelType w:val="hybridMultilevel"/>
    <w:lvl w:ilvl="0">
      <w:lvlJc w:val="left"/>
      <w:lvlText w:val="%1."/>
      <w:numFmt w:val="decimal"/>
      <w:start w:val="1"/>
    </w:lvl>
  </w:abstractNum>
  <w:abstractNum w:abstractNumId="402">
    <w:nsid w:val="33DFCCE8"/>
    <w:multiLevelType w:val="hybridMultilevel"/>
    <w:lvl w:ilvl="0">
      <w:lvlJc w:val="left"/>
      <w:lvlText w:val="%1."/>
      <w:numFmt w:val="decimal"/>
      <w:start w:val="5"/>
    </w:lvl>
  </w:abstractNum>
  <w:abstractNum w:abstractNumId="403">
    <w:nsid w:val="18C45E15"/>
    <w:multiLevelType w:val="hybridMultilevel"/>
    <w:lvl w:ilvl="0">
      <w:lvlJc w:val="left"/>
      <w:lvlText w:val="%1."/>
      <w:numFmt w:val="decimal"/>
      <w:start w:val="1"/>
    </w:lvl>
  </w:abstractNum>
  <w:abstractNum w:abstractNumId="404">
    <w:nsid w:val="6B431F25"/>
    <w:multiLevelType w:val="hybridMultilevel"/>
    <w:lvl w:ilvl="0">
      <w:lvlJc w:val="left"/>
      <w:lvlText w:val="%1."/>
      <w:numFmt w:val="decimal"/>
      <w:start w:val="4"/>
    </w:lvl>
  </w:abstractNum>
  <w:abstractNum w:abstractNumId="405">
    <w:nsid w:val="13CD8DCB"/>
    <w:multiLevelType w:val="hybridMultilevel"/>
    <w:lvl w:ilvl="0">
      <w:lvlJc w:val="left"/>
      <w:lvlText w:val="%1."/>
      <w:numFmt w:val="decimal"/>
      <w:start w:val="1"/>
    </w:lvl>
  </w:abstractNum>
  <w:abstractNum w:abstractNumId="406">
    <w:nsid w:val="563A1A5C"/>
    <w:multiLevelType w:val="hybridMultilevel"/>
    <w:lvl w:ilvl="0">
      <w:lvlJc w:val="left"/>
      <w:lvlText w:val="(%1)"/>
      <w:numFmt w:val="lowerLetter"/>
      <w:start w:val="2"/>
    </w:lvl>
  </w:abstractNum>
  <w:abstractNum w:abstractNumId="407">
    <w:nsid w:val="2973F88F"/>
    <w:multiLevelType w:val="hybridMultilevel"/>
    <w:lvl w:ilvl="0">
      <w:lvlJc w:val="left"/>
      <w:lvlText w:val="(%1)"/>
      <w:numFmt w:val="lowerLetter"/>
      <w:start w:val="3"/>
    </w:lvl>
  </w:abstractNum>
  <w:abstractNum w:abstractNumId="408">
    <w:nsid w:val="2C70EDAE"/>
    <w:multiLevelType w:val="hybridMultilevel"/>
    <w:lvl w:ilvl="0">
      <w:lvlJc w:val="left"/>
      <w:lvlText w:val="%1."/>
      <w:numFmt w:val="decimal"/>
      <w:start w:val="2"/>
    </w:lvl>
  </w:abstractNum>
  <w:abstractNum w:abstractNumId="409">
    <w:nsid w:val="44296C6D"/>
    <w:multiLevelType w:val="hybridMultilevel"/>
    <w:lvl w:ilvl="0">
      <w:lvlJc w:val="left"/>
      <w:lvlText w:val="%1."/>
      <w:numFmt w:val="decimal"/>
      <w:start w:val="5"/>
    </w:lvl>
  </w:abstractNum>
  <w:abstractNum w:abstractNumId="410">
    <w:nsid w:val="3A86D445"/>
    <w:multiLevelType w:val="hybridMultilevel"/>
    <w:lvl w:ilvl="0">
      <w:lvlJc w:val="left"/>
      <w:lvlText w:val="(%1)"/>
      <w:numFmt w:val="lowerLetter"/>
      <w:start w:val="2"/>
    </w:lvl>
  </w:abstractNum>
  <w:abstractNum w:abstractNumId="411">
    <w:nsid w:val="51F79246"/>
    <w:multiLevelType w:val="hybridMultilevel"/>
    <w:lvl w:ilvl="0">
      <w:lvlJc w:val="left"/>
      <w:lvlText w:val="%1."/>
      <w:numFmt w:val="decimal"/>
      <w:start w:val="9"/>
    </w:lvl>
  </w:abstractNum>
  <w:abstractNum w:abstractNumId="412">
    <w:nsid w:val="5BC9A827"/>
    <w:multiLevelType w:val="hybridMultilevel"/>
    <w:lvl w:ilvl="0">
      <w:lvlJc w:val="left"/>
      <w:lvlText w:val="%1."/>
      <w:numFmt w:val="decimal"/>
      <w:start w:val="1"/>
    </w:lvl>
  </w:abstractNum>
  <w:abstractNum w:abstractNumId="413">
    <w:nsid w:val="3AE37D86"/>
    <w:multiLevelType w:val="hybridMultilevel"/>
    <w:lvl w:ilvl="0">
      <w:lvlJc w:val="left"/>
      <w:lvlText w:val="%1."/>
      <w:numFmt w:val="decimal"/>
      <w:start w:val="3"/>
    </w:lvl>
  </w:abstractNum>
  <w:abstractNum w:abstractNumId="414">
    <w:nsid w:val="45440FE5"/>
    <w:multiLevelType w:val="hybridMultilevel"/>
    <w:lvl w:ilvl="0">
      <w:lvlJc w:val="left"/>
      <w:lvlText w:val="["/>
      <w:numFmt w:val="bullet"/>
      <w:start w:val="1"/>
    </w:lvl>
  </w:abstractNum>
  <w:abstractNum w:abstractNumId="415">
    <w:nsid w:val="BF783F"/>
    <w:multiLevelType w:val="hybridMultilevel"/>
    <w:lvl w:ilvl="0">
      <w:lvlJc w:val="left"/>
      <w:lvlText w:val="(%1)"/>
      <w:numFmt w:val="lowerLetter"/>
      <w:start w:val="2"/>
    </w:lvl>
  </w:abstractNum>
  <w:abstractNum w:abstractNumId="416">
    <w:nsid w:val="22643EA9"/>
    <w:multiLevelType w:val="hybridMultilevel"/>
    <w:lvl w:ilvl="0">
      <w:lvlJc w:val="left"/>
      <w:lvlText w:val="["/>
      <w:numFmt w:val="bullet"/>
      <w:start w:val="1"/>
    </w:lvl>
  </w:abstractNum>
  <w:abstractNum w:abstractNumId="417">
    <w:nsid w:val="1887578D"/>
    <w:multiLevelType w:val="hybridMultilevel"/>
    <w:lvl w:ilvl="0">
      <w:lvlJc w:val="left"/>
      <w:lvlText w:val="(%1)"/>
      <w:numFmt w:val="lowerLetter"/>
      <w:start w:val="3"/>
    </w:lvl>
  </w:abstractNum>
  <w:abstractNum w:abstractNumId="418">
    <w:nsid w:val="58C05B8A"/>
    <w:multiLevelType w:val="hybridMultilevel"/>
    <w:lvl w:ilvl="0">
      <w:lvlJc w:val="left"/>
      <w:lvlText w:val="%1."/>
      <w:numFmt w:val="decimal"/>
      <w:start w:val="4"/>
    </w:lvl>
  </w:abstractNum>
  <w:abstractNum w:abstractNumId="419">
    <w:nsid w:val="38D82E71"/>
    <w:multiLevelType w:val="hybridMultilevel"/>
    <w:lvl w:ilvl="0">
      <w:lvlJc w:val="left"/>
      <w:lvlText w:val="%1."/>
      <w:numFmt w:val="decimal"/>
      <w:start w:val="6"/>
    </w:lvl>
  </w:abstractNum>
  <w:abstractNum w:abstractNumId="420">
    <w:nsid w:val="1E41098A"/>
    <w:multiLevelType w:val="hybridMultilevel"/>
    <w:lvl w:ilvl="0">
      <w:lvlJc w:val="left"/>
      <w:lvlText w:val="%1."/>
      <w:numFmt w:val="decimal"/>
      <w:start w:val="11"/>
    </w:lvl>
  </w:abstractNum>
  <w:abstractNum w:abstractNumId="421">
    <w:nsid w:val="5398582C"/>
    <w:multiLevelType w:val="hybridMultilevel"/>
    <w:lvl w:ilvl="0">
      <w:lvlJc w:val="left"/>
      <w:lvlText w:val="(%1)"/>
      <w:numFmt w:val="lowerLetter"/>
      <w:start w:val="1"/>
    </w:lvl>
    <w:lvl w:ilvl="1">
      <w:lvlJc w:val="left"/>
      <w:lvlText w:val="%2."/>
      <w:numFmt w:val="lowerRoman"/>
      <w:start w:val="1"/>
    </w:lvl>
  </w:abstractNum>
  <w:abstractNum w:abstractNumId="422">
    <w:nsid w:val="1C0D4475"/>
    <w:multiLevelType w:val="hybridMultilevel"/>
    <w:lvl w:ilvl="0">
      <w:lvlJc w:val="left"/>
      <w:lvlText w:val="%1."/>
      <w:numFmt w:val="decimal"/>
      <w:start w:val="12"/>
    </w:lvl>
  </w:abstractNum>
  <w:abstractNum w:abstractNumId="423">
    <w:nsid w:val="2CB6A6A4"/>
    <w:multiLevelType w:val="hybridMultilevel"/>
    <w:lvl w:ilvl="0">
      <w:lvlJc w:val="left"/>
      <w:lvlText w:val="["/>
      <w:numFmt w:val="bullet"/>
      <w:start w:val="1"/>
    </w:lvl>
  </w:abstractNum>
  <w:abstractNum w:abstractNumId="424">
    <w:nsid w:val="41D646BC"/>
    <w:multiLevelType w:val="hybridMultilevel"/>
    <w:lvl w:ilvl="0">
      <w:lvlJc w:val="left"/>
      <w:lvlText w:val="["/>
      <w:numFmt w:val="bullet"/>
      <w:start w:val="1"/>
    </w:lvl>
  </w:abstractNum>
  <w:abstractNum w:abstractNumId="425">
    <w:nsid w:val="3694A76A"/>
    <w:multiLevelType w:val="hybridMultilevel"/>
    <w:lvl w:ilvl="0">
      <w:lvlJc w:val="left"/>
      <w:lvlText w:val="%1."/>
      <w:numFmt w:val="decimal"/>
      <w:start w:val="1"/>
    </w:lvl>
  </w:abstractNum>
  <w:abstractNum w:abstractNumId="426">
    <w:nsid w:val="2BF876EE"/>
    <w:multiLevelType w:val="hybridMultilevel"/>
    <w:lvl w:ilvl="0">
      <w:lvlJc w:val="left"/>
      <w:lvlText w:val="["/>
      <w:numFmt w:val="bullet"/>
      <w:start w:val="1"/>
    </w:lvl>
  </w:abstractNum>
  <w:abstractNum w:abstractNumId="427">
    <w:nsid w:val="675ADBA"/>
    <w:multiLevelType w:val="hybridMultilevel"/>
    <w:lvl w:ilvl="0">
      <w:lvlJc w:val="left"/>
      <w:lvlText w:val="1"/>
      <w:numFmt w:val="bullet"/>
      <w:start w:val="1"/>
    </w:lvl>
  </w:abstractNum>
  <w:abstractNum w:abstractNumId="428">
    <w:nsid w:val="C12AC7F"/>
    <w:multiLevelType w:val="hybridMultilevel"/>
    <w:lvl w:ilvl="0">
      <w:lvlJc w:val="left"/>
      <w:lvlText w:val="2"/>
      <w:numFmt w:val="bullet"/>
      <w:start w:val="1"/>
    </w:lvl>
  </w:abstractNum>
  <w:abstractNum w:abstractNumId="429">
    <w:nsid w:val="6798F039"/>
    <w:multiLevelType w:val="hybridMultilevel"/>
    <w:lvl w:ilvl="0">
      <w:lvlJc w:val="left"/>
      <w:lvlText w:val="3"/>
      <w:numFmt w:val="bullet"/>
      <w:start w:val="1"/>
    </w:lvl>
  </w:abstractNum>
  <w:abstractNum w:abstractNumId="430">
    <w:nsid w:val="70837C02"/>
    <w:multiLevelType w:val="hybridMultilevel"/>
    <w:lvl w:ilvl="0">
      <w:lvlJc w:val="left"/>
      <w:lvlText w:val="(%1)"/>
      <w:numFmt w:val="decimal"/>
      <w:start w:val="1"/>
    </w:lvl>
  </w:abstractNum>
  <w:abstractNum w:abstractNumId="431">
    <w:nsid w:val="7E4A5715"/>
    <w:multiLevelType w:val="hybridMultilevel"/>
    <w:lvl w:ilvl="0">
      <w:lvlJc w:val="left"/>
      <w:lvlText w:val="(%1)"/>
      <w:numFmt w:val="lowerLetter"/>
      <w:start w:val="1"/>
    </w:lvl>
  </w:abstractNum>
  <w:abstractNum w:abstractNumId="432">
    <w:nsid w:val="42B8AC67"/>
    <w:multiLevelType w:val="hybridMultilevel"/>
    <w:lvl w:ilvl="0">
      <w:lvlJc w:val="left"/>
      <w:lvlText w:val="(%1)"/>
      <w:numFmt w:val="lowerLetter"/>
      <w:start w:val="2"/>
    </w:lvl>
  </w:abstractNum>
  <w:abstractNum w:abstractNumId="433">
    <w:nsid w:val="246348EA"/>
    <w:multiLevelType w:val="hybridMultilevel"/>
    <w:lvl w:ilvl="0">
      <w:lvlJc w:val="left"/>
      <w:lvlText w:val="(%1)"/>
      <w:numFmt w:val="lowerLetter"/>
      <w:start w:val="5"/>
    </w:lvl>
  </w:abstractNum>
  <w:abstractNum w:abstractNumId="434">
    <w:nsid w:val="170EB52B"/>
    <w:multiLevelType w:val="hybridMultilevel"/>
    <w:lvl w:ilvl="0">
      <w:lvlJc w:val="left"/>
      <w:lvlText w:val="(%1)"/>
      <w:numFmt w:val="lowerLetter"/>
      <w:start w:val="1"/>
    </w:lvl>
  </w:abstractNum>
  <w:abstractNum w:abstractNumId="435">
    <w:nsid w:val="2DFBCB8C"/>
    <w:multiLevelType w:val="hybridMultilevel"/>
    <w:lvl w:ilvl="0">
      <w:lvlJc w:val="left"/>
      <w:lvlText w:val="4"/>
      <w:numFmt w:val="bullet"/>
      <w:start w:val="1"/>
    </w:lvl>
  </w:abstractNum>
  <w:abstractNum w:abstractNumId="436">
    <w:nsid w:val="3830D6B6"/>
    <w:multiLevelType w:val="hybridMultilevel"/>
    <w:lvl w:ilvl="0">
      <w:lvlJc w:val="left"/>
      <w:lvlText w:val="(%1)"/>
      <w:numFmt w:val="lowerLetter"/>
      <w:start w:val="2"/>
    </w:lvl>
  </w:abstractNum>
  <w:abstractNum w:abstractNumId="437">
    <w:nsid w:val="6D48CF87"/>
    <w:multiLevelType w:val="hybridMultilevel"/>
    <w:lvl w:ilvl="0">
      <w:lvlJc w:val="left"/>
      <w:lvlText w:val="(%1)"/>
      <w:numFmt w:val="lowerLetter"/>
      <w:start w:val="5"/>
    </w:lvl>
  </w:abstractNum>
  <w:abstractNum w:abstractNumId="438">
    <w:nsid w:val="576FC41B"/>
    <w:multiLevelType w:val="hybridMultilevel"/>
    <w:lvl w:ilvl="0">
      <w:lvlJc w:val="left"/>
      <w:lvlText w:val="(%1)"/>
      <w:numFmt w:val="lowerLetter"/>
      <w:start w:val="1"/>
    </w:lvl>
  </w:abstractNum>
  <w:abstractNum w:abstractNumId="439">
    <w:nsid w:val="64A1C464"/>
    <w:multiLevelType w:val="hybridMultilevel"/>
    <w:lvl w:ilvl="0">
      <w:lvlJc w:val="left"/>
      <w:lvlText w:val="(%1)"/>
      <w:numFmt w:val="lowerLetter"/>
      <w:start w:val="1"/>
    </w:lvl>
  </w:abstractNum>
  <w:abstractNum w:abstractNumId="440">
    <w:nsid w:val="31723BF5"/>
    <w:multiLevelType w:val="hybridMultilevel"/>
    <w:lvl w:ilvl="0">
      <w:lvlJc w:val="left"/>
      <w:lvlText w:val="(%1)"/>
      <w:numFmt w:val="lowerRoman"/>
      <w:start w:val="1"/>
    </w:lvl>
  </w:abstractNum>
  <w:abstractNum w:abstractNumId="441">
    <w:nsid w:val="11F69861"/>
    <w:multiLevelType w:val="hybridMultilevel"/>
    <w:lvl w:ilvl="0">
      <w:lvlJc w:val="left"/>
      <w:lvlText w:val="(%1)"/>
      <w:numFmt w:val="lowerLetter"/>
      <w:start w:val="2"/>
    </w:lvl>
  </w:abstractNum>
  <w:abstractNum w:abstractNumId="442">
    <w:nsid w:val="369956AB"/>
    <w:multiLevelType w:val="hybridMultilevel"/>
    <w:lvl w:ilvl="0">
      <w:lvlJc w:val="left"/>
      <w:lvlText w:val="(%1)"/>
      <w:numFmt w:val="lowerLetter"/>
      <w:start w:val="1"/>
    </w:lvl>
    <w:lvl w:ilvl="1">
      <w:lvlJc w:val="left"/>
      <w:lvlText w:val="(%2)"/>
      <w:numFmt w:val="lowerRoman"/>
      <w:start w:val="1"/>
    </w:lvl>
  </w:abstractNum>
  <w:abstractNum w:abstractNumId="443">
    <w:nsid w:val="D3BE41C"/>
    <w:multiLevelType w:val="hybridMultilevel"/>
    <w:lvl w:ilvl="0">
      <w:lvlJc w:val="left"/>
      <w:lvlText w:val="(%1)"/>
      <w:numFmt w:val="lowerRoman"/>
      <w:start w:val="4"/>
    </w:lvl>
  </w:abstractNum>
  <w:abstractNum w:abstractNumId="444">
    <w:nsid w:val="4CDA15E7"/>
    <w:multiLevelType w:val="hybridMultilevel"/>
    <w:lvl w:ilvl="0">
      <w:lvlJc w:val="left"/>
      <w:lvlText w:val="%1"/>
      <w:numFmt w:val="lowerRoman"/>
      <w:start w:val="1"/>
    </w:lvl>
    <w:lvl w:ilvl="1">
      <w:lvlJc w:val="left"/>
      <w:lvlText w:val="(%2)"/>
      <w:numFmt w:val="lowerRoman"/>
      <w:start w:val="7"/>
    </w:lvl>
  </w:abstractNum>
  <w:abstractNum w:abstractNumId="445">
    <w:nsid w:val="7BDD6690"/>
    <w:multiLevelType w:val="hybridMultilevel"/>
    <w:lvl w:ilvl="0">
      <w:lvlJc w:val="left"/>
      <w:lvlText w:val="(%1)"/>
      <w:numFmt w:val="lowerRoman"/>
      <w:start w:val="5"/>
    </w:lvl>
    <w:lvl w:ilvl="1">
      <w:lvlJc w:val="left"/>
      <w:lvlText w:val="(%2)"/>
      <w:numFmt w:val="lowerRoman"/>
      <w:start w:val="8"/>
    </w:lvl>
  </w:abstractNum>
  <w:abstractNum w:abstractNumId="446">
    <w:nsid w:val="DFB5C5B"/>
    <w:multiLevelType w:val="hybridMultilevel"/>
    <w:lvl w:ilvl="0">
      <w:lvlJc w:val="left"/>
      <w:lvlText w:val="(%1)"/>
      <w:numFmt w:val="lowerLetter"/>
      <w:start w:val="2"/>
    </w:lvl>
  </w:abstractNum>
  <w:abstractNum w:abstractNumId="447">
    <w:nsid w:val="6F3E5490"/>
    <w:multiLevelType w:val="hybridMultilevel"/>
    <w:lvl w:ilvl="0">
      <w:lvlJc w:val="left"/>
      <w:lvlText w:val="(%1)"/>
      <w:numFmt w:val="lowerLetter"/>
      <w:start w:val="4"/>
    </w:lvl>
  </w:abstractNum>
  <w:abstractNum w:abstractNumId="448">
    <w:nsid w:val="1464BE1E"/>
    <w:multiLevelType w:val="hybridMultilevel"/>
    <w:lvl w:ilvl="0">
      <w:lvlJc w:val="left"/>
      <w:lvlText w:val="(%1)"/>
      <w:numFmt w:val="lowerRoman"/>
      <w:start w:val="1"/>
    </w:lvl>
  </w:abstractNum>
  <w:abstractNum w:abstractNumId="449">
    <w:nsid w:val="66BBB7E5"/>
    <w:multiLevelType w:val="hybridMultilevel"/>
    <w:lvl w:ilvl="0">
      <w:lvlJc w:val="left"/>
      <w:lvlText w:val="(%1)"/>
      <w:numFmt w:val="lowerRoman"/>
      <w:start w:val="2"/>
    </w:lvl>
  </w:abstractNum>
  <w:abstractNum w:abstractNumId="450">
    <w:nsid w:val="28168302"/>
    <w:multiLevelType w:val="hybridMultilevel"/>
    <w:lvl w:ilvl="0">
      <w:lvlJc w:val="left"/>
      <w:lvlText w:val="(%1)"/>
      <w:numFmt w:val="lowerLetter"/>
      <w:start w:val="1"/>
    </w:lvl>
  </w:abstractNum>
  <w:abstractNum w:abstractNumId="451">
    <w:nsid w:val="32A5C7A8"/>
    <w:multiLevelType w:val="hybridMultilevel"/>
    <w:lvl w:ilvl="0">
      <w:lvlJc w:val="left"/>
      <w:lvlText w:val="(%1)"/>
      <w:numFmt w:val="lowerLetter"/>
      <w:start w:val="2"/>
    </w:lvl>
  </w:abstractNum>
  <w:abstractNum w:abstractNumId="452">
    <w:nsid w:val="3A541011"/>
    <w:multiLevelType w:val="hybridMultilevel"/>
    <w:lvl w:ilvl="0">
      <w:lvlJc w:val="left"/>
      <w:lvlText w:val="(%1)"/>
      <w:numFmt w:val="lowerLetter"/>
      <w:start w:val="4"/>
    </w:lvl>
  </w:abstractNum>
  <w:abstractNum w:abstractNumId="453">
    <w:nsid w:val="4423C777"/>
    <w:multiLevelType w:val="hybridMultilevel"/>
    <w:lvl w:ilvl="0">
      <w:lvlJc w:val="left"/>
      <w:lvlText w:val="(%1)"/>
      <w:numFmt w:val="lowerLetter"/>
      <w:start w:val="1"/>
    </w:lvl>
  </w:abstractNum>
  <w:abstractNum w:abstractNumId="454">
    <w:nsid w:val="5F5C6E4D"/>
    <w:multiLevelType w:val="hybridMultilevel"/>
    <w:lvl w:ilvl="0">
      <w:lvlJc w:val="left"/>
      <w:lvlText w:val="(%1)"/>
      <w:numFmt w:val="upperLetter"/>
      <w:start w:val="2"/>
    </w:lvl>
  </w:abstractNum>
  <w:abstractNum w:abstractNumId="455">
    <w:nsid w:val="7C2A56CD"/>
    <w:multiLevelType w:val="hybridMultilevel"/>
    <w:lvl w:ilvl="0">
      <w:lvlJc w:val="left"/>
      <w:lvlText w:val="(%1)"/>
      <w:numFmt w:val="lowerLetter"/>
      <w:start w:val="2"/>
    </w:lvl>
  </w:abstractNum>
  <w:abstractNum w:abstractNumId="456">
    <w:nsid w:val="7AB86EE1"/>
    <w:multiLevelType w:val="hybridMultilevel"/>
    <w:lvl w:ilvl="0">
      <w:lvlJc w:val="left"/>
      <w:lvlText w:val="(%1)"/>
      <w:numFmt w:val="lowerLetter"/>
      <w:start w:val="3"/>
    </w:lvl>
  </w:abstractNum>
  <w:abstractNum w:abstractNumId="457">
    <w:nsid w:val="B54E53B"/>
    <w:multiLevelType w:val="hybridMultilevel"/>
    <w:lvl w:ilvl="0">
      <w:lvlJc w:val="left"/>
      <w:lvlText w:val="(%1)"/>
      <w:numFmt w:val="lowerLetter"/>
      <w:start w:val="4"/>
    </w:lvl>
  </w:abstractNum>
  <w:abstractNum w:abstractNumId="458">
    <w:nsid w:val="2A00487"/>
    <w:multiLevelType w:val="hybridMultilevel"/>
    <w:lvl w:ilvl="0">
      <w:lvlJc w:val="left"/>
      <w:lvlText w:val="(%1)"/>
      <w:numFmt w:val="lowerLetter"/>
      <w:start w:val="1"/>
    </w:lvl>
  </w:abstractNum>
  <w:abstractNum w:abstractNumId="459">
    <w:nsid w:val="6CB1B60"/>
    <w:multiLevelType w:val="hybridMultilevel"/>
    <w:lvl w:ilvl="0">
      <w:lvlJc w:val="left"/>
      <w:lvlText w:val="(%1)"/>
      <w:numFmt w:val="lowerLetter"/>
      <w:start w:val="1"/>
    </w:lvl>
  </w:abstractNum>
  <w:abstractNum w:abstractNumId="460">
    <w:nsid w:val="72EDD574"/>
    <w:multiLevelType w:val="hybridMultilevel"/>
    <w:lvl w:ilvl="0">
      <w:lvlJc w:val="left"/>
      <w:lvlText w:val="(%1)"/>
      <w:numFmt w:val="lowerLetter"/>
      <w:start w:val="2"/>
    </w:lvl>
  </w:abstractNum>
  <w:abstractNum w:abstractNumId="461">
    <w:nsid w:val="7323808A"/>
    <w:multiLevelType w:val="hybridMultilevel"/>
    <w:lvl w:ilvl="0">
      <w:lvlJc w:val="left"/>
      <w:lvlText w:val="(%1)"/>
      <w:numFmt w:val="lowerLetter"/>
      <w:start w:val="1"/>
    </w:lvl>
  </w:abstractNum>
  <w:abstractNum w:abstractNumId="462">
    <w:nsid w:val="5157276"/>
    <w:multiLevelType w:val="hybridMultilevel"/>
    <w:lvl w:ilvl="0">
      <w:lvlJc w:val="left"/>
      <w:lvlText w:val="5"/>
      <w:numFmt w:val="bullet"/>
      <w:start w:val="1"/>
    </w:lvl>
  </w:abstractNum>
  <w:abstractNum w:abstractNumId="463">
    <w:nsid w:val="35A681DB"/>
    <w:multiLevelType w:val="hybridMultilevel"/>
    <w:lvl w:ilvl="0">
      <w:lvlJc w:val="left"/>
      <w:lvlText w:val="(%1)"/>
      <w:numFmt w:val="lowerLetter"/>
      <w:start w:val="2"/>
    </w:lvl>
  </w:abstractNum>
  <w:abstractNum w:abstractNumId="464">
    <w:nsid w:val="1786C974"/>
    <w:multiLevelType w:val="hybridMultilevel"/>
    <w:lvl w:ilvl="0">
      <w:lvlJc w:val="left"/>
      <w:lvlText w:val="(%1)"/>
      <w:numFmt w:val="lowerLetter"/>
      <w:start w:val="1"/>
    </w:lvl>
    <w:lvl w:ilvl="1">
      <w:lvlJc w:val="left"/>
      <w:lvlText w:val="(%2)"/>
      <w:numFmt w:val="lowerRoman"/>
      <w:start w:val="1"/>
    </w:lvl>
  </w:abstractNum>
  <w:abstractNum w:abstractNumId="465">
    <w:nsid w:val="1C2427A1"/>
    <w:multiLevelType w:val="hybridMultilevel"/>
    <w:lvl w:ilvl="0">
      <w:lvlJc w:val="left"/>
      <w:lvlText w:val="%1"/>
      <w:numFmt w:val="lowerLetter"/>
      <w:start w:val="1"/>
    </w:lvl>
    <w:lvl w:ilvl="1">
      <w:lvlJc w:val="left"/>
      <w:lvlText w:val="(%2)"/>
      <w:numFmt w:val="lowerRoman"/>
      <w:start w:val="3"/>
    </w:lvl>
  </w:abstractNum>
  <w:abstractNum w:abstractNumId="466">
    <w:nsid w:val="63A24D68"/>
    <w:multiLevelType w:val="hybridMultilevel"/>
    <w:lvl w:ilvl="0">
      <w:lvlJc w:val="left"/>
      <w:lvlText w:val="(%1)"/>
      <w:numFmt w:val="lowerLetter"/>
      <w:start w:val="2"/>
    </w:lvl>
    <w:lvl w:ilvl="1">
      <w:lvlJc w:val="left"/>
      <w:lvlText w:val="%2"/>
      <w:numFmt w:val="lowerRoman"/>
      <w:start w:val="1"/>
    </w:lvl>
  </w:abstractNum>
  <w:abstractNum w:abstractNumId="467">
    <w:nsid w:val="4FB7A02A"/>
    <w:multiLevelType w:val="hybridMultilevel"/>
    <w:lvl w:ilvl="0">
      <w:lvlJc w:val="left"/>
      <w:lvlText w:val="(%1)"/>
      <w:numFmt w:val="lowerLetter"/>
      <w:start w:val="3"/>
    </w:lvl>
  </w:abstractNum>
  <w:abstractNum w:abstractNumId="468">
    <w:nsid w:val="96CF728"/>
    <w:multiLevelType w:val="hybridMultilevel"/>
    <w:lvl w:ilvl="0">
      <w:lvlJc w:val="left"/>
      <w:lvlText w:val="(%1)"/>
      <w:numFmt w:val="lowerLetter"/>
      <w:start w:val="1"/>
    </w:lvl>
  </w:abstractNum>
  <w:abstractNum w:abstractNumId="469">
    <w:nsid w:val="3B121183"/>
    <w:multiLevelType w:val="hybridMultilevel"/>
    <w:lvl w:ilvl="0">
      <w:lvlJc w:val="left"/>
      <w:lvlText w:val="(%1)"/>
      <w:numFmt w:val="lowerLetter"/>
      <w:start w:val="2"/>
    </w:lvl>
  </w:abstractNum>
  <w:abstractNum w:abstractNumId="470">
    <w:nsid w:val="3459648F"/>
    <w:multiLevelType w:val="hybridMultilevel"/>
    <w:lvl w:ilvl="0">
      <w:lvlJc w:val="left"/>
      <w:lvlText w:val="(%1)"/>
      <w:numFmt w:val="lowerLetter"/>
      <w:start w:val="1"/>
    </w:lvl>
  </w:abstractNum>
  <w:abstractNum w:abstractNumId="471">
    <w:nsid w:val="3ADF331D"/>
    <w:multiLevelType w:val="hybridMultilevel"/>
    <w:lvl w:ilvl="0">
      <w:lvlJc w:val="left"/>
      <w:lvlText w:val="(%1)"/>
      <w:numFmt w:val="lowerLetter"/>
      <w:start w:val="2"/>
    </w:lvl>
  </w:abstractNum>
  <w:abstractNum w:abstractNumId="472">
    <w:nsid w:val="4D08A9E4"/>
    <w:multiLevelType w:val="hybridMultilevel"/>
    <w:lvl w:ilvl="0">
      <w:lvlJc w:val="left"/>
      <w:lvlText w:val="(%1)"/>
      <w:numFmt w:val="lowerLetter"/>
      <w:start w:val="1"/>
    </w:lvl>
  </w:abstractNum>
  <w:abstractNum w:abstractNumId="473">
    <w:nsid w:val="6AF2BB3A"/>
    <w:multiLevelType w:val="hybridMultilevel"/>
    <w:lvl w:ilvl="0">
      <w:lvlJc w:val="left"/>
      <w:lvlText w:val="(%1)"/>
      <w:numFmt w:val="lowerLetter"/>
      <w:start w:val="3"/>
    </w:lvl>
  </w:abstractNum>
  <w:abstractNum w:abstractNumId="474">
    <w:nsid w:val="481B1739"/>
    <w:multiLevelType w:val="hybridMultilevel"/>
    <w:lvl w:ilvl="0">
      <w:lvlJc w:val="left"/>
      <w:lvlText w:val="1"/>
      <w:numFmt w:val="bullet"/>
      <w:start w:val="1"/>
    </w:lvl>
  </w:abstractNum>
  <w:abstractNum w:abstractNumId="475">
    <w:nsid w:val="19E2BFCC"/>
    <w:multiLevelType w:val="hybridMultilevel"/>
    <w:lvl w:ilvl="0">
      <w:lvlJc w:val="left"/>
      <w:lvlText w:val="2"/>
      <w:numFmt w:val="bullet"/>
      <w:start w:val="1"/>
    </w:lvl>
  </w:abstractNum>
  <w:abstractNum w:abstractNumId="476">
    <w:nsid w:val="66D021CA"/>
    <w:multiLevelType w:val="hybridMultilevel"/>
    <w:lvl w:ilvl="0">
      <w:lvlJc w:val="left"/>
      <w:lvlText w:val="•"/>
      <w:numFmt w:val="bullet"/>
      <w:start w:val="1"/>
    </w:lvl>
  </w:abstractNum>
  <w:abstractNum w:abstractNumId="477">
    <w:nsid w:val="56167394"/>
    <w:multiLevelType w:val="hybridMultilevel"/>
    <w:lvl w:ilvl="0">
      <w:lvlJc w:val="left"/>
      <w:lvlText w:val="•"/>
      <w:numFmt w:val="bullet"/>
      <w:start w:val="1"/>
    </w:lvl>
  </w:abstractNum>
  <w:abstractNum w:abstractNumId="478">
    <w:nsid w:val="921145C"/>
    <w:multiLevelType w:val="hybridMultilevel"/>
    <w:lvl w:ilvl="0">
      <w:lvlJc w:val="left"/>
      <w:lvlText w:val="1"/>
      <w:numFmt w:val="bullet"/>
      <w:start w:val="1"/>
    </w:lvl>
  </w:abstractNum>
  <w:abstractNum w:abstractNumId="479">
    <w:nsid w:val="7B34DFE8"/>
    <w:multiLevelType w:val="hybridMultilevel"/>
    <w:lvl w:ilvl="0">
      <w:lvlJc w:val="left"/>
      <w:lvlText w:val="2"/>
      <w:numFmt w:val="bullet"/>
      <w:start w:val="1"/>
    </w:lvl>
  </w:abstractNum>
  <w:abstractNum w:abstractNumId="480">
    <w:nsid w:val="3CD22B79"/>
    <w:multiLevelType w:val="hybridMultilevel"/>
    <w:lvl w:ilvl="0">
      <w:lvlJc w:val="left"/>
      <w:lvlText w:val="3"/>
      <w:numFmt w:val="bullet"/>
      <w:start w:val="1"/>
    </w:lvl>
  </w:abstractNum>
  <w:abstractNum w:abstractNumId="481">
    <w:nsid w:val="3137975E"/>
    <w:multiLevelType w:val="hybridMultilevel"/>
    <w:lvl w:ilvl="0">
      <w:lvlJc w:val="left"/>
      <w:lvlText w:val="4"/>
      <w:numFmt w:val="bullet"/>
      <w:start w:val="1"/>
    </w:lvl>
  </w:abstractNum>
  <w:abstractNum w:abstractNumId="482">
    <w:nsid w:val="2DDAA791"/>
    <w:multiLevelType w:val="hybridMultilevel"/>
    <w:lvl w:ilvl="0">
      <w:lvlJc w:val="left"/>
      <w:lvlText w:val="5"/>
      <w:numFmt w:val="bullet"/>
      <w:start w:val="1"/>
    </w:lvl>
  </w:abstractNum>
  <w:abstractNum w:abstractNumId="483">
    <w:nsid w:val="77263B8A"/>
    <w:multiLevelType w:val="hybridMultilevel"/>
    <w:lvl w:ilvl="0">
      <w:lvlJc w:val="left"/>
      <w:lvlText w:val="6"/>
      <w:numFmt w:val="bullet"/>
      <w:start w:val="1"/>
    </w:lvl>
  </w:abstractNum>
  <w:abstractNum w:abstractNumId="484">
    <w:nsid w:val="755B5ED6"/>
    <w:multiLevelType w:val="hybridMultilevel"/>
    <w:lvl w:ilvl="0">
      <w:lvlJc w:val="left"/>
      <w:lvlText w:val="(%1)"/>
      <w:numFmt w:val="decimal"/>
      <w:start w:val="2"/>
    </w:lvl>
  </w:abstractNum>
  <w:abstractNum w:abstractNumId="485">
    <w:nsid w:val="D3715DE"/>
    <w:multiLevelType w:val="hybridMultilevel"/>
    <w:lvl w:ilvl="0">
      <w:lvlJc w:val="left"/>
      <w:lvlText w:val="["/>
      <w:numFmt w:val="bullet"/>
      <w:start w:val="1"/>
    </w:lvl>
  </w:abstractNum>
  <w:abstractNum w:abstractNumId="486">
    <w:nsid w:val="73509257"/>
    <w:multiLevelType w:val="hybridMultilevel"/>
    <w:lvl w:ilvl="0">
      <w:lvlJc w:val="left"/>
      <w:lvlText w:val="["/>
      <w:numFmt w:val="bullet"/>
      <w:start w:val="1"/>
    </w:lvl>
  </w:abstractNum>
  <w:abstractNum w:abstractNumId="487">
    <w:nsid w:val="7013CDB7"/>
    <w:multiLevelType w:val="hybridMultilevel"/>
    <w:lvl w:ilvl="0">
      <w:lvlJc w:val="left"/>
      <w:lvlText w:val="(%1)"/>
      <w:numFmt w:val="lowerLetter"/>
      <w:start w:val="1"/>
    </w:lvl>
    <w:lvl w:ilvl="1">
      <w:lvlJc w:val="left"/>
      <w:lvlText w:val="(%2)"/>
      <w:numFmt w:val="lowerLetter"/>
      <w:start w:val="9"/>
    </w:lvl>
  </w:abstractNum>
  <w:abstractNum w:abstractNumId="488">
    <w:nsid w:val="188BFB19"/>
    <w:multiLevelType w:val="hybridMultilevel"/>
    <w:lvl w:ilvl="0">
      <w:lvlJc w:val="left"/>
      <w:lvlText w:val="%1"/>
      <w:numFmt w:val="lowerLetter"/>
      <w:start w:val="1"/>
    </w:lvl>
    <w:lvl w:ilvl="1">
      <w:lvlJc w:val="left"/>
      <w:lvlText w:val="(%2)"/>
      <w:numFmt w:val="lowerLetter"/>
      <w:start w:val="61"/>
    </w:lvl>
  </w:abstractNum>
  <w:abstractNum w:abstractNumId="489">
    <w:nsid w:val="75F096DF"/>
    <w:multiLevelType w:val="hybridMultilevel"/>
    <w:lvl w:ilvl="0">
      <w:lvlJc w:val="left"/>
      <w:lvlText w:val="(%1)"/>
      <w:numFmt w:val="lowerLetter"/>
      <w:start w:val="2"/>
    </w:lvl>
    <w:lvl w:ilvl="1">
      <w:lvlJc w:val="left"/>
      <w:lvlText w:val="%2"/>
      <w:numFmt w:val="lowerLetter"/>
      <w:start w:val="1"/>
    </w:lvl>
  </w:abstractNum>
  <w:abstractNum w:abstractNumId="490">
    <w:nsid w:val="76DEE918"/>
    <w:multiLevelType w:val="hybridMultilevel"/>
    <w:lvl w:ilvl="0">
      <w:lvlJc w:val="left"/>
      <w:lvlText w:val="(%1)"/>
      <w:numFmt w:val="lowerRoman"/>
      <w:start w:val="1"/>
    </w:lvl>
  </w:abstractNum>
  <w:abstractNum w:abstractNumId="491">
    <w:nsid w:val="B79D08D"/>
    <w:multiLevelType w:val="hybridMultilevel"/>
    <w:lvl w:ilvl="0">
      <w:lvlJc w:val="left"/>
      <w:lvlText w:val="(%1)"/>
      <w:numFmt w:val="decimal"/>
      <w:start w:val="1"/>
    </w:lvl>
  </w:abstractNum>
  <w:abstractNum w:abstractNumId="492">
    <w:nsid w:val="69141769"/>
    <w:multiLevelType w:val="hybridMultilevel"/>
    <w:lvl w:ilvl="0">
      <w:lvlJc w:val="left"/>
      <w:lvlText w:val="(%1)"/>
      <w:numFmt w:val="upperLetter"/>
      <w:start w:val="1"/>
    </w:lvl>
  </w:abstractNum>
  <w:abstractNum w:abstractNumId="493">
    <w:nsid w:val="7BF45B8E"/>
    <w:multiLevelType w:val="hybridMultilevel"/>
    <w:lvl w:ilvl="0">
      <w:lvlJc w:val="left"/>
      <w:lvlText w:val="%1"/>
      <w:numFmt w:val="decimal"/>
      <w:start w:val="1"/>
    </w:lvl>
    <w:lvl w:ilvl="1">
      <w:lvlJc w:val="left"/>
      <w:lvlText w:val="(%2)"/>
      <w:numFmt w:val="upperLetter"/>
      <w:start w:val="2"/>
    </w:lvl>
  </w:abstractNum>
  <w:abstractNum w:abstractNumId="494">
    <w:nsid w:val="41205269"/>
    <w:multiLevelType w:val="hybridMultilevel"/>
    <w:lvl w:ilvl="0">
      <w:lvlJc w:val="left"/>
      <w:lvlText w:val="(%1)"/>
      <w:numFmt w:val="decimal"/>
      <w:start w:val="1"/>
    </w:lvl>
    <w:lvl w:ilvl="1">
      <w:lvlJc w:val="left"/>
      <w:lvlText w:val="(%2)"/>
      <w:numFmt w:val="upperLetter"/>
      <w:start w:val="8"/>
    </w:lvl>
  </w:abstractNum>
  <w:abstractNum w:abstractNumId="495">
    <w:nsid w:val="9AE0DD"/>
    <w:multiLevelType w:val="hybridMultilevel"/>
    <w:lvl w:ilvl="0">
      <w:lvlJc w:val="left"/>
      <w:lvlText w:val="(%1)"/>
      <w:numFmt w:val="upperLetter"/>
      <w:start w:val="12"/>
    </w:lvl>
  </w:abstractNum>
  <w:abstractNum w:abstractNumId="496">
    <w:nsid w:val="1818832F"/>
    <w:multiLevelType w:val="hybridMultilevel"/>
    <w:lvl w:ilvl="0">
      <w:lvlJc w:val="left"/>
      <w:lvlText w:val="(%1)"/>
      <w:numFmt w:val="lowerRoman"/>
      <w:start w:val="1"/>
    </w:lvl>
  </w:abstractNum>
  <w:abstractNum w:abstractNumId="497">
    <w:nsid w:val="24C29FD1"/>
    <w:multiLevelType w:val="hybridMultilevel"/>
    <w:lvl w:ilvl="0">
      <w:lvlJc w:val="left"/>
      <w:lvlText w:val="(%1)"/>
      <w:numFmt w:val="lowerRoman"/>
      <w:start w:val="5"/>
    </w:lvl>
  </w:abstractNum>
  <w:abstractNum w:abstractNumId="498">
    <w:nsid w:val="50528108"/>
    <w:multiLevelType w:val="hybridMultilevel"/>
    <w:lvl w:ilvl="0">
      <w:lvlJc w:val="left"/>
      <w:lvlText w:val="(%1)"/>
      <w:numFmt w:val="upperLetter"/>
      <w:start w:val="1"/>
    </w:lvl>
  </w:abstractNum>
  <w:abstractNum w:abstractNumId="499">
    <w:nsid w:val="21857A57"/>
    <w:multiLevelType w:val="hybridMultilevel"/>
    <w:lvl w:ilvl="0">
      <w:lvlJc w:val="left"/>
      <w:lvlText w:val="(%1)"/>
      <w:numFmt w:val="upperLetter"/>
      <w:start w:val="2"/>
    </w:lvl>
  </w:abstractNum>
  <w:abstractNum w:abstractNumId="500">
    <w:nsid w:val="5FD4B154"/>
    <w:multiLevelType w:val="hybridMultilevel"/>
    <w:lvl w:ilvl="0">
      <w:lvlJc w:val="left"/>
      <w:lvlText w:val="(%1)"/>
      <w:numFmt w:val="lowerRoman"/>
      <w:start w:val="1"/>
    </w:lvl>
  </w:abstractNum>
  <w:abstractNum w:abstractNumId="501">
    <w:nsid w:val="4ABE597"/>
    <w:multiLevelType w:val="hybridMultilevel"/>
    <w:lvl w:ilvl="0">
      <w:lvlJc w:val="left"/>
      <w:lvlText w:val="["/>
      <w:numFmt w:val="bullet"/>
      <w:start w:val="1"/>
    </w:lvl>
  </w:abstractNum>
  <w:abstractNum w:abstractNumId="502">
    <w:nsid w:val="5C64AD75"/>
    <w:multiLevelType w:val="hybridMultilevel"/>
    <w:lvl w:ilvl="0">
      <w:lvlJc w:val="left"/>
      <w:lvlText w:val="["/>
      <w:numFmt w:val="bullet"/>
      <w:start w:val="1"/>
    </w:lvl>
  </w:abstractNum>
  <w:abstractNum w:abstractNumId="503">
    <w:nsid w:val="2CDD5B39"/>
    <w:multiLevelType w:val="hybridMultilevel"/>
    <w:lvl w:ilvl="0">
      <w:lvlJc w:val="left"/>
      <w:lvlText w:val="["/>
      <w:numFmt w:val="bullet"/>
      <w:start w:val="1"/>
    </w:lvl>
  </w:abstractNum>
  <w:abstractNum w:abstractNumId="504">
    <w:nsid w:val="6F9EA0D1"/>
    <w:multiLevelType w:val="hybridMultilevel"/>
    <w:lvl w:ilvl="0">
      <w:lvlJc w:val="left"/>
      <w:lvlText w:val="%1."/>
      <w:numFmt w:val="decimal"/>
      <w:start w:val="1"/>
    </w:lvl>
  </w:abstractNum>
  <w:abstractNum w:abstractNumId="505">
    <w:nsid w:val="247FC4AE"/>
    <w:multiLevelType w:val="hybridMultilevel"/>
    <w:lvl w:ilvl="0">
      <w:lvlJc w:val="left"/>
      <w:lvlText w:val="%1."/>
      <w:numFmt w:val="decimal"/>
      <w:start w:val="2"/>
    </w:lvl>
  </w:abstractNum>
  <w:abstractNum w:abstractNumId="506">
    <w:nsid w:val="46C01B05"/>
    <w:multiLevelType w:val="hybridMultilevel"/>
    <w:lvl w:ilvl="0">
      <w:lvlJc w:val="left"/>
      <w:lvlText w:val="%1."/>
      <w:numFmt w:val="decimal"/>
      <w:start w:val="7"/>
    </w:lvl>
  </w:abstractNum>
  <w:abstractNum w:abstractNumId="507">
    <w:nsid w:val="566EC29B"/>
    <w:multiLevelType w:val="hybridMultilevel"/>
    <w:lvl w:ilvl="0">
      <w:lvlJc w:val="left"/>
      <w:lvlText w:val="%1."/>
      <w:numFmt w:val="decimal"/>
      <w:start w:val="9"/>
    </w:lvl>
  </w:abstractNum>
  <w:abstractNum w:abstractNumId="508">
    <w:nsid w:val="7A963843"/>
    <w:multiLevelType w:val="hybridMultilevel"/>
    <w:lvl w:ilvl="0">
      <w:lvlJc w:val="left"/>
      <w:lvlText w:val="%1."/>
      <w:numFmt w:val="decimal"/>
      <w:start w:val="11"/>
    </w:lvl>
  </w:abstractNum>
  <w:abstractNum w:abstractNumId="509">
    <w:nsid w:val="4FE12F61"/>
    <w:multiLevelType w:val="hybridMultilevel"/>
    <w:lvl w:ilvl="0">
      <w:lvlJc w:val="left"/>
      <w:lvlText w:val="%1."/>
      <w:numFmt w:val="decimal"/>
      <w:start w:val="1"/>
    </w:lvl>
  </w:abstractNum>
  <w:abstractNum w:abstractNumId="510">
    <w:nsid w:val="51A3A284"/>
    <w:multiLevelType w:val="hybridMultilevel"/>
    <w:lvl w:ilvl="0">
      <w:lvlJc w:val="left"/>
      <w:lvlText w:val="%1."/>
      <w:numFmt w:val="decimal"/>
      <w:start w:val="2"/>
    </w:lvl>
  </w:abstractNum>
  <w:abstractNum w:abstractNumId="511">
    <w:nsid w:val="376863BC"/>
    <w:multiLevelType w:val="hybridMultilevel"/>
    <w:lvl w:ilvl="0">
      <w:lvlJc w:val="left"/>
      <w:lvlText w:val="%1."/>
      <w:numFmt w:val="decimal"/>
      <w:start w:val="4"/>
    </w:lvl>
  </w:abstractNum>
  <w:abstractNum w:abstractNumId="512">
    <w:nsid w:val="118C6C0"/>
    <w:multiLevelType w:val="hybridMultilevel"/>
    <w:lvl w:ilvl="0">
      <w:lvlJc w:val="left"/>
      <w:lvlText w:val="%1."/>
      <w:numFmt w:val="decimal"/>
      <w:start w:val="1"/>
    </w:lvl>
    <w:lvl w:ilvl="1">
      <w:lvlJc w:val="left"/>
      <w:lvlText w:val="%2."/>
      <w:numFmt w:val="lowerLetter"/>
      <w:start w:val="1"/>
    </w:lvl>
  </w:abstractNum>
  <w:abstractNum w:abstractNumId="513">
    <w:nsid w:val="7F7E4A15"/>
    <w:multiLevelType w:val="hybridMultilevel"/>
    <w:lvl w:ilvl="0">
      <w:lvlJc w:val="left"/>
      <w:lvlText w:val="%1."/>
      <w:numFmt w:val="decimal"/>
      <w:start w:val="2"/>
    </w:lvl>
    <w:lvl w:ilvl="1">
      <w:lvlJc w:val="left"/>
      <w:lvlText w:val="%2."/>
      <w:numFmt w:val="lowerLetter"/>
      <w:start w:val="1"/>
    </w:lvl>
  </w:abstractNum>
  <w:abstractNum w:abstractNumId="514">
    <w:nsid w:val="2E8E9F47"/>
    <w:multiLevelType w:val="hybridMultilevel"/>
    <w:lvl w:ilvl="0">
      <w:lvlJc w:val="left"/>
      <w:lvlText w:val="%1."/>
      <w:numFmt w:val="decimal"/>
      <w:start w:val="4"/>
    </w:lvl>
    <w:lvl w:ilvl="1">
      <w:lvlJc w:val="left"/>
      <w:lvlText w:val="%2."/>
      <w:numFmt w:val="lowerLetter"/>
      <w:start w:val="1"/>
    </w:lvl>
  </w:abstractNum>
  <w:abstractNum w:abstractNumId="515">
    <w:nsid w:val="76742596"/>
    <w:multiLevelType w:val="hybridMultilevel"/>
    <w:lvl w:ilvl="0">
      <w:lvlJc w:val="left"/>
      <w:lvlText w:val="%1."/>
      <w:numFmt w:val="decimal"/>
      <w:start w:val="1"/>
    </w:lvl>
  </w:abstractNum>
  <w:abstractNum w:abstractNumId="516">
    <w:nsid w:val="CB55FF3"/>
    <w:multiLevelType w:val="hybridMultilevel"/>
    <w:lvl w:ilvl="0">
      <w:lvlJc w:val="left"/>
      <w:lvlText w:val="%1"/>
      <w:numFmt w:val="upperLetter"/>
      <w:start w:val="1"/>
    </w:lvl>
    <w:lvl w:ilvl="1">
      <w:lvlJc w:val="left"/>
      <w:lvlText w:val="%2."/>
      <w:numFmt w:val="decimal"/>
      <w:start w:val="2"/>
    </w:lvl>
  </w:abstractNum>
  <w:abstractNum w:abstractNumId="517">
    <w:nsid w:val="21DF319E"/>
    <w:multiLevelType w:val="hybridMultilevel"/>
    <w:lvl w:ilvl="0">
      <w:lvlJc w:val="left"/>
      <w:lvlText w:val="(%1)"/>
      <w:numFmt w:val="upperLetter"/>
      <w:start w:val="3"/>
    </w:lvl>
    <w:lvl w:ilvl="1">
      <w:lvlJc w:val="left"/>
      <w:lvlText w:val="%2"/>
      <w:numFmt w:val="decimal"/>
      <w:start w:val="1"/>
    </w:lvl>
  </w:abstractNum>
  <w:abstractNum w:abstractNumId="518">
    <w:nsid w:val="6687F34D"/>
    <w:multiLevelType w:val="hybridMultilevel"/>
    <w:lvl w:ilvl="0">
      <w:lvlJc w:val="left"/>
      <w:lvlText w:val="(%1)"/>
      <w:numFmt w:val="lowerLetter"/>
      <w:start w:val="1"/>
    </w:lvl>
    <w:lvl w:ilvl="1">
      <w:lvlJc w:val="left"/>
      <w:lvlText w:val="%2."/>
      <w:numFmt w:val="lowerLetter"/>
      <w:start w:val="1"/>
    </w:lvl>
  </w:abstractNum>
  <w:abstractNum w:abstractNumId="519">
    <w:nsid w:val="25415B0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520">
    <w:nsid w:val="17CFC87D"/>
    <w:multiLevelType w:val="hybridMultilevel"/>
    <w:lvl w:ilvl="0">
      <w:lvlJc w:val="left"/>
      <w:lvlText w:val="%1."/>
      <w:numFmt w:val="decimal"/>
      <w:start w:val="3"/>
    </w:lvl>
    <w:lvl w:ilvl="1">
      <w:lvlJc w:val="left"/>
      <w:lvlText w:val="%2."/>
      <w:numFmt w:val="lowerLetter"/>
      <w:start w:val="1"/>
    </w:lvl>
  </w:abstractNum>
  <w:abstractNum w:abstractNumId="521">
    <w:nsid w:val="5D66DC65"/>
    <w:multiLevelType w:val="hybridMultilevel"/>
    <w:lvl w:ilvl="0">
      <w:lvlJc w:val="left"/>
      <w:lvlText w:val="%1."/>
      <w:numFmt w:val="decimal"/>
      <w:start w:val="4"/>
    </w:lvl>
  </w:abstractNum>
  <w:abstractNum w:abstractNumId="522">
    <w:nsid w:val="30BB2B99"/>
    <w:multiLevelType w:val="hybridMultilevel"/>
    <w:lvl w:ilvl="0">
      <w:lvlJc w:val="left"/>
      <w:lvlText w:val="%1."/>
      <w:numFmt w:val="decimal"/>
      <w:start w:val="1"/>
    </w:lvl>
  </w:abstractNum>
  <w:abstractNum w:abstractNumId="523">
    <w:nsid w:val="E3DFE6"/>
    <w:multiLevelType w:val="hybridMultilevel"/>
    <w:lvl w:ilvl="0">
      <w:lvlJc w:val="left"/>
      <w:lvlText w:val="%1."/>
      <w:numFmt w:val="decimal"/>
      <w:start w:val="4"/>
    </w:lvl>
  </w:abstractNum>
  <w:abstractNum w:abstractNumId="524">
    <w:nsid w:val="595B37F3"/>
    <w:multiLevelType w:val="hybridMultilevel"/>
    <w:lvl w:ilvl="0">
      <w:lvlJc w:val="left"/>
      <w:lvlText w:val="%1."/>
      <w:numFmt w:val="decimal"/>
      <w:start w:val="1"/>
    </w:lvl>
  </w:abstractNum>
  <w:abstractNum w:abstractNumId="525">
    <w:nsid w:val="71DB7E02"/>
    <w:multiLevelType w:val="hybridMultilevel"/>
    <w:lvl w:ilvl="0">
      <w:lvlJc w:val="left"/>
      <w:lvlText w:val="%1."/>
      <w:numFmt w:val="decimal"/>
      <w:start w:val="2"/>
    </w:lvl>
  </w:abstractNum>
  <w:abstractNum w:abstractNumId="526">
    <w:nsid w:val="17EC0C4"/>
    <w:multiLevelType w:val="hybridMultilevel"/>
    <w:lvl w:ilvl="0">
      <w:lvlJc w:val="left"/>
      <w:lvlText w:val="%1."/>
      <w:numFmt w:val="decimal"/>
      <w:start w:val="3"/>
    </w:lvl>
  </w:abstractNum>
  <w:abstractNum w:abstractNumId="527">
    <w:nsid w:val="7173BB22"/>
    <w:multiLevelType w:val="hybridMultilevel"/>
    <w:lvl w:ilvl="0">
      <w:lvlJc w:val="left"/>
      <w:lvlText w:val="%1."/>
      <w:numFmt w:val="decimal"/>
      <w:start w:val="4"/>
    </w:lvl>
  </w:abstractNum>
  <w:abstractNum w:abstractNumId="528">
    <w:nsid w:val="169E1DD3"/>
    <w:multiLevelType w:val="hybridMultilevel"/>
    <w:lvl w:ilvl="0">
      <w:lvlJc w:val="left"/>
      <w:lvlText w:val="%1."/>
      <w:numFmt w:val="decimal"/>
      <w:start w:val="5"/>
    </w:lvl>
  </w:abstractNum>
  <w:abstractNum w:abstractNumId="529">
    <w:nsid w:val="51D141CC"/>
    <w:multiLevelType w:val="hybridMultilevel"/>
    <w:lvl w:ilvl="0">
      <w:lvlJc w:val="left"/>
      <w:lvlText w:val="%1."/>
      <w:numFmt w:val="decimal"/>
      <w:start w:val="1"/>
    </w:lvl>
  </w:abstractNum>
  <w:abstractNum w:abstractNumId="530">
    <w:nsid w:val="12F9357A"/>
    <w:multiLevelType w:val="hybridMultilevel"/>
    <w:lvl w:ilvl="0">
      <w:lvlJc w:val="left"/>
      <w:lvlText w:val="%1."/>
      <w:numFmt w:val="decimal"/>
      <w:start w:val="1"/>
    </w:lvl>
    <w:lvl w:ilvl="1">
      <w:lvlJc w:val="left"/>
      <w:lvlText w:val="%2."/>
      <w:numFmt w:val="lowerLetter"/>
      <w:start w:val="1"/>
    </w:lvl>
  </w:abstractNum>
  <w:abstractNum w:abstractNumId="531">
    <w:nsid w:val="7672CF28"/>
    <w:multiLevelType w:val="hybridMultilevel"/>
    <w:lvl w:ilvl="0">
      <w:lvlJc w:val="left"/>
      <w:lvlText w:val="%1."/>
      <w:numFmt w:val="decimal"/>
      <w:start w:val="2"/>
    </w:lvl>
    <w:lvl w:ilvl="1">
      <w:lvlJc w:val="left"/>
      <w:lvlText w:val="%2."/>
      <w:numFmt w:val="lowerLetter"/>
      <w:start w:val="1"/>
    </w:lvl>
  </w:abstractNum>
  <w:abstractNum w:abstractNumId="532">
    <w:nsid w:val="567D2763"/>
    <w:multiLevelType w:val="hybridMultilevel"/>
    <w:lvl w:ilvl="0">
      <w:lvlJc w:val="left"/>
      <w:lvlText w:val="%1."/>
      <w:numFmt w:val="decimal"/>
      <w:start w:val="4"/>
    </w:lvl>
    <w:lvl w:ilvl="1">
      <w:lvlJc w:val="left"/>
      <w:lvlText w:val="%2."/>
      <w:numFmt w:val="lowerLetter"/>
      <w:start w:val="1"/>
    </w:lvl>
  </w:abstractNum>
  <w:abstractNum w:abstractNumId="533">
    <w:nsid w:val="6F5DE2EF"/>
    <w:multiLevelType w:val="hybridMultilevel"/>
    <w:lvl w:ilvl="0">
      <w:lvlJc w:val="left"/>
      <w:lvlText w:val="%1."/>
      <w:numFmt w:val="decimal"/>
      <w:start w:val="5"/>
    </w:lvl>
    <w:lvl w:ilvl="1">
      <w:lvlJc w:val="left"/>
      <w:lvlText w:val="%2."/>
      <w:numFmt w:val="lowerLetter"/>
      <w:start w:val="1"/>
    </w:lvl>
  </w:abstractNum>
  <w:abstractNum w:abstractNumId="534">
    <w:nsid w:val="23502A61"/>
    <w:multiLevelType w:val="hybridMultilevel"/>
    <w:lvl w:ilvl="0">
      <w:lvlJc w:val="left"/>
      <w:lvlText w:val="%1."/>
      <w:numFmt w:val="decimal"/>
      <w:start w:val="6"/>
    </w:lvl>
  </w:abstractNum>
  <w:abstractNum w:abstractNumId="535">
    <w:nsid w:val="461BC834"/>
    <w:multiLevelType w:val="hybridMultilevel"/>
    <w:lvl w:ilvl="0">
      <w:lvlJc w:val="left"/>
      <w:lvlText w:val="%1."/>
      <w:numFmt w:val="decimal"/>
      <w:start w:val="1"/>
    </w:lvl>
  </w:abstractNum>
  <w:abstractNum w:abstractNumId="536">
    <w:nsid w:val="13DDA79D"/>
    <w:multiLevelType w:val="hybridMultilevel"/>
    <w:lvl w:ilvl="0">
      <w:lvlJc w:val="left"/>
      <w:lvlText w:val="%1."/>
      <w:numFmt w:val="decimal"/>
      <w:start w:val="2"/>
    </w:lvl>
  </w:abstractNum>
  <w:abstractNum w:abstractNumId="537">
    <w:nsid w:val="6A104566"/>
    <w:multiLevelType w:val="hybridMultilevel"/>
    <w:lvl w:ilvl="0">
      <w:lvlJc w:val="left"/>
      <w:lvlText w:val="%1."/>
      <w:numFmt w:val="decimal"/>
      <w:start w:val="1"/>
    </w:lvl>
  </w:abstractNum>
  <w:abstractNum w:abstractNumId="538">
    <w:nsid w:val="1C8A8ACF"/>
    <w:multiLevelType w:val="hybridMultilevel"/>
    <w:lvl w:ilvl="0">
      <w:lvlJc w:val="left"/>
      <w:lvlText w:val="%1."/>
      <w:numFmt w:val="decimal"/>
      <w:start w:val="2"/>
    </w:lvl>
  </w:abstractNum>
  <w:abstractNum w:abstractNumId="539">
    <w:nsid w:val="E73DFE0"/>
    <w:multiLevelType w:val="hybridMultilevel"/>
    <w:lvl w:ilvl="0">
      <w:lvlJc w:val="left"/>
      <w:lvlText w:val="%1."/>
      <w:numFmt w:val="decimal"/>
      <w:start w:val="1"/>
    </w:lvl>
  </w:abstractNum>
  <w:abstractNum w:abstractNumId="540">
    <w:nsid w:val="39F174C7"/>
    <w:multiLevelType w:val="hybridMultilevel"/>
    <w:lvl w:ilvl="0">
      <w:lvlJc w:val="left"/>
      <w:lvlText w:val="%1."/>
      <w:numFmt w:val="upperLetter"/>
      <w:start w:val="4"/>
    </w:lvl>
  </w:abstractNum>
  <w:abstractNum w:abstractNumId="541">
    <w:nsid w:val="6E2E2D53"/>
    <w:multiLevelType w:val="hybridMultilevel"/>
    <w:lvl w:ilvl="0">
      <w:lvlJc w:val="left"/>
      <w:lvlText w:val="%1."/>
      <w:numFmt w:val="decimal"/>
      <w:start w:val="1"/>
    </w:lvl>
  </w:abstractNum>
  <w:abstractNum w:abstractNumId="542">
    <w:nsid w:val="45DC439D"/>
    <w:multiLevelType w:val="hybridMultilevel"/>
    <w:lvl w:ilvl="0">
      <w:lvlJc w:val="left"/>
      <w:lvlText w:val="%1."/>
      <w:numFmt w:val="decimal"/>
      <w:start w:val="2"/>
    </w:lvl>
  </w:abstractNum>
  <w:abstractNum w:abstractNumId="543">
    <w:nsid w:val="3B0A3B87"/>
    <w:multiLevelType w:val="hybridMultilevel"/>
    <w:lvl w:ilvl="0">
      <w:lvlJc w:val="left"/>
      <w:lvlText w:val="["/>
      <w:numFmt w:val="bullet"/>
      <w:start w:val="1"/>
    </w:lvl>
  </w:abstractNum>
  <w:abstractNum w:abstractNumId="544">
    <w:nsid w:val="6DAC7768"/>
    <w:multiLevelType w:val="hybridMultilevel"/>
    <w:lvl w:ilvl="0">
      <w:lvlJc w:val="left"/>
      <w:lvlText w:val="["/>
      <w:numFmt w:val="bullet"/>
      <w:start w:val="1"/>
    </w:lvl>
  </w:abstractNum>
  <w:abstractNum w:abstractNumId="545">
    <w:nsid w:val="746AE2E4"/>
    <w:multiLevelType w:val="hybridMultilevel"/>
    <w:lvl w:ilvl="0">
      <w:lvlJc w:val="left"/>
      <w:lvlText w:val="["/>
      <w:numFmt w:val="bullet"/>
      <w:start w:val="1"/>
    </w:lvl>
  </w:abstractNum>
  <w:abstractNum w:abstractNumId="546">
    <w:nsid w:val="317E611D"/>
    <w:multiLevelType w:val="hybridMultilevel"/>
    <w:lvl w:ilvl="0">
      <w:lvlJc w:val="left"/>
      <w:lvlText w:val="%1."/>
      <w:numFmt w:val="decimal"/>
      <w:start w:val="1"/>
    </w:lvl>
    <w:lvl w:ilvl="1">
      <w:lvlJc w:val="left"/>
      <w:lvlText w:val="%2."/>
      <w:numFmt w:val="lowerLetter"/>
      <w:start w:val="1"/>
    </w:lvl>
  </w:abstractNum>
  <w:abstractNum w:abstractNumId="547">
    <w:nsid w:val="7A61D75B"/>
    <w:multiLevelType w:val="hybridMultilevel"/>
    <w:lvl w:ilvl="0">
      <w:lvlJc w:val="left"/>
      <w:lvlText w:val="%1."/>
      <w:numFmt w:val="decimal"/>
      <w:start w:val="2"/>
    </w:lvl>
  </w:abstractNum>
  <w:abstractNum w:abstractNumId="548">
    <w:nsid w:val="164A1482"/>
    <w:multiLevelType w:val="hybridMultilevel"/>
    <w:lvl w:ilvl="0">
      <w:lvlJc w:val="left"/>
      <w:lvlText w:val="%1."/>
      <w:numFmt w:val="upperLetter"/>
      <w:start w:val="13"/>
    </w:lvl>
  </w:abstractNum>
  <w:abstractNum w:abstractNumId="549">
    <w:nsid w:val="1806546B"/>
    <w:multiLevelType w:val="hybridMultilevel"/>
    <w:lvl w:ilvl="0">
      <w:lvlJc w:val="left"/>
      <w:lvlText w:val="%1."/>
      <w:numFmt w:val="decimal"/>
      <w:start w:val="1"/>
    </w:lvl>
  </w:abstractNum>
  <w:abstractNum w:abstractNumId="550">
    <w:nsid w:val="1FA33267"/>
    <w:multiLevelType w:val="hybridMultilevel"/>
    <w:lvl w:ilvl="0">
      <w:lvlJc w:val="left"/>
      <w:lvlText w:val="%1"/>
      <w:numFmt w:val="upperLetter"/>
      <w:start w:val="1"/>
    </w:lvl>
    <w:lvl w:ilvl="1">
      <w:lvlJc w:val="left"/>
      <w:lvlText w:val="%2."/>
      <w:numFmt w:val="decimal"/>
      <w:start w:val="1"/>
    </w:lvl>
  </w:abstractNum>
  <w:abstractNum w:abstractNumId="551">
    <w:nsid w:val="2E19DD00"/>
    <w:multiLevelType w:val="hybridMultilevel"/>
    <w:lvl w:ilvl="0">
      <w:lvlJc w:val="left"/>
      <w:lvlText w:val="%1."/>
      <w:numFmt w:val="upperLetter"/>
      <w:start w:val="2"/>
    </w:lvl>
    <w:lvl w:ilvl="1">
      <w:lvlJc w:val="left"/>
      <w:lvlText w:val="%2"/>
      <w:numFmt w:val="decimal"/>
      <w:start w:val="1"/>
    </w:lvl>
  </w:abstractNum>
  <w:abstractNum w:abstractNumId="552">
    <w:nsid w:val="756D30D0"/>
    <w:multiLevelType w:val="hybridMultilevel"/>
    <w:lvl w:ilvl="0">
      <w:lvlJc w:val="left"/>
      <w:lvlText w:val="2"/>
      <w:numFmt w:val="bullet"/>
      <w:start w:val="1"/>
    </w:lvl>
  </w:abstractNum>
  <w:abstractNum w:abstractNumId="553">
    <w:nsid w:val="505E5E01"/>
    <w:multiLevelType w:val="hybridMultilevel"/>
    <w:lvl w:ilvl="0">
      <w:lvlJc w:val="left"/>
      <w:lvlText w:val="3"/>
      <w:numFmt w:val="bullet"/>
      <w:start w:val="1"/>
    </w:lvl>
  </w:abstractNum>
  <w:abstractNum w:abstractNumId="554">
    <w:nsid w:val="2EFDBCE6"/>
    <w:multiLevelType w:val="hybridMultilevel"/>
    <w:lvl w:ilvl="0">
      <w:lvlJc w:val="left"/>
      <w:lvlText w:val="4"/>
      <w:numFmt w:val="bullet"/>
      <w:start w:val="1"/>
    </w:lvl>
  </w:abstractNum>
  <w:abstractNum w:abstractNumId="555">
    <w:nsid w:val="4EC868C4"/>
    <w:multiLevelType w:val="hybridMultilevel"/>
    <w:lvl w:ilvl="0">
      <w:lvlJc w:val="left"/>
      <w:lvlText w:val="5"/>
      <w:numFmt w:val="bullet"/>
      <w:start w:val="1"/>
    </w:lvl>
  </w:abstractNum>
  <w:abstractNum w:abstractNumId="556">
    <w:nsid w:val="4239DC03"/>
    <w:multiLevelType w:val="hybridMultilevel"/>
    <w:lvl w:ilvl="0">
      <w:lvlJc w:val="left"/>
      <w:lvlText w:val="7"/>
      <w:numFmt w:val="bullet"/>
      <w:start w:val="1"/>
    </w:lvl>
  </w:abstractNum>
  <w:abstractNum w:abstractNumId="557">
    <w:nsid w:val="307C7DAA"/>
    <w:multiLevelType w:val="hybridMultilevel"/>
    <w:lvl w:ilvl="0">
      <w:lvlJc w:val="left"/>
      <w:lvlText w:val="8"/>
      <w:numFmt w:val="bullet"/>
      <w:start w:val="1"/>
    </w:lvl>
  </w:abstractNum>
  <w:abstractNum w:abstractNumId="558">
    <w:nsid w:val="403C23E6"/>
    <w:multiLevelType w:val="hybridMultilevel"/>
    <w:lvl w:ilvl="0">
      <w:lvlJc w:val="left"/>
      <w:lvlText w:val="9"/>
      <w:numFmt w:val="bullet"/>
      <w:start w:val="1"/>
    </w:lvl>
  </w:abstractNum>
  <w:abstractNum w:abstractNumId="559">
    <w:nsid w:val="58D7F9D7"/>
    <w:multiLevelType w:val="hybridMultilevel"/>
    <w:lvl w:ilvl="0">
      <w:lvlJc w:val="left"/>
      <w:lvlText w:val="%1"/>
      <w:numFmt w:val="decimal"/>
      <w:start w:val="10"/>
    </w:lvl>
  </w:abstractNum>
  <w:abstractNum w:abstractNumId="560">
    <w:nsid w:val="24DBF76"/>
    <w:multiLevelType w:val="hybridMultilevel"/>
    <w:lvl w:ilvl="0">
      <w:lvlJc w:val="left"/>
      <w:lvlText w:val="["/>
      <w:numFmt w:val="bullet"/>
      <w:start w:val="1"/>
    </w:lvl>
  </w:abstractNum>
  <w:abstractNum w:abstractNumId="561">
    <w:nsid w:val="53355960"/>
    <w:multiLevelType w:val="hybridMultilevel"/>
    <w:lvl w:ilvl="0">
      <w:lvlJc w:val="left"/>
      <w:lvlText w:val="["/>
      <w:numFmt w:val="bullet"/>
      <w:start w:val="1"/>
    </w:lvl>
  </w:abstractNum>
  <w:abstractNum w:abstractNumId="562">
    <w:nsid w:val="4F4AC8FF"/>
    <w:multiLevelType w:val="hybridMultilevel"/>
    <w:lvl w:ilvl="0">
      <w:lvlJc w:val="left"/>
      <w:lvlText w:val="["/>
      <w:numFmt w:val="bullet"/>
      <w:start w:val="1"/>
    </w:lvl>
  </w:abstractNum>
  <w:abstractNum w:abstractNumId="563">
    <w:nsid w:val="58CAE6D9"/>
    <w:multiLevelType w:val="hybridMultilevel"/>
    <w:lvl w:ilvl="0">
      <w:lvlJc w:val="left"/>
      <w:lvlText w:val="["/>
      <w:numFmt w:val="bullet"/>
      <w:start w:val="1"/>
    </w:lvl>
  </w:abstractNum>
  <w:abstractNum w:abstractNumId="564">
    <w:nsid w:val="42933C4F"/>
    <w:multiLevelType w:val="hybridMultilevel"/>
    <w:lvl w:ilvl="0">
      <w:lvlJc w:val="left"/>
      <w:lvlText w:val="i"/>
      <w:numFmt w:val="bullet"/>
      <w:start w:val="1"/>
    </w:lvl>
  </w:abstractNum>
  <w:abstractNum w:abstractNumId="565">
    <w:nsid w:val="729AF360"/>
    <w:multiLevelType w:val="hybridMultilevel"/>
    <w:lvl w:ilvl="0">
      <w:lvlJc w:val="left"/>
      <w:lvlText w:val="%1"/>
      <w:numFmt w:val="lowerRoman"/>
      <w:start w:val="2"/>
    </w:lvl>
  </w:abstractNum>
  <w:abstractNum w:abstractNumId="566">
    <w:nsid w:val="1EE6AF0D"/>
    <w:multiLevelType w:val="hybridMultilevel"/>
    <w:lvl w:ilvl="0">
      <w:lvlJc w:val="left"/>
      <w:lvlText w:val="%1"/>
      <w:numFmt w:val="lowerRoman"/>
      <w:start w:val="6"/>
    </w:lvl>
  </w:abstractNum>
  <w:abstractNum w:abstractNumId="567">
    <w:nsid w:val="5670E3ED"/>
    <w:multiLevelType w:val="hybridMultilevel"/>
    <w:lvl w:ilvl="0">
      <w:lvlJc w:val="left"/>
      <w:lvlText w:val="%1"/>
      <w:numFmt w:val="lowerRoman"/>
      <w:start w:val="7"/>
    </w:lvl>
  </w:abstractNum>
  <w:abstractNum w:abstractNumId="568">
    <w:nsid w:val="5CAB38C6"/>
    <w:multiLevelType w:val="hybridMultilevel"/>
    <w:lvl w:ilvl="0">
      <w:lvlJc w:val="left"/>
      <w:lvlText w:val="x"/>
      <w:numFmt w:val="bullet"/>
      <w:start w:val="1"/>
    </w:lvl>
  </w:abstractNum>
  <w:abstractNum w:abstractNumId="569">
    <w:nsid w:val="3B7139DD"/>
    <w:multiLevelType w:val="hybridMultilevel"/>
    <w:lvl w:ilvl="0">
      <w:lvlJc w:val="left"/>
      <w:lvlText w:val="%1"/>
      <w:numFmt w:val="lowerRoman"/>
      <w:start w:val="11"/>
    </w:lvl>
  </w:abstractNum>
  <w:abstractNum w:abstractNumId="570">
    <w:nsid w:val="64E4C3CD"/>
    <w:multiLevelType w:val="hybridMultilevel"/>
    <w:lvl w:ilvl="0">
      <w:lvlJc w:val="left"/>
      <w:lvlText w:val="%1"/>
      <w:numFmt w:val="lowerRoman"/>
      <w:start w:val="14"/>
    </w:lvl>
  </w:abstractNum>
  <w:abstractNum w:abstractNumId="571">
    <w:nsid w:val="169CAD8D"/>
    <w:multiLevelType w:val="hybridMultilevel"/>
    <w:lvl w:ilvl="0">
      <w:lvlJc w:val="left"/>
      <w:lvlText w:val="%1"/>
      <w:numFmt w:val="lowerRoman"/>
      <w:start w:val="16"/>
    </w:lvl>
  </w:abstractNum>
  <w:abstractNum w:abstractNumId="572">
    <w:nsid w:val="299F6730"/>
    <w:multiLevelType w:val="hybridMultilevel"/>
    <w:lvl w:ilvl="0">
      <w:lvlJc w:val="left"/>
      <w:lvlText w:val="1"/>
      <w:numFmt w:val="bullet"/>
      <w:start w:val="1"/>
    </w:lvl>
  </w:abstractNum>
  <w:abstractNum w:abstractNumId="573">
    <w:nsid w:val="2AC1076A"/>
    <w:multiLevelType w:val="hybridMultilevel"/>
    <w:lvl w:ilvl="0">
      <w:lvlJc w:val="left"/>
      <w:lvlText w:val="2"/>
      <w:numFmt w:val="bullet"/>
      <w:start w:val="1"/>
    </w:lvl>
  </w:abstractNum>
  <w:abstractNum w:abstractNumId="574">
    <w:nsid w:val="51A6E915"/>
    <w:multiLevelType w:val="hybridMultilevel"/>
    <w:lvl w:ilvl="0">
      <w:lvlJc w:val="left"/>
      <w:lvlText w:val="3"/>
      <w:numFmt w:val="bullet"/>
      <w:start w:val="1"/>
    </w:lvl>
  </w:abstractNum>
  <w:abstractNum w:abstractNumId="575">
    <w:nsid w:val="174BDE99"/>
    <w:multiLevelType w:val="hybridMultilevel"/>
    <w:lvl w:ilvl="0">
      <w:lvlJc w:val="left"/>
      <w:lvlText w:val="4"/>
      <w:numFmt w:val="bullet"/>
      <w:start w:val="1"/>
    </w:lvl>
  </w:abstractNum>
  <w:abstractNum w:abstractNumId="576">
    <w:nsid w:val="1F2BEA4E"/>
    <w:multiLevelType w:val="hybridMultilevel"/>
    <w:lvl w:ilvl="0">
      <w:lvlJc w:val="left"/>
      <w:lvlText w:val="5"/>
      <w:numFmt w:val="bullet"/>
      <w:start w:val="1"/>
    </w:lvl>
  </w:abstractNum>
  <w:abstractNum w:abstractNumId="577">
    <w:nsid w:val="3254A32"/>
    <w:multiLevelType w:val="hybridMultilevel"/>
    <w:lvl w:ilvl="0">
      <w:lvlJc w:val="left"/>
      <w:lvlText w:val="6"/>
      <w:numFmt w:val="bullet"/>
      <w:start w:val="1"/>
    </w:lvl>
  </w:abstractNum>
  <w:abstractNum w:abstractNumId="578">
    <w:nsid w:val="11ADB5F4"/>
    <w:multiLevelType w:val="hybridMultilevel"/>
    <w:lvl w:ilvl="0">
      <w:lvlJc w:val="left"/>
      <w:lvlText w:val="%1."/>
      <w:numFmt w:val="decimal"/>
      <w:start w:val="1"/>
    </w:lvl>
  </w:abstractNum>
  <w:abstractNum w:abstractNumId="579">
    <w:nsid w:val="3575FED1"/>
    <w:multiLevelType w:val="hybridMultilevel"/>
    <w:lvl w:ilvl="0">
      <w:lvlJc w:val="left"/>
      <w:lvlText w:val="%1."/>
      <w:numFmt w:val="decimal"/>
      <w:start w:val="2"/>
    </w:lvl>
  </w:abstractNum>
  <w:abstractNum w:abstractNumId="580">
    <w:nsid w:val="1B2B9E9D"/>
    <w:multiLevelType w:val="hybridMultilevel"/>
    <w:lvl w:ilvl="0">
      <w:lvlJc w:val="left"/>
      <w:lvlText w:val="%1."/>
      <w:numFmt w:val="decimal"/>
      <w:start w:val="2"/>
    </w:lvl>
  </w:abstractNum>
  <w:abstractNum w:abstractNumId="581">
    <w:nsid w:val="3150E85C"/>
    <w:multiLevelType w:val="hybridMultilevel"/>
    <w:lvl w:ilvl="0">
      <w:lvlJc w:val="left"/>
      <w:lvlText w:val="A"/>
      <w:numFmt w:val="bullet"/>
      <w:start w:val="1"/>
    </w:lvl>
  </w:abstractNum>
  <w:abstractNum w:abstractNumId="582">
    <w:nsid w:val="638FDBD1"/>
    <w:multiLevelType w:val="hybridMultilevel"/>
    <w:lvl w:ilvl="0">
      <w:lvlJc w:val="left"/>
      <w:lvlText w:val="B"/>
      <w:numFmt w:val="bullet"/>
      <w:start w:val="1"/>
    </w:lvl>
  </w:abstractNum>
  <w:abstractNum w:abstractNumId="583">
    <w:nsid w:val="1098CF6E"/>
    <w:multiLevelType w:val="hybridMultilevel"/>
    <w:lvl w:ilvl="0">
      <w:lvlJc w:val="left"/>
      <w:lvlText w:val="C"/>
      <w:numFmt w:val="bullet"/>
      <w:start w:val="1"/>
    </w:lvl>
  </w:abstractNum>
  <w:abstractNum w:abstractNumId="584">
    <w:nsid w:val="1AF465D"/>
    <w:multiLevelType w:val="hybridMultilevel"/>
    <w:lvl w:ilvl="0">
      <w:lvlJc w:val="left"/>
      <w:lvlText w:val="%1."/>
      <w:numFmt w:val="decimal"/>
      <w:start w:val="1"/>
    </w:lvl>
    <w:lvl w:ilvl="1">
      <w:lvlJc w:val="left"/>
      <w:lvlText w:val="(%2)"/>
      <w:numFmt w:val="lowerLetter"/>
      <w:start w:val="1"/>
    </w:lvl>
  </w:abstractNum>
  <w:abstractNum w:abstractNumId="585">
    <w:nsid w:val="128D98B7"/>
    <w:multiLevelType w:val="hybridMultilevel"/>
    <w:lvl w:ilvl="0">
      <w:lvlJc w:val="left"/>
      <w:lvlText w:val="%1."/>
      <w:numFmt w:val="decimal"/>
      <w:start w:val="1"/>
    </w:lvl>
    <w:lvl w:ilvl="1">
      <w:lvlJc w:val="left"/>
      <w:lvlText w:val="(%2)"/>
      <w:numFmt w:val="lowerLetter"/>
      <w:start w:val="1"/>
    </w:lvl>
  </w:abstractNum>
  <w:abstractNum w:abstractNumId="586">
    <w:nsid w:val="5F613832"/>
    <w:multiLevelType w:val="hybridMultilevel"/>
    <w:lvl w:ilvl="0">
      <w:lvlJc w:val="left"/>
      <w:lvlText w:val="%1."/>
      <w:numFmt w:val="decimal"/>
      <w:start w:val="1"/>
    </w:lvl>
    <w:lvl w:ilvl="1">
      <w:lvlJc w:val="left"/>
      <w:lvlText w:val="(%2)"/>
      <w:numFmt w:val="lowerLetter"/>
      <w:start w:val="1"/>
    </w:lvl>
  </w:abstractNum>
  <w:abstractNum w:abstractNumId="587">
    <w:nsid w:val="43E92260"/>
    <w:multiLevelType w:val="hybridMultilevel"/>
    <w:lvl w:ilvl="0">
      <w:lvlJc w:val="left"/>
      <w:lvlText w:val="%1."/>
      <w:numFmt w:val="decimal"/>
      <w:start w:val="1"/>
    </w:lvl>
    <w:lvl w:ilvl="1">
      <w:lvlJc w:val="left"/>
      <w:lvlText w:val="(%2)"/>
      <w:numFmt w:val="lowerLetter"/>
      <w:start w:val="1"/>
    </w:lvl>
  </w:abstractNum>
  <w:abstractNum w:abstractNumId="588">
    <w:nsid w:val="430A1662"/>
    <w:multiLevelType w:val="hybridMultilevel"/>
    <w:lvl w:ilvl="0">
      <w:lvlJc w:val="left"/>
      <w:lvlText w:val="(%1)"/>
      <w:numFmt w:val="decimal"/>
      <w:start w:val="1"/>
    </w:lvl>
  </w:abstractNum>
  <w:abstractNum w:abstractNumId="589">
    <w:nsid w:val="1F9D5C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2019-12-29T11:29:58Z</dcterms:created>
  <dcterms:modified xsi:type="dcterms:W3CDTF">2019-12-29T11:29:58Z</dcterms:modified>
</cp:coreProperties>
</file>