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216535</wp:posOffset>
            </wp:positionH>
            <wp:positionV relativeFrom="page">
              <wp:posOffset>603250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629285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 SECURITIES AND EXCHANGE COMMISSION</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2259330</wp:posOffset>
            </wp:positionH>
            <wp:positionV relativeFrom="paragraph">
              <wp:posOffset>74930</wp:posOffset>
            </wp:positionV>
            <wp:extent cx="2631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37" w:lineRule="exact"/>
        <w:rPr>
          <w:sz w:val="24"/>
          <w:szCs w:val="24"/>
          <w:color w:val="auto"/>
        </w:rPr>
      </w:pPr>
    </w:p>
    <w:p>
      <w:pPr>
        <w:jc w:val="center"/>
        <w:ind w:right="160"/>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2259330</wp:posOffset>
            </wp:positionH>
            <wp:positionV relativeFrom="paragraph">
              <wp:posOffset>54610</wp:posOffset>
            </wp:positionV>
            <wp:extent cx="2631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258"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March 31, 2025</w:t>
      </w:r>
    </w:p>
    <w:p>
      <w:pPr>
        <w:spacing w:after="0" w:line="131" w:lineRule="exact"/>
        <w:rPr>
          <w:sz w:val="24"/>
          <w:szCs w:val="24"/>
          <w:color w:val="auto"/>
        </w:rPr>
      </w:pPr>
    </w:p>
    <w:p>
      <w:pPr>
        <w:ind w:left="640" w:hanging="614"/>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04" w:lineRule="exact"/>
        <w:rPr>
          <w:sz w:val="24"/>
          <w:szCs w:val="24"/>
          <w:color w:val="auto"/>
        </w:rPr>
      </w:pPr>
    </w:p>
    <w:p>
      <w:pPr>
        <w:ind w:left="3900"/>
        <w:spacing w:after="0"/>
        <w:tabs>
          <w:tab w:leader="none" w:pos="71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1-8400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132080</wp:posOffset>
            </wp:positionV>
            <wp:extent cx="39516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American Airlines Group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46990</wp:posOffset>
            </wp:positionV>
            <wp:extent cx="39516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tbl>
      <w:tblPr>
        <w:tblLayout w:type="fixed"/>
        <w:tblInd w:w="1560" w:type="dxa"/>
        <w:tblCellMar>
          <w:top w:w="0" w:type="dxa"/>
          <w:left w:w="0" w:type="dxa"/>
          <w:bottom w:w="0" w:type="dxa"/>
          <w:right w:w="0" w:type="dxa"/>
        </w:tblCellMar>
      </w:tblPr>
      <w:tr>
        <w:trPr>
          <w:trHeight w:val="221"/>
        </w:trPr>
        <w:tc>
          <w:tcPr>
            <w:tcW w:w="4840" w:type="dxa"/>
            <w:vAlign w:val="bottom"/>
          </w:tcPr>
          <w:p>
            <w:pPr>
              <w:jc w:val="center"/>
              <w:ind w:right="1043"/>
              <w:spacing w:after="0"/>
              <w:rPr>
                <w:sz w:val="20"/>
                <w:szCs w:val="20"/>
                <w:color w:val="auto"/>
              </w:rPr>
            </w:pPr>
            <w:r>
              <w:rPr>
                <w:rFonts w:ascii="Arial" w:cs="Arial" w:eastAsia="Arial" w:hAnsi="Arial"/>
                <w:sz w:val="16"/>
                <w:szCs w:val="16"/>
                <w:b w:val="1"/>
                <w:bCs w:val="1"/>
                <w:color w:val="auto"/>
              </w:rPr>
              <w:t>Delaware</w:t>
            </w:r>
          </w:p>
        </w:tc>
        <w:tc>
          <w:tcPr>
            <w:tcW w:w="2420" w:type="dxa"/>
            <w:vAlign w:val="bottom"/>
          </w:tcPr>
          <w:p>
            <w:pPr>
              <w:jc w:val="right"/>
              <w:ind w:right="604"/>
              <w:spacing w:after="0"/>
              <w:rPr>
                <w:sz w:val="20"/>
                <w:szCs w:val="20"/>
                <w:color w:val="auto"/>
              </w:rPr>
            </w:pPr>
            <w:r>
              <w:rPr>
                <w:rFonts w:ascii="Arial" w:cs="Arial" w:eastAsia="Arial" w:hAnsi="Arial"/>
                <w:sz w:val="16"/>
                <w:szCs w:val="16"/>
                <w:b w:val="1"/>
                <w:bCs w:val="1"/>
                <w:color w:val="auto"/>
              </w:rPr>
              <w:t>75-1825172</w:t>
            </w:r>
          </w:p>
        </w:tc>
      </w:tr>
      <w:tr>
        <w:trPr>
          <w:trHeight w:val="190"/>
        </w:trPr>
        <w:tc>
          <w:tcPr>
            <w:tcW w:w="4840" w:type="dxa"/>
            <w:vAlign w:val="bottom"/>
          </w:tcPr>
          <w:p>
            <w:pPr>
              <w:jc w:val="center"/>
              <w:ind w:right="1043"/>
              <w:spacing w:after="0"/>
              <w:rPr>
                <w:sz w:val="20"/>
                <w:szCs w:val="20"/>
                <w:color w:val="auto"/>
              </w:rPr>
            </w:pPr>
            <w:r>
              <w:rPr>
                <w:rFonts w:ascii="Arial" w:cs="Arial" w:eastAsia="Arial" w:hAnsi="Arial"/>
                <w:sz w:val="14"/>
                <w:szCs w:val="14"/>
                <w:color w:val="auto"/>
              </w:rPr>
              <w:t>(State or other jurisdiction of incorporation or organization)</w:t>
            </w:r>
          </w:p>
        </w:tc>
        <w:tc>
          <w:tcPr>
            <w:tcW w:w="2420" w:type="dxa"/>
            <w:vAlign w:val="bottom"/>
          </w:tcPr>
          <w:p>
            <w:pPr>
              <w:jc w:val="center"/>
              <w:ind w:left="124"/>
              <w:spacing w:after="0"/>
              <w:rPr>
                <w:sz w:val="20"/>
                <w:szCs w:val="20"/>
                <w:color w:val="auto"/>
              </w:rPr>
            </w:pPr>
            <w:r>
              <w:rPr>
                <w:rFonts w:ascii="Arial" w:cs="Arial" w:eastAsia="Arial" w:hAnsi="Arial"/>
                <w:sz w:val="14"/>
                <w:szCs w:val="14"/>
                <w:color w:val="auto"/>
              </w:rPr>
              <w:t>(I.R.S. Employer Identification No.)</w:t>
            </w:r>
          </w:p>
        </w:tc>
      </w:tr>
      <w:tr>
        <w:trPr>
          <w:trHeight w:val="228"/>
        </w:trPr>
        <w:tc>
          <w:tcPr>
            <w:tcW w:w="4840" w:type="dxa"/>
            <w:vAlign w:val="bottom"/>
          </w:tcPr>
          <w:p>
            <w:pPr>
              <w:jc w:val="right"/>
              <w:ind w:right="1503"/>
              <w:spacing w:after="0"/>
              <w:rPr>
                <w:sz w:val="20"/>
                <w:szCs w:val="20"/>
                <w:color w:val="auto"/>
              </w:rPr>
            </w:pPr>
            <w:r>
              <w:rPr>
                <w:rFonts w:ascii="Arial" w:cs="Arial" w:eastAsia="Arial" w:hAnsi="Arial"/>
                <w:sz w:val="16"/>
                <w:szCs w:val="16"/>
                <w:b w:val="1"/>
                <w:bCs w:val="1"/>
                <w:color w:val="auto"/>
              </w:rPr>
              <w:t>1 Skyview Drive, Fort Worth,  Texas</w:t>
            </w:r>
          </w:p>
        </w:tc>
        <w:tc>
          <w:tcPr>
            <w:tcW w:w="2420" w:type="dxa"/>
            <w:vAlign w:val="bottom"/>
          </w:tcPr>
          <w:p>
            <w:pPr>
              <w:jc w:val="right"/>
              <w:ind w:right="804"/>
              <w:spacing w:after="0"/>
              <w:rPr>
                <w:sz w:val="20"/>
                <w:szCs w:val="20"/>
                <w:color w:val="auto"/>
              </w:rPr>
            </w:pPr>
            <w:r>
              <w:rPr>
                <w:rFonts w:ascii="Arial" w:cs="Arial" w:eastAsia="Arial" w:hAnsi="Arial"/>
                <w:sz w:val="16"/>
                <w:szCs w:val="16"/>
                <w:b w:val="1"/>
                <w:bCs w:val="1"/>
                <w:color w:val="auto"/>
              </w:rPr>
              <w:t>76155</w:t>
            </w:r>
          </w:p>
        </w:tc>
      </w:tr>
      <w:tr>
        <w:trPr>
          <w:trHeight w:val="190"/>
        </w:trPr>
        <w:tc>
          <w:tcPr>
            <w:tcW w:w="4840" w:type="dxa"/>
            <w:vAlign w:val="bottom"/>
          </w:tcPr>
          <w:p>
            <w:pPr>
              <w:jc w:val="center"/>
              <w:ind w:right="1063"/>
              <w:spacing w:after="0"/>
              <w:rPr>
                <w:sz w:val="20"/>
                <w:szCs w:val="20"/>
                <w:color w:val="auto"/>
              </w:rPr>
            </w:pPr>
            <w:r>
              <w:rPr>
                <w:rFonts w:ascii="Arial" w:cs="Arial" w:eastAsia="Arial" w:hAnsi="Arial"/>
                <w:sz w:val="14"/>
                <w:szCs w:val="14"/>
                <w:color w:val="auto"/>
              </w:rPr>
              <w:t>(Address of principal executive offices)</w:t>
            </w:r>
          </w:p>
        </w:tc>
        <w:tc>
          <w:tcPr>
            <w:tcW w:w="2420" w:type="dxa"/>
            <w:vAlign w:val="bottom"/>
          </w:tcPr>
          <w:p>
            <w:pPr>
              <w:jc w:val="center"/>
              <w:ind w:left="144"/>
              <w:spacing w:after="0"/>
              <w:rPr>
                <w:sz w:val="20"/>
                <w:szCs w:val="20"/>
                <w:color w:val="auto"/>
              </w:rPr>
            </w:pPr>
            <w:r>
              <w:rPr>
                <w:rFonts w:ascii="Arial" w:cs="Arial" w:eastAsia="Arial" w:hAnsi="Arial"/>
                <w:sz w:val="14"/>
                <w:szCs w:val="14"/>
                <w:color w:val="auto"/>
              </w:rPr>
              <w:t>(Zip code)</w:t>
            </w:r>
          </w:p>
        </w:tc>
      </w:tr>
      <w:tr>
        <w:trPr>
          <w:trHeight w:val="352"/>
        </w:trPr>
        <w:tc>
          <w:tcPr>
            <w:tcW w:w="4840" w:type="dxa"/>
            <w:vAlign w:val="bottom"/>
          </w:tcPr>
          <w:p>
            <w:pPr>
              <w:jc w:val="right"/>
              <w:ind w:right="123"/>
              <w:spacing w:after="0"/>
              <w:rPr>
                <w:sz w:val="20"/>
                <w:szCs w:val="20"/>
                <w:color w:val="auto"/>
              </w:rPr>
            </w:pPr>
            <w:r>
              <w:rPr>
                <w:rFonts w:ascii="Arial" w:cs="Arial" w:eastAsia="Arial" w:hAnsi="Arial"/>
                <w:sz w:val="16"/>
                <w:szCs w:val="16"/>
                <w:b w:val="1"/>
                <w:bCs w:val="1"/>
                <w:color w:val="auto"/>
              </w:rPr>
              <w:t>(682) 278-9000</w:t>
            </w:r>
          </w:p>
        </w:tc>
        <w:tc>
          <w:tcPr>
            <w:tcW w:w="2420" w:type="dxa"/>
            <w:vAlign w:val="bottom"/>
          </w:tcPr>
          <w:p>
            <w:pPr>
              <w:spacing w:after="0"/>
              <w:rPr>
                <w:sz w:val="24"/>
                <w:szCs w:val="24"/>
                <w:color w:val="auto"/>
              </w:rPr>
            </w:pPr>
          </w:p>
        </w:tc>
      </w:tr>
    </w:tbl>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1-2691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132080</wp:posOffset>
            </wp:positionV>
            <wp:extent cx="39516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American Airlines,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46990</wp:posOffset>
            </wp:positionV>
            <wp:extent cx="39516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tbl>
      <w:tblPr>
        <w:tblLayout w:type="fixed"/>
        <w:tblInd w:w="1500" w:type="dxa"/>
        <w:tblCellMar>
          <w:top w:w="0" w:type="dxa"/>
          <w:left w:w="0" w:type="dxa"/>
          <w:bottom w:w="0" w:type="dxa"/>
          <w:right w:w="0" w:type="dxa"/>
        </w:tblCellMar>
      </w:tblPr>
      <w:tr>
        <w:trPr>
          <w:trHeight w:val="221"/>
        </w:trPr>
        <w:tc>
          <w:tcPr>
            <w:tcW w:w="4460" w:type="dxa"/>
            <w:vAlign w:val="bottom"/>
          </w:tcPr>
          <w:p>
            <w:pPr>
              <w:jc w:val="center"/>
              <w:ind w:right="664"/>
              <w:spacing w:after="0"/>
              <w:rPr>
                <w:sz w:val="20"/>
                <w:szCs w:val="20"/>
                <w:color w:val="auto"/>
              </w:rPr>
            </w:pPr>
            <w:r>
              <w:rPr>
                <w:rFonts w:ascii="Arial" w:cs="Arial" w:eastAsia="Arial" w:hAnsi="Arial"/>
                <w:sz w:val="16"/>
                <w:szCs w:val="16"/>
                <w:b w:val="1"/>
                <w:bCs w:val="1"/>
                <w:color w:val="auto"/>
              </w:rPr>
              <w:t>Delaware</w:t>
            </w:r>
          </w:p>
        </w:tc>
        <w:tc>
          <w:tcPr>
            <w:tcW w:w="2960" w:type="dxa"/>
            <w:vAlign w:val="bottom"/>
          </w:tcPr>
          <w:p>
            <w:pPr>
              <w:jc w:val="right"/>
              <w:ind w:right="604"/>
              <w:spacing w:after="0"/>
              <w:rPr>
                <w:sz w:val="20"/>
                <w:szCs w:val="20"/>
                <w:color w:val="auto"/>
              </w:rPr>
            </w:pPr>
            <w:r>
              <w:rPr>
                <w:rFonts w:ascii="Arial" w:cs="Arial" w:eastAsia="Arial" w:hAnsi="Arial"/>
                <w:sz w:val="16"/>
                <w:szCs w:val="16"/>
                <w:b w:val="1"/>
                <w:bCs w:val="1"/>
                <w:color w:val="auto"/>
              </w:rPr>
              <w:t>13-1502798</w:t>
            </w:r>
          </w:p>
        </w:tc>
      </w:tr>
      <w:tr>
        <w:trPr>
          <w:trHeight w:val="190"/>
        </w:trPr>
        <w:tc>
          <w:tcPr>
            <w:tcW w:w="4460" w:type="dxa"/>
            <w:vAlign w:val="bottom"/>
          </w:tcPr>
          <w:p>
            <w:pPr>
              <w:jc w:val="center"/>
              <w:ind w:right="664"/>
              <w:spacing w:after="0"/>
              <w:rPr>
                <w:sz w:val="20"/>
                <w:szCs w:val="20"/>
                <w:color w:val="auto"/>
              </w:rPr>
            </w:pPr>
            <w:r>
              <w:rPr>
                <w:rFonts w:ascii="Arial" w:cs="Arial" w:eastAsia="Arial" w:hAnsi="Arial"/>
                <w:sz w:val="14"/>
                <w:szCs w:val="14"/>
                <w:color w:val="auto"/>
              </w:rPr>
              <w:t>(State or other jurisdiction of incorporation or organization)</w:t>
            </w:r>
          </w:p>
        </w:tc>
        <w:tc>
          <w:tcPr>
            <w:tcW w:w="2960" w:type="dxa"/>
            <w:vAlign w:val="bottom"/>
          </w:tcPr>
          <w:p>
            <w:pPr>
              <w:jc w:val="center"/>
              <w:ind w:left="664"/>
              <w:spacing w:after="0"/>
              <w:rPr>
                <w:sz w:val="20"/>
                <w:szCs w:val="20"/>
                <w:color w:val="auto"/>
              </w:rPr>
            </w:pPr>
            <w:r>
              <w:rPr>
                <w:rFonts w:ascii="Arial" w:cs="Arial" w:eastAsia="Arial" w:hAnsi="Arial"/>
                <w:sz w:val="14"/>
                <w:szCs w:val="14"/>
                <w:color w:val="auto"/>
              </w:rPr>
              <w:t>(I.R.S. Employer Identification No.)</w:t>
            </w:r>
          </w:p>
        </w:tc>
      </w:tr>
      <w:tr>
        <w:trPr>
          <w:trHeight w:val="228"/>
        </w:trPr>
        <w:tc>
          <w:tcPr>
            <w:tcW w:w="4460" w:type="dxa"/>
            <w:vAlign w:val="bottom"/>
          </w:tcPr>
          <w:p>
            <w:pPr>
              <w:ind w:left="620"/>
              <w:spacing w:after="0"/>
              <w:rPr>
                <w:sz w:val="20"/>
                <w:szCs w:val="20"/>
                <w:color w:val="auto"/>
              </w:rPr>
            </w:pPr>
            <w:r>
              <w:rPr>
                <w:rFonts w:ascii="Arial" w:cs="Arial" w:eastAsia="Arial" w:hAnsi="Arial"/>
                <w:sz w:val="16"/>
                <w:szCs w:val="16"/>
                <w:b w:val="1"/>
                <w:bCs w:val="1"/>
                <w:color w:val="auto"/>
              </w:rPr>
              <w:t>1 Skyview Drive, Fort Worth,  Texas</w:t>
            </w:r>
          </w:p>
        </w:tc>
        <w:tc>
          <w:tcPr>
            <w:tcW w:w="2960" w:type="dxa"/>
            <w:vAlign w:val="bottom"/>
          </w:tcPr>
          <w:p>
            <w:pPr>
              <w:jc w:val="right"/>
              <w:ind w:right="804"/>
              <w:spacing w:after="0"/>
              <w:rPr>
                <w:sz w:val="20"/>
                <w:szCs w:val="20"/>
                <w:color w:val="auto"/>
              </w:rPr>
            </w:pPr>
            <w:r>
              <w:rPr>
                <w:rFonts w:ascii="Arial" w:cs="Arial" w:eastAsia="Arial" w:hAnsi="Arial"/>
                <w:sz w:val="16"/>
                <w:szCs w:val="16"/>
                <w:b w:val="1"/>
                <w:bCs w:val="1"/>
                <w:color w:val="auto"/>
              </w:rPr>
              <w:t>76155</w:t>
            </w:r>
          </w:p>
        </w:tc>
      </w:tr>
      <w:tr>
        <w:trPr>
          <w:trHeight w:val="190"/>
        </w:trPr>
        <w:tc>
          <w:tcPr>
            <w:tcW w:w="4460" w:type="dxa"/>
            <w:vAlign w:val="bottom"/>
          </w:tcPr>
          <w:p>
            <w:pPr>
              <w:jc w:val="center"/>
              <w:ind w:right="684"/>
              <w:spacing w:after="0"/>
              <w:rPr>
                <w:sz w:val="20"/>
                <w:szCs w:val="20"/>
                <w:color w:val="auto"/>
              </w:rPr>
            </w:pPr>
            <w:r>
              <w:rPr>
                <w:rFonts w:ascii="Arial" w:cs="Arial" w:eastAsia="Arial" w:hAnsi="Arial"/>
                <w:sz w:val="14"/>
                <w:szCs w:val="14"/>
                <w:color w:val="auto"/>
              </w:rPr>
              <w:t>(Address of principal executive offices)</w:t>
            </w:r>
          </w:p>
        </w:tc>
        <w:tc>
          <w:tcPr>
            <w:tcW w:w="2960" w:type="dxa"/>
            <w:vAlign w:val="bottom"/>
          </w:tcPr>
          <w:p>
            <w:pPr>
              <w:jc w:val="center"/>
              <w:ind w:left="664"/>
              <w:spacing w:after="0"/>
              <w:rPr>
                <w:sz w:val="20"/>
                <w:szCs w:val="20"/>
                <w:color w:val="auto"/>
              </w:rPr>
            </w:pPr>
            <w:r>
              <w:rPr>
                <w:rFonts w:ascii="Arial" w:cs="Arial" w:eastAsia="Arial" w:hAnsi="Arial"/>
                <w:sz w:val="14"/>
                <w:szCs w:val="14"/>
                <w:color w:val="auto"/>
              </w:rPr>
              <w:t>(Zip code)</w:t>
            </w:r>
          </w:p>
        </w:tc>
      </w:tr>
    </w:tbl>
    <w:p>
      <w:pPr>
        <w:spacing w:after="0" w:line="129"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(682) 278-9000</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660" w:type="dxa"/>
            <w:vAlign w:val="bottom"/>
            <w:gridSpan w:val="3"/>
          </w:tcPr>
          <w:p>
            <w:pPr>
              <w:ind w:left="180"/>
              <w:spacing w:after="0"/>
              <w:rPr>
                <w:sz w:val="20"/>
                <w:szCs w:val="20"/>
                <w:color w:val="auto"/>
              </w:rPr>
            </w:pPr>
            <w:r>
              <w:rPr>
                <w:rFonts w:ascii="Arial" w:cs="Arial" w:eastAsia="Arial" w:hAnsi="Arial"/>
                <w:sz w:val="16"/>
                <w:szCs w:val="16"/>
                <w:color w:val="auto"/>
              </w:rPr>
              <w:t>Securities registered pursuant to Section 12(b) of the Act:</w:t>
            </w: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6"/>
        </w:trPr>
        <w:tc>
          <w:tcPr>
            <w:tcW w:w="4660" w:type="dxa"/>
            <w:vAlign w:val="bottom"/>
            <w:gridSpan w:val="3"/>
          </w:tcPr>
          <w:p>
            <w:pPr>
              <w:jc w:val="center"/>
              <w:ind w:right="800"/>
              <w:spacing w:after="0"/>
              <w:rPr>
                <w:sz w:val="20"/>
                <w:szCs w:val="20"/>
                <w:color w:val="auto"/>
              </w:rPr>
            </w:pPr>
            <w:r>
              <w:rPr>
                <w:rFonts w:ascii="Arial" w:cs="Arial" w:eastAsia="Arial" w:hAnsi="Arial"/>
                <w:sz w:val="16"/>
                <w:szCs w:val="16"/>
                <w:b w:val="1"/>
                <w:bCs w:val="1"/>
                <w:color w:val="auto"/>
              </w:rPr>
              <w:t>Title of each class</w:t>
            </w:r>
          </w:p>
        </w:tc>
        <w:tc>
          <w:tcPr>
            <w:tcW w:w="2980" w:type="dxa"/>
            <w:vAlign w:val="bottom"/>
            <w:gridSpan w:val="2"/>
          </w:tcPr>
          <w:p>
            <w:pPr>
              <w:jc w:val="center"/>
              <w:ind w:right="780"/>
              <w:spacing w:after="0"/>
              <w:rPr>
                <w:sz w:val="20"/>
                <w:szCs w:val="20"/>
                <w:color w:val="auto"/>
              </w:rPr>
            </w:pPr>
            <w:r>
              <w:rPr>
                <w:rFonts w:ascii="Arial" w:cs="Arial" w:eastAsia="Arial" w:hAnsi="Arial"/>
                <w:sz w:val="16"/>
                <w:szCs w:val="16"/>
                <w:b w:val="1"/>
                <w:bCs w:val="1"/>
                <w:color w:val="auto"/>
                <w:w w:val="99"/>
              </w:rPr>
              <w:t>Trading Symbol(s)</w:t>
            </w:r>
          </w:p>
        </w:tc>
        <w:tc>
          <w:tcPr>
            <w:tcW w:w="360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199"/>
        </w:trPr>
        <w:tc>
          <w:tcPr>
            <w:tcW w:w="38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Common Stock, $0.01 par value per share</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780" w:type="dxa"/>
            <w:vAlign w:val="bottom"/>
            <w:tcBorders>
              <w:top w:val="single" w:sz="8" w:color="auto"/>
            </w:tcBorders>
          </w:tcPr>
          <w:p>
            <w:pPr>
              <w:jc w:val="center"/>
              <w:ind w:right="499"/>
              <w:spacing w:after="0"/>
              <w:rPr>
                <w:sz w:val="20"/>
                <w:szCs w:val="20"/>
                <w:color w:val="auto"/>
              </w:rPr>
            </w:pPr>
            <w:r>
              <w:rPr>
                <w:rFonts w:ascii="Arial" w:cs="Arial" w:eastAsia="Arial" w:hAnsi="Arial"/>
                <w:sz w:val="16"/>
                <w:szCs w:val="16"/>
                <w:b w:val="1"/>
                <w:bCs w:val="1"/>
                <w:color w:val="auto"/>
                <w:w w:val="97"/>
              </w:rPr>
              <w:t>AAL</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The Nasdaq Global Select Market</w:t>
            </w:r>
          </w:p>
        </w:tc>
        <w:tc>
          <w:tcPr>
            <w:tcW w:w="0" w:type="dxa"/>
            <w:vAlign w:val="bottom"/>
          </w:tcPr>
          <w:p>
            <w:pPr>
              <w:spacing w:after="0"/>
              <w:rPr>
                <w:sz w:val="1"/>
                <w:szCs w:val="1"/>
                <w:color w:val="auto"/>
              </w:rPr>
            </w:pPr>
          </w:p>
        </w:tc>
      </w:tr>
      <w:tr>
        <w:trPr>
          <w:trHeight w:val="143"/>
        </w:trPr>
        <w:tc>
          <w:tcPr>
            <w:tcW w:w="4660" w:type="dxa"/>
            <w:vAlign w:val="bottom"/>
            <w:gridSpan w:val="3"/>
            <w:vMerge w:val="restart"/>
          </w:tcPr>
          <w:p>
            <w:pPr>
              <w:jc w:val="center"/>
              <w:ind w:right="800"/>
              <w:spacing w:after="0"/>
              <w:rPr>
                <w:sz w:val="20"/>
                <w:szCs w:val="20"/>
                <w:color w:val="auto"/>
              </w:rPr>
            </w:pPr>
            <w:r>
              <w:rPr>
                <w:rFonts w:ascii="Arial" w:cs="Arial" w:eastAsia="Arial" w:hAnsi="Arial"/>
                <w:sz w:val="16"/>
                <w:szCs w:val="16"/>
                <w:b w:val="1"/>
                <w:bCs w:val="1"/>
                <w:color w:val="auto"/>
              </w:rPr>
              <w:t>Preferred Stock Purchase Rights</w:t>
            </w:r>
          </w:p>
        </w:tc>
        <w:tc>
          <w:tcPr>
            <w:tcW w:w="2980" w:type="dxa"/>
            <w:vAlign w:val="bottom"/>
            <w:gridSpan w:val="2"/>
            <w:vMerge w:val="restart"/>
          </w:tcPr>
          <w:p>
            <w:pPr>
              <w:jc w:val="center"/>
              <w:ind w:right="780"/>
              <w:spacing w:after="0"/>
              <w:rPr>
                <w:sz w:val="20"/>
                <w:szCs w:val="20"/>
                <w:color w:val="auto"/>
              </w:rPr>
            </w:pPr>
            <w:r>
              <w:rPr>
                <w:rFonts w:ascii="Arial" w:cs="Arial" w:eastAsia="Arial" w:hAnsi="Arial"/>
                <w:sz w:val="16"/>
                <w:szCs w:val="16"/>
                <w:color w:val="auto"/>
                <w:w w:val="99"/>
              </w:rPr>
              <w:t>—</w:t>
            </w:r>
          </w:p>
        </w:tc>
        <w:tc>
          <w:tcPr>
            <w:tcW w:w="3600" w:type="dxa"/>
            <w:vAlign w:val="bottom"/>
          </w:tcPr>
          <w:p>
            <w:pPr>
              <w:jc w:val="center"/>
              <w:spacing w:after="0"/>
              <w:rPr>
                <w:sz w:val="20"/>
                <w:szCs w:val="20"/>
                <w:color w:val="auto"/>
              </w:rPr>
            </w:pPr>
            <w:r>
              <w:rPr>
                <w:rFonts w:ascii="Arial" w:cs="Arial" w:eastAsia="Arial" w:hAnsi="Arial"/>
                <w:sz w:val="11"/>
                <w:szCs w:val="11"/>
                <w:b w:val="1"/>
                <w:bCs w:val="1"/>
                <w:color w:val="auto"/>
                <w:w w:val="88"/>
              </w:rPr>
              <w:t>(1)</w:t>
            </w:r>
          </w:p>
        </w:tc>
        <w:tc>
          <w:tcPr>
            <w:tcW w:w="0" w:type="dxa"/>
            <w:vAlign w:val="bottom"/>
          </w:tcPr>
          <w:p>
            <w:pPr>
              <w:spacing w:after="0"/>
              <w:rPr>
                <w:sz w:val="1"/>
                <w:szCs w:val="1"/>
                <w:color w:val="auto"/>
              </w:rPr>
            </w:pPr>
          </w:p>
        </w:tc>
      </w:tr>
      <w:tr>
        <w:trPr>
          <w:trHeight w:val="90"/>
        </w:trPr>
        <w:tc>
          <w:tcPr>
            <w:tcW w:w="4660" w:type="dxa"/>
            <w:vAlign w:val="bottom"/>
            <w:gridSpan w:val="3"/>
            <w:vMerge w:val="continue"/>
          </w:tcPr>
          <w:p>
            <w:pPr>
              <w:spacing w:after="0"/>
              <w:rPr>
                <w:sz w:val="7"/>
                <w:szCs w:val="7"/>
                <w:color w:val="auto"/>
              </w:rPr>
            </w:pPr>
          </w:p>
        </w:tc>
        <w:tc>
          <w:tcPr>
            <w:tcW w:w="2980" w:type="dxa"/>
            <w:vAlign w:val="bottom"/>
            <w:gridSpan w:val="2"/>
            <w:vMerge w:val="continue"/>
          </w:tcPr>
          <w:p>
            <w:pPr>
              <w:spacing w:after="0"/>
              <w:rPr>
                <w:sz w:val="7"/>
                <w:szCs w:val="7"/>
                <w:color w:val="auto"/>
              </w:rPr>
            </w:pPr>
          </w:p>
        </w:tc>
        <w:tc>
          <w:tcPr>
            <w:tcW w:w="36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73" w:lineRule="exact"/>
        <w:rPr>
          <w:sz w:val="24"/>
          <w:szCs w:val="24"/>
          <w:color w:val="auto"/>
        </w:rPr>
      </w:pPr>
    </w:p>
    <w:p>
      <w:pPr>
        <w:ind w:left="180" w:hanging="172"/>
        <w:spacing w:after="0"/>
        <w:tabs>
          <w:tab w:leader="none" w:pos="180" w:val="left"/>
        </w:tabs>
        <w:numPr>
          <w:ilvl w:val="0"/>
          <w:numId w:val="3"/>
        </w:numPr>
        <w:rPr>
          <w:rFonts w:ascii="Arial" w:cs="Arial" w:eastAsia="Arial" w:hAnsi="Arial"/>
          <w:sz w:val="19"/>
          <w:szCs w:val="19"/>
          <w:color w:val="auto"/>
          <w:vertAlign w:val="superscript"/>
        </w:rPr>
      </w:pPr>
      <w:r>
        <w:rPr>
          <w:rFonts w:ascii="Arial" w:cs="Arial" w:eastAsia="Arial" w:hAnsi="Arial"/>
          <w:sz w:val="14"/>
          <w:szCs w:val="14"/>
          <w:color w:val="auto"/>
        </w:rPr>
        <w:t>Attached to the Common Stock</w:t>
      </w:r>
    </w:p>
    <w:p>
      <w:pPr>
        <w:spacing w:after="0" w:line="156" w:lineRule="exact"/>
        <w:rPr>
          <w:sz w:val="24"/>
          <w:szCs w:val="24"/>
          <w:color w:val="auto"/>
        </w:rPr>
      </w:pPr>
    </w:p>
    <w:p>
      <w:pPr>
        <w:jc w:val="both"/>
        <w:ind w:firstLine="162"/>
        <w:spacing w:after="0" w:line="275"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15" w:lineRule="exact"/>
        <w:rPr>
          <w:sz w:val="24"/>
          <w:szCs w:val="24"/>
          <w:color w:val="auto"/>
        </w:rPr>
      </w:pPr>
    </w:p>
    <w:p>
      <w:pPr>
        <w:ind w:left="20"/>
        <w:spacing w:after="0" w:line="184" w:lineRule="exact"/>
        <w:tabs>
          <w:tab w:leader="none" w:pos="9300" w:val="left"/>
          <w:tab w:leader="none" w:pos="9880" w:val="left"/>
          <w:tab w:leader="none" w:pos="10340" w:val="left"/>
          <w:tab w:leader="none" w:pos="11000" w:val="left"/>
        </w:tabs>
        <w:rPr>
          <w:sz w:val="20"/>
          <w:szCs w:val="20"/>
          <w:color w:val="auto"/>
        </w:rPr>
      </w:pPr>
      <w:r>
        <w:rPr>
          <w:rFonts w:ascii="Arial" w:cs="Arial" w:eastAsia="Arial" w:hAnsi="Arial"/>
          <w:sz w:val="16"/>
          <w:szCs w:val="16"/>
          <w:color w:val="auto"/>
        </w:rPr>
        <w:t>American Airlines Group Inc.</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No</w:t>
      </w:r>
    </w:p>
    <w:p>
      <w:pPr>
        <w:spacing w:after="0" w:line="80" w:lineRule="exact"/>
        <w:rPr>
          <w:sz w:val="24"/>
          <w:szCs w:val="24"/>
          <w:color w:val="auto"/>
        </w:rPr>
      </w:pPr>
    </w:p>
    <w:p>
      <w:pPr>
        <w:ind w:left="20"/>
        <w:spacing w:after="0" w:line="184" w:lineRule="exact"/>
        <w:tabs>
          <w:tab w:leader="none" w:pos="9300" w:val="left"/>
          <w:tab w:leader="none" w:pos="9880" w:val="left"/>
          <w:tab w:leader="none" w:pos="10340" w:val="left"/>
          <w:tab w:leader="none" w:pos="11000" w:val="left"/>
        </w:tabs>
        <w:rPr>
          <w:sz w:val="20"/>
          <w:szCs w:val="20"/>
          <w:color w:val="auto"/>
        </w:rPr>
      </w:pPr>
      <w:r>
        <w:rPr>
          <w:rFonts w:ascii="Arial" w:cs="Arial" w:eastAsia="Arial" w:hAnsi="Arial"/>
          <w:sz w:val="16"/>
          <w:szCs w:val="16"/>
          <w:color w:val="auto"/>
        </w:rPr>
        <w:t>American Airlines, Inc.</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No</w:t>
      </w:r>
    </w:p>
    <w:p>
      <w:pPr>
        <w:spacing w:after="0" w:line="263" w:lineRule="exact"/>
        <w:rPr>
          <w:sz w:val="24"/>
          <w:szCs w:val="24"/>
          <w:color w:val="auto"/>
        </w:rPr>
      </w:pPr>
    </w:p>
    <w:p>
      <w:pPr>
        <w:jc w:val="both"/>
        <w:ind w:firstLine="162"/>
        <w:spacing w:after="0" w:line="286"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20" w:lineRule="exact"/>
        <w:rPr>
          <w:sz w:val="24"/>
          <w:szCs w:val="24"/>
          <w:color w:val="auto"/>
        </w:rPr>
      </w:pPr>
    </w:p>
    <w:p>
      <w:pPr>
        <w:ind w:left="20"/>
        <w:spacing w:after="0" w:line="184" w:lineRule="exact"/>
        <w:tabs>
          <w:tab w:leader="none" w:pos="9300" w:val="left"/>
          <w:tab w:leader="none" w:pos="9880" w:val="left"/>
          <w:tab w:leader="none" w:pos="10340" w:val="left"/>
          <w:tab w:leader="none" w:pos="11000" w:val="left"/>
        </w:tabs>
        <w:rPr>
          <w:sz w:val="20"/>
          <w:szCs w:val="20"/>
          <w:color w:val="auto"/>
        </w:rPr>
      </w:pPr>
      <w:r>
        <w:rPr>
          <w:rFonts w:ascii="Arial" w:cs="Arial" w:eastAsia="Arial" w:hAnsi="Arial"/>
          <w:sz w:val="16"/>
          <w:szCs w:val="16"/>
          <w:color w:val="auto"/>
        </w:rPr>
        <w:t>American Airlines Group Inc.</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No</w:t>
      </w:r>
    </w:p>
    <w:p>
      <w:pPr>
        <w:spacing w:after="0" w:line="80" w:lineRule="exact"/>
        <w:rPr>
          <w:sz w:val="24"/>
          <w:szCs w:val="24"/>
          <w:color w:val="auto"/>
        </w:rPr>
      </w:pPr>
    </w:p>
    <w:p>
      <w:pPr>
        <w:ind w:left="20"/>
        <w:spacing w:after="0" w:line="184" w:lineRule="exact"/>
        <w:tabs>
          <w:tab w:leader="none" w:pos="9300" w:val="left"/>
          <w:tab w:leader="none" w:pos="9880" w:val="left"/>
          <w:tab w:leader="none" w:pos="10340" w:val="left"/>
          <w:tab w:leader="none" w:pos="11000" w:val="left"/>
        </w:tabs>
        <w:rPr>
          <w:sz w:val="20"/>
          <w:szCs w:val="20"/>
          <w:color w:val="auto"/>
        </w:rPr>
      </w:pPr>
      <w:r>
        <w:rPr>
          <w:rFonts w:ascii="Arial" w:cs="Arial" w:eastAsia="Arial" w:hAnsi="Arial"/>
          <w:sz w:val="16"/>
          <w:szCs w:val="16"/>
          <w:color w:val="auto"/>
        </w:rPr>
        <w:t>American Airlines, Inc.</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No</w:t>
      </w:r>
    </w:p>
    <w:p>
      <w:pPr>
        <w:spacing w:after="0" w:line="249" w:lineRule="exact"/>
        <w:rPr>
          <w:sz w:val="24"/>
          <w:szCs w:val="24"/>
          <w:color w:val="auto"/>
        </w:rPr>
      </w:pPr>
    </w:p>
    <w:p>
      <w:pPr>
        <w:jc w:val="both"/>
        <w:ind w:firstLine="162"/>
        <w:spacing w:after="0" w:line="26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097" w:right="339" w:bottom="0" w:gutter="0" w:footer="0" w:header="0"/>
        </w:sectPr>
      </w:pPr>
    </w:p>
    <w:p>
      <w:pPr>
        <w:spacing w:after="0" w:line="174" w:lineRule="exact"/>
        <w:rPr>
          <w:sz w:val="24"/>
          <w:szCs w:val="24"/>
          <w:color w:val="auto"/>
        </w:rPr>
      </w:pPr>
    </w:p>
    <w:p>
      <w:pPr>
        <w:ind w:left="20"/>
        <w:spacing w:after="0"/>
        <w:rPr>
          <w:sz w:val="20"/>
          <w:szCs w:val="20"/>
          <w:color w:val="auto"/>
        </w:rPr>
      </w:pPr>
      <w:r>
        <w:rPr>
          <w:rFonts w:ascii="Arial" w:cs="Arial" w:eastAsia="Arial" w:hAnsi="Arial"/>
          <w:sz w:val="12"/>
          <w:szCs w:val="12"/>
          <w:color w:val="auto"/>
        </w:rPr>
        <w:t>American Airlines Group Inc.</w:t>
      </w:r>
    </w:p>
    <w:p>
      <w:pPr>
        <w:spacing w:after="0" w:line="92" w:lineRule="exact"/>
        <w:rPr>
          <w:sz w:val="24"/>
          <w:szCs w:val="24"/>
          <w:color w:val="auto"/>
        </w:rPr>
      </w:pPr>
    </w:p>
    <w:p>
      <w:pPr>
        <w:ind w:left="20"/>
        <w:spacing w:after="0"/>
        <w:rPr>
          <w:sz w:val="20"/>
          <w:szCs w:val="20"/>
          <w:color w:val="auto"/>
        </w:rPr>
      </w:pPr>
      <w:r>
        <w:rPr>
          <w:rFonts w:ascii="Arial" w:cs="Arial" w:eastAsia="Arial" w:hAnsi="Arial"/>
          <w:sz w:val="13"/>
          <w:szCs w:val="13"/>
          <w:color w:val="auto"/>
        </w:rPr>
        <w:t>American Airlines, Inc.</w:t>
      </w:r>
    </w:p>
    <w:p>
      <w:pPr>
        <w:spacing w:after="0" w:line="20" w:lineRule="exact"/>
        <w:rPr>
          <w:sz w:val="24"/>
          <w:szCs w:val="24"/>
          <w:color w:val="auto"/>
        </w:rPr>
      </w:pPr>
      <w:r>
        <w:rPr>
          <w:sz w:val="24"/>
          <w:szCs w:val="24"/>
          <w:color w:val="auto"/>
        </w:rPr>
        <w:br w:type="column"/>
      </w:r>
    </w:p>
    <w:p>
      <w:pPr>
        <w:spacing w:after="0" w:line="384" w:lineRule="exact"/>
        <w:tabs>
          <w:tab w:leader="none" w:pos="260" w:val="left"/>
          <w:tab w:leader="none" w:pos="1860" w:val="left"/>
        </w:tabs>
        <w:rPr>
          <w:sz w:val="20"/>
          <w:szCs w:val="20"/>
          <w:color w:val="auto"/>
        </w:rPr>
      </w:pPr>
      <w:r>
        <w:rPr>
          <w:rFonts w:ascii="MS PGothic" w:cs="MS PGothic" w:eastAsia="MS PGothic" w:hAnsi="MS PGothic"/>
          <w:sz w:val="35"/>
          <w:szCs w:val="35"/>
          <w:color w:val="auto"/>
          <w:vertAlign w:val="subscript"/>
        </w:rPr>
        <w:t>☒</w:t>
      </w:r>
      <w:r>
        <w:rPr>
          <w:rFonts w:ascii="Arial" w:cs="Arial" w:eastAsia="Arial" w:hAnsi="Arial"/>
          <w:sz w:val="13"/>
          <w:szCs w:val="13"/>
          <w:color w:val="auto"/>
        </w:rPr>
        <w:tab/>
        <w:t>Large accelerated filer</w:t>
      </w:r>
      <w:r>
        <w:rPr>
          <w:sz w:val="20"/>
          <w:szCs w:val="20"/>
          <w:color w:val="auto"/>
        </w:rPr>
        <w:tab/>
      </w:r>
      <w:r>
        <w:rPr>
          <w:rFonts w:ascii="MS PGothic" w:cs="MS PGothic" w:eastAsia="MS PGothic" w:hAnsi="MS PGothic"/>
          <w:sz w:val="33"/>
          <w:szCs w:val="33"/>
          <w:color w:val="auto"/>
          <w:vertAlign w:val="subscript"/>
        </w:rPr>
        <w:t xml:space="preserve">☐ </w:t>
      </w:r>
      <w:r>
        <w:rPr>
          <w:rFonts w:ascii="Arial" w:cs="Arial" w:eastAsia="Arial" w:hAnsi="Arial"/>
          <w:sz w:val="11"/>
          <w:szCs w:val="11"/>
          <w:color w:val="auto"/>
        </w:rPr>
        <w:t>Accelerated filer</w:t>
      </w:r>
    </w:p>
    <w:p>
      <w:pPr>
        <w:spacing w:after="0" w:line="262" w:lineRule="exact"/>
        <w:tabs>
          <w:tab w:leader="none" w:pos="260" w:val="left"/>
          <w:tab w:leader="none" w:pos="1860" w:val="left"/>
        </w:tabs>
        <w:rPr>
          <w:sz w:val="20"/>
          <w:szCs w:val="20"/>
          <w:color w:val="auto"/>
        </w:rPr>
      </w:pPr>
      <w:r>
        <w:rPr>
          <w:rFonts w:ascii="MS PGothic" w:cs="MS PGothic" w:eastAsia="MS PGothic" w:hAnsi="MS PGothic"/>
          <w:sz w:val="30"/>
          <w:szCs w:val="30"/>
          <w:color w:val="auto"/>
          <w:vertAlign w:val="subscript"/>
        </w:rPr>
        <w:t>☐</w:t>
      </w:r>
      <w:r>
        <w:rPr>
          <w:sz w:val="20"/>
          <w:szCs w:val="20"/>
          <w:color w:val="auto"/>
        </w:rPr>
        <w:tab/>
      </w:r>
      <w:r>
        <w:rPr>
          <w:rFonts w:ascii="Arial" w:cs="Arial" w:eastAsia="Arial" w:hAnsi="Arial"/>
          <w:sz w:val="13"/>
          <w:szCs w:val="13"/>
          <w:color w:val="auto"/>
        </w:rPr>
        <w:t>Large accelerated filer</w:t>
      </w:r>
      <w:r>
        <w:rPr>
          <w:sz w:val="20"/>
          <w:szCs w:val="20"/>
          <w:color w:val="auto"/>
        </w:rPr>
        <w:tab/>
      </w:r>
      <w:r>
        <w:rPr>
          <w:rFonts w:ascii="MS PGothic" w:cs="MS PGothic" w:eastAsia="MS PGothic" w:hAnsi="MS PGothic"/>
          <w:sz w:val="33"/>
          <w:szCs w:val="33"/>
          <w:color w:val="auto"/>
          <w:vertAlign w:val="subscript"/>
        </w:rPr>
        <w:t xml:space="preserve">☐ </w:t>
      </w:r>
      <w:r>
        <w:rPr>
          <w:rFonts w:ascii="Arial" w:cs="Arial" w:eastAsia="Arial" w:hAnsi="Arial"/>
          <w:sz w:val="11"/>
          <w:szCs w:val="11"/>
          <w:color w:val="auto"/>
        </w:rPr>
        <w:t>Accelerated filer</w:t>
      </w:r>
    </w:p>
    <w:p>
      <w:pPr>
        <w:spacing w:after="0" w:line="20" w:lineRule="exact"/>
        <w:rPr>
          <w:sz w:val="24"/>
          <w:szCs w:val="24"/>
          <w:color w:val="auto"/>
        </w:rPr>
      </w:pPr>
      <w:r>
        <w:rPr>
          <w:sz w:val="24"/>
          <w:szCs w:val="24"/>
          <w:color w:val="auto"/>
        </w:rPr>
        <w:br w:type="column"/>
      </w:r>
    </w:p>
    <w:p>
      <w:pPr>
        <w:spacing w:after="0" w:line="384" w:lineRule="exact"/>
        <w:tabs>
          <w:tab w:leader="none" w:pos="260" w:val="left"/>
          <w:tab w:leader="none" w:pos="1760" w:val="left"/>
        </w:tabs>
        <w:rPr>
          <w:sz w:val="20"/>
          <w:szCs w:val="20"/>
          <w:color w:val="auto"/>
        </w:rPr>
      </w:pPr>
      <w:r>
        <w:rPr>
          <w:rFonts w:ascii="MS PGothic" w:cs="MS PGothic" w:eastAsia="MS PGothic" w:hAnsi="MS PGothic"/>
          <w:sz w:val="35"/>
          <w:szCs w:val="35"/>
          <w:color w:val="auto"/>
          <w:vertAlign w:val="subscript"/>
        </w:rPr>
        <w:t>☐</w:t>
      </w:r>
      <w:r>
        <w:rPr>
          <w:rFonts w:ascii="Arial" w:cs="Arial" w:eastAsia="Arial" w:hAnsi="Arial"/>
          <w:sz w:val="13"/>
          <w:szCs w:val="13"/>
          <w:color w:val="auto"/>
        </w:rPr>
        <w:tab/>
        <w:t>Non-accelerated filer</w:t>
      </w:r>
      <w:r>
        <w:rPr>
          <w:sz w:val="20"/>
          <w:szCs w:val="20"/>
          <w:color w:val="auto"/>
        </w:rPr>
        <w:tab/>
      </w:r>
      <w:r>
        <w:rPr>
          <w:rFonts w:ascii="MS PGothic" w:cs="MS PGothic" w:eastAsia="MS PGothic" w:hAnsi="MS PGothic"/>
          <w:sz w:val="33"/>
          <w:szCs w:val="33"/>
          <w:color w:val="auto"/>
          <w:vertAlign w:val="subscript"/>
        </w:rPr>
        <w:t xml:space="preserve">☐ </w:t>
      </w:r>
      <w:r>
        <w:rPr>
          <w:rFonts w:ascii="Arial" w:cs="Arial" w:eastAsia="Arial" w:hAnsi="Arial"/>
          <w:sz w:val="11"/>
          <w:szCs w:val="11"/>
          <w:color w:val="auto"/>
        </w:rPr>
        <w:t>Smaller reporting company</w:t>
      </w:r>
      <w:r>
        <w:rPr>
          <w:rFonts w:ascii="MS PGothic" w:cs="MS PGothic" w:eastAsia="MS PGothic" w:hAnsi="MS PGothic"/>
          <w:sz w:val="33"/>
          <w:szCs w:val="33"/>
          <w:color w:val="auto"/>
        </w:rPr>
        <w:t xml:space="preserve">      </w:t>
      </w:r>
      <w:r>
        <w:rPr>
          <w:rFonts w:ascii="MS PGothic" w:cs="MS PGothic" w:eastAsia="MS PGothic" w:hAnsi="MS PGothic"/>
          <w:sz w:val="33"/>
          <w:szCs w:val="33"/>
          <w:color w:val="auto"/>
          <w:vertAlign w:val="subscript"/>
        </w:rPr>
        <w:t>☐</w:t>
      </w:r>
      <w:r>
        <w:rPr>
          <w:rFonts w:ascii="MS PGothic" w:cs="MS PGothic" w:eastAsia="MS PGothic" w:hAnsi="MS PGothic"/>
          <w:sz w:val="33"/>
          <w:szCs w:val="33"/>
          <w:color w:val="auto"/>
        </w:rPr>
        <w:t xml:space="preserve"> </w:t>
      </w:r>
      <w:r>
        <w:rPr>
          <w:rFonts w:ascii="Arial" w:cs="Arial" w:eastAsia="Arial" w:hAnsi="Arial"/>
          <w:sz w:val="11"/>
          <w:szCs w:val="11"/>
          <w:color w:val="auto"/>
        </w:rPr>
        <w:t>Emerging growth company</w:t>
      </w:r>
    </w:p>
    <w:p>
      <w:pPr>
        <w:spacing w:after="0" w:line="262" w:lineRule="exact"/>
        <w:tabs>
          <w:tab w:leader="none" w:pos="260" w:val="left"/>
          <w:tab w:leader="none" w:pos="1760" w:val="left"/>
        </w:tabs>
        <w:rPr>
          <w:sz w:val="20"/>
          <w:szCs w:val="20"/>
          <w:color w:val="auto"/>
        </w:rPr>
      </w:pPr>
      <w:r>
        <w:rPr>
          <w:rFonts w:ascii="MS PGothic" w:cs="MS PGothic" w:eastAsia="MS PGothic" w:hAnsi="MS PGothic"/>
          <w:sz w:val="30"/>
          <w:szCs w:val="30"/>
          <w:color w:val="auto"/>
          <w:vertAlign w:val="subscript"/>
        </w:rPr>
        <w:t>☒</w:t>
      </w:r>
      <w:r>
        <w:rPr>
          <w:sz w:val="20"/>
          <w:szCs w:val="20"/>
          <w:color w:val="auto"/>
        </w:rPr>
        <w:tab/>
      </w:r>
      <w:r>
        <w:rPr>
          <w:rFonts w:ascii="Arial" w:cs="Arial" w:eastAsia="Arial" w:hAnsi="Arial"/>
          <w:sz w:val="13"/>
          <w:szCs w:val="13"/>
          <w:color w:val="auto"/>
        </w:rPr>
        <w:t>Non-accelerated filer</w:t>
      </w:r>
      <w:r>
        <w:rPr>
          <w:sz w:val="20"/>
          <w:szCs w:val="20"/>
          <w:color w:val="auto"/>
        </w:rPr>
        <w:tab/>
      </w:r>
      <w:r>
        <w:rPr>
          <w:rFonts w:ascii="MS PGothic" w:cs="MS PGothic" w:eastAsia="MS PGothic" w:hAnsi="MS PGothic"/>
          <w:sz w:val="33"/>
          <w:szCs w:val="33"/>
          <w:color w:val="auto"/>
          <w:vertAlign w:val="subscript"/>
        </w:rPr>
        <w:t xml:space="preserve">☐ </w:t>
      </w:r>
      <w:r>
        <w:rPr>
          <w:rFonts w:ascii="Arial" w:cs="Arial" w:eastAsia="Arial" w:hAnsi="Arial"/>
          <w:sz w:val="11"/>
          <w:szCs w:val="11"/>
          <w:color w:val="auto"/>
        </w:rPr>
        <w:t>Smaller reporting company</w:t>
      </w:r>
      <w:r>
        <w:rPr>
          <w:rFonts w:ascii="MS PGothic" w:cs="MS PGothic" w:eastAsia="MS PGothic" w:hAnsi="MS PGothic"/>
          <w:sz w:val="33"/>
          <w:szCs w:val="33"/>
          <w:color w:val="auto"/>
        </w:rPr>
        <w:t xml:space="preserve">      </w:t>
      </w:r>
      <w:r>
        <w:rPr>
          <w:rFonts w:ascii="MS PGothic" w:cs="MS PGothic" w:eastAsia="MS PGothic" w:hAnsi="MS PGothic"/>
          <w:sz w:val="33"/>
          <w:szCs w:val="33"/>
          <w:color w:val="auto"/>
          <w:vertAlign w:val="subscript"/>
        </w:rPr>
        <w:t>☐</w:t>
      </w:r>
      <w:r>
        <w:rPr>
          <w:rFonts w:ascii="MS PGothic" w:cs="MS PGothic" w:eastAsia="MS PGothic" w:hAnsi="MS PGothic"/>
          <w:sz w:val="33"/>
          <w:szCs w:val="33"/>
          <w:color w:val="auto"/>
        </w:rPr>
        <w:t xml:space="preserve"> </w:t>
      </w:r>
      <w:r>
        <w:rPr>
          <w:rFonts w:ascii="Arial" w:cs="Arial" w:eastAsia="Arial" w:hAnsi="Arial"/>
          <w:sz w:val="11"/>
          <w:szCs w:val="11"/>
          <w:color w:val="auto"/>
        </w:rPr>
        <w:t>Emerging growth company</w:t>
      </w:r>
    </w:p>
    <w:p>
      <w:pPr>
        <w:spacing w:after="0" w:line="200" w:lineRule="exact"/>
        <w:rPr>
          <w:sz w:val="24"/>
          <w:szCs w:val="24"/>
          <w:color w:val="auto"/>
        </w:rPr>
      </w:pPr>
    </w:p>
    <w:p>
      <w:pPr>
        <w:sectPr>
          <w:pgSz w:w="11900" w:h="16838" w:orient="portrait"/>
          <w:cols w:equalWidth="0" w:num="3">
            <w:col w:w="1620" w:space="320"/>
            <w:col w:w="3020" w:space="280"/>
            <w:col w:w="6000"/>
          </w:cols>
          <w:pgMar w:left="320" w:top="1097" w:right="339" w:bottom="0" w:gutter="0" w:footer="0" w:header="0"/>
          <w:type w:val="continuous"/>
        </w:sectPr>
      </w:pPr>
    </w:p>
    <w:p>
      <w:pPr>
        <w:spacing w:after="0" w:line="258" w:lineRule="exact"/>
        <w:rPr>
          <w:sz w:val="24"/>
          <w:szCs w:val="24"/>
          <w:color w:val="auto"/>
        </w:rPr>
      </w:pPr>
    </w:p>
    <w:p>
      <w:pPr>
        <w:ind w:right="20" w:firstLine="162"/>
        <w:spacing w:after="0" w:line="286"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11" w:lineRule="exact"/>
        <w:rPr>
          <w:sz w:val="24"/>
          <w:szCs w:val="24"/>
          <w:color w:val="auto"/>
        </w:rPr>
      </w:pPr>
    </w:p>
    <w:p>
      <w:pPr>
        <w:ind w:left="20"/>
        <w:spacing w:after="0" w:line="184" w:lineRule="exact"/>
        <w:tabs>
          <w:tab w:leader="none" w:pos="9720" w:val="left"/>
        </w:tabs>
        <w:rPr>
          <w:sz w:val="20"/>
          <w:szCs w:val="20"/>
          <w:color w:val="auto"/>
        </w:rPr>
      </w:pPr>
      <w:r>
        <w:rPr>
          <w:rFonts w:ascii="Arial" w:cs="Arial" w:eastAsia="Arial" w:hAnsi="Arial"/>
          <w:sz w:val="16"/>
          <w:szCs w:val="16"/>
          <w:color w:val="auto"/>
        </w:rPr>
        <w:t>American Airlines Group Inc.</w:t>
      </w:r>
      <w:r>
        <w:rPr>
          <w:sz w:val="20"/>
          <w:szCs w:val="20"/>
          <w:color w:val="auto"/>
        </w:rPr>
        <w:tab/>
      </w:r>
      <w:r>
        <w:rPr>
          <w:rFonts w:ascii="MS PGothic" w:cs="MS PGothic" w:eastAsia="MS PGothic" w:hAnsi="MS PGothic"/>
          <w:sz w:val="16"/>
          <w:szCs w:val="16"/>
          <w:color w:val="auto"/>
        </w:rPr>
        <w:t>☐</w:t>
      </w:r>
    </w:p>
    <w:p>
      <w:pPr>
        <w:spacing w:after="0" w:line="100" w:lineRule="exact"/>
        <w:rPr>
          <w:sz w:val="24"/>
          <w:szCs w:val="24"/>
          <w:color w:val="auto"/>
        </w:rPr>
      </w:pPr>
    </w:p>
    <w:p>
      <w:pPr>
        <w:ind w:left="20"/>
        <w:spacing w:after="0" w:line="184" w:lineRule="exact"/>
        <w:tabs>
          <w:tab w:leader="none" w:pos="9720" w:val="left"/>
        </w:tabs>
        <w:rPr>
          <w:sz w:val="20"/>
          <w:szCs w:val="20"/>
          <w:color w:val="auto"/>
        </w:rPr>
      </w:pPr>
      <w:r>
        <w:rPr>
          <w:rFonts w:ascii="Arial" w:cs="Arial" w:eastAsia="Arial" w:hAnsi="Arial"/>
          <w:sz w:val="16"/>
          <w:szCs w:val="16"/>
          <w:color w:val="auto"/>
        </w:rPr>
        <w:t>American Airlines, Inc.</w:t>
      </w:r>
      <w:r>
        <w:rPr>
          <w:sz w:val="20"/>
          <w:szCs w:val="20"/>
          <w:color w:val="auto"/>
        </w:rPr>
        <w:tab/>
      </w:r>
      <w:r>
        <w:rPr>
          <w:rFonts w:ascii="MS PGothic" w:cs="MS PGothic" w:eastAsia="MS PGothic" w:hAnsi="MS PGothic"/>
          <w:sz w:val="16"/>
          <w:szCs w:val="16"/>
          <w:color w:val="auto"/>
        </w:rPr>
        <w:t>☐</w:t>
      </w:r>
    </w:p>
    <w:p>
      <w:pPr>
        <w:sectPr>
          <w:pgSz w:w="11900" w:h="16838" w:orient="portrait"/>
          <w:cols w:equalWidth="0" w:num="1">
            <w:col w:w="11240"/>
          </w:cols>
          <w:pgMar w:left="320" w:top="1097" w:right="339" w:bottom="0" w:gutter="0" w:footer="0" w:header="0"/>
          <w:type w:val="continuous"/>
        </w:sectPr>
      </w:pPr>
    </w:p>
    <w:bookmarkStart w:id="1" w:name="page2"/>
    <w:bookmarkEnd w:id="1"/>
    <w:p>
      <w:pPr>
        <w:ind w:left="1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ectPr>
          <w:pgSz w:w="11900" w:h="16838" w:orient="portrait"/>
          <w:cols w:equalWidth="0" w:num="1">
            <w:col w:w="11200"/>
          </w:cols>
          <w:pgMar w:left="340" w:top="125" w:right="359" w:bottom="1440" w:gutter="0" w:footer="0" w:header="0"/>
        </w:sect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American Airlines Group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American Airlines, Inc.</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24"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04"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No</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No</w:t>
      </w:r>
    </w:p>
    <w:p>
      <w:pPr>
        <w:spacing w:after="0" w:line="211" w:lineRule="exact"/>
        <w:rPr>
          <w:sz w:val="20"/>
          <w:szCs w:val="20"/>
          <w:color w:val="auto"/>
        </w:rPr>
      </w:pPr>
    </w:p>
    <w:p>
      <w:pPr>
        <w:sectPr>
          <w:pgSz w:w="11900" w:h="16838" w:orient="portrait"/>
          <w:cols w:equalWidth="0" w:num="5">
            <w:col w:w="8580" w:space="720"/>
            <w:col w:w="140" w:space="440"/>
            <w:col w:w="260" w:space="200"/>
            <w:col w:w="160" w:space="500"/>
            <w:col w:w="200"/>
          </w:cols>
          <w:pgMar w:left="340" w:top="125" w:right="359" w:bottom="1440" w:gutter="0" w:footer="0" w:header="0"/>
          <w:type w:val="continuous"/>
        </w:sectPr>
      </w:pPr>
    </w:p>
    <w:p>
      <w:pPr>
        <w:spacing w:after="0" w:line="7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As of April 17, 2025, there were 659,512,341 shares of American Airlines Group Inc. common stock outstanding.</w:t>
      </w:r>
    </w:p>
    <w:p>
      <w:pPr>
        <w:spacing w:after="0" w:line="16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As of April 17, 2025, there were 1,000 shares of American Airlines, Inc. common stock outstanding, all of which were held by American Airlines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175260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200660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40" w:top="125" w:right="359" w:bottom="1440" w:gutter="0" w:footer="0" w:header="0"/>
          <w:type w:val="continuous"/>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American Airlines,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Quarterly Period Ended March 31, 2025</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0" w:type="dxa"/>
            <w:vAlign w:val="bottom"/>
            <w:gridSpan w:val="10"/>
            <w:vMerge w:val="restart"/>
          </w:tcPr>
          <w:p>
            <w:pPr>
              <w:jc w:val="center"/>
              <w:ind w:right="3040"/>
              <w:spacing w:after="0"/>
              <w:rPr>
                <w:sz w:val="20"/>
                <w:szCs w:val="20"/>
                <w:color w:val="auto"/>
              </w:rPr>
            </w:pPr>
            <w:r>
              <w:rPr>
                <w:rFonts w:ascii="Arial" w:cs="Arial" w:eastAsia="Arial" w:hAnsi="Arial"/>
                <w:sz w:val="18"/>
                <w:szCs w:val="18"/>
                <w:b w:val="1"/>
                <w:bCs w:val="1"/>
                <w:color w:val="auto"/>
                <w:w w:val="98"/>
              </w:rPr>
              <w:t>PART I: FINANCIAL INFORMATION</w:t>
            </w:r>
          </w:p>
        </w:tc>
        <w:tc>
          <w:tcPr>
            <w:tcW w:w="6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0" w:type="dxa"/>
            <w:vAlign w:val="bottom"/>
            <w:gridSpan w:val="10"/>
            <w:vMerge w:val="continue"/>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620" w:type="dxa"/>
            <w:vAlign w:val="bottom"/>
            <w:gridSpan w:val="2"/>
          </w:tcPr>
          <w:p>
            <w:pPr>
              <w:spacing w:after="0" w:line="195" w:lineRule="exact"/>
              <w:rPr>
                <w:sz w:val="20"/>
                <w:szCs w:val="20"/>
                <w:color w:val="auto"/>
              </w:rPr>
            </w:pPr>
            <w:r>
              <w:rPr>
                <w:rFonts w:ascii="Arial" w:cs="Arial" w:eastAsia="Arial" w:hAnsi="Arial"/>
                <w:sz w:val="18"/>
                <w:szCs w:val="18"/>
                <w:color w:val="auto"/>
              </w:rPr>
              <w:t>Item 1A.</w:t>
            </w:r>
          </w:p>
        </w:tc>
        <w:tc>
          <w:tcPr>
            <w:tcW w:w="6300" w:type="dxa"/>
            <w:vAlign w:val="bottom"/>
            <w:gridSpan w:val="13"/>
          </w:tcPr>
          <w:p>
            <w:pPr>
              <w:spacing w:after="0" w:line="195" w:lineRule="exact"/>
              <w:rPr>
                <w:sz w:val="20"/>
                <w:szCs w:val="20"/>
                <w:color w:val="auto"/>
              </w:rPr>
            </w:pPr>
            <w:r>
              <w:rPr>
                <w:rFonts w:ascii="Arial" w:cs="Arial" w:eastAsia="Arial" w:hAnsi="Arial"/>
                <w:sz w:val="18"/>
                <w:szCs w:val="18"/>
                <w:color w:val="0000FF"/>
                <w:w w:val="99"/>
              </w:rPr>
              <w:t>Condensed Consolidated Financial Statements of American Airlines Group Inc.</w:t>
            </w:r>
          </w:p>
        </w:tc>
        <w:tc>
          <w:tcPr>
            <w:tcW w:w="2700" w:type="dxa"/>
            <w:vAlign w:val="bottom"/>
            <w:gridSpan w:val="2"/>
          </w:tcPr>
          <w:p>
            <w:pPr>
              <w:spacing w:after="0"/>
              <w:rPr>
                <w:sz w:val="16"/>
                <w:szCs w:val="16"/>
                <w:color w:val="auto"/>
              </w:rPr>
            </w:pPr>
          </w:p>
        </w:tc>
        <w:tc>
          <w:tcPr>
            <w:tcW w:w="480" w:type="dxa"/>
            <w:vAlign w:val="bottom"/>
            <w:gridSpan w:val="2"/>
          </w:tcPr>
          <w:p>
            <w:pPr>
              <w:spacing w:after="0"/>
              <w:rPr>
                <w:sz w:val="16"/>
                <w:szCs w:val="16"/>
                <w:color w:val="auto"/>
              </w:rPr>
            </w:pPr>
          </w:p>
        </w:tc>
        <w:tc>
          <w:tcPr>
            <w:tcW w:w="12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0000FF"/>
                <w:w w:val="79"/>
              </w:rPr>
              <w:t>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20" w:type="dxa"/>
            <w:vAlign w:val="bottom"/>
            <w:gridSpan w:val="7"/>
          </w:tcPr>
          <w:p>
            <w:pPr>
              <w:spacing w:after="0"/>
              <w:rPr>
                <w:sz w:val="20"/>
                <w:szCs w:val="20"/>
                <w:color w:val="auto"/>
              </w:rPr>
            </w:pPr>
            <w:r>
              <w:rPr>
                <w:rFonts w:ascii="Arial" w:cs="Arial" w:eastAsia="Arial" w:hAnsi="Arial"/>
                <w:sz w:val="18"/>
                <w:szCs w:val="18"/>
                <w:color w:val="0000FF"/>
                <w:w w:val="99"/>
              </w:rPr>
              <w:t>Condensed Consolidated Statements of Operations</w:t>
            </w:r>
          </w:p>
        </w:tc>
        <w:tc>
          <w:tcPr>
            <w:tcW w:w="2180" w:type="dxa"/>
            <w:vAlign w:val="bottom"/>
            <w:gridSpan w:val="6"/>
          </w:tcPr>
          <w:p>
            <w:pPr>
              <w:spacing w:after="0"/>
              <w:rPr>
                <w:sz w:val="18"/>
                <w:szCs w:val="18"/>
                <w:color w:val="auto"/>
              </w:rPr>
            </w:pPr>
          </w:p>
        </w:tc>
        <w:tc>
          <w:tcPr>
            <w:tcW w:w="2700" w:type="dxa"/>
            <w:vAlign w:val="bottom"/>
            <w:gridSpan w:val="2"/>
          </w:tcPr>
          <w:p>
            <w:pPr>
              <w:spacing w:after="0"/>
              <w:rPr>
                <w:sz w:val="18"/>
                <w:szCs w:val="18"/>
                <w:color w:val="auto"/>
              </w:rPr>
            </w:pPr>
          </w:p>
        </w:tc>
        <w:tc>
          <w:tcPr>
            <w:tcW w:w="480" w:type="dxa"/>
            <w:vAlign w:val="bottom"/>
            <w:gridSpan w:val="2"/>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0" w:type="dxa"/>
            <w:vAlign w:val="bottom"/>
            <w:gridSpan w:val="15"/>
          </w:tcPr>
          <w:p>
            <w:pPr>
              <w:spacing w:after="0"/>
              <w:rPr>
                <w:sz w:val="20"/>
                <w:szCs w:val="20"/>
                <w:color w:val="auto"/>
              </w:rPr>
            </w:pPr>
            <w:r>
              <w:rPr>
                <w:rFonts w:ascii="Arial" w:cs="Arial" w:eastAsia="Arial" w:hAnsi="Arial"/>
                <w:sz w:val="18"/>
                <w:szCs w:val="18"/>
                <w:color w:val="0000FF"/>
              </w:rPr>
              <w:t>Condensed Consolidated Statements of Comprehensive Loss</w:t>
            </w: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0000FF"/>
              </w:rPr>
              <w:t>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40" w:type="dxa"/>
            <w:vAlign w:val="bottom"/>
            <w:gridSpan w:val="6"/>
          </w:tcPr>
          <w:p>
            <w:pPr>
              <w:spacing w:after="0"/>
              <w:rPr>
                <w:sz w:val="20"/>
                <w:szCs w:val="20"/>
                <w:color w:val="auto"/>
              </w:rPr>
            </w:pPr>
            <w:r>
              <w:rPr>
                <w:rFonts w:ascii="Arial" w:cs="Arial" w:eastAsia="Arial" w:hAnsi="Arial"/>
                <w:sz w:val="18"/>
                <w:szCs w:val="18"/>
                <w:color w:val="0000FF"/>
                <w:w w:val="99"/>
              </w:rPr>
              <w:t>Condensed Consolidated Balance Sheets</w:t>
            </w:r>
          </w:p>
        </w:tc>
        <w:tc>
          <w:tcPr>
            <w:tcW w:w="1540" w:type="dxa"/>
            <w:vAlign w:val="bottom"/>
            <w:gridSpan w:val="5"/>
          </w:tcPr>
          <w:p>
            <w:pPr>
              <w:spacing w:after="0"/>
              <w:rPr>
                <w:sz w:val="18"/>
                <w:szCs w:val="18"/>
                <w:color w:val="auto"/>
              </w:rPr>
            </w:pPr>
          </w:p>
        </w:tc>
        <w:tc>
          <w:tcPr>
            <w:tcW w:w="4120" w:type="dxa"/>
            <w:vAlign w:val="bottom"/>
            <w:gridSpan w:val="4"/>
          </w:tcPr>
          <w:p>
            <w:pPr>
              <w:spacing w:after="0"/>
              <w:rPr>
                <w:sz w:val="18"/>
                <w:szCs w:val="18"/>
                <w:color w:val="auto"/>
              </w:rPr>
            </w:pPr>
          </w:p>
        </w:tc>
        <w:tc>
          <w:tcPr>
            <w:tcW w:w="480" w:type="dxa"/>
            <w:vAlign w:val="bottom"/>
            <w:gridSpan w:val="2"/>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80" w:type="dxa"/>
            <w:vAlign w:val="bottom"/>
            <w:gridSpan w:val="8"/>
          </w:tcPr>
          <w:p>
            <w:pPr>
              <w:spacing w:after="0"/>
              <w:rPr>
                <w:sz w:val="20"/>
                <w:szCs w:val="20"/>
                <w:color w:val="auto"/>
              </w:rPr>
            </w:pPr>
            <w:r>
              <w:rPr>
                <w:rFonts w:ascii="Arial" w:cs="Arial" w:eastAsia="Arial" w:hAnsi="Arial"/>
                <w:sz w:val="18"/>
                <w:szCs w:val="18"/>
                <w:color w:val="0000FF"/>
                <w:w w:val="99"/>
              </w:rPr>
              <w:t>Condensed Consolidated Statements of Cash Flows</w:t>
            </w:r>
          </w:p>
        </w:tc>
        <w:tc>
          <w:tcPr>
            <w:tcW w:w="4820" w:type="dxa"/>
            <w:vAlign w:val="bottom"/>
            <w:gridSpan w:val="7"/>
          </w:tcPr>
          <w:p>
            <w:pPr>
              <w:spacing w:after="0"/>
              <w:rPr>
                <w:sz w:val="18"/>
                <w:szCs w:val="18"/>
                <w:color w:val="auto"/>
              </w:rPr>
            </w:pPr>
          </w:p>
        </w:tc>
        <w:tc>
          <w:tcPr>
            <w:tcW w:w="480" w:type="dxa"/>
            <w:vAlign w:val="bottom"/>
            <w:gridSpan w:val="2"/>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0" w:type="dxa"/>
            <w:vAlign w:val="bottom"/>
            <w:gridSpan w:val="15"/>
          </w:tcPr>
          <w:p>
            <w:pPr>
              <w:spacing w:after="0"/>
              <w:rPr>
                <w:sz w:val="20"/>
                <w:szCs w:val="20"/>
                <w:color w:val="auto"/>
              </w:rPr>
            </w:pPr>
            <w:r>
              <w:rPr>
                <w:rFonts w:ascii="Arial" w:cs="Arial" w:eastAsia="Arial" w:hAnsi="Arial"/>
                <w:sz w:val="18"/>
                <w:szCs w:val="18"/>
                <w:color w:val="0000FF"/>
              </w:rPr>
              <w:t>Condensed Consolidated Statements of Stockholders’ Deficit</w:t>
            </w: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0000FF"/>
              </w:rPr>
              <w:t>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720" w:type="dxa"/>
            <w:vAlign w:val="bottom"/>
            <w:gridSpan w:val="9"/>
          </w:tcPr>
          <w:p>
            <w:pPr>
              <w:spacing w:after="0"/>
              <w:rPr>
                <w:sz w:val="20"/>
                <w:szCs w:val="20"/>
                <w:color w:val="auto"/>
              </w:rPr>
            </w:pPr>
            <w:r>
              <w:rPr>
                <w:rFonts w:ascii="Arial" w:cs="Arial" w:eastAsia="Arial" w:hAnsi="Arial"/>
                <w:sz w:val="18"/>
                <w:szCs w:val="18"/>
                <w:color w:val="0000FF"/>
                <w:w w:val="98"/>
              </w:rPr>
              <w:t>Notes to the Condensed Consolidated Financial Statements</w:t>
            </w:r>
          </w:p>
        </w:tc>
        <w:tc>
          <w:tcPr>
            <w:tcW w:w="140" w:type="dxa"/>
            <w:vAlign w:val="bottom"/>
          </w:tcPr>
          <w:p>
            <w:pPr>
              <w:spacing w:after="0"/>
              <w:rPr>
                <w:sz w:val="18"/>
                <w:szCs w:val="18"/>
                <w:color w:val="auto"/>
              </w:rPr>
            </w:pPr>
          </w:p>
        </w:tc>
        <w:tc>
          <w:tcPr>
            <w:tcW w:w="4140" w:type="dxa"/>
            <w:vAlign w:val="bottom"/>
            <w:gridSpan w:val="5"/>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10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2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5800" w:type="dxa"/>
            <w:vAlign w:val="bottom"/>
            <w:gridSpan w:val="12"/>
          </w:tcPr>
          <w:p>
            <w:pPr>
              <w:spacing w:after="0"/>
              <w:rPr>
                <w:sz w:val="20"/>
                <w:szCs w:val="20"/>
                <w:color w:val="auto"/>
              </w:rPr>
            </w:pPr>
            <w:r>
              <w:rPr>
                <w:rFonts w:ascii="Arial" w:cs="Arial" w:eastAsia="Arial" w:hAnsi="Arial"/>
                <w:sz w:val="18"/>
                <w:szCs w:val="18"/>
                <w:color w:val="0000FF"/>
                <w:w w:val="99"/>
              </w:rPr>
              <w:t>Condensed Consolidated Financial Statements of American Airlines, Inc.</w:t>
            </w:r>
          </w:p>
        </w:tc>
        <w:tc>
          <w:tcPr>
            <w:tcW w:w="3200" w:type="dxa"/>
            <w:vAlign w:val="bottom"/>
            <w:gridSpan w:val="3"/>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20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20" w:type="dxa"/>
            <w:vAlign w:val="bottom"/>
            <w:gridSpan w:val="7"/>
          </w:tcPr>
          <w:p>
            <w:pPr>
              <w:spacing w:after="0"/>
              <w:rPr>
                <w:sz w:val="20"/>
                <w:szCs w:val="20"/>
                <w:color w:val="auto"/>
              </w:rPr>
            </w:pPr>
            <w:r>
              <w:rPr>
                <w:rFonts w:ascii="Arial" w:cs="Arial" w:eastAsia="Arial" w:hAnsi="Arial"/>
                <w:sz w:val="18"/>
                <w:szCs w:val="18"/>
                <w:color w:val="0000FF"/>
                <w:w w:val="99"/>
              </w:rPr>
              <w:t>Condensed Consolidated Statements of Operations</w:t>
            </w:r>
          </w:p>
        </w:tc>
        <w:tc>
          <w:tcPr>
            <w:tcW w:w="1680" w:type="dxa"/>
            <w:vAlign w:val="bottom"/>
            <w:gridSpan w:val="5"/>
          </w:tcPr>
          <w:p>
            <w:pPr>
              <w:spacing w:after="0"/>
              <w:rPr>
                <w:sz w:val="18"/>
                <w:szCs w:val="18"/>
                <w:color w:val="auto"/>
              </w:rPr>
            </w:pPr>
          </w:p>
        </w:tc>
        <w:tc>
          <w:tcPr>
            <w:tcW w:w="3200" w:type="dxa"/>
            <w:vAlign w:val="bottom"/>
            <w:gridSpan w:val="3"/>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20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0" w:type="dxa"/>
            <w:vAlign w:val="bottom"/>
            <w:gridSpan w:val="15"/>
          </w:tcPr>
          <w:p>
            <w:pPr>
              <w:spacing w:after="0"/>
              <w:rPr>
                <w:sz w:val="20"/>
                <w:szCs w:val="20"/>
                <w:color w:val="auto"/>
              </w:rPr>
            </w:pPr>
            <w:r>
              <w:rPr>
                <w:rFonts w:ascii="Arial" w:cs="Arial" w:eastAsia="Arial" w:hAnsi="Arial"/>
                <w:sz w:val="18"/>
                <w:szCs w:val="18"/>
                <w:color w:val="0000FF"/>
              </w:rPr>
              <w:t>Condensed Consolidated Statements of Comprehensive Loss</w:t>
            </w: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0000FF"/>
              </w:rPr>
              <w:t>21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2200" w:type="dxa"/>
            <w:vAlign w:val="bottom"/>
            <w:tcBorders>
              <w:left w:val="single" w:sz="8" w:color="0000FF"/>
            </w:tcBorders>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40" w:type="dxa"/>
            <w:vAlign w:val="bottom"/>
            <w:gridSpan w:val="6"/>
          </w:tcPr>
          <w:p>
            <w:pPr>
              <w:spacing w:after="0"/>
              <w:rPr>
                <w:sz w:val="20"/>
                <w:szCs w:val="20"/>
                <w:color w:val="auto"/>
              </w:rPr>
            </w:pPr>
            <w:r>
              <w:rPr>
                <w:rFonts w:ascii="Arial" w:cs="Arial" w:eastAsia="Arial" w:hAnsi="Arial"/>
                <w:sz w:val="18"/>
                <w:szCs w:val="18"/>
                <w:color w:val="0000FF"/>
                <w:w w:val="99"/>
              </w:rPr>
              <w:t>Condensed Consolidated Balance Sheets</w:t>
            </w:r>
          </w:p>
        </w:tc>
        <w:tc>
          <w:tcPr>
            <w:tcW w:w="1540" w:type="dxa"/>
            <w:vAlign w:val="bottom"/>
            <w:gridSpan w:val="5"/>
          </w:tcPr>
          <w:p>
            <w:pPr>
              <w:spacing w:after="0"/>
              <w:rPr>
                <w:sz w:val="18"/>
                <w:szCs w:val="18"/>
                <w:color w:val="auto"/>
              </w:rPr>
            </w:pPr>
          </w:p>
        </w:tc>
        <w:tc>
          <w:tcPr>
            <w:tcW w:w="4120" w:type="dxa"/>
            <w:vAlign w:val="bottom"/>
            <w:gridSpan w:val="4"/>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22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80" w:type="dxa"/>
            <w:vAlign w:val="bottom"/>
            <w:gridSpan w:val="8"/>
          </w:tcPr>
          <w:p>
            <w:pPr>
              <w:spacing w:after="0"/>
              <w:rPr>
                <w:sz w:val="20"/>
                <w:szCs w:val="20"/>
                <w:color w:val="auto"/>
              </w:rPr>
            </w:pPr>
            <w:r>
              <w:rPr>
                <w:rFonts w:ascii="Arial" w:cs="Arial" w:eastAsia="Arial" w:hAnsi="Arial"/>
                <w:sz w:val="18"/>
                <w:szCs w:val="18"/>
                <w:color w:val="0000FF"/>
                <w:w w:val="99"/>
              </w:rPr>
              <w:t>Condensed Consolidated Statements of Cash Flows</w:t>
            </w:r>
          </w:p>
        </w:tc>
        <w:tc>
          <w:tcPr>
            <w:tcW w:w="4820" w:type="dxa"/>
            <w:vAlign w:val="bottom"/>
            <w:gridSpan w:val="7"/>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23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80" w:type="dxa"/>
            <w:vAlign w:val="bottom"/>
            <w:gridSpan w:val="11"/>
          </w:tcPr>
          <w:p>
            <w:pPr>
              <w:spacing w:after="0"/>
              <w:rPr>
                <w:sz w:val="20"/>
                <w:szCs w:val="20"/>
                <w:color w:val="auto"/>
              </w:rPr>
            </w:pPr>
            <w:r>
              <w:rPr>
                <w:rFonts w:ascii="Arial" w:cs="Arial" w:eastAsia="Arial" w:hAnsi="Arial"/>
                <w:sz w:val="18"/>
                <w:szCs w:val="18"/>
                <w:color w:val="0000FF"/>
                <w:w w:val="99"/>
              </w:rPr>
              <w:t>Condensed Consolidated Statements of Stockholder’s Equity</w:t>
            </w:r>
          </w:p>
        </w:tc>
        <w:tc>
          <w:tcPr>
            <w:tcW w:w="4120" w:type="dxa"/>
            <w:vAlign w:val="bottom"/>
            <w:gridSpan w:val="4"/>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24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720" w:type="dxa"/>
            <w:vAlign w:val="bottom"/>
            <w:gridSpan w:val="9"/>
          </w:tcPr>
          <w:p>
            <w:pPr>
              <w:spacing w:after="0"/>
              <w:rPr>
                <w:sz w:val="20"/>
                <w:szCs w:val="20"/>
                <w:color w:val="auto"/>
              </w:rPr>
            </w:pPr>
            <w:r>
              <w:rPr>
                <w:rFonts w:ascii="Arial" w:cs="Arial" w:eastAsia="Arial" w:hAnsi="Arial"/>
                <w:sz w:val="18"/>
                <w:szCs w:val="18"/>
                <w:color w:val="0000FF"/>
                <w:w w:val="98"/>
              </w:rPr>
              <w:t>Notes to the Condensed Consolidated Financial Statements</w:t>
            </w:r>
          </w:p>
        </w:tc>
        <w:tc>
          <w:tcPr>
            <w:tcW w:w="160" w:type="dxa"/>
            <w:vAlign w:val="bottom"/>
            <w:gridSpan w:val="2"/>
          </w:tcPr>
          <w:p>
            <w:pPr>
              <w:spacing w:after="0"/>
              <w:rPr>
                <w:sz w:val="18"/>
                <w:szCs w:val="18"/>
                <w:color w:val="auto"/>
              </w:rPr>
            </w:pPr>
          </w:p>
        </w:tc>
        <w:tc>
          <w:tcPr>
            <w:tcW w:w="4120" w:type="dxa"/>
            <w:vAlign w:val="bottom"/>
            <w:gridSpan w:val="4"/>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25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2360" w:type="dxa"/>
            <w:vAlign w:val="bottom"/>
            <w:tcBorders>
              <w:left w:val="single" w:sz="8" w:color="0000FF"/>
            </w:tcBorders>
            <w:gridSpan w:val="5"/>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000" w:type="dxa"/>
            <w:vAlign w:val="bottom"/>
            <w:gridSpan w:val="15"/>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0000FF"/>
              </w:rPr>
              <w:t>35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720" w:type="dxa"/>
            <w:vAlign w:val="bottom"/>
            <w:gridSpan w:val="9"/>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2360" w:type="dxa"/>
            <w:vAlign w:val="bottom"/>
            <w:gridSpan w:val="5"/>
          </w:tcPr>
          <w:p>
            <w:pPr>
              <w:spacing w:after="0"/>
              <w:rPr>
                <w:sz w:val="18"/>
                <w:szCs w:val="18"/>
                <w:color w:val="auto"/>
              </w:rPr>
            </w:pPr>
          </w:p>
        </w:tc>
        <w:tc>
          <w:tcPr>
            <w:tcW w:w="1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48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428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720" w:type="dxa"/>
            <w:vAlign w:val="bottom"/>
            <w:gridSpan w:val="9"/>
          </w:tcPr>
          <w:p>
            <w:pPr>
              <w:spacing w:after="0"/>
              <w:rPr>
                <w:sz w:val="20"/>
                <w:szCs w:val="20"/>
                <w:color w:val="auto"/>
              </w:rPr>
            </w:pPr>
            <w:r>
              <w:rPr>
                <w:rFonts w:ascii="Arial" w:cs="Arial" w:eastAsia="Arial" w:hAnsi="Arial"/>
                <w:sz w:val="18"/>
                <w:szCs w:val="18"/>
                <w:color w:val="0000FF"/>
              </w:rPr>
              <w:t>Controls and Procedures</w:t>
            </w:r>
          </w:p>
        </w:tc>
        <w:tc>
          <w:tcPr>
            <w:tcW w:w="4280" w:type="dxa"/>
            <w:vAlign w:val="bottom"/>
            <w:gridSpan w:val="6"/>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49</w:t>
            </w:r>
          </w:p>
        </w:tc>
        <w:tc>
          <w:tcPr>
            <w:tcW w:w="0" w:type="dxa"/>
            <w:vAlign w:val="bottom"/>
          </w:tcPr>
          <w:p>
            <w:pPr>
              <w:spacing w:after="0"/>
              <w:rPr>
                <w:sz w:val="1"/>
                <w:szCs w:val="1"/>
                <w:color w:val="auto"/>
              </w:rPr>
            </w:pPr>
          </w:p>
        </w:tc>
      </w:tr>
      <w:tr>
        <w:trPr>
          <w:trHeight w:val="245"/>
        </w:trPr>
        <w:tc>
          <w:tcPr>
            <w:tcW w:w="1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36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500" w:type="dxa"/>
            <w:vAlign w:val="bottom"/>
            <w:tcBorders>
              <w:top w:val="single" w:sz="8" w:color="0000FF"/>
            </w:tcBorders>
          </w:tcPr>
          <w:p>
            <w:pPr>
              <w:spacing w:after="0"/>
              <w:rPr>
                <w:sz w:val="21"/>
                <w:szCs w:val="21"/>
                <w:color w:val="auto"/>
              </w:rPr>
            </w:pPr>
          </w:p>
        </w:tc>
        <w:tc>
          <w:tcPr>
            <w:tcW w:w="7000" w:type="dxa"/>
            <w:vAlign w:val="bottom"/>
            <w:gridSpan w:val="10"/>
          </w:tcPr>
          <w:p>
            <w:pPr>
              <w:jc w:val="center"/>
              <w:ind w:right="3040"/>
              <w:spacing w:after="0"/>
              <w:rPr>
                <w:sz w:val="20"/>
                <w:szCs w:val="20"/>
                <w:color w:val="auto"/>
              </w:rPr>
            </w:pPr>
            <w:r>
              <w:rPr>
                <w:rFonts w:ascii="Arial" w:cs="Arial" w:eastAsia="Arial" w:hAnsi="Arial"/>
                <w:sz w:val="18"/>
                <w:szCs w:val="18"/>
                <w:b w:val="1"/>
                <w:bCs w:val="1"/>
                <w:color w:val="auto"/>
                <w:w w:val="99"/>
              </w:rPr>
              <w:t>PART II: OTHER INFORMATION</w:t>
            </w:r>
          </w:p>
        </w:tc>
        <w:tc>
          <w:tcPr>
            <w:tcW w:w="38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620" w:type="dxa"/>
            <w:vAlign w:val="bottom"/>
            <w:gridSpan w:val="2"/>
          </w:tcPr>
          <w:p>
            <w:pPr>
              <w:spacing w:after="0" w:line="195" w:lineRule="exact"/>
              <w:rPr>
                <w:sz w:val="20"/>
                <w:szCs w:val="20"/>
                <w:color w:val="auto"/>
              </w:rPr>
            </w:pPr>
            <w:r>
              <w:rPr>
                <w:rFonts w:ascii="Arial" w:cs="Arial" w:eastAsia="Arial" w:hAnsi="Arial"/>
                <w:sz w:val="18"/>
                <w:szCs w:val="18"/>
                <w:color w:val="auto"/>
              </w:rPr>
              <w:t>Item 1.</w:t>
            </w:r>
          </w:p>
        </w:tc>
        <w:tc>
          <w:tcPr>
            <w:tcW w:w="1500" w:type="dxa"/>
            <w:vAlign w:val="bottom"/>
            <w:gridSpan w:val="4"/>
          </w:tcPr>
          <w:p>
            <w:pPr>
              <w:spacing w:after="0" w:line="195" w:lineRule="exact"/>
              <w:rPr>
                <w:sz w:val="20"/>
                <w:szCs w:val="20"/>
                <w:color w:val="auto"/>
              </w:rPr>
            </w:pPr>
            <w:r>
              <w:rPr>
                <w:rFonts w:ascii="Arial" w:cs="Arial" w:eastAsia="Arial" w:hAnsi="Arial"/>
                <w:sz w:val="18"/>
                <w:szCs w:val="18"/>
                <w:color w:val="0000FF"/>
                <w:w w:val="99"/>
              </w:rPr>
              <w:t>Legal Proceedings</w:t>
            </w:r>
          </w:p>
        </w:tc>
        <w:tc>
          <w:tcPr>
            <w:tcW w:w="7500" w:type="dxa"/>
            <w:vAlign w:val="bottom"/>
            <w:gridSpan w:val="11"/>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gridSpan w:val="3"/>
          </w:tcPr>
          <w:p>
            <w:pPr>
              <w:jc w:val="right"/>
              <w:ind w:right="20"/>
              <w:spacing w:after="0" w:line="195" w:lineRule="exact"/>
              <w:rPr>
                <w:sz w:val="20"/>
                <w:szCs w:val="20"/>
                <w:color w:val="auto"/>
              </w:rPr>
            </w:pPr>
            <w:r>
              <w:rPr>
                <w:rFonts w:ascii="Arial" w:cs="Arial" w:eastAsia="Arial" w:hAnsi="Arial"/>
                <w:sz w:val="18"/>
                <w:szCs w:val="18"/>
                <w:color w:val="0000FF"/>
                <w:w w:val="89"/>
              </w:rPr>
              <w:t>50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500" w:type="dxa"/>
            <w:vAlign w:val="bottom"/>
            <w:gridSpan w:val="1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500" w:type="dxa"/>
            <w:vAlign w:val="bottom"/>
            <w:gridSpan w:val="4"/>
          </w:tcPr>
          <w:p>
            <w:pPr>
              <w:spacing w:after="0"/>
              <w:rPr>
                <w:sz w:val="20"/>
                <w:szCs w:val="20"/>
                <w:color w:val="auto"/>
              </w:rPr>
            </w:pPr>
            <w:r>
              <w:rPr>
                <w:rFonts w:ascii="Arial" w:cs="Arial" w:eastAsia="Arial" w:hAnsi="Arial"/>
                <w:sz w:val="18"/>
                <w:szCs w:val="18"/>
                <w:color w:val="0000FF"/>
              </w:rPr>
              <w:t>Risk Factors</w:t>
            </w:r>
          </w:p>
        </w:tc>
        <w:tc>
          <w:tcPr>
            <w:tcW w:w="7500" w:type="dxa"/>
            <w:vAlign w:val="bottom"/>
            <w:gridSpan w:val="11"/>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50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0" w:type="dxa"/>
            <w:vAlign w:val="bottom"/>
            <w:gridSpan w:val="1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000" w:type="dxa"/>
            <w:vAlign w:val="bottom"/>
            <w:gridSpan w:val="15"/>
          </w:tcPr>
          <w:p>
            <w:pPr>
              <w:spacing w:after="0"/>
              <w:rPr>
                <w:sz w:val="20"/>
                <w:szCs w:val="20"/>
                <w:color w:val="auto"/>
              </w:rPr>
            </w:pPr>
            <w:r>
              <w:rPr>
                <w:rFonts w:ascii="Arial" w:cs="Arial" w:eastAsia="Arial" w:hAnsi="Arial"/>
                <w:sz w:val="18"/>
                <w:szCs w:val="18"/>
                <w:color w:val="0000FF"/>
              </w:rPr>
              <w:t>Other Information</w:t>
            </w: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0000FF"/>
              </w:rPr>
              <w:t>50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7600" w:type="dxa"/>
            <w:vAlign w:val="bottom"/>
            <w:gridSpan w:val="1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40" w:type="dxa"/>
            <w:vAlign w:val="bottom"/>
          </w:tcPr>
          <w:p>
            <w:pPr>
              <w:spacing w:after="0"/>
              <w:rPr>
                <w:sz w:val="20"/>
                <w:szCs w:val="20"/>
                <w:color w:val="auto"/>
              </w:rPr>
            </w:pPr>
            <w:r>
              <w:rPr>
                <w:rFonts w:ascii="Arial" w:cs="Arial" w:eastAsia="Arial" w:hAnsi="Arial"/>
                <w:sz w:val="18"/>
                <w:szCs w:val="18"/>
                <w:color w:val="0000FF"/>
                <w:w w:val="98"/>
              </w:rPr>
              <w:t>Exhibits</w:t>
            </w:r>
          </w:p>
        </w:tc>
        <w:tc>
          <w:tcPr>
            <w:tcW w:w="760" w:type="dxa"/>
            <w:vAlign w:val="bottom"/>
            <w:gridSpan w:val="2"/>
          </w:tcPr>
          <w:p>
            <w:pPr>
              <w:spacing w:after="0"/>
              <w:rPr>
                <w:sz w:val="18"/>
                <w:szCs w:val="18"/>
                <w:color w:val="auto"/>
              </w:rPr>
            </w:pPr>
          </w:p>
        </w:tc>
        <w:tc>
          <w:tcPr>
            <w:tcW w:w="7600" w:type="dxa"/>
            <w:vAlign w:val="bottom"/>
            <w:gridSpan w:val="12"/>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51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2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52</w:t>
            </w:r>
          </w:p>
        </w:tc>
        <w:tc>
          <w:tcPr>
            <w:tcW w:w="0" w:type="dxa"/>
            <w:vAlign w:val="bottom"/>
          </w:tcPr>
          <w:p>
            <w:pPr>
              <w:spacing w:after="0"/>
              <w:rPr>
                <w:sz w:val="1"/>
                <w:szCs w:val="1"/>
                <w:color w:val="auto"/>
              </w:rPr>
            </w:pPr>
          </w:p>
        </w:tc>
      </w:tr>
      <w:tr>
        <w:trPr>
          <w:trHeight w:val="20"/>
        </w:trPr>
        <w:tc>
          <w:tcPr>
            <w:tcW w:w="11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5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General</w:t>
      </w:r>
    </w:p>
    <w:p>
      <w:pPr>
        <w:spacing w:after="0" w:line="9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This report is filed by American Airlines Group Inc. (AAG) and its wholly-owned subsidiary American Airlines, Inc. (American). References in this report to “we,” “us,” “our,” the “Company” and similar terms refer to AAG and its consolidated subsidiaries. References in this report to “mainline” refer to the operations of American only and exclude regional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Concerning Forward-Looking Statements</w:t>
      </w:r>
    </w:p>
    <w:p>
      <w:pPr>
        <w:spacing w:after="0" w:line="9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Certain of the statements contained in this report should be considered forward-looking statements within the meaning of the Securities Act of 1933, as amended (the Securities Act), the Securities Exchange Act of 1934, as amended (the Exchange Act), and the Private Securities Litigation Reform Act of 1995.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our plans, objectives, expectations, intentions, estimates and strategies for the future, and other statements that are not historical facts. These forward-looking statements are based on our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w:t>
      </w:r>
    </w:p>
    <w:p>
      <w:pPr>
        <w:spacing w:after="0" w:line="12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downturns in economic conditions;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inability to obtain sufficient financing or other capital to operate successfully;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high level of debt and other obligations;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significant pension and other postretirement benefit funding obligations;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deterioration of our financial condition;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loss of key personnel, or our inability to attract, develop and retain additional qualified personnel;</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changing economic, geopolitical, commercial, regulatory and other conditions beyond our control, including the recently announced tariffs and other global events that affect travel behavior;</w:t>
      </w:r>
    </w:p>
    <w:p>
      <w:pPr>
        <w:spacing w:after="0" w:line="98" w:lineRule="exact"/>
        <w:rPr>
          <w:rFonts w:ascii="Arial" w:cs="Arial" w:eastAsia="Arial" w:hAnsi="Arial"/>
          <w:sz w:val="18"/>
          <w:szCs w:val="18"/>
          <w:color w:val="auto"/>
        </w:rPr>
      </w:pPr>
    </w:p>
    <w:p>
      <w:pPr>
        <w:jc w:val="both"/>
        <w:ind w:left="660" w:right="20" w:hanging="328"/>
        <w:spacing w:after="0" w:line="262"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current legislation, regulations and economic conditions regarding federal governmental tariffs, the implementation of federal government budget cuts and the potential that any of the foregoing affects the demand for, or restricts the use of, travel by government employees and their families or private sector enterprises that contract or otherwise interface with the federal government;</w:t>
      </w:r>
    </w:p>
    <w:p>
      <w:pPr>
        <w:spacing w:after="0" w:line="12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intensely competitive and dynamic nature of the airline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union disputes, employee strikes and other labor-related disruptions;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problems with any of our third-party regional operators or third-party service providers;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damage to our reputation or brand image;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losses and adverse publicity stemming from any public incidents involving our company, our people or our brand;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to our business model that may not be successful and may cause operational difficulties or decreased demand;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inability to protect our intellectual property rights, particularly our branding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litigation in the normal course of business or otherwise;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inability to use net operating losses and other carryforwards;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new U.S. and international tax legislation;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impairment of goodwill and intangible assets or long-lived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inability of our commercial relationships with other companies to produce the returns or results we expect;</w:t>
      </w:r>
    </w:p>
    <w:p>
      <w:pPr>
        <w:sectPr>
          <w:pgSz w:w="11900" w:h="16838" w:orient="portrait"/>
          <w:cols w:equalWidth="0" w:num="1">
            <w:col w:w="11240"/>
          </w:cols>
          <w:pgMar w:left="320" w:top="1255"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type w:val="continuous"/>
        </w:sectPr>
      </w:pPr>
    </w:p>
    <w:bookmarkStart w:id="4" w:name="page5"/>
    <w:bookmarkEnd w:id="4"/>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price and availability of aircraft fuel;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extensive government regulation and compliance risks;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economic and political instability outside of the U.S. where we have significant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ongoing security concerns due to conflicts, terrorist attacks or other acts of violence, domestically or abroad;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climate change;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environmental and social matters, and compliance risks with environmental, health and noise regulations;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shortage of pilots;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a limited number of suppliers for aircraft, aircraft engines and parts;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failure of technology and automated systems, including artificial intelligence, that we rely on to operate our business;</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evolving data privacy requirements, risks from cyberattacks and data privacy incidents, and compliance risks with regulations related therewith;</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inability to effectively manage the costs, rights and functionality of third-party distribution channels;</w:t>
      </w:r>
    </w:p>
    <w:p>
      <w:pPr>
        <w:spacing w:after="0" w:line="171"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inability to obtain and maintain adequate facilities and infrastructure throughout our system and, at some airports, adequate slots;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interruptions or disruptions in service at one or more of our key facilities;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increases in insurance costs or reductions in insurance coverage;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heavy taxation in the airline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related to ownership of AAG common stock and convertible notes; and</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other risks as described in Part I, Item 1A. Risk Factors in our 2024 Form 10-K, Part I, Item 2. Management’s Discussion and Analysis of Financial Condition and Results of Operations of this report and other risks and uncertainties listed from time to time in our filings with the Securities and Exchange Commission (the SEC).</w:t>
      </w:r>
    </w:p>
    <w:p>
      <w:pPr>
        <w:spacing w:after="0" w:line="11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There may be other factors of which we are not currently aware that may affect matters discussed in the forward-looking statements and may also cause actual results to differ materially from those discussed. We do not assume any obligation to publicly update or supplement any forward-looking statement to reflect actual results, changes in assumptions or changes in other factors affecting such statements other than as required by law. Any forward-looking statements speak only as of the date of this report or as of the dates indicated in the statements.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ind w:firstLine="243"/>
        <w:spacing w:after="0" w:line="287" w:lineRule="auto"/>
        <w:rPr>
          <w:sz w:val="20"/>
          <w:szCs w:val="20"/>
          <w:color w:val="auto"/>
        </w:rPr>
      </w:pPr>
      <w:r>
        <w:rPr>
          <w:rFonts w:ascii="Arial" w:cs="Arial" w:eastAsia="Arial" w:hAnsi="Arial"/>
          <w:sz w:val="18"/>
          <w:szCs w:val="18"/>
          <w:color w:val="auto"/>
        </w:rPr>
        <w:t>This report on Form 10-Q is filed by both AAG and American and includes the Condensed Consolidated Financial Statements of each company in Item 1A and Item 1B, respectively.</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CONDENSED CONSOLIDATED FINANCIAL STATEMENTS OF AMERICAN AIRLINES GROUP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amounts)(Unaudited)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60" w:type="dxa"/>
            <w:vAlign w:val="bottom"/>
          </w:tcPr>
          <w:p>
            <w:pPr>
              <w:spacing w:after="0"/>
              <w:rPr>
                <w:sz w:val="17"/>
                <w:szCs w:val="17"/>
                <w:color w:val="auto"/>
              </w:rPr>
            </w:pPr>
          </w:p>
        </w:tc>
        <w:tc>
          <w:tcPr>
            <w:tcW w:w="29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720" w:type="dxa"/>
            <w:vAlign w:val="bottom"/>
            <w:tcBorders>
              <w:bottom w:val="single" w:sz="8" w:color="auto"/>
            </w:tcBorders>
          </w:tcPr>
          <w:p>
            <w:pPr>
              <w:spacing w:after="0"/>
              <w:rPr>
                <w:sz w:val="17"/>
                <w:szCs w:val="17"/>
                <w:color w:val="auto"/>
              </w:rPr>
            </w:pPr>
          </w:p>
        </w:tc>
      </w:tr>
      <w:tr>
        <w:trPr>
          <w:trHeight w:val="210"/>
        </w:trPr>
        <w:tc>
          <w:tcPr>
            <w:tcW w:w="756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720" w:type="dxa"/>
            <w:vAlign w:val="bottom"/>
            <w:tcBorders>
              <w:bottom w:val="single" w:sz="8" w:color="auto"/>
            </w:tcBorders>
          </w:tcPr>
          <w:p>
            <w:pPr>
              <w:spacing w:after="0"/>
              <w:rPr>
                <w:sz w:val="18"/>
                <w:szCs w:val="18"/>
                <w:color w:val="auto"/>
              </w:rPr>
            </w:pPr>
          </w:p>
        </w:tc>
      </w:tr>
      <w:tr>
        <w:trPr>
          <w:trHeight w:val="21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10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29"/>
        </w:trPr>
        <w:tc>
          <w:tcPr>
            <w:tcW w:w="7560" w:type="dxa"/>
            <w:vAlign w:val="bottom"/>
          </w:tcPr>
          <w:p>
            <w:pPr>
              <w:ind w:left="360"/>
              <w:spacing w:after="0"/>
              <w:rPr>
                <w:sz w:val="20"/>
                <w:szCs w:val="20"/>
                <w:color w:val="auto"/>
              </w:rPr>
            </w:pPr>
            <w:r>
              <w:rPr>
                <w:rFonts w:ascii="Arial" w:cs="Arial" w:eastAsia="Arial" w:hAnsi="Arial"/>
                <w:sz w:val="18"/>
                <w:szCs w:val="18"/>
                <w:color w:val="auto"/>
              </w:rPr>
              <w:t>Passenger</w:t>
            </w:r>
          </w:p>
        </w:tc>
        <w:tc>
          <w:tcPr>
            <w:tcW w:w="1060" w:type="dxa"/>
            <w:vAlign w:val="bottom"/>
          </w:tcPr>
          <w:p>
            <w:pPr>
              <w:jc w:val="right"/>
              <w:ind w:right="857"/>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11,391</w:t>
            </w:r>
          </w:p>
        </w:tc>
        <w:tc>
          <w:tcPr>
            <w:tcW w:w="120" w:type="dxa"/>
            <w:vAlign w:val="bottom"/>
          </w:tcPr>
          <w:p>
            <w:pPr>
              <w:spacing w:after="0"/>
              <w:rPr>
                <w:sz w:val="19"/>
                <w:szCs w:val="19"/>
                <w:color w:val="auto"/>
              </w:rPr>
            </w:pPr>
          </w:p>
        </w:tc>
        <w:tc>
          <w:tcPr>
            <w:tcW w:w="1060" w:type="dxa"/>
            <w:vAlign w:val="bottom"/>
          </w:tcPr>
          <w:p>
            <w:pPr>
              <w:jc w:val="right"/>
              <w:ind w:right="855"/>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11,458</w:t>
            </w: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Cargo</w:t>
            </w: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29"/>
        </w:trPr>
        <w:tc>
          <w:tcPr>
            <w:tcW w:w="7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w:t>
            </w:r>
          </w:p>
        </w:tc>
      </w:tr>
      <w:tr>
        <w:trPr>
          <w:trHeight w:val="223"/>
        </w:trPr>
        <w:tc>
          <w:tcPr>
            <w:tcW w:w="7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revenues</w:t>
            </w: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12,551</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12,570</w:t>
            </w: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Aircraft fuel and related taxes</w:t>
            </w: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2,980</w:t>
            </w:r>
          </w:p>
        </w:tc>
      </w:tr>
      <w:tr>
        <w:trPr>
          <w:trHeight w:val="229"/>
        </w:trPr>
        <w:tc>
          <w:tcPr>
            <w:tcW w:w="7560" w:type="dxa"/>
            <w:vAlign w:val="bottom"/>
          </w:tcPr>
          <w:p>
            <w:pPr>
              <w:ind w:left="360"/>
              <w:spacing w:after="0"/>
              <w:rPr>
                <w:sz w:val="20"/>
                <w:szCs w:val="20"/>
                <w:color w:val="auto"/>
              </w:rPr>
            </w:pPr>
            <w:r>
              <w:rPr>
                <w:rFonts w:ascii="Arial" w:cs="Arial" w:eastAsia="Arial" w:hAnsi="Arial"/>
                <w:sz w:val="18"/>
                <w:szCs w:val="18"/>
                <w:color w:val="auto"/>
              </w:rPr>
              <w:t>Salaries, wages and benefits</w:t>
            </w: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4,222</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3,867</w:t>
            </w:r>
          </w:p>
        </w:tc>
      </w:tr>
      <w:tr>
        <w:trPr>
          <w:trHeight w:val="229"/>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Regional expenses</w:t>
            </w: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w:t>
            </w:r>
          </w:p>
        </w:tc>
      </w:tr>
      <w:tr>
        <w:trPr>
          <w:trHeight w:val="230"/>
        </w:trPr>
        <w:tc>
          <w:tcPr>
            <w:tcW w:w="7560" w:type="dxa"/>
            <w:vAlign w:val="bottom"/>
          </w:tcPr>
          <w:p>
            <w:pPr>
              <w:ind w:left="360"/>
              <w:spacing w:after="0"/>
              <w:rPr>
                <w:sz w:val="20"/>
                <w:szCs w:val="20"/>
                <w:color w:val="auto"/>
              </w:rPr>
            </w:pPr>
            <w:r>
              <w:rPr>
                <w:rFonts w:ascii="Arial" w:cs="Arial" w:eastAsia="Arial" w:hAnsi="Arial"/>
                <w:sz w:val="18"/>
                <w:szCs w:val="18"/>
                <w:color w:val="auto"/>
              </w:rPr>
              <w:t>Maintenance, materials and repairs</w:t>
            </w: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922</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884</w:t>
            </w:r>
          </w:p>
        </w:tc>
      </w:tr>
      <w:tr>
        <w:trPr>
          <w:trHeight w:val="229"/>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rent and landing fees</w:t>
            </w: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r>
      <w:tr>
        <w:trPr>
          <w:trHeight w:val="229"/>
        </w:trPr>
        <w:tc>
          <w:tcPr>
            <w:tcW w:w="7560" w:type="dxa"/>
            <w:vAlign w:val="bottom"/>
          </w:tcPr>
          <w:p>
            <w:pPr>
              <w:ind w:left="360"/>
              <w:spacing w:after="0"/>
              <w:rPr>
                <w:sz w:val="20"/>
                <w:szCs w:val="20"/>
                <w:color w:val="auto"/>
              </w:rPr>
            </w:pPr>
            <w:r>
              <w:rPr>
                <w:rFonts w:ascii="Arial" w:cs="Arial" w:eastAsia="Arial" w:hAnsi="Arial"/>
                <w:sz w:val="18"/>
                <w:szCs w:val="18"/>
                <w:color w:val="auto"/>
              </w:rPr>
              <w:t>Aircraft rent</w:t>
            </w: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328</w:t>
            </w: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expenses</w:t>
            </w: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r>
      <w:tr>
        <w:trPr>
          <w:trHeight w:val="229"/>
        </w:trPr>
        <w:tc>
          <w:tcPr>
            <w:tcW w:w="756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470</w:t>
            </w: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Special items, net</w:t>
            </w: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29"/>
        </w:trPr>
        <w:tc>
          <w:tcPr>
            <w:tcW w:w="7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1,628</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w:t>
            </w:r>
          </w:p>
        </w:tc>
      </w:tr>
      <w:tr>
        <w:trPr>
          <w:trHeight w:val="223"/>
        </w:trPr>
        <w:tc>
          <w:tcPr>
            <w:tcW w:w="7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expenses</w:t>
            </w:r>
          </w:p>
        </w:tc>
        <w:tc>
          <w:tcPr>
            <w:tcW w:w="10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12,821</w:t>
            </w: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12,563</w:t>
            </w: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income (expense):</w:t>
            </w: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756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29"/>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r>
      <w:tr>
        <w:trPr>
          <w:trHeight w:val="230"/>
        </w:trPr>
        <w:tc>
          <w:tcPr>
            <w:tcW w:w="7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expense, net</w:t>
            </w:r>
          </w:p>
        </w:tc>
        <w:tc>
          <w:tcPr>
            <w:tcW w:w="10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23"/>
        </w:trPr>
        <w:tc>
          <w:tcPr>
            <w:tcW w:w="7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nonoperating expense, net</w:t>
            </w:r>
          </w:p>
        </w:tc>
        <w:tc>
          <w:tcPr>
            <w:tcW w:w="10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(648)</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(413)</w:t>
            </w: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benefit</w:t>
            </w:r>
          </w:p>
        </w:tc>
        <w:tc>
          <w:tcPr>
            <w:tcW w:w="10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1060" w:type="dxa"/>
            <w:vAlign w:val="bottom"/>
            <w:tcBorders>
              <w:bottom w:val="single" w:sz="8" w:color="auto"/>
            </w:tcBorders>
          </w:tcPr>
          <w:p>
            <w:pPr>
              <w:jc w:val="right"/>
              <w:ind w:right="857"/>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19"/>
                <w:szCs w:val="19"/>
                <w:color w:val="auto"/>
              </w:rPr>
            </w:pPr>
          </w:p>
        </w:tc>
        <w:tc>
          <w:tcPr>
            <w:tcW w:w="1060" w:type="dxa"/>
            <w:vAlign w:val="bottom"/>
            <w:tcBorders>
              <w:bottom w:val="single" w:sz="8" w:color="auto"/>
            </w:tcBorders>
          </w:tcPr>
          <w:p>
            <w:pPr>
              <w:jc w:val="right"/>
              <w:ind w:right="855"/>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37"/>
        </w:trPr>
        <w:tc>
          <w:tcPr>
            <w:tcW w:w="75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Loss per common share:</w:t>
            </w: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and Diluted</w:t>
            </w:r>
          </w:p>
        </w:tc>
        <w:tc>
          <w:tcPr>
            <w:tcW w:w="1060" w:type="dxa"/>
            <w:vAlign w:val="bottom"/>
            <w:shd w:val="clear" w:color="auto" w:fill="CCEEFF"/>
          </w:tcPr>
          <w:p>
            <w:pPr>
              <w:jc w:val="right"/>
              <w:ind w:right="857"/>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55"/>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Weighted average shares outstanding (in thousands):</w:t>
            </w: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and Diluted</w:t>
            </w: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658,880</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655,847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-4611370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03" w:lineRule="exact"/>
        <w:rPr>
          <w:sz w:val="20"/>
          <w:szCs w:val="20"/>
          <w:color w:val="auto"/>
        </w:rPr>
      </w:pPr>
    </w:p>
    <w:p>
      <w:pPr>
        <w:ind w:left="8340"/>
        <w:spacing w:after="0"/>
        <w:rPr>
          <w:sz w:val="20"/>
          <w:szCs w:val="20"/>
          <w:color w:val="auto"/>
        </w:rPr>
      </w:pPr>
      <w:r>
        <w:rPr>
          <w:rFonts w:ascii="Arial" w:cs="Arial" w:eastAsia="Arial" w:hAnsi="Arial"/>
          <w:sz w:val="14"/>
          <w:szCs w:val="14"/>
          <w:b w:val="1"/>
          <w:bCs w:val="1"/>
          <w:color w:val="auto"/>
        </w:rPr>
        <w:t>Three Months Ended March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60" w:type="dxa"/>
            <w:vAlign w:val="bottom"/>
            <w:tcBorders>
              <w:bottom w:val="single" w:sz="8" w:color="CCEEFF"/>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2025</w:t>
            </w:r>
          </w:p>
        </w:tc>
        <w:tc>
          <w:tcPr>
            <w:tcW w:w="5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2024</w:t>
            </w:r>
          </w:p>
        </w:tc>
      </w:tr>
      <w:tr>
        <w:trPr>
          <w:trHeight w:val="224"/>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1200" w:type="dxa"/>
            <w:vAlign w:val="bottom"/>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1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Pension, retiree medical and other postretirement benefits</w:t>
            </w:r>
          </w:p>
        </w:tc>
        <w:tc>
          <w:tcPr>
            <w:tcW w:w="1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7560" w:type="dxa"/>
            <w:vAlign w:val="bottom"/>
          </w:tcPr>
          <w:p>
            <w:pPr>
              <w:ind w:left="360"/>
              <w:spacing w:after="0"/>
              <w:rPr>
                <w:sz w:val="20"/>
                <w:szCs w:val="20"/>
                <w:color w:val="auto"/>
              </w:rPr>
            </w:pPr>
            <w:r>
              <w:rPr>
                <w:rFonts w:ascii="Arial" w:cs="Arial" w:eastAsia="Arial" w:hAnsi="Arial"/>
                <w:sz w:val="18"/>
                <w:szCs w:val="18"/>
                <w:color w:val="auto"/>
              </w:rPr>
              <w:t>Investments</w:t>
            </w:r>
          </w:p>
        </w:tc>
        <w:tc>
          <w:tcPr>
            <w:tcW w:w="120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756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Total other comprehensive income, net of tax</w:t>
            </w:r>
          </w:p>
        </w:tc>
        <w:tc>
          <w:tcPr>
            <w:tcW w:w="120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loss</w:t>
            </w:r>
          </w:p>
        </w:tc>
        <w:tc>
          <w:tcPr>
            <w:tcW w:w="1200" w:type="dxa"/>
            <w:vAlign w:val="bottom"/>
            <w:tcBorders>
              <w:bottom w:val="single" w:sz="8" w:color="auto"/>
            </w:tcBorders>
          </w:tcPr>
          <w:p>
            <w:pPr>
              <w:jc w:val="right"/>
              <w:ind w:right="9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r>
      <w:tr>
        <w:trPr>
          <w:trHeight w:val="20"/>
        </w:trPr>
        <w:tc>
          <w:tcPr>
            <w:tcW w:w="75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(In millions, except share and par value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rPr>
              <w:t>March 31, 2025</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December 31, 2024</w:t>
            </w:r>
          </w:p>
        </w:tc>
      </w:tr>
      <w:tr>
        <w:trPr>
          <w:trHeight w:val="196"/>
        </w:trPr>
        <w:tc>
          <w:tcPr>
            <w:tcW w:w="7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4"/>
        </w:trPr>
        <w:tc>
          <w:tcPr>
            <w:tcW w:w="75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03"/>
        </w:trPr>
        <w:tc>
          <w:tcPr>
            <w:tcW w:w="7580" w:type="dxa"/>
            <w:vAlign w:val="bottom"/>
          </w:tcPr>
          <w:p>
            <w:pPr>
              <w:ind w:left="20"/>
              <w:spacing w:after="0"/>
              <w:rPr>
                <w:sz w:val="20"/>
                <w:szCs w:val="20"/>
                <w:color w:val="auto"/>
              </w:rPr>
            </w:pPr>
            <w:r>
              <w:rPr>
                <w:rFonts w:ascii="Arial" w:cs="Arial" w:eastAsia="Arial" w:hAnsi="Arial"/>
                <w:sz w:val="15"/>
                <w:szCs w:val="15"/>
                <w:b w:val="1"/>
                <w:bCs w:val="1"/>
                <w:color w:val="auto"/>
              </w:rPr>
              <w:t>Current assets</w:t>
            </w: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Cash</w:t>
            </w: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5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835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804</w:t>
            </w:r>
          </w:p>
        </w:tc>
      </w:tr>
      <w:tr>
        <w:trPr>
          <w:trHeight w:val="201"/>
        </w:trPr>
        <w:tc>
          <w:tcPr>
            <w:tcW w:w="7580" w:type="dxa"/>
            <w:vAlign w:val="bottom"/>
          </w:tcPr>
          <w:p>
            <w:pPr>
              <w:ind w:left="360"/>
              <w:spacing w:after="0"/>
              <w:rPr>
                <w:sz w:val="20"/>
                <w:szCs w:val="20"/>
                <w:color w:val="auto"/>
              </w:rPr>
            </w:pPr>
            <w:r>
              <w:rPr>
                <w:rFonts w:ascii="Arial" w:cs="Arial" w:eastAsia="Arial" w:hAnsi="Arial"/>
                <w:sz w:val="15"/>
                <w:szCs w:val="15"/>
                <w:color w:val="auto"/>
              </w:rPr>
              <w:t>Short-term investments</w:t>
            </w:r>
          </w:p>
        </w:tc>
        <w:tc>
          <w:tcPr>
            <w:tcW w:w="240" w:type="dxa"/>
            <w:vAlign w:val="bottom"/>
          </w:tcPr>
          <w:p>
            <w:pPr>
              <w:spacing w:after="0"/>
              <w:rPr>
                <w:sz w:val="17"/>
                <w:szCs w:val="17"/>
                <w:color w:val="auto"/>
              </w:rPr>
            </w:pPr>
          </w:p>
        </w:tc>
        <w:tc>
          <w:tcPr>
            <w:tcW w:w="1520" w:type="dxa"/>
            <w:vAlign w:val="bottom"/>
          </w:tcPr>
          <w:p>
            <w:pPr>
              <w:jc w:val="right"/>
              <w:ind w:right="4"/>
              <w:spacing w:after="0"/>
              <w:rPr>
                <w:sz w:val="20"/>
                <w:szCs w:val="20"/>
                <w:color w:val="auto"/>
              </w:rPr>
            </w:pPr>
            <w:r>
              <w:rPr>
                <w:rFonts w:ascii="Arial" w:cs="Arial" w:eastAsia="Arial" w:hAnsi="Arial"/>
                <w:sz w:val="15"/>
                <w:szCs w:val="15"/>
                <w:color w:val="auto"/>
              </w:rPr>
              <w:t>6,631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6,180</w:t>
            </w:r>
          </w:p>
        </w:tc>
      </w:tr>
      <w:tr>
        <w:trPr>
          <w:trHeight w:val="204"/>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Restricted cash and short-term investments</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647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732</w:t>
            </w:r>
          </w:p>
        </w:tc>
      </w:tr>
      <w:tr>
        <w:trPr>
          <w:trHeight w:val="201"/>
        </w:trPr>
        <w:tc>
          <w:tcPr>
            <w:tcW w:w="7580" w:type="dxa"/>
            <w:vAlign w:val="bottom"/>
          </w:tcPr>
          <w:p>
            <w:pPr>
              <w:ind w:left="360"/>
              <w:spacing w:after="0"/>
              <w:rPr>
                <w:sz w:val="20"/>
                <w:szCs w:val="20"/>
                <w:color w:val="auto"/>
              </w:rPr>
            </w:pPr>
            <w:r>
              <w:rPr>
                <w:rFonts w:ascii="Arial" w:cs="Arial" w:eastAsia="Arial" w:hAnsi="Arial"/>
                <w:sz w:val="15"/>
                <w:szCs w:val="15"/>
                <w:color w:val="auto"/>
              </w:rPr>
              <w:t>Accounts receivable, net</w:t>
            </w:r>
          </w:p>
        </w:tc>
        <w:tc>
          <w:tcPr>
            <w:tcW w:w="240" w:type="dxa"/>
            <w:vAlign w:val="bottom"/>
          </w:tcPr>
          <w:p>
            <w:pPr>
              <w:spacing w:after="0"/>
              <w:rPr>
                <w:sz w:val="17"/>
                <w:szCs w:val="17"/>
                <w:color w:val="auto"/>
              </w:rPr>
            </w:pPr>
          </w:p>
        </w:tc>
        <w:tc>
          <w:tcPr>
            <w:tcW w:w="1520" w:type="dxa"/>
            <w:vAlign w:val="bottom"/>
          </w:tcPr>
          <w:p>
            <w:pPr>
              <w:jc w:val="right"/>
              <w:ind w:right="4"/>
              <w:spacing w:after="0"/>
              <w:rPr>
                <w:sz w:val="20"/>
                <w:szCs w:val="20"/>
                <w:color w:val="auto"/>
              </w:rPr>
            </w:pPr>
            <w:r>
              <w:rPr>
                <w:rFonts w:ascii="Arial" w:cs="Arial" w:eastAsia="Arial" w:hAnsi="Arial"/>
                <w:sz w:val="15"/>
                <w:szCs w:val="15"/>
                <w:color w:val="auto"/>
              </w:rPr>
              <w:t>1,928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2,006</w:t>
            </w:r>
          </w:p>
        </w:tc>
      </w:tr>
      <w:tr>
        <w:trPr>
          <w:trHeight w:val="204"/>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Aircraft fuel, spare parts and supplies, net</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2,653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2,638</w:t>
            </w:r>
          </w:p>
        </w:tc>
      </w:tr>
      <w:tr>
        <w:trPr>
          <w:trHeight w:val="201"/>
        </w:trPr>
        <w:tc>
          <w:tcPr>
            <w:tcW w:w="758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Prepaid expenses and other</w:t>
            </w: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909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794</w:t>
            </w:r>
          </w:p>
        </w:tc>
      </w:tr>
      <w:tr>
        <w:trPr>
          <w:trHeight w:val="197"/>
        </w:trPr>
        <w:tc>
          <w:tcPr>
            <w:tcW w:w="7580" w:type="dxa"/>
            <w:vAlign w:val="bottom"/>
            <w:shd w:val="clear" w:color="auto" w:fill="CCEEFF"/>
          </w:tcPr>
          <w:p>
            <w:pPr>
              <w:ind w:left="680"/>
              <w:spacing w:after="0"/>
              <w:rPr>
                <w:sz w:val="20"/>
                <w:szCs w:val="20"/>
                <w:color w:val="auto"/>
              </w:rPr>
            </w:pPr>
            <w:r>
              <w:rPr>
                <w:rFonts w:ascii="Arial" w:cs="Arial" w:eastAsia="Arial" w:hAnsi="Arial"/>
                <w:sz w:val="15"/>
                <w:szCs w:val="15"/>
                <w:color w:val="auto"/>
              </w:rPr>
              <w:t>Total current assets</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13,603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13,154</w:t>
            </w:r>
          </w:p>
        </w:tc>
      </w:tr>
      <w:tr>
        <w:trPr>
          <w:trHeight w:val="203"/>
        </w:trPr>
        <w:tc>
          <w:tcPr>
            <w:tcW w:w="7580" w:type="dxa"/>
            <w:vAlign w:val="bottom"/>
          </w:tcPr>
          <w:p>
            <w:pPr>
              <w:ind w:left="20"/>
              <w:spacing w:after="0"/>
              <w:rPr>
                <w:sz w:val="20"/>
                <w:szCs w:val="20"/>
                <w:color w:val="auto"/>
              </w:rPr>
            </w:pPr>
            <w:r>
              <w:rPr>
                <w:rFonts w:ascii="Arial" w:cs="Arial" w:eastAsia="Arial" w:hAnsi="Arial"/>
                <w:sz w:val="15"/>
                <w:szCs w:val="15"/>
                <w:b w:val="1"/>
                <w:bCs w:val="1"/>
                <w:color w:val="auto"/>
              </w:rPr>
              <w:t>Operating property and equipment</w:t>
            </w: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Flight equipment</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43,738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43,521</w:t>
            </w:r>
          </w:p>
        </w:tc>
      </w:tr>
      <w:tr>
        <w:trPr>
          <w:trHeight w:val="201"/>
        </w:trPr>
        <w:tc>
          <w:tcPr>
            <w:tcW w:w="7580" w:type="dxa"/>
            <w:vAlign w:val="bottom"/>
          </w:tcPr>
          <w:p>
            <w:pPr>
              <w:ind w:left="360"/>
              <w:spacing w:after="0"/>
              <w:rPr>
                <w:sz w:val="20"/>
                <w:szCs w:val="20"/>
                <w:color w:val="auto"/>
              </w:rPr>
            </w:pPr>
            <w:r>
              <w:rPr>
                <w:rFonts w:ascii="Arial" w:cs="Arial" w:eastAsia="Arial" w:hAnsi="Arial"/>
                <w:sz w:val="15"/>
                <w:szCs w:val="15"/>
                <w:color w:val="auto"/>
              </w:rPr>
              <w:t>Ground property and equipment</w:t>
            </w:r>
          </w:p>
        </w:tc>
        <w:tc>
          <w:tcPr>
            <w:tcW w:w="240" w:type="dxa"/>
            <w:vAlign w:val="bottom"/>
          </w:tcPr>
          <w:p>
            <w:pPr>
              <w:spacing w:after="0"/>
              <w:rPr>
                <w:sz w:val="17"/>
                <w:szCs w:val="17"/>
                <w:color w:val="auto"/>
              </w:rPr>
            </w:pPr>
          </w:p>
        </w:tc>
        <w:tc>
          <w:tcPr>
            <w:tcW w:w="1520" w:type="dxa"/>
            <w:vAlign w:val="bottom"/>
          </w:tcPr>
          <w:p>
            <w:pPr>
              <w:jc w:val="right"/>
              <w:ind w:right="4"/>
              <w:spacing w:after="0"/>
              <w:rPr>
                <w:sz w:val="20"/>
                <w:szCs w:val="20"/>
                <w:color w:val="auto"/>
              </w:rPr>
            </w:pPr>
            <w:r>
              <w:rPr>
                <w:rFonts w:ascii="Arial" w:cs="Arial" w:eastAsia="Arial" w:hAnsi="Arial"/>
                <w:sz w:val="15"/>
                <w:szCs w:val="15"/>
                <w:color w:val="auto"/>
              </w:rPr>
              <w:t>10,306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10,202</w:t>
            </w:r>
          </w:p>
        </w:tc>
      </w:tr>
      <w:tr>
        <w:trPr>
          <w:trHeight w:val="204"/>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Equipment purchase deposits</w:t>
            </w:r>
          </w:p>
        </w:tc>
        <w:tc>
          <w:tcPr>
            <w:tcW w:w="24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1,063</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1,012</w:t>
            </w:r>
          </w:p>
        </w:tc>
      </w:tr>
      <w:tr>
        <w:trPr>
          <w:trHeight w:val="195"/>
        </w:trPr>
        <w:tc>
          <w:tcPr>
            <w:tcW w:w="7580" w:type="dxa"/>
            <w:vAlign w:val="bottom"/>
          </w:tcPr>
          <w:p>
            <w:pPr>
              <w:ind w:left="680"/>
              <w:spacing w:after="0"/>
              <w:rPr>
                <w:sz w:val="20"/>
                <w:szCs w:val="20"/>
                <w:color w:val="auto"/>
              </w:rPr>
            </w:pPr>
            <w:r>
              <w:rPr>
                <w:rFonts w:ascii="Arial" w:cs="Arial" w:eastAsia="Arial" w:hAnsi="Arial"/>
                <w:sz w:val="15"/>
                <w:szCs w:val="15"/>
                <w:color w:val="auto"/>
              </w:rPr>
              <w:t>Total property and equipment, at cost</w:t>
            </w:r>
          </w:p>
        </w:tc>
        <w:tc>
          <w:tcPr>
            <w:tcW w:w="240" w:type="dxa"/>
            <w:vAlign w:val="bottom"/>
          </w:tcPr>
          <w:p>
            <w:pPr>
              <w:spacing w:after="0"/>
              <w:rPr>
                <w:sz w:val="16"/>
                <w:szCs w:val="16"/>
                <w:color w:val="auto"/>
              </w:rPr>
            </w:pPr>
          </w:p>
        </w:tc>
        <w:tc>
          <w:tcPr>
            <w:tcW w:w="1520" w:type="dxa"/>
            <w:vAlign w:val="bottom"/>
          </w:tcPr>
          <w:p>
            <w:pPr>
              <w:jc w:val="right"/>
              <w:ind w:right="4"/>
              <w:spacing w:after="0"/>
              <w:rPr>
                <w:sz w:val="20"/>
                <w:szCs w:val="20"/>
                <w:color w:val="auto"/>
              </w:rPr>
            </w:pPr>
            <w:r>
              <w:rPr>
                <w:rFonts w:ascii="Arial" w:cs="Arial" w:eastAsia="Arial" w:hAnsi="Arial"/>
                <w:sz w:val="15"/>
                <w:szCs w:val="15"/>
                <w:color w:val="auto"/>
              </w:rPr>
              <w:t>55,107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54,735</w:t>
            </w:r>
          </w:p>
        </w:tc>
      </w:tr>
      <w:tr>
        <w:trPr>
          <w:trHeight w:val="204"/>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Less accumulated depreciation and amortization</w:t>
            </w:r>
          </w:p>
        </w:tc>
        <w:tc>
          <w:tcPr>
            <w:tcW w:w="24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(23,792)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(23,608)</w:t>
            </w:r>
          </w:p>
        </w:tc>
      </w:tr>
      <w:tr>
        <w:trPr>
          <w:trHeight w:val="195"/>
        </w:trPr>
        <w:tc>
          <w:tcPr>
            <w:tcW w:w="7580" w:type="dxa"/>
            <w:vAlign w:val="bottom"/>
          </w:tcPr>
          <w:p>
            <w:pPr>
              <w:ind w:left="680"/>
              <w:spacing w:after="0"/>
              <w:rPr>
                <w:sz w:val="20"/>
                <w:szCs w:val="20"/>
                <w:color w:val="auto"/>
              </w:rPr>
            </w:pPr>
            <w:r>
              <w:rPr>
                <w:rFonts w:ascii="Arial" w:cs="Arial" w:eastAsia="Arial" w:hAnsi="Arial"/>
                <w:sz w:val="15"/>
                <w:szCs w:val="15"/>
                <w:color w:val="auto"/>
              </w:rPr>
              <w:t>Total property and equipment, net</w:t>
            </w:r>
          </w:p>
        </w:tc>
        <w:tc>
          <w:tcPr>
            <w:tcW w:w="240" w:type="dxa"/>
            <w:vAlign w:val="bottom"/>
          </w:tcPr>
          <w:p>
            <w:pPr>
              <w:spacing w:after="0"/>
              <w:rPr>
                <w:sz w:val="16"/>
                <w:szCs w:val="16"/>
                <w:color w:val="auto"/>
              </w:rPr>
            </w:pPr>
          </w:p>
        </w:tc>
        <w:tc>
          <w:tcPr>
            <w:tcW w:w="1520" w:type="dxa"/>
            <w:vAlign w:val="bottom"/>
          </w:tcPr>
          <w:p>
            <w:pPr>
              <w:jc w:val="right"/>
              <w:ind w:right="4"/>
              <w:spacing w:after="0"/>
              <w:rPr>
                <w:sz w:val="20"/>
                <w:szCs w:val="20"/>
                <w:color w:val="auto"/>
              </w:rPr>
            </w:pPr>
            <w:r>
              <w:rPr>
                <w:rFonts w:ascii="Arial" w:cs="Arial" w:eastAsia="Arial" w:hAnsi="Arial"/>
                <w:sz w:val="15"/>
                <w:szCs w:val="15"/>
                <w:color w:val="auto"/>
              </w:rPr>
              <w:t>31,315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31,127</w:t>
            </w:r>
          </w:p>
        </w:tc>
      </w:tr>
      <w:tr>
        <w:trPr>
          <w:trHeight w:val="204"/>
        </w:trPr>
        <w:tc>
          <w:tcPr>
            <w:tcW w:w="75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Operating lease right-of-use assets</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7,442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7,333</w:t>
            </w:r>
          </w:p>
        </w:tc>
      </w:tr>
      <w:tr>
        <w:trPr>
          <w:trHeight w:val="203"/>
        </w:trPr>
        <w:tc>
          <w:tcPr>
            <w:tcW w:w="7580" w:type="dxa"/>
            <w:vAlign w:val="bottom"/>
          </w:tcPr>
          <w:p>
            <w:pPr>
              <w:ind w:left="20"/>
              <w:spacing w:after="0"/>
              <w:rPr>
                <w:sz w:val="20"/>
                <w:szCs w:val="20"/>
                <w:color w:val="auto"/>
              </w:rPr>
            </w:pPr>
            <w:r>
              <w:rPr>
                <w:rFonts w:ascii="Arial" w:cs="Arial" w:eastAsia="Arial" w:hAnsi="Arial"/>
                <w:sz w:val="15"/>
                <w:szCs w:val="15"/>
                <w:b w:val="1"/>
                <w:bCs w:val="1"/>
                <w:color w:val="auto"/>
              </w:rPr>
              <w:t>Other assets</w:t>
            </w: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Goodwill</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4,091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4,091</w:t>
            </w:r>
          </w:p>
        </w:tc>
      </w:tr>
      <w:tr>
        <w:trPr>
          <w:trHeight w:val="201"/>
        </w:trPr>
        <w:tc>
          <w:tcPr>
            <w:tcW w:w="7580" w:type="dxa"/>
            <w:vAlign w:val="bottom"/>
          </w:tcPr>
          <w:p>
            <w:pPr>
              <w:ind w:left="360"/>
              <w:spacing w:after="0"/>
              <w:rPr>
                <w:sz w:val="20"/>
                <w:szCs w:val="20"/>
                <w:color w:val="auto"/>
              </w:rPr>
            </w:pPr>
            <w:r>
              <w:rPr>
                <w:rFonts w:ascii="Arial" w:cs="Arial" w:eastAsia="Arial" w:hAnsi="Arial"/>
                <w:sz w:val="15"/>
                <w:szCs w:val="15"/>
                <w:color w:val="auto"/>
              </w:rPr>
              <w:t>Intangibles, net of accumulated amortization of $843 and $841, respectively</w:t>
            </w:r>
          </w:p>
        </w:tc>
        <w:tc>
          <w:tcPr>
            <w:tcW w:w="240" w:type="dxa"/>
            <w:vAlign w:val="bottom"/>
          </w:tcPr>
          <w:p>
            <w:pPr>
              <w:spacing w:after="0"/>
              <w:rPr>
                <w:sz w:val="17"/>
                <w:szCs w:val="17"/>
                <w:color w:val="auto"/>
              </w:rPr>
            </w:pPr>
          </w:p>
        </w:tc>
        <w:tc>
          <w:tcPr>
            <w:tcW w:w="1520" w:type="dxa"/>
            <w:vAlign w:val="bottom"/>
          </w:tcPr>
          <w:p>
            <w:pPr>
              <w:jc w:val="right"/>
              <w:ind w:right="4"/>
              <w:spacing w:after="0"/>
              <w:rPr>
                <w:sz w:val="20"/>
                <w:szCs w:val="20"/>
                <w:color w:val="auto"/>
              </w:rPr>
            </w:pPr>
            <w:r>
              <w:rPr>
                <w:rFonts w:ascii="Arial" w:cs="Arial" w:eastAsia="Arial" w:hAnsi="Arial"/>
                <w:sz w:val="15"/>
                <w:szCs w:val="15"/>
                <w:color w:val="auto"/>
              </w:rPr>
              <w:t>2,042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2,044</w:t>
            </w:r>
          </w:p>
        </w:tc>
      </w:tr>
      <w:tr>
        <w:trPr>
          <w:trHeight w:val="204"/>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Deferred tax asset</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2,655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2,485</w:t>
            </w:r>
          </w:p>
        </w:tc>
      </w:tr>
      <w:tr>
        <w:trPr>
          <w:trHeight w:val="201"/>
        </w:trPr>
        <w:tc>
          <w:tcPr>
            <w:tcW w:w="758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Other assets</w:t>
            </w: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1,461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1,549</w:t>
            </w:r>
          </w:p>
        </w:tc>
      </w:tr>
      <w:tr>
        <w:trPr>
          <w:trHeight w:val="197"/>
        </w:trPr>
        <w:tc>
          <w:tcPr>
            <w:tcW w:w="7580" w:type="dxa"/>
            <w:vAlign w:val="bottom"/>
            <w:shd w:val="clear" w:color="auto" w:fill="CCEEFF"/>
          </w:tcPr>
          <w:p>
            <w:pPr>
              <w:ind w:left="680"/>
              <w:spacing w:after="0"/>
              <w:rPr>
                <w:sz w:val="20"/>
                <w:szCs w:val="20"/>
                <w:color w:val="auto"/>
              </w:rPr>
            </w:pPr>
            <w:r>
              <w:rPr>
                <w:rFonts w:ascii="Arial" w:cs="Arial" w:eastAsia="Arial" w:hAnsi="Arial"/>
                <w:sz w:val="15"/>
                <w:szCs w:val="15"/>
                <w:color w:val="auto"/>
              </w:rPr>
              <w:t>Total other assets</w:t>
            </w:r>
          </w:p>
        </w:tc>
        <w:tc>
          <w:tcPr>
            <w:tcW w:w="24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10,249</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10,169</w:t>
            </w:r>
          </w:p>
        </w:tc>
      </w:tr>
      <w:tr>
        <w:trPr>
          <w:trHeight w:val="196"/>
        </w:trPr>
        <w:tc>
          <w:tcPr>
            <w:tcW w:w="7580" w:type="dxa"/>
            <w:vAlign w:val="bottom"/>
          </w:tcPr>
          <w:p>
            <w:pPr>
              <w:ind w:left="1000"/>
              <w:spacing w:after="0"/>
              <w:rPr>
                <w:sz w:val="20"/>
                <w:szCs w:val="20"/>
                <w:color w:val="auto"/>
              </w:rPr>
            </w:pPr>
            <w:r>
              <w:rPr>
                <w:rFonts w:ascii="Arial" w:cs="Arial" w:eastAsia="Arial" w:hAnsi="Arial"/>
                <w:sz w:val="15"/>
                <w:szCs w:val="15"/>
                <w:b w:val="1"/>
                <w:bCs w:val="1"/>
                <w:color w:val="auto"/>
              </w:rPr>
              <w:t>Total assets</w:t>
            </w: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15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62,609</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61,783</w:t>
            </w: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70"/>
        </w:trPr>
        <w:tc>
          <w:tcPr>
            <w:tcW w:w="7580" w:type="dxa"/>
            <w:vAlign w:val="bottom"/>
            <w:shd w:val="clear" w:color="auto" w:fill="CCEEFF"/>
          </w:tcPr>
          <w:p>
            <w:pPr>
              <w:ind w:left="20"/>
              <w:spacing w:after="0" w:line="169" w:lineRule="exact"/>
              <w:rPr>
                <w:sz w:val="20"/>
                <w:szCs w:val="20"/>
                <w:color w:val="auto"/>
              </w:rPr>
            </w:pPr>
            <w:r>
              <w:rPr>
                <w:rFonts w:ascii="Arial" w:cs="Arial" w:eastAsia="Arial" w:hAnsi="Arial"/>
                <w:sz w:val="15"/>
                <w:szCs w:val="15"/>
                <w:b w:val="1"/>
                <w:bCs w:val="1"/>
                <w:color w:val="auto"/>
              </w:rPr>
              <w:t>LIABILITIES AND STOCKHOLDERS’ EQUITY (DEFICIT)</w:t>
            </w: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r>
      <w:tr>
        <w:trPr>
          <w:trHeight w:val="203"/>
        </w:trPr>
        <w:tc>
          <w:tcPr>
            <w:tcW w:w="7580" w:type="dxa"/>
            <w:vAlign w:val="bottom"/>
          </w:tcPr>
          <w:p>
            <w:pPr>
              <w:ind w:left="20"/>
              <w:spacing w:after="0"/>
              <w:rPr>
                <w:sz w:val="20"/>
                <w:szCs w:val="20"/>
                <w:color w:val="auto"/>
              </w:rPr>
            </w:pPr>
            <w:r>
              <w:rPr>
                <w:rFonts w:ascii="Arial" w:cs="Arial" w:eastAsia="Arial" w:hAnsi="Arial"/>
                <w:sz w:val="15"/>
                <w:szCs w:val="15"/>
                <w:b w:val="1"/>
                <w:bCs w:val="1"/>
                <w:color w:val="auto"/>
              </w:rPr>
              <w:t>Current liabilities</w:t>
            </w: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Current maturities of long-term debt and finance leases</w:t>
            </w: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5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4,729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5,322</w:t>
            </w:r>
          </w:p>
        </w:tc>
      </w:tr>
      <w:tr>
        <w:trPr>
          <w:trHeight w:val="201"/>
        </w:trPr>
        <w:tc>
          <w:tcPr>
            <w:tcW w:w="7580" w:type="dxa"/>
            <w:vAlign w:val="bottom"/>
          </w:tcPr>
          <w:p>
            <w:pPr>
              <w:ind w:left="360"/>
              <w:spacing w:after="0"/>
              <w:rPr>
                <w:sz w:val="20"/>
                <w:szCs w:val="20"/>
                <w:color w:val="auto"/>
              </w:rPr>
            </w:pPr>
            <w:r>
              <w:rPr>
                <w:rFonts w:ascii="Arial" w:cs="Arial" w:eastAsia="Arial" w:hAnsi="Arial"/>
                <w:sz w:val="15"/>
                <w:szCs w:val="15"/>
                <w:color w:val="auto"/>
              </w:rPr>
              <w:t>Accounts payable</w:t>
            </w:r>
          </w:p>
        </w:tc>
        <w:tc>
          <w:tcPr>
            <w:tcW w:w="240" w:type="dxa"/>
            <w:vAlign w:val="bottom"/>
          </w:tcPr>
          <w:p>
            <w:pPr>
              <w:spacing w:after="0"/>
              <w:rPr>
                <w:sz w:val="17"/>
                <w:szCs w:val="17"/>
                <w:color w:val="auto"/>
              </w:rPr>
            </w:pPr>
          </w:p>
        </w:tc>
        <w:tc>
          <w:tcPr>
            <w:tcW w:w="1520" w:type="dxa"/>
            <w:vAlign w:val="bottom"/>
          </w:tcPr>
          <w:p>
            <w:pPr>
              <w:jc w:val="right"/>
              <w:ind w:right="4"/>
              <w:spacing w:after="0"/>
              <w:rPr>
                <w:sz w:val="20"/>
                <w:szCs w:val="20"/>
                <w:color w:val="auto"/>
              </w:rPr>
            </w:pPr>
            <w:r>
              <w:rPr>
                <w:rFonts w:ascii="Arial" w:cs="Arial" w:eastAsia="Arial" w:hAnsi="Arial"/>
                <w:sz w:val="15"/>
                <w:szCs w:val="15"/>
                <w:color w:val="auto"/>
              </w:rPr>
              <w:t>3,114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2,455</w:t>
            </w:r>
          </w:p>
        </w:tc>
      </w:tr>
      <w:tr>
        <w:trPr>
          <w:trHeight w:val="204"/>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Accrued salaries and wages</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1,827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2,150</w:t>
            </w:r>
          </w:p>
        </w:tc>
      </w:tr>
      <w:tr>
        <w:trPr>
          <w:trHeight w:val="201"/>
        </w:trPr>
        <w:tc>
          <w:tcPr>
            <w:tcW w:w="7580" w:type="dxa"/>
            <w:vAlign w:val="bottom"/>
          </w:tcPr>
          <w:p>
            <w:pPr>
              <w:ind w:left="360"/>
              <w:spacing w:after="0"/>
              <w:rPr>
                <w:sz w:val="20"/>
                <w:szCs w:val="20"/>
                <w:color w:val="auto"/>
              </w:rPr>
            </w:pPr>
            <w:r>
              <w:rPr>
                <w:rFonts w:ascii="Arial" w:cs="Arial" w:eastAsia="Arial" w:hAnsi="Arial"/>
                <w:sz w:val="15"/>
                <w:szCs w:val="15"/>
                <w:color w:val="auto"/>
              </w:rPr>
              <w:t>Air traffic liability</w:t>
            </w:r>
          </w:p>
        </w:tc>
        <w:tc>
          <w:tcPr>
            <w:tcW w:w="240" w:type="dxa"/>
            <w:vAlign w:val="bottom"/>
          </w:tcPr>
          <w:p>
            <w:pPr>
              <w:spacing w:after="0"/>
              <w:rPr>
                <w:sz w:val="17"/>
                <w:szCs w:val="17"/>
                <w:color w:val="auto"/>
              </w:rPr>
            </w:pPr>
          </w:p>
        </w:tc>
        <w:tc>
          <w:tcPr>
            <w:tcW w:w="1520" w:type="dxa"/>
            <w:vAlign w:val="bottom"/>
          </w:tcPr>
          <w:p>
            <w:pPr>
              <w:jc w:val="right"/>
              <w:ind w:right="4"/>
              <w:spacing w:after="0"/>
              <w:rPr>
                <w:sz w:val="20"/>
                <w:szCs w:val="20"/>
                <w:color w:val="auto"/>
              </w:rPr>
            </w:pPr>
            <w:r>
              <w:rPr>
                <w:rFonts w:ascii="Arial" w:cs="Arial" w:eastAsia="Arial" w:hAnsi="Arial"/>
                <w:sz w:val="15"/>
                <w:szCs w:val="15"/>
                <w:color w:val="auto"/>
              </w:rPr>
              <w:t>8,932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6,759</w:t>
            </w:r>
          </w:p>
        </w:tc>
      </w:tr>
      <w:tr>
        <w:trPr>
          <w:trHeight w:val="204"/>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Loyalty program liability</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3,663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3,556</w:t>
            </w:r>
          </w:p>
        </w:tc>
      </w:tr>
      <w:tr>
        <w:trPr>
          <w:trHeight w:val="201"/>
        </w:trPr>
        <w:tc>
          <w:tcPr>
            <w:tcW w:w="7580" w:type="dxa"/>
            <w:vAlign w:val="bottom"/>
          </w:tcPr>
          <w:p>
            <w:pPr>
              <w:ind w:left="360"/>
              <w:spacing w:after="0"/>
              <w:rPr>
                <w:sz w:val="20"/>
                <w:szCs w:val="20"/>
                <w:color w:val="auto"/>
              </w:rPr>
            </w:pPr>
            <w:r>
              <w:rPr>
                <w:rFonts w:ascii="Arial" w:cs="Arial" w:eastAsia="Arial" w:hAnsi="Arial"/>
                <w:sz w:val="15"/>
                <w:szCs w:val="15"/>
                <w:color w:val="auto"/>
              </w:rPr>
              <w:t>Operating lease liabilities</w:t>
            </w:r>
          </w:p>
        </w:tc>
        <w:tc>
          <w:tcPr>
            <w:tcW w:w="240" w:type="dxa"/>
            <w:vAlign w:val="bottom"/>
          </w:tcPr>
          <w:p>
            <w:pPr>
              <w:spacing w:after="0"/>
              <w:rPr>
                <w:sz w:val="17"/>
                <w:szCs w:val="17"/>
                <w:color w:val="auto"/>
              </w:rPr>
            </w:pPr>
          </w:p>
        </w:tc>
        <w:tc>
          <w:tcPr>
            <w:tcW w:w="1520" w:type="dxa"/>
            <w:vAlign w:val="bottom"/>
          </w:tcPr>
          <w:p>
            <w:pPr>
              <w:jc w:val="right"/>
              <w:ind w:right="4"/>
              <w:spacing w:after="0"/>
              <w:rPr>
                <w:sz w:val="20"/>
                <w:szCs w:val="20"/>
                <w:color w:val="auto"/>
              </w:rPr>
            </w:pPr>
            <w:r>
              <w:rPr>
                <w:rFonts w:ascii="Arial" w:cs="Arial" w:eastAsia="Arial" w:hAnsi="Arial"/>
                <w:sz w:val="15"/>
                <w:szCs w:val="15"/>
                <w:color w:val="auto"/>
              </w:rPr>
              <w:t>1,096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1,092</w:t>
            </w:r>
          </w:p>
        </w:tc>
      </w:tr>
      <w:tr>
        <w:trPr>
          <w:trHeight w:val="204"/>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Other accrued liabilities</w:t>
            </w:r>
          </w:p>
        </w:tc>
        <w:tc>
          <w:tcPr>
            <w:tcW w:w="24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2,751</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2,961</w:t>
            </w:r>
          </w:p>
        </w:tc>
      </w:tr>
      <w:tr>
        <w:trPr>
          <w:trHeight w:val="195"/>
        </w:trPr>
        <w:tc>
          <w:tcPr>
            <w:tcW w:w="7580" w:type="dxa"/>
            <w:vAlign w:val="bottom"/>
          </w:tcPr>
          <w:p>
            <w:pPr>
              <w:ind w:left="680"/>
              <w:spacing w:after="0"/>
              <w:rPr>
                <w:sz w:val="20"/>
                <w:szCs w:val="20"/>
                <w:color w:val="auto"/>
              </w:rPr>
            </w:pPr>
            <w:r>
              <w:rPr>
                <w:rFonts w:ascii="Arial" w:cs="Arial" w:eastAsia="Arial" w:hAnsi="Arial"/>
                <w:sz w:val="15"/>
                <w:szCs w:val="15"/>
                <w:color w:val="auto"/>
              </w:rPr>
              <w:t>Total current liabilities</w:t>
            </w:r>
          </w:p>
        </w:tc>
        <w:tc>
          <w:tcPr>
            <w:tcW w:w="240" w:type="dxa"/>
            <w:vAlign w:val="bottom"/>
          </w:tcPr>
          <w:p>
            <w:pPr>
              <w:spacing w:after="0"/>
              <w:rPr>
                <w:sz w:val="16"/>
                <w:szCs w:val="16"/>
                <w:color w:val="auto"/>
              </w:rPr>
            </w:pPr>
          </w:p>
        </w:tc>
        <w:tc>
          <w:tcPr>
            <w:tcW w:w="1520" w:type="dxa"/>
            <w:vAlign w:val="bottom"/>
          </w:tcPr>
          <w:p>
            <w:pPr>
              <w:jc w:val="right"/>
              <w:ind w:right="4"/>
              <w:spacing w:after="0"/>
              <w:rPr>
                <w:sz w:val="20"/>
                <w:szCs w:val="20"/>
                <w:color w:val="auto"/>
              </w:rPr>
            </w:pPr>
            <w:r>
              <w:rPr>
                <w:rFonts w:ascii="Arial" w:cs="Arial" w:eastAsia="Arial" w:hAnsi="Arial"/>
                <w:sz w:val="15"/>
                <w:szCs w:val="15"/>
                <w:color w:val="auto"/>
              </w:rPr>
              <w:t>26,112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24,295</w:t>
            </w:r>
          </w:p>
        </w:tc>
      </w:tr>
      <w:tr>
        <w:trPr>
          <w:trHeight w:val="204"/>
        </w:trPr>
        <w:tc>
          <w:tcPr>
            <w:tcW w:w="75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Noncurrent liabilities</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01"/>
        </w:trPr>
        <w:tc>
          <w:tcPr>
            <w:tcW w:w="7580" w:type="dxa"/>
            <w:vAlign w:val="bottom"/>
          </w:tcPr>
          <w:p>
            <w:pPr>
              <w:ind w:left="360"/>
              <w:spacing w:after="0"/>
              <w:rPr>
                <w:sz w:val="20"/>
                <w:szCs w:val="20"/>
                <w:color w:val="auto"/>
              </w:rPr>
            </w:pPr>
            <w:r>
              <w:rPr>
                <w:rFonts w:ascii="Arial" w:cs="Arial" w:eastAsia="Arial" w:hAnsi="Arial"/>
                <w:sz w:val="15"/>
                <w:szCs w:val="15"/>
                <w:color w:val="auto"/>
              </w:rPr>
              <w:t>Long-term debt and finance leases, net of current maturities</w:t>
            </w:r>
          </w:p>
        </w:tc>
        <w:tc>
          <w:tcPr>
            <w:tcW w:w="240" w:type="dxa"/>
            <w:vAlign w:val="bottom"/>
          </w:tcPr>
          <w:p>
            <w:pPr>
              <w:spacing w:after="0"/>
              <w:rPr>
                <w:sz w:val="17"/>
                <w:szCs w:val="17"/>
                <w:color w:val="auto"/>
              </w:rPr>
            </w:pPr>
          </w:p>
        </w:tc>
        <w:tc>
          <w:tcPr>
            <w:tcW w:w="1520" w:type="dxa"/>
            <w:vAlign w:val="bottom"/>
          </w:tcPr>
          <w:p>
            <w:pPr>
              <w:jc w:val="right"/>
              <w:ind w:right="4"/>
              <w:spacing w:after="0"/>
              <w:rPr>
                <w:sz w:val="20"/>
                <w:szCs w:val="20"/>
                <w:color w:val="auto"/>
              </w:rPr>
            </w:pPr>
            <w:r>
              <w:rPr>
                <w:rFonts w:ascii="Arial" w:cs="Arial" w:eastAsia="Arial" w:hAnsi="Arial"/>
                <w:sz w:val="15"/>
                <w:szCs w:val="15"/>
                <w:color w:val="auto"/>
              </w:rPr>
              <w:t>24,713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25,154</w:t>
            </w:r>
          </w:p>
        </w:tc>
      </w:tr>
      <w:tr>
        <w:trPr>
          <w:trHeight w:val="204"/>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Pension and postretirement benefits</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1,869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2,128</w:t>
            </w:r>
          </w:p>
        </w:tc>
      </w:tr>
      <w:tr>
        <w:trPr>
          <w:trHeight w:val="201"/>
        </w:trPr>
        <w:tc>
          <w:tcPr>
            <w:tcW w:w="7580" w:type="dxa"/>
            <w:vAlign w:val="bottom"/>
          </w:tcPr>
          <w:p>
            <w:pPr>
              <w:ind w:left="360"/>
              <w:spacing w:after="0"/>
              <w:rPr>
                <w:sz w:val="20"/>
                <w:szCs w:val="20"/>
                <w:color w:val="auto"/>
              </w:rPr>
            </w:pPr>
            <w:r>
              <w:rPr>
                <w:rFonts w:ascii="Arial" w:cs="Arial" w:eastAsia="Arial" w:hAnsi="Arial"/>
                <w:sz w:val="15"/>
                <w:szCs w:val="15"/>
                <w:color w:val="auto"/>
              </w:rPr>
              <w:t>Loyalty program liability</w:t>
            </w:r>
          </w:p>
        </w:tc>
        <w:tc>
          <w:tcPr>
            <w:tcW w:w="240" w:type="dxa"/>
            <w:vAlign w:val="bottom"/>
          </w:tcPr>
          <w:p>
            <w:pPr>
              <w:spacing w:after="0"/>
              <w:rPr>
                <w:sz w:val="17"/>
                <w:szCs w:val="17"/>
                <w:color w:val="auto"/>
              </w:rPr>
            </w:pPr>
          </w:p>
        </w:tc>
        <w:tc>
          <w:tcPr>
            <w:tcW w:w="1520" w:type="dxa"/>
            <w:vAlign w:val="bottom"/>
          </w:tcPr>
          <w:p>
            <w:pPr>
              <w:jc w:val="right"/>
              <w:ind w:right="4"/>
              <w:spacing w:after="0"/>
              <w:rPr>
                <w:sz w:val="20"/>
                <w:szCs w:val="20"/>
                <w:color w:val="auto"/>
              </w:rPr>
            </w:pPr>
            <w:r>
              <w:rPr>
                <w:rFonts w:ascii="Arial" w:cs="Arial" w:eastAsia="Arial" w:hAnsi="Arial"/>
                <w:sz w:val="15"/>
                <w:szCs w:val="15"/>
                <w:color w:val="auto"/>
              </w:rPr>
              <w:t>6,708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6,498</w:t>
            </w:r>
          </w:p>
        </w:tc>
      </w:tr>
      <w:tr>
        <w:trPr>
          <w:trHeight w:val="204"/>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Operating lease liabilities</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6,062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5,976</w:t>
            </w:r>
          </w:p>
        </w:tc>
      </w:tr>
      <w:tr>
        <w:trPr>
          <w:trHeight w:val="201"/>
        </w:trPr>
        <w:tc>
          <w:tcPr>
            <w:tcW w:w="758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Other liabilities</w:t>
            </w: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1,653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1,709</w:t>
            </w:r>
          </w:p>
        </w:tc>
      </w:tr>
      <w:tr>
        <w:trPr>
          <w:trHeight w:val="197"/>
        </w:trPr>
        <w:tc>
          <w:tcPr>
            <w:tcW w:w="7580" w:type="dxa"/>
            <w:vAlign w:val="bottom"/>
            <w:shd w:val="clear" w:color="auto" w:fill="CCEEFF"/>
          </w:tcPr>
          <w:p>
            <w:pPr>
              <w:ind w:left="680"/>
              <w:spacing w:after="0"/>
              <w:rPr>
                <w:sz w:val="20"/>
                <w:szCs w:val="20"/>
                <w:color w:val="auto"/>
              </w:rPr>
            </w:pPr>
            <w:r>
              <w:rPr>
                <w:rFonts w:ascii="Arial" w:cs="Arial" w:eastAsia="Arial" w:hAnsi="Arial"/>
                <w:sz w:val="15"/>
                <w:szCs w:val="15"/>
                <w:color w:val="auto"/>
              </w:rPr>
              <w:t>Total noncurrent liabilities</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41,005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41,465</w:t>
            </w:r>
          </w:p>
        </w:tc>
      </w:tr>
      <w:tr>
        <w:trPr>
          <w:trHeight w:val="203"/>
        </w:trPr>
        <w:tc>
          <w:tcPr>
            <w:tcW w:w="7580" w:type="dxa"/>
            <w:vAlign w:val="bottom"/>
          </w:tcPr>
          <w:p>
            <w:pPr>
              <w:ind w:left="20"/>
              <w:spacing w:after="0"/>
              <w:rPr>
                <w:sz w:val="20"/>
                <w:szCs w:val="20"/>
                <w:color w:val="auto"/>
              </w:rPr>
            </w:pPr>
            <w:r>
              <w:rPr>
                <w:rFonts w:ascii="Arial" w:cs="Arial" w:eastAsia="Arial" w:hAnsi="Arial"/>
                <w:sz w:val="15"/>
                <w:szCs w:val="15"/>
                <w:b w:val="1"/>
                <w:bCs w:val="1"/>
                <w:color w:val="auto"/>
              </w:rPr>
              <w:t>Commitments and contingencies</w:t>
            </w: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75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Stockholders’ equity (deficit)</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149"/>
        </w:trPr>
        <w:tc>
          <w:tcPr>
            <w:tcW w:w="7580" w:type="dxa"/>
            <w:vAlign w:val="bottom"/>
          </w:tcPr>
          <w:p>
            <w:pPr>
              <w:ind w:left="360"/>
              <w:spacing w:after="0" w:line="149" w:lineRule="exact"/>
              <w:rPr>
                <w:sz w:val="20"/>
                <w:szCs w:val="20"/>
                <w:color w:val="auto"/>
              </w:rPr>
            </w:pPr>
            <w:r>
              <w:rPr>
                <w:rFonts w:ascii="Arial" w:cs="Arial" w:eastAsia="Arial" w:hAnsi="Arial"/>
                <w:sz w:val="15"/>
                <w:szCs w:val="15"/>
                <w:color w:val="auto"/>
              </w:rPr>
              <w:t>Common stock, $0.01 par value; 1,750,000,000 shares authorized, 659,481,003 shares issued and</w:t>
            </w:r>
          </w:p>
        </w:tc>
        <w:tc>
          <w:tcPr>
            <w:tcW w:w="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213"/>
        </w:trPr>
        <w:tc>
          <w:tcPr>
            <w:tcW w:w="7580" w:type="dxa"/>
            <w:vAlign w:val="bottom"/>
          </w:tcPr>
          <w:p>
            <w:pPr>
              <w:ind w:left="360"/>
              <w:spacing w:after="0"/>
              <w:rPr>
                <w:sz w:val="20"/>
                <w:szCs w:val="20"/>
                <w:color w:val="auto"/>
              </w:rPr>
            </w:pPr>
            <w:r>
              <w:rPr>
                <w:rFonts w:ascii="Arial" w:cs="Arial" w:eastAsia="Arial" w:hAnsi="Arial"/>
                <w:sz w:val="15"/>
                <w:szCs w:val="15"/>
                <w:color w:val="auto"/>
              </w:rPr>
              <w:t>outstanding at March 31, 2025; 657,566,166 shares issued and outstanding at December 31, 2024</w:t>
            </w:r>
          </w:p>
        </w:tc>
        <w:tc>
          <w:tcPr>
            <w:tcW w:w="240" w:type="dxa"/>
            <w:vAlign w:val="bottom"/>
          </w:tcPr>
          <w:p>
            <w:pPr>
              <w:spacing w:after="0"/>
              <w:rPr>
                <w:sz w:val="18"/>
                <w:szCs w:val="18"/>
                <w:color w:val="auto"/>
              </w:rPr>
            </w:pPr>
          </w:p>
        </w:tc>
        <w:tc>
          <w:tcPr>
            <w:tcW w:w="1520" w:type="dxa"/>
            <w:vAlign w:val="bottom"/>
          </w:tcPr>
          <w:p>
            <w:pPr>
              <w:jc w:val="right"/>
              <w:ind w:right="4"/>
              <w:spacing w:after="0"/>
              <w:rPr>
                <w:sz w:val="20"/>
                <w:szCs w:val="20"/>
                <w:color w:val="auto"/>
              </w:rPr>
            </w:pPr>
            <w:r>
              <w:rPr>
                <w:rFonts w:ascii="Arial" w:cs="Arial" w:eastAsia="Arial" w:hAnsi="Arial"/>
                <w:sz w:val="15"/>
                <w:szCs w:val="15"/>
                <w:color w:val="auto"/>
              </w:rPr>
              <w:t>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7</w:t>
            </w:r>
          </w:p>
        </w:tc>
      </w:tr>
      <w:tr>
        <w:trPr>
          <w:trHeight w:val="206"/>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Additional paid-in capital</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7,348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7,424</w:t>
            </w:r>
          </w:p>
        </w:tc>
      </w:tr>
      <w:tr>
        <w:trPr>
          <w:trHeight w:val="201"/>
        </w:trPr>
        <w:tc>
          <w:tcPr>
            <w:tcW w:w="7580" w:type="dxa"/>
            <w:vAlign w:val="bottom"/>
          </w:tcPr>
          <w:p>
            <w:pPr>
              <w:ind w:left="360"/>
              <w:spacing w:after="0"/>
              <w:rPr>
                <w:sz w:val="20"/>
                <w:szCs w:val="20"/>
                <w:color w:val="auto"/>
              </w:rPr>
            </w:pPr>
            <w:r>
              <w:rPr>
                <w:rFonts w:ascii="Arial" w:cs="Arial" w:eastAsia="Arial" w:hAnsi="Arial"/>
                <w:sz w:val="15"/>
                <w:szCs w:val="15"/>
                <w:color w:val="auto"/>
              </w:rPr>
              <w:t>Accumulated other comprehensive loss</w:t>
            </w: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(4,547)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(4,565)</w:t>
            </w:r>
          </w:p>
        </w:tc>
      </w:tr>
      <w:tr>
        <w:trPr>
          <w:trHeight w:val="204"/>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Retained deficit</w:t>
            </w:r>
          </w:p>
        </w:tc>
        <w:tc>
          <w:tcPr>
            <w:tcW w:w="24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(7,316)</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(6,843)</w:t>
            </w:r>
          </w:p>
        </w:tc>
      </w:tr>
      <w:tr>
        <w:trPr>
          <w:trHeight w:val="195"/>
        </w:trPr>
        <w:tc>
          <w:tcPr>
            <w:tcW w:w="7580" w:type="dxa"/>
            <w:vAlign w:val="bottom"/>
            <w:tcBorders>
              <w:bottom w:val="single" w:sz="8" w:color="CCEEFF"/>
            </w:tcBorders>
          </w:tcPr>
          <w:p>
            <w:pPr>
              <w:ind w:left="680"/>
              <w:spacing w:after="0"/>
              <w:rPr>
                <w:sz w:val="20"/>
                <w:szCs w:val="20"/>
                <w:color w:val="auto"/>
              </w:rPr>
            </w:pPr>
            <w:r>
              <w:rPr>
                <w:rFonts w:ascii="Arial" w:cs="Arial" w:eastAsia="Arial" w:hAnsi="Arial"/>
                <w:sz w:val="15"/>
                <w:szCs w:val="15"/>
                <w:color w:val="auto"/>
              </w:rPr>
              <w:t>Total stockholders’ deficit</w:t>
            </w: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(4,508)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(3,977)</w:t>
            </w:r>
          </w:p>
        </w:tc>
      </w:tr>
      <w:tr>
        <w:trPr>
          <w:trHeight w:val="222"/>
        </w:trPr>
        <w:tc>
          <w:tcPr>
            <w:tcW w:w="758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5"/>
                <w:szCs w:val="15"/>
                <w:b w:val="1"/>
                <w:bCs w:val="1"/>
                <w:color w:val="auto"/>
              </w:rPr>
              <w:t>Total liabilities and stockholders’ equity (deficit)</w:t>
            </w: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5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62,609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61,783</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60" w:type="dxa"/>
            <w:vAlign w:val="bottom"/>
          </w:tcPr>
          <w:p>
            <w:pPr>
              <w:spacing w:after="0"/>
              <w:rPr>
                <w:sz w:val="17"/>
                <w:szCs w:val="17"/>
                <w:color w:val="auto"/>
              </w:rPr>
            </w:pPr>
          </w:p>
        </w:tc>
        <w:tc>
          <w:tcPr>
            <w:tcW w:w="28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40" w:type="dxa"/>
            <w:vAlign w:val="bottom"/>
            <w:tcBorders>
              <w:bottom w:val="single" w:sz="8" w:color="auto"/>
            </w:tcBorders>
          </w:tcPr>
          <w:p>
            <w:pPr>
              <w:spacing w:after="0"/>
              <w:rPr>
                <w:sz w:val="17"/>
                <w:szCs w:val="17"/>
                <w:color w:val="auto"/>
              </w:rPr>
            </w:pPr>
          </w:p>
        </w:tc>
      </w:tr>
      <w:tr>
        <w:trPr>
          <w:trHeight w:val="196"/>
        </w:trPr>
        <w:tc>
          <w:tcPr>
            <w:tcW w:w="776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40" w:type="dxa"/>
            <w:vAlign w:val="bottom"/>
            <w:tcBorders>
              <w:bottom w:val="single" w:sz="8" w:color="auto"/>
            </w:tcBorders>
          </w:tcPr>
          <w:p>
            <w:pPr>
              <w:spacing w:after="0"/>
              <w:rPr>
                <w:sz w:val="17"/>
                <w:szCs w:val="17"/>
                <w:color w:val="auto"/>
              </w:rPr>
            </w:pPr>
          </w:p>
        </w:tc>
      </w:tr>
      <w:tr>
        <w:trPr>
          <w:trHeight w:val="224"/>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1040" w:type="dxa"/>
            <w:vAlign w:val="bottom"/>
            <w:shd w:val="clear" w:color="auto" w:fill="CCEEFF"/>
          </w:tcPr>
          <w:p>
            <w:pPr>
              <w:jc w:val="right"/>
              <w:ind w:right="837"/>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5"/>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w:t>
            </w: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expenditures and aircraft purchase deposits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r>
      <w:tr>
        <w:trPr>
          <w:trHeight w:val="229"/>
        </w:trPr>
        <w:tc>
          <w:tcPr>
            <w:tcW w:w="7760" w:type="dxa"/>
            <w:vAlign w:val="bottom"/>
          </w:tcPr>
          <w:p>
            <w:pPr>
              <w:ind w:left="360"/>
              <w:spacing w:after="0"/>
              <w:rPr>
                <w:sz w:val="20"/>
                <w:szCs w:val="20"/>
                <w:color w:val="auto"/>
              </w:rPr>
            </w:pPr>
            <w:r>
              <w:rPr>
                <w:rFonts w:ascii="Arial" w:cs="Arial" w:eastAsia="Arial" w:hAnsi="Arial"/>
                <w:sz w:val="18"/>
                <w:szCs w:val="18"/>
                <w:color w:val="auto"/>
              </w:rPr>
              <w:t>Purchases of short-term investments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(1,806)</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(3,287)</w:t>
            </w: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of short-term investments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w:t>
            </w:r>
          </w:p>
        </w:tc>
      </w:tr>
      <w:tr>
        <w:trPr>
          <w:trHeight w:val="229"/>
        </w:trPr>
        <w:tc>
          <w:tcPr>
            <w:tcW w:w="7760" w:type="dxa"/>
            <w:vAlign w:val="bottom"/>
          </w:tcPr>
          <w:p>
            <w:pPr>
              <w:ind w:left="360"/>
              <w:spacing w:after="0"/>
              <w:rPr>
                <w:sz w:val="20"/>
                <w:szCs w:val="20"/>
                <w:color w:val="auto"/>
              </w:rPr>
            </w:pPr>
            <w:r>
              <w:rPr>
                <w:rFonts w:ascii="Arial" w:cs="Arial" w:eastAsia="Arial" w:hAnsi="Arial"/>
                <w:sz w:val="18"/>
                <w:szCs w:val="18"/>
                <w:color w:val="auto"/>
              </w:rPr>
              <w:t>Decrease in restricted short-term investments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investing activities</w:t>
            </w: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7760" w:type="dxa"/>
            <w:vAlign w:val="bottom"/>
          </w:tcPr>
          <w:p>
            <w:pPr>
              <w:ind w:left="680"/>
              <w:spacing w:after="0"/>
              <w:rPr>
                <w:sz w:val="20"/>
                <w:szCs w:val="20"/>
                <w:color w:val="auto"/>
              </w:rPr>
            </w:pPr>
            <w:r>
              <w:rPr>
                <w:rFonts w:ascii="Arial" w:cs="Arial" w:eastAsia="Arial" w:hAnsi="Arial"/>
                <w:sz w:val="18"/>
                <w:szCs w:val="18"/>
                <w:color w:val="auto"/>
              </w:rPr>
              <w:t>Net cash used in investing activities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(1,204)</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(1,516)</w:t>
            </w: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29"/>
        </w:trPr>
        <w:tc>
          <w:tcPr>
            <w:tcW w:w="7760" w:type="dxa"/>
            <w:vAlign w:val="bottom"/>
          </w:tcPr>
          <w:p>
            <w:pPr>
              <w:ind w:left="360"/>
              <w:spacing w:after="0"/>
              <w:rPr>
                <w:sz w:val="20"/>
                <w:szCs w:val="20"/>
                <w:color w:val="auto"/>
              </w:rPr>
            </w:pPr>
            <w:r>
              <w:rPr>
                <w:rFonts w:ascii="Arial" w:cs="Arial" w:eastAsia="Arial" w:hAnsi="Arial"/>
                <w:sz w:val="18"/>
                <w:szCs w:val="18"/>
                <w:color w:val="auto"/>
              </w:rPr>
              <w:t>Payments on long-term debt and finance leases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(1,362)</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(873)</w:t>
            </w: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issuance of long-term debt</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30"/>
        </w:trPr>
        <w:tc>
          <w:tcPr>
            <w:tcW w:w="77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financing activities</w:t>
            </w: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77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used in financing activities</w:t>
            </w: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w:t>
            </w:r>
          </w:p>
        </w:tc>
      </w:tr>
      <w:tr>
        <w:trPr>
          <w:trHeight w:val="223"/>
        </w:trPr>
        <w:tc>
          <w:tcPr>
            <w:tcW w:w="7760" w:type="dxa"/>
            <w:vAlign w:val="bottom"/>
          </w:tcPr>
          <w:p>
            <w:pPr>
              <w:ind w:left="20"/>
              <w:spacing w:after="0"/>
              <w:rPr>
                <w:sz w:val="20"/>
                <w:szCs w:val="20"/>
                <w:color w:val="auto"/>
              </w:rPr>
            </w:pPr>
            <w:r>
              <w:rPr>
                <w:rFonts w:ascii="Arial" w:cs="Arial" w:eastAsia="Arial" w:hAnsi="Arial"/>
                <w:sz w:val="18"/>
                <w:szCs w:val="18"/>
                <w:color w:val="auto"/>
              </w:rPr>
              <w:t>Net increase in cash and restricted cash</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restricted cash at beginning of period</w:t>
            </w: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w:t>
            </w:r>
          </w:p>
        </w:tc>
      </w:tr>
      <w:tr>
        <w:trPr>
          <w:trHeight w:val="223"/>
        </w:trPr>
        <w:tc>
          <w:tcPr>
            <w:tcW w:w="7760" w:type="dxa"/>
            <w:vAlign w:val="bottom"/>
          </w:tcPr>
          <w:p>
            <w:pPr>
              <w:ind w:left="20"/>
              <w:spacing w:after="0" w:line="223" w:lineRule="exact"/>
              <w:rPr>
                <w:sz w:val="20"/>
                <w:szCs w:val="20"/>
                <w:color w:val="auto"/>
              </w:rPr>
            </w:pPr>
            <w:r>
              <w:rPr>
                <w:rFonts w:ascii="Arial" w:cs="Arial" w:eastAsia="Arial" w:hAnsi="Arial"/>
                <w:sz w:val="18"/>
                <w:szCs w:val="18"/>
                <w:color w:val="auto"/>
              </w:rPr>
              <w:t xml:space="preserve">Cash and restricted cash at end of period </w:t>
            </w:r>
            <w:r>
              <w:rPr>
                <w:rFonts w:ascii="Arial" w:cs="Arial" w:eastAsia="Arial" w:hAnsi="Arial"/>
                <w:sz w:val="23"/>
                <w:szCs w:val="23"/>
                <w:color w:val="auto"/>
                <w:vertAlign w:val="superscript"/>
              </w:rPr>
              <w:t>(1)</w:t>
            </w:r>
          </w:p>
        </w:tc>
        <w:tc>
          <w:tcPr>
            <w:tcW w:w="1040" w:type="dxa"/>
            <w:vAlign w:val="bottom"/>
            <w:tcBorders>
              <w:bottom w:val="single" w:sz="8" w:color="auto"/>
            </w:tcBorders>
          </w:tcPr>
          <w:p>
            <w:pPr>
              <w:jc w:val="right"/>
              <w:ind w:right="837"/>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w:t>
            </w: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ind w:right="835"/>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w:t>
            </w:r>
          </w:p>
        </w:tc>
      </w:tr>
      <w:tr>
        <w:trPr>
          <w:trHeight w:val="20"/>
        </w:trPr>
        <w:tc>
          <w:tcPr>
            <w:tcW w:w="77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83"/>
        </w:trPr>
        <w:tc>
          <w:tcPr>
            <w:tcW w:w="77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Non-cash transactions:</w:t>
            </w: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Right-of-use (ROU) assets acquired through operating leases</w:t>
            </w:r>
          </w:p>
        </w:tc>
        <w:tc>
          <w:tcPr>
            <w:tcW w:w="1040" w:type="dxa"/>
            <w:vAlign w:val="bottom"/>
            <w:shd w:val="clear" w:color="auto" w:fill="CCEEFF"/>
          </w:tcPr>
          <w:p>
            <w:pPr>
              <w:jc w:val="right"/>
              <w:ind w:right="837"/>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5"/>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r>
      <w:tr>
        <w:trPr>
          <w:trHeight w:val="230"/>
        </w:trPr>
        <w:tc>
          <w:tcPr>
            <w:tcW w:w="7760" w:type="dxa"/>
            <w:vAlign w:val="bottom"/>
          </w:tcPr>
          <w:p>
            <w:pPr>
              <w:ind w:left="360"/>
              <w:spacing w:after="0"/>
              <w:rPr>
                <w:sz w:val="20"/>
                <w:szCs w:val="20"/>
                <w:color w:val="auto"/>
              </w:rPr>
            </w:pPr>
            <w:r>
              <w:rPr>
                <w:rFonts w:ascii="Arial" w:cs="Arial" w:eastAsia="Arial" w:hAnsi="Arial"/>
                <w:sz w:val="18"/>
                <w:szCs w:val="18"/>
                <w:color w:val="auto"/>
              </w:rPr>
              <w:t>Property and equipment acquired through finance leases and other</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leases converted to operating leases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7760" w:type="dxa"/>
            <w:vAlign w:val="bottom"/>
          </w:tcPr>
          <w:p>
            <w:pPr>
              <w:ind w:left="360"/>
              <w:spacing w:after="0"/>
              <w:rPr>
                <w:sz w:val="20"/>
                <w:szCs w:val="20"/>
                <w:color w:val="auto"/>
              </w:rPr>
            </w:pPr>
            <w:r>
              <w:rPr>
                <w:rFonts w:ascii="Arial" w:cs="Arial" w:eastAsia="Arial" w:hAnsi="Arial"/>
                <w:sz w:val="18"/>
                <w:szCs w:val="18"/>
                <w:color w:val="auto"/>
              </w:rPr>
              <w:t>Operating leases converted to finance leases</w:t>
            </w:r>
          </w:p>
        </w:tc>
        <w:tc>
          <w:tcPr>
            <w:tcW w:w="104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information:</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30"/>
        </w:trPr>
        <w:tc>
          <w:tcPr>
            <w:tcW w:w="7760" w:type="dxa"/>
            <w:vAlign w:val="bottom"/>
          </w:tcPr>
          <w:p>
            <w:pPr>
              <w:ind w:left="360"/>
              <w:spacing w:after="0"/>
              <w:rPr>
                <w:sz w:val="20"/>
                <w:szCs w:val="20"/>
                <w:color w:val="auto"/>
              </w:rPr>
            </w:pPr>
            <w:r>
              <w:rPr>
                <w:rFonts w:ascii="Arial" w:cs="Arial" w:eastAsia="Arial" w:hAnsi="Arial"/>
                <w:sz w:val="18"/>
                <w:szCs w:val="18"/>
                <w:color w:val="auto"/>
              </w:rPr>
              <w:t>Interest paid, net</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524</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557</w:t>
            </w: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 paid</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112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31" w:lineRule="exact"/>
        <w:rPr>
          <w:sz w:val="20"/>
          <w:szCs w:val="20"/>
          <w:color w:val="auto"/>
        </w:rPr>
      </w:pPr>
    </w:p>
    <w:p>
      <w:pPr>
        <w:ind w:left="340" w:right="20" w:hanging="332"/>
        <w:spacing w:after="0" w:line="231" w:lineRule="auto"/>
        <w:tabs>
          <w:tab w:leader="none" w:pos="334"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The following table provides a reconciliation of cash and restricted cash to amounts reported within the condensed consolidated balance sheets:</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r>
      <w:tr>
        <w:trPr>
          <w:trHeight w:val="230"/>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 included in restricted cash and short-term investments</w:t>
            </w:r>
          </w:p>
        </w:tc>
        <w:tc>
          <w:tcPr>
            <w:tcW w:w="7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r>
      <w:tr>
        <w:trPr>
          <w:trHeight w:val="248"/>
        </w:trPr>
        <w:tc>
          <w:tcPr>
            <w:tcW w:w="7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cash and restricted cash</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DEFICIT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share amounts)(Unaudited)</w:t>
      </w:r>
    </w:p>
    <w:p>
      <w:pPr>
        <w:spacing w:after="0" w:line="19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4"/>
            <w:vMerge w:val="restart"/>
          </w:tcPr>
          <w:p>
            <w:pPr>
              <w:jc w:val="center"/>
              <w:ind w:right="180"/>
              <w:spacing w:after="0"/>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6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4"/>
            <w:vMerge w:val="restart"/>
          </w:tcPr>
          <w:p>
            <w:pPr>
              <w:jc w:val="center"/>
              <w:ind w:right="180"/>
              <w:spacing w:after="0"/>
              <w:rPr>
                <w:sz w:val="20"/>
                <w:szCs w:val="20"/>
                <w:color w:val="auto"/>
              </w:rPr>
            </w:pPr>
            <w:r>
              <w:rPr>
                <w:rFonts w:ascii="Arial" w:cs="Arial" w:eastAsia="Arial" w:hAnsi="Arial"/>
                <w:sz w:val="14"/>
                <w:szCs w:val="14"/>
                <w:b w:val="1"/>
                <w:bCs w:val="1"/>
                <w:color w:val="auto"/>
              </w:rPr>
              <w:t>Common</w:t>
            </w:r>
          </w:p>
        </w:tc>
        <w:tc>
          <w:tcPr>
            <w:tcW w:w="80" w:type="dxa"/>
            <w:vAlign w:val="bottom"/>
          </w:tcPr>
          <w:p>
            <w:pPr>
              <w:spacing w:after="0"/>
              <w:rPr>
                <w:sz w:val="12"/>
                <w:szCs w:val="12"/>
                <w:color w:val="auto"/>
              </w:rPr>
            </w:pPr>
          </w:p>
        </w:tc>
        <w:tc>
          <w:tcPr>
            <w:tcW w:w="104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3"/>
          </w:tcPr>
          <w:p>
            <w:pPr>
              <w:jc w:val="center"/>
              <w:ind w:right="320"/>
              <w:spacing w:after="0" w:line="145" w:lineRule="exact"/>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Retained</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rPr>
              <w:t>Paid-in</w:t>
            </w:r>
          </w:p>
        </w:tc>
        <w:tc>
          <w:tcPr>
            <w:tcW w:w="60" w:type="dxa"/>
            <w:vAlign w:val="bottom"/>
          </w:tcPr>
          <w:p>
            <w:pPr>
              <w:spacing w:after="0"/>
              <w:rPr>
                <w:sz w:val="12"/>
                <w:szCs w:val="12"/>
                <w:color w:val="auto"/>
              </w:rPr>
            </w:pPr>
          </w:p>
        </w:tc>
        <w:tc>
          <w:tcPr>
            <w:tcW w:w="148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rPr>
              <w:t>Comprehensive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Loss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3"/>
          </w:tcPr>
          <w:p>
            <w:pPr>
              <w:ind w:left="100"/>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2024</w:t>
            </w: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7,424</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(4,565)</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(6,843)</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400" w:type="dxa"/>
            <w:vAlign w:val="bottom"/>
          </w:tcPr>
          <w:p>
            <w:pPr>
              <w:ind w:left="20"/>
              <w:spacing w:after="0"/>
              <w:rPr>
                <w:sz w:val="20"/>
                <w:szCs w:val="20"/>
                <w:color w:val="auto"/>
              </w:rPr>
            </w:pPr>
            <w:r>
              <w:rPr>
                <w:rFonts w:ascii="Arial" w:cs="Arial" w:eastAsia="Arial" w:hAnsi="Arial"/>
                <w:sz w:val="18"/>
                <w:szCs w:val="18"/>
                <w:color w:val="auto"/>
              </w:rPr>
              <w:t>Net loss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5400" w:type="dxa"/>
            <w:vAlign w:val="bottom"/>
          </w:tcPr>
          <w:p>
            <w:pPr>
              <w:ind w:left="20"/>
              <w:spacing w:after="0" w:line="176" w:lineRule="exact"/>
              <w:rPr>
                <w:sz w:val="20"/>
                <w:szCs w:val="20"/>
                <w:color w:val="auto"/>
              </w:rPr>
            </w:pPr>
            <w:r>
              <w:rPr>
                <w:rFonts w:ascii="Arial" w:cs="Arial" w:eastAsia="Arial" w:hAnsi="Arial"/>
                <w:sz w:val="18"/>
                <w:szCs w:val="18"/>
                <w:color w:val="auto"/>
              </w:rPr>
              <w:t>Settlement of PSP1 and Treasury Loan Warrants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3"/>
            <w:vMerge w:val="restart"/>
          </w:tcPr>
          <w:p>
            <w:pPr>
              <w:ind w:left="5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(79)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400" w:type="dxa"/>
            <w:vAlign w:val="bottom"/>
          </w:tcPr>
          <w:p>
            <w:pPr>
              <w:ind w:left="160"/>
              <w:spacing w:after="0"/>
              <w:rPr>
                <w:sz w:val="20"/>
                <w:szCs w:val="20"/>
                <w:color w:val="auto"/>
              </w:rPr>
            </w:pPr>
            <w:r>
              <w:rPr>
                <w:rFonts w:ascii="Arial" w:cs="Arial" w:eastAsia="Arial" w:hAnsi="Arial"/>
                <w:sz w:val="18"/>
                <w:szCs w:val="18"/>
                <w:color w:val="auto"/>
              </w:rPr>
              <w:t>(see Note 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3"/>
            <w:vMerge w:val="continue"/>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3"/>
            <w:vMerge w:val="continue"/>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3"/>
            <w:vMerge w:val="continue"/>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54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Issuance of 1,914,837 shares of AAG common stock pursuant to</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3"/>
            <w:vMerge w:val="restart"/>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employee stock plans net of shares withheld for cash taxes</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gridSpan w:val="3"/>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gridSpan w:val="3"/>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gridSpan w:val="3"/>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vMerge w:val="continue"/>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40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5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2025</w:t>
            </w:r>
          </w:p>
        </w:tc>
        <w:tc>
          <w:tcPr>
            <w:tcW w:w="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(4,547)</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(7,316)</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6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rPr>
              <w:t>Common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center"/>
              <w:ind w:right="160"/>
              <w:spacing w:after="0" w:line="145" w:lineRule="exact"/>
              <w:rPr>
                <w:sz w:val="20"/>
                <w:szCs w:val="20"/>
                <w:color w:val="auto"/>
              </w:rPr>
            </w:pPr>
            <w:r>
              <w:rPr>
                <w:rFonts w:ascii="Arial" w:cs="Arial" w:eastAsia="Arial" w:hAnsi="Arial"/>
                <w:sz w:val="14"/>
                <w:szCs w:val="14"/>
                <w:b w:val="1"/>
                <w:bCs w:val="1"/>
                <w:color w:val="auto"/>
              </w:rPr>
              <w:t>Paid-in</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3"/>
          </w:tcPr>
          <w:p>
            <w:pPr>
              <w:jc w:val="center"/>
              <w:ind w:right="180"/>
              <w:spacing w:after="0" w:line="145" w:lineRule="exact"/>
              <w:rPr>
                <w:sz w:val="20"/>
                <w:szCs w:val="20"/>
                <w:color w:val="auto"/>
              </w:rPr>
            </w:pPr>
            <w:r>
              <w:rPr>
                <w:rFonts w:ascii="Arial" w:cs="Arial" w:eastAsia="Arial" w:hAnsi="Arial"/>
                <w:sz w:val="14"/>
                <w:szCs w:val="14"/>
                <w:b w:val="1"/>
                <w:bCs w:val="1"/>
                <w:color w:val="auto"/>
              </w:rPr>
              <w:t>Comprehensive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7"/>
              </w:rPr>
              <w:t>Loss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3"/>
          </w:tcPr>
          <w:p>
            <w:pPr>
              <w:ind w:left="140"/>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4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2023</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7,374</w:t>
            </w:r>
          </w:p>
        </w:tc>
        <w:tc>
          <w:tcPr>
            <w:tcW w:w="8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(4,894)</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(7,689)</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(5,202)</w:t>
            </w:r>
          </w:p>
        </w:tc>
        <w:tc>
          <w:tcPr>
            <w:tcW w:w="0" w:type="dxa"/>
            <w:vAlign w:val="bottom"/>
          </w:tcPr>
          <w:p>
            <w:pPr>
              <w:spacing w:after="0"/>
              <w:rPr>
                <w:sz w:val="1"/>
                <w:szCs w:val="1"/>
                <w:color w:val="auto"/>
              </w:rPr>
            </w:pPr>
          </w:p>
        </w:tc>
      </w:tr>
      <w:tr>
        <w:trPr>
          <w:trHeight w:val="229"/>
        </w:trPr>
        <w:tc>
          <w:tcPr>
            <w:tcW w:w="546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(312)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29"/>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income, net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5460" w:type="dxa"/>
            <w:vAlign w:val="bottom"/>
            <w:gridSpan w:val="2"/>
          </w:tcPr>
          <w:p>
            <w:pPr>
              <w:ind w:left="20"/>
              <w:spacing w:after="0" w:line="183" w:lineRule="exact"/>
              <w:rPr>
                <w:sz w:val="20"/>
                <w:szCs w:val="20"/>
                <w:color w:val="auto"/>
              </w:rPr>
            </w:pPr>
            <w:r>
              <w:rPr>
                <w:rFonts w:ascii="Arial" w:cs="Arial" w:eastAsia="Arial" w:hAnsi="Arial"/>
                <w:sz w:val="18"/>
                <w:szCs w:val="18"/>
                <w:color w:val="auto"/>
              </w:rPr>
              <w:t>Issuance of 1,772,443 shares of AAG common stock pursuant to</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5"/>
        </w:trPr>
        <w:tc>
          <w:tcPr>
            <w:tcW w:w="60" w:type="dxa"/>
            <w:vAlign w:val="bottom"/>
          </w:tcPr>
          <w:p>
            <w:pPr>
              <w:spacing w:after="0"/>
              <w:rPr>
                <w:sz w:val="20"/>
                <w:szCs w:val="20"/>
                <w:color w:val="auto"/>
              </w:rPr>
            </w:pPr>
          </w:p>
        </w:tc>
        <w:tc>
          <w:tcPr>
            <w:tcW w:w="5400" w:type="dxa"/>
            <w:vAlign w:val="bottom"/>
          </w:tcPr>
          <w:p>
            <w:pPr>
              <w:ind w:left="120"/>
              <w:spacing w:after="0"/>
              <w:rPr>
                <w:sz w:val="20"/>
                <w:szCs w:val="20"/>
                <w:color w:val="auto"/>
              </w:rPr>
            </w:pPr>
            <w:r>
              <w:rPr>
                <w:rFonts w:ascii="Arial" w:cs="Arial" w:eastAsia="Arial" w:hAnsi="Arial"/>
                <w:sz w:val="18"/>
                <w:szCs w:val="18"/>
                <w:color w:val="auto"/>
              </w:rPr>
              <w:t>employee stock plans net of shares withheld for cash taxes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3"/>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3"/>
            <w:vMerge w:val="continue"/>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3"/>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gridSpan w:val="2"/>
          </w:tcPr>
          <w:p>
            <w:pPr>
              <w:ind w:left="20"/>
              <w:spacing w:after="0"/>
              <w:rPr>
                <w:sz w:val="20"/>
                <w:szCs w:val="20"/>
                <w:color w:val="auto"/>
              </w:rPr>
            </w:pPr>
            <w:r>
              <w:rPr>
                <w:rFonts w:ascii="Arial" w:cs="Arial" w:eastAsia="Arial" w:hAnsi="Arial"/>
                <w:sz w:val="18"/>
                <w:szCs w:val="18"/>
                <w:color w:val="auto"/>
              </w:rPr>
              <w:t>Modification of share-based awards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8"/>
        </w:trPr>
        <w:tc>
          <w:tcPr>
            <w:tcW w:w="54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7,371</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(4,877)</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(8,001)</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(5,500)</w:t>
            </w: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5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left="340" w:right="1020"/>
        <w:spacing w:after="0" w:line="296"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(a) Basis of Presentation</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accompanying unaudited condensed consolidated financial statements of American Airlines Group Inc. (we, us, our and similar terms, or AAG) should be read in conjunction with the consolidated financial statements contained in our Annual Report on Form 10-K for the year ended December 31, 2024. The accompanying unaudited condensed consolidated financial statements include the accounts of AAG and its wholly-owned subsidiaries. AAG’s principal subsidiary is American Airlines, Inc. (American). All significant intercompany transactions have been eliminated.</w:t>
      </w:r>
    </w:p>
    <w:p>
      <w:pPr>
        <w:spacing w:after="0" w:line="125"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Management believes that all adjustments necessary for the fair presentation of results, consisting of normally recurring items, have been included in the unaudited condensed consolidated financial statements for the interim periods presented. 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the loyalty program, deferred tax assets, as well as pension and retiree medical and other postretirement benefits.</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(b) Operating Property and Equipment</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Effective January 1, 2025, we adjusted the estimated useful lives of our mainline and regional aircraft, engines and related rotable parts by three years to align with the extended lives of aircraft included in our long-term fleet plan. In conjunction with this change, we also reduced the salvage values for most of these assets from 10% to 5% of original cost to more closely reflect the estimated value at the end of the useful life. Accordingly, the estimated useful lives for the principal property and equipment classification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gridSpan w:val="2"/>
          </w:tcPr>
          <w:p>
            <w:pPr>
              <w:spacing w:after="0"/>
              <w:rPr>
                <w:sz w:val="20"/>
                <w:szCs w:val="20"/>
                <w:color w:val="auto"/>
              </w:rPr>
            </w:pPr>
            <w:r>
              <w:rPr>
                <w:rFonts w:ascii="Arial" w:cs="Arial" w:eastAsia="Arial" w:hAnsi="Arial"/>
                <w:sz w:val="14"/>
                <w:szCs w:val="14"/>
                <w:b w:val="1"/>
                <w:bCs w:val="1"/>
                <w:color w:val="auto"/>
              </w:rPr>
              <w:t>Principal Property and Equipment Classification</w:t>
            </w:r>
          </w:p>
        </w:tc>
        <w:tc>
          <w:tcPr>
            <w:tcW w:w="47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Estimated Useful Life</w:t>
            </w:r>
          </w:p>
        </w:tc>
      </w:tr>
      <w:tr>
        <w:trPr>
          <w:trHeight w:val="20"/>
        </w:trPr>
        <w:tc>
          <w:tcPr>
            <w:tcW w:w="20" w:type="dxa"/>
            <w:vAlign w:val="bottom"/>
          </w:tcPr>
          <w:p>
            <w:pPr>
              <w:spacing w:after="0" w:line="20" w:lineRule="exact"/>
              <w:rPr>
                <w:sz w:val="1"/>
                <w:szCs w:val="1"/>
                <w:color w:val="auto"/>
              </w:rPr>
            </w:pPr>
          </w:p>
        </w:tc>
        <w:tc>
          <w:tcPr>
            <w:tcW w:w="3300" w:type="dxa"/>
            <w:vAlign w:val="bottom"/>
            <w:tcBorders>
              <w:top w:val="single" w:sz="8" w:color="auto"/>
            </w:tcBorders>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Aircraft, engines and related rotable parts</w:t>
            </w:r>
          </w:p>
        </w:tc>
        <w:tc>
          <w:tcPr>
            <w:tcW w:w="3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 – 33 years</w:t>
            </w:r>
          </w:p>
        </w:tc>
      </w:tr>
    </w:tbl>
    <w:p>
      <w:pPr>
        <w:spacing w:after="0" w:line="238"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The effect of these changes did not have a material impact to depreciation and amortization expense in the condensed consolidated statement of operations for the three months ended March 31, 2025.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Special Items, Net</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Special items, net in the condensed consolidated statements of operations consisted of the following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60" w:type="dxa"/>
            <w:vAlign w:val="bottom"/>
          </w:tcPr>
          <w:p>
            <w:pPr>
              <w:spacing w:after="0"/>
              <w:rPr>
                <w:sz w:val="17"/>
                <w:szCs w:val="17"/>
                <w:color w:val="auto"/>
              </w:rPr>
            </w:pPr>
          </w:p>
        </w:tc>
        <w:tc>
          <w:tcPr>
            <w:tcW w:w="318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17"/>
                <w:szCs w:val="17"/>
                <w:color w:val="auto"/>
              </w:rPr>
            </w:pPr>
          </w:p>
        </w:tc>
      </w:tr>
      <w:tr>
        <w:trPr>
          <w:trHeight w:val="196"/>
        </w:trPr>
        <w:tc>
          <w:tcPr>
            <w:tcW w:w="756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2025</w:t>
            </w: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2024</w:t>
            </w:r>
          </w:p>
        </w:tc>
        <w:tc>
          <w:tcPr>
            <w:tcW w:w="500" w:type="dxa"/>
            <w:vAlign w:val="bottom"/>
            <w:tcBorders>
              <w:bottom w:val="single" w:sz="8" w:color="auto"/>
            </w:tcBorders>
          </w:tcPr>
          <w:p>
            <w:pPr>
              <w:spacing w:after="0"/>
              <w:rPr>
                <w:sz w:val="17"/>
                <w:szCs w:val="17"/>
                <w:color w:val="auto"/>
              </w:rPr>
            </w:pPr>
          </w:p>
        </w:tc>
      </w:tr>
      <w:tr>
        <w:trPr>
          <w:trHeight w:val="224"/>
        </w:trPr>
        <w:tc>
          <w:tcPr>
            <w:tcW w:w="756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Labor contract expenses </w:t>
            </w:r>
            <w:r>
              <w:rPr>
                <w:rFonts w:ascii="Arial" w:cs="Arial" w:eastAsia="Arial" w:hAnsi="Arial"/>
                <w:sz w:val="23"/>
                <w:szCs w:val="23"/>
                <w:color w:val="auto"/>
                <w:vertAlign w:val="superscript"/>
              </w:rPr>
              <w:t>(1)</w:t>
            </w:r>
          </w:p>
        </w:tc>
        <w:tc>
          <w:tcPr>
            <w:tcW w:w="1280" w:type="dxa"/>
            <w:vAlign w:val="bottom"/>
            <w:shd w:val="clear" w:color="auto" w:fill="CCEEFF"/>
          </w:tcPr>
          <w:p>
            <w:pPr>
              <w:jc w:val="right"/>
              <w:ind w:right="1082"/>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7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Litigation reserve adjustments</w:t>
            </w:r>
          </w:p>
        </w:tc>
        <w:tc>
          <w:tcPr>
            <w:tcW w:w="12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 expenses</w:t>
            </w:r>
          </w:p>
        </w:tc>
        <w:tc>
          <w:tcPr>
            <w:tcW w:w="12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operating special items, net</w:t>
            </w:r>
          </w:p>
        </w:tc>
        <w:tc>
          <w:tcPr>
            <w:tcW w:w="12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Mainline operating special items, net</w:t>
            </w:r>
          </w:p>
        </w:tc>
        <w:tc>
          <w:tcPr>
            <w:tcW w:w="12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70"/>
        </w:trPr>
        <w:tc>
          <w:tcPr>
            <w:tcW w:w="75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230"/>
        </w:trPr>
        <w:tc>
          <w:tcPr>
            <w:tcW w:w="75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Mark-to-market adjustments on equity investments, net </w:t>
            </w:r>
            <w:r>
              <w:rPr>
                <w:rFonts w:ascii="Arial" w:cs="Arial" w:eastAsia="Arial" w:hAnsi="Arial"/>
                <w:sz w:val="23"/>
                <w:szCs w:val="23"/>
                <w:color w:val="auto"/>
                <w:vertAlign w:val="superscript"/>
              </w:rPr>
              <w:t>(2)</w:t>
            </w:r>
          </w:p>
        </w:tc>
        <w:tc>
          <w:tcPr>
            <w:tcW w:w="12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Debt refinancing and extinguishment</w:t>
            </w:r>
          </w:p>
        </w:tc>
        <w:tc>
          <w:tcPr>
            <w:tcW w:w="12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Nonoperating special items, net</w:t>
            </w:r>
          </w:p>
        </w:tc>
        <w:tc>
          <w:tcPr>
            <w:tcW w:w="12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3112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31" w:lineRule="exact"/>
        <w:rPr>
          <w:sz w:val="20"/>
          <w:szCs w:val="20"/>
          <w:color w:val="auto"/>
        </w:rPr>
      </w:pPr>
    </w:p>
    <w:p>
      <w:pPr>
        <w:jc w:val="both"/>
        <w:ind w:left="340" w:hanging="332"/>
        <w:spacing w:after="0" w:line="237" w:lineRule="auto"/>
        <w:tabs>
          <w:tab w:leader="none" w:pos="334"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Labor contract expenses for the three months ended March 31, 2025 included a one-time charge for adjustments to vacation accruals resulting from pay rate increases effective January 1, 2025, related to the ratification of the contract extension in the fourth quarter of 2024 with our mainline maintenance and fleet service team members.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296"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61" w:lineRule="exact"/>
        <w:rPr>
          <w:sz w:val="20"/>
          <w:szCs w:val="20"/>
          <w:color w:val="auto"/>
        </w:rPr>
      </w:pPr>
    </w:p>
    <w:p>
      <w:pPr>
        <w:ind w:left="340"/>
        <w:spacing w:after="0" w:line="287" w:lineRule="auto"/>
        <w:rPr>
          <w:sz w:val="20"/>
          <w:szCs w:val="20"/>
          <w:color w:val="auto"/>
        </w:rPr>
      </w:pPr>
      <w:r>
        <w:rPr>
          <w:rFonts w:ascii="Arial" w:cs="Arial" w:eastAsia="Arial" w:hAnsi="Arial"/>
          <w:sz w:val="18"/>
          <w:szCs w:val="18"/>
          <w:color w:val="auto"/>
        </w:rPr>
        <w:t>Labor contract expenses for the three months ended March 31, 2024 included one-time charges resulting from the ratification of a new collective bargaining agreement with our mainline passenger service team members, including a one-time signing bonus.</w:t>
      </w:r>
    </w:p>
    <w:p>
      <w:pPr>
        <w:spacing w:after="0" w:line="73" w:lineRule="exact"/>
        <w:rPr>
          <w:sz w:val="20"/>
          <w:szCs w:val="20"/>
          <w:color w:val="auto"/>
        </w:rPr>
      </w:pPr>
    </w:p>
    <w:p>
      <w:pPr>
        <w:ind w:left="320" w:hanging="312"/>
        <w:spacing w:after="0"/>
        <w:tabs>
          <w:tab w:leader="none" w:pos="320"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Mark-to-market adjustments on equity investments, net included unrealized gains and losses associated with certain equity investments.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Loss Per Common Share</w:t>
      </w:r>
    </w:p>
    <w:p>
      <w:pPr>
        <w:spacing w:after="0" w:line="90"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color w:val="auto"/>
        </w:rPr>
        <w:t>The following table provides the computation of basic and diluted loss per common share (EPS) (in millions, except share and per share amounts):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60" w:type="dxa"/>
            <w:vAlign w:val="bottom"/>
          </w:tcPr>
          <w:p>
            <w:pPr>
              <w:spacing w:after="0"/>
              <w:rPr>
                <w:sz w:val="17"/>
                <w:szCs w:val="17"/>
                <w:color w:val="auto"/>
              </w:rPr>
            </w:pPr>
          </w:p>
        </w:tc>
        <w:tc>
          <w:tcPr>
            <w:tcW w:w="29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720" w:type="dxa"/>
            <w:vAlign w:val="bottom"/>
            <w:tcBorders>
              <w:bottom w:val="single" w:sz="8" w:color="auto"/>
            </w:tcBorders>
          </w:tcPr>
          <w:p>
            <w:pPr>
              <w:spacing w:after="0"/>
              <w:rPr>
                <w:sz w:val="17"/>
                <w:szCs w:val="17"/>
                <w:color w:val="auto"/>
              </w:rPr>
            </w:pPr>
          </w:p>
        </w:tc>
      </w:tr>
      <w:tr>
        <w:trPr>
          <w:trHeight w:val="196"/>
        </w:trPr>
        <w:tc>
          <w:tcPr>
            <w:tcW w:w="756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720" w:type="dxa"/>
            <w:vAlign w:val="bottom"/>
            <w:tcBorders>
              <w:bottom w:val="single" w:sz="8" w:color="auto"/>
            </w:tcBorders>
          </w:tcPr>
          <w:p>
            <w:pPr>
              <w:spacing w:after="0"/>
              <w:rPr>
                <w:sz w:val="17"/>
                <w:szCs w:val="17"/>
                <w:color w:val="auto"/>
              </w:rPr>
            </w:pPr>
          </w:p>
        </w:tc>
      </w:tr>
      <w:tr>
        <w:trPr>
          <w:trHeight w:val="211"/>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EPS:</w:t>
            </w:r>
          </w:p>
        </w:tc>
        <w:tc>
          <w:tcPr>
            <w:tcW w:w="10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60" w:type="dxa"/>
            <w:vAlign w:val="bottom"/>
          </w:tcPr>
          <w:p>
            <w:pPr>
              <w:jc w:val="right"/>
              <w:ind w:right="859"/>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19"/>
                <w:szCs w:val="19"/>
                <w:color w:val="auto"/>
              </w:rPr>
            </w:pPr>
          </w:p>
        </w:tc>
        <w:tc>
          <w:tcPr>
            <w:tcW w:w="1060" w:type="dxa"/>
            <w:vAlign w:val="bottom"/>
          </w:tcPr>
          <w:p>
            <w:pPr>
              <w:jc w:val="right"/>
              <w:ind w:right="856"/>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(312)</w:t>
            </w: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(in thousands)</w:t>
            </w:r>
          </w:p>
        </w:tc>
        <w:tc>
          <w:tcPr>
            <w:tcW w:w="10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658,880</w:t>
            </w: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655,847</w:t>
            </w:r>
          </w:p>
        </w:tc>
      </w:tr>
      <w:tr>
        <w:trPr>
          <w:trHeight w:val="223"/>
        </w:trPr>
        <w:tc>
          <w:tcPr>
            <w:tcW w:w="7560" w:type="dxa"/>
            <w:vAlign w:val="bottom"/>
          </w:tcPr>
          <w:p>
            <w:pPr>
              <w:ind w:left="140"/>
              <w:spacing w:after="0"/>
              <w:rPr>
                <w:sz w:val="20"/>
                <w:szCs w:val="20"/>
                <w:color w:val="auto"/>
              </w:rPr>
            </w:pPr>
            <w:r>
              <w:rPr>
                <w:rFonts w:ascii="Arial" w:cs="Arial" w:eastAsia="Arial" w:hAnsi="Arial"/>
                <w:sz w:val="18"/>
                <w:szCs w:val="18"/>
                <w:color w:val="auto"/>
              </w:rPr>
              <w:t>Basic and diluted EPS</w:t>
            </w:r>
          </w:p>
        </w:tc>
        <w:tc>
          <w:tcPr>
            <w:tcW w:w="1060" w:type="dxa"/>
            <w:vAlign w:val="bottom"/>
            <w:tcBorders>
              <w:bottom w:val="single" w:sz="8" w:color="auto"/>
            </w:tcBorders>
          </w:tcPr>
          <w:p>
            <w:pPr>
              <w:jc w:val="right"/>
              <w:ind w:right="859"/>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(0.72)</w:t>
            </w:r>
          </w:p>
        </w:tc>
        <w:tc>
          <w:tcPr>
            <w:tcW w:w="120" w:type="dxa"/>
            <w:vAlign w:val="bottom"/>
          </w:tcPr>
          <w:p>
            <w:pPr>
              <w:spacing w:after="0"/>
              <w:rPr>
                <w:sz w:val="19"/>
                <w:szCs w:val="19"/>
                <w:color w:val="auto"/>
              </w:rPr>
            </w:pPr>
          </w:p>
        </w:tc>
        <w:tc>
          <w:tcPr>
            <w:tcW w:w="1060" w:type="dxa"/>
            <w:vAlign w:val="bottom"/>
            <w:tcBorders>
              <w:bottom w:val="single" w:sz="8" w:color="auto"/>
            </w:tcBorders>
          </w:tcPr>
          <w:p>
            <w:pPr>
              <w:jc w:val="right"/>
              <w:ind w:right="85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(0.48)</w:t>
            </w:r>
          </w:p>
        </w:tc>
      </w:tr>
      <w:tr>
        <w:trPr>
          <w:trHeight w:val="21"/>
        </w:trPr>
        <w:tc>
          <w:tcPr>
            <w:tcW w:w="75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were excluded from the calculation of diluted EPS because inclusion of such shares would be antidilutive (in thousands):</w:t>
      </w:r>
    </w:p>
    <w:p>
      <w:pPr>
        <w:spacing w:after="0" w:line="221" w:lineRule="exact"/>
        <w:rPr>
          <w:sz w:val="20"/>
          <w:szCs w:val="20"/>
          <w:color w:val="auto"/>
        </w:rPr>
      </w:pPr>
    </w:p>
    <w:p>
      <w:pPr>
        <w:ind w:left="8340"/>
        <w:spacing w:after="0"/>
        <w:rPr>
          <w:sz w:val="20"/>
          <w:szCs w:val="20"/>
          <w:color w:val="auto"/>
        </w:rPr>
      </w:pPr>
      <w:r>
        <w:rPr>
          <w:rFonts w:ascii="Arial" w:cs="Arial" w:eastAsia="Arial" w:hAnsi="Arial"/>
          <w:sz w:val="14"/>
          <w:szCs w:val="14"/>
          <w:b w:val="1"/>
          <w:bCs w:val="1"/>
          <w:color w:val="auto"/>
        </w:rPr>
        <w:t>Three Months Ended March 31,</w:t>
      </w: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7560" w:type="dxa"/>
            <w:vAlign w:val="bottom"/>
            <w:tcBorders>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1760" w:type="dxa"/>
            <w:vAlign w:val="bottom"/>
            <w:tcBorders>
              <w:top w:val="single" w:sz="8" w:color="auto"/>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2024</w:t>
            </w:r>
          </w:p>
        </w:tc>
      </w:tr>
      <w:tr>
        <w:trPr>
          <w:trHeight w:val="224"/>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6.50% convertible senior notes</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61,728</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61,728</w:t>
            </w:r>
          </w:p>
        </w:tc>
      </w:tr>
      <w:tr>
        <w:trPr>
          <w:trHeight w:val="239"/>
        </w:trPr>
        <w:tc>
          <w:tcPr>
            <w:tcW w:w="8660" w:type="dxa"/>
            <w:vAlign w:val="bottom"/>
            <w:gridSpan w:val="2"/>
          </w:tcPr>
          <w:p>
            <w:pPr>
              <w:ind w:left="20"/>
              <w:spacing w:after="0"/>
              <w:rPr>
                <w:sz w:val="20"/>
                <w:szCs w:val="20"/>
                <w:color w:val="auto"/>
              </w:rPr>
            </w:pPr>
            <w:r>
              <w:rPr>
                <w:rFonts w:ascii="Arial" w:cs="Arial" w:eastAsia="Arial" w:hAnsi="Arial"/>
                <w:sz w:val="18"/>
                <w:szCs w:val="18"/>
                <w:color w:val="auto"/>
              </w:rPr>
              <w:t>Restricted stock unit awards</w:t>
            </w:r>
          </w:p>
        </w:tc>
        <w:tc>
          <w:tcPr>
            <w:tcW w:w="660" w:type="dxa"/>
            <w:vAlign w:val="bottom"/>
          </w:tcPr>
          <w:p>
            <w:pPr>
              <w:jc w:val="right"/>
              <w:spacing w:after="0"/>
              <w:rPr>
                <w:sz w:val="20"/>
                <w:szCs w:val="20"/>
                <w:color w:val="auto"/>
              </w:rPr>
            </w:pPr>
            <w:r>
              <w:rPr>
                <w:rFonts w:ascii="Arial" w:cs="Arial" w:eastAsia="Arial" w:hAnsi="Arial"/>
                <w:sz w:val="18"/>
                <w:szCs w:val="18"/>
                <w:color w:val="auto"/>
              </w:rPr>
              <w:t>1,836</w:t>
            </w:r>
          </w:p>
        </w:tc>
        <w:tc>
          <w:tcPr>
            <w:tcW w:w="1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4,318</w:t>
            </w:r>
          </w:p>
        </w:tc>
      </w:tr>
    </w:tbl>
    <w:p>
      <w:pPr>
        <w:spacing w:after="0" w:line="21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addition, for the three months ended March 31, 2025 and 2024, excluded from the calculation of diluted EPS because inclusion of such shares would be antidilutive, are certain shares underlying the warrants issued pursuant to (i) the payroll support program established under the Coronavirus Aid, Relief, and Economic Security Act (PSP1 Warrants), (ii) the payroll support program established under the Subtitle A of Title IV of Division N of the Consolidated Appropriations Act, 2021 (PSP2 Warrants), (iii) the payroll support program established under the American Rescue Plan Act of 2021 (PSP3 Warrants) and (iv) the Loan and Guarantee Agreement with the U.S. Department of Treasury (Treasury Loan Warrants).</w:t>
      </w:r>
    </w:p>
    <w:p>
      <w:pPr>
        <w:spacing w:after="0" w:line="128"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color w:val="auto"/>
        </w:rPr>
        <w:t>During the first three months of 2025, all of the PSP1 Warrants and Treasury Loan Warrants, 14.0 million shares and 4.4 million shares, respectively, were exercised at an exercise price of $12.51 per share and net settled in cash for $79 million.</w:t>
      </w:r>
    </w:p>
    <w:p>
      <w:pPr>
        <w:spacing w:after="0" w:line="9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table below provides a summary of the warrants outstanding as of March 31, 2025:</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Warrants</w:t>
            </w:r>
          </w:p>
        </w:tc>
        <w:tc>
          <w:tcPr>
            <w:tcW w:w="21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Warrants Issued (shares, in</w:t>
            </w:r>
          </w:p>
        </w:tc>
        <w:tc>
          <w:tcPr>
            <w:tcW w:w="216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Exercise Price ($)</w:t>
            </w:r>
          </w:p>
        </w:tc>
        <w:tc>
          <w:tcPr>
            <w:tcW w:w="36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201"/>
        </w:trPr>
        <w:tc>
          <w:tcPr>
            <w:tcW w:w="3280" w:type="dxa"/>
            <w:vAlign w:val="bottom"/>
            <w:gridSpan w:val="2"/>
            <w:vMerge w:val="continue"/>
          </w:tcPr>
          <w:p>
            <w:pPr>
              <w:spacing w:after="0"/>
              <w:rPr>
                <w:sz w:val="17"/>
                <w:szCs w:val="17"/>
                <w:color w:val="auto"/>
              </w:rPr>
            </w:pPr>
          </w:p>
        </w:tc>
        <w:tc>
          <w:tcPr>
            <w:tcW w:w="2160" w:type="dxa"/>
            <w:vAlign w:val="bottom"/>
            <w:gridSpan w:val="2"/>
          </w:tcPr>
          <w:p>
            <w:pPr>
              <w:jc w:val="center"/>
              <w:ind w:right="60"/>
              <w:spacing w:after="0" w:line="201" w:lineRule="exact"/>
              <w:rPr>
                <w:sz w:val="20"/>
                <w:szCs w:val="20"/>
                <w:color w:val="auto"/>
              </w:rPr>
            </w:pPr>
            <w:r>
              <w:rPr>
                <w:rFonts w:ascii="Arial" w:cs="Arial" w:eastAsia="Arial" w:hAnsi="Arial"/>
                <w:sz w:val="14"/>
                <w:szCs w:val="14"/>
                <w:b w:val="1"/>
                <w:bCs w:val="1"/>
                <w:color w:val="auto"/>
                <w:w w:val="99"/>
              </w:rPr>
              <w:t xml:space="preserve">thousands) </w:t>
            </w:r>
            <w:r>
              <w:rPr>
                <w:rFonts w:ascii="Arial" w:cs="Arial" w:eastAsia="Arial" w:hAnsi="Arial"/>
                <w:sz w:val="18"/>
                <w:szCs w:val="18"/>
                <w:b w:val="1"/>
                <w:bCs w:val="1"/>
                <w:color w:val="auto"/>
                <w:w w:val="99"/>
                <w:vertAlign w:val="superscript"/>
              </w:rPr>
              <w:t>(1)</w:t>
            </w:r>
          </w:p>
        </w:tc>
        <w:tc>
          <w:tcPr>
            <w:tcW w:w="2160" w:type="dxa"/>
            <w:vAlign w:val="bottom"/>
            <w:gridSpan w:val="2"/>
            <w:vMerge w:val="continue"/>
          </w:tcPr>
          <w:p>
            <w:pPr>
              <w:spacing w:after="0"/>
              <w:rPr>
                <w:sz w:val="17"/>
                <w:szCs w:val="17"/>
                <w:color w:val="auto"/>
              </w:rPr>
            </w:pPr>
          </w:p>
        </w:tc>
        <w:tc>
          <w:tcPr>
            <w:tcW w:w="3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PSP2 Warrants</w:t>
            </w:r>
          </w:p>
        </w:tc>
        <w:tc>
          <w:tcPr>
            <w:tcW w:w="8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6,576</w:t>
            </w:r>
          </w:p>
        </w:tc>
        <w:tc>
          <w:tcPr>
            <w:tcW w:w="8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15.66</w:t>
            </w:r>
          </w:p>
        </w:tc>
        <w:tc>
          <w:tcPr>
            <w:tcW w:w="80" w:type="dxa"/>
            <w:vAlign w:val="bottom"/>
            <w:tcBorders>
              <w:top w:val="single" w:sz="8" w:color="CCEEFF"/>
            </w:tcBorders>
            <w:shd w:val="clear" w:color="auto" w:fill="CCEEFF"/>
          </w:tcPr>
          <w:p>
            <w:pPr>
              <w:spacing w:after="0"/>
              <w:rPr>
                <w:sz w:val="19"/>
                <w:szCs w:val="19"/>
                <w:color w:val="auto"/>
              </w:rPr>
            </w:pPr>
          </w:p>
        </w:tc>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January 2026 to April 2026</w:t>
            </w:r>
          </w:p>
        </w:tc>
        <w:tc>
          <w:tcPr>
            <w:tcW w:w="0" w:type="dxa"/>
            <w:vAlign w:val="bottom"/>
          </w:tcPr>
          <w:p>
            <w:pPr>
              <w:spacing w:after="0"/>
              <w:rPr>
                <w:sz w:val="1"/>
                <w:szCs w:val="1"/>
                <w:color w:val="auto"/>
              </w:rPr>
            </w:pPr>
          </w:p>
        </w:tc>
      </w:tr>
      <w:tr>
        <w:trPr>
          <w:trHeight w:val="239"/>
        </w:trPr>
        <w:tc>
          <w:tcPr>
            <w:tcW w:w="3280" w:type="dxa"/>
            <w:vAlign w:val="bottom"/>
            <w:gridSpan w:val="2"/>
          </w:tcPr>
          <w:p>
            <w:pPr>
              <w:ind w:left="20"/>
              <w:spacing w:after="0"/>
              <w:rPr>
                <w:sz w:val="20"/>
                <w:szCs w:val="20"/>
                <w:color w:val="auto"/>
              </w:rPr>
            </w:pPr>
            <w:r>
              <w:rPr>
                <w:rFonts w:ascii="Arial" w:cs="Arial" w:eastAsia="Arial" w:hAnsi="Arial"/>
                <w:sz w:val="18"/>
                <w:szCs w:val="18"/>
                <w:color w:val="auto"/>
              </w:rPr>
              <w:t>PSP3 Warrants</w:t>
            </w:r>
          </w:p>
        </w:tc>
        <w:tc>
          <w:tcPr>
            <w:tcW w:w="2080" w:type="dxa"/>
            <w:vAlign w:val="bottom"/>
          </w:tcPr>
          <w:p>
            <w:pPr>
              <w:jc w:val="right"/>
              <w:spacing w:after="0"/>
              <w:rPr>
                <w:sz w:val="20"/>
                <w:szCs w:val="20"/>
                <w:color w:val="auto"/>
              </w:rPr>
            </w:pPr>
            <w:r>
              <w:rPr>
                <w:rFonts w:ascii="Arial" w:cs="Arial" w:eastAsia="Arial" w:hAnsi="Arial"/>
                <w:sz w:val="18"/>
                <w:szCs w:val="18"/>
                <w:color w:val="auto"/>
              </w:rPr>
              <w:t>4,407</w:t>
            </w:r>
          </w:p>
        </w:tc>
        <w:tc>
          <w:tcPr>
            <w:tcW w:w="8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21.75</w:t>
            </w:r>
          </w:p>
        </w:tc>
        <w:tc>
          <w:tcPr>
            <w:tcW w:w="80" w:type="dxa"/>
            <w:vAlign w:val="bottom"/>
          </w:tcPr>
          <w:p>
            <w:pPr>
              <w:spacing w:after="0"/>
              <w:rPr>
                <w:sz w:val="20"/>
                <w:szCs w:val="20"/>
                <w:color w:val="auto"/>
              </w:rPr>
            </w:pPr>
          </w:p>
        </w:tc>
        <w:tc>
          <w:tcPr>
            <w:tcW w:w="3620" w:type="dxa"/>
            <w:vAlign w:val="bottom"/>
          </w:tcPr>
          <w:p>
            <w:pPr>
              <w:jc w:val="center"/>
              <w:spacing w:after="0"/>
              <w:rPr>
                <w:sz w:val="20"/>
                <w:szCs w:val="20"/>
                <w:color w:val="auto"/>
              </w:rPr>
            </w:pPr>
            <w:r>
              <w:rPr>
                <w:rFonts w:ascii="Arial" w:cs="Arial" w:eastAsia="Arial" w:hAnsi="Arial"/>
                <w:sz w:val="18"/>
                <w:szCs w:val="18"/>
                <w:color w:val="auto"/>
                <w:w w:val="99"/>
              </w:rPr>
              <w:t>April 2026 to June 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13112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35" w:lineRule="exact"/>
        <w:rPr>
          <w:sz w:val="20"/>
          <w:szCs w:val="20"/>
          <w:color w:val="auto"/>
        </w:rPr>
      </w:pPr>
    </w:p>
    <w:p>
      <w:pPr>
        <w:jc w:val="both"/>
        <w:ind w:left="340" w:hanging="332"/>
        <w:spacing w:after="0" w:line="242" w:lineRule="auto"/>
        <w:tabs>
          <w:tab w:leader="none" w:pos="334"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The PSP2 Warrants and PSP3 Warrants are subject to certain anti-dilution provisions, do not have any voting rights and are freely transferable, with registration rights. Each warrant will be exercisable either through net share settlement or cash, at our option. The warrants were issued solely as compensation to the U.S. Government related to entry into the payroll support program agreements. No separate proceeds (apart from the financial assistance previously received in 2021 and 2020) were received upon issuance of the warrants or will be received upon exercise thereof.</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296"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42" w:lineRule="exact"/>
        <w:rPr>
          <w:sz w:val="20"/>
          <w:szCs w:val="20"/>
          <w:color w:val="auto"/>
        </w:rPr>
      </w:pPr>
    </w:p>
    <w:p>
      <w:pPr>
        <w:ind w:left="260" w:right="9200" w:hanging="252"/>
        <w:spacing w:after="0" w:line="364" w:lineRule="auto"/>
        <w:tabs>
          <w:tab w:leader="none" w:pos="217"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Revenue Recognition </w:t>
      </w:r>
      <w:r>
        <w:rPr>
          <w:rFonts w:ascii="Arial" w:cs="Arial" w:eastAsia="Arial" w:hAnsi="Arial"/>
          <w:sz w:val="17"/>
          <w:szCs w:val="17"/>
          <w:b w:val="1"/>
          <w:bCs w:val="1"/>
          <w:i w:val="1"/>
          <w:iCs w:val="1"/>
          <w:u w:val="single" w:color="auto"/>
          <w:color w:val="auto"/>
        </w:rPr>
        <w:t>Revenue</w:t>
      </w:r>
    </w:p>
    <w:p>
      <w:pPr>
        <w:spacing w:after="0" w:line="1" w:lineRule="exact"/>
        <w:rPr>
          <w:rFonts w:ascii="Arial" w:cs="Arial" w:eastAsia="Arial" w:hAnsi="Arial"/>
          <w:sz w:val="17"/>
          <w:szCs w:val="17"/>
          <w:b w:val="1"/>
          <w:bCs w:val="1"/>
          <w:color w:val="auto"/>
        </w:rPr>
      </w:pPr>
    </w:p>
    <w:p>
      <w:pPr>
        <w:ind w:left="260"/>
        <w:spacing w:after="0"/>
        <w:rPr>
          <w:rFonts w:ascii="Arial" w:cs="Arial" w:eastAsia="Arial" w:hAnsi="Arial"/>
          <w:sz w:val="17"/>
          <w:szCs w:val="17"/>
          <w:b w:val="1"/>
          <w:bCs w:val="1"/>
          <w:color w:val="auto"/>
        </w:rPr>
      </w:pPr>
      <w:r>
        <w:rPr>
          <w:rFonts w:ascii="Arial" w:cs="Arial" w:eastAsia="Arial" w:hAnsi="Arial"/>
          <w:sz w:val="18"/>
          <w:szCs w:val="18"/>
          <w:color w:val="auto"/>
        </w:rPr>
        <w:t>The following are the significant categories comprising our operating revenues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2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80" w:type="dxa"/>
            <w:vAlign w:val="bottom"/>
            <w:tcBorders>
              <w:bottom w:val="single" w:sz="8" w:color="auto"/>
            </w:tcBorders>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2060" w:type="dxa"/>
            <w:vAlign w:val="bottom"/>
            <w:tcBorders>
              <w:bottom w:val="single" w:sz="8" w:color="CCEEFF"/>
            </w:tcBorders>
          </w:tcPr>
          <w:p>
            <w:pPr>
              <w:spacing w:after="0"/>
              <w:rPr>
                <w:sz w:val="18"/>
                <w:szCs w:val="18"/>
                <w:color w:val="auto"/>
              </w:rPr>
            </w:pPr>
          </w:p>
        </w:tc>
        <w:tc>
          <w:tcPr>
            <w:tcW w:w="54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80" w:type="dxa"/>
            <w:vAlign w:val="bottom"/>
            <w:tcBorders>
              <w:bottom w:val="single" w:sz="8" w:color="auto"/>
            </w:tcBorders>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7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Passenger revenue:</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540" w:type="dxa"/>
            <w:vAlign w:val="bottom"/>
            <w:gridSpan w:val="2"/>
          </w:tcPr>
          <w:p>
            <w:pPr>
              <w:ind w:left="220"/>
              <w:spacing w:after="0"/>
              <w:rPr>
                <w:sz w:val="20"/>
                <w:szCs w:val="20"/>
                <w:color w:val="auto"/>
              </w:rPr>
            </w:pPr>
            <w:r>
              <w:rPr>
                <w:rFonts w:ascii="Arial" w:cs="Arial" w:eastAsia="Arial" w:hAnsi="Arial"/>
                <w:sz w:val="18"/>
                <w:szCs w:val="18"/>
                <w:color w:val="auto"/>
              </w:rPr>
              <w:t>Passenger travel</w:t>
            </w:r>
          </w:p>
        </w:tc>
        <w:tc>
          <w:tcPr>
            <w:tcW w:w="1100" w:type="dxa"/>
            <w:vAlign w:val="bottom"/>
          </w:tcPr>
          <w:p>
            <w:pPr>
              <w:jc w:val="right"/>
              <w:ind w:right="899"/>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10,475</w:t>
            </w:r>
          </w:p>
        </w:tc>
        <w:tc>
          <w:tcPr>
            <w:tcW w:w="100" w:type="dxa"/>
            <w:vAlign w:val="bottom"/>
          </w:tcPr>
          <w:p>
            <w:pPr>
              <w:spacing w:after="0"/>
              <w:rPr>
                <w:sz w:val="19"/>
                <w:szCs w:val="19"/>
                <w:color w:val="auto"/>
              </w:rPr>
            </w:pPr>
          </w:p>
        </w:tc>
        <w:tc>
          <w:tcPr>
            <w:tcW w:w="1100" w:type="dxa"/>
            <w:vAlign w:val="bottom"/>
          </w:tcPr>
          <w:p>
            <w:pPr>
              <w:jc w:val="right"/>
              <w:ind w:right="896"/>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10,582</w:t>
            </w:r>
          </w:p>
        </w:tc>
      </w:tr>
      <w:tr>
        <w:trPr>
          <w:trHeight w:val="229"/>
        </w:trPr>
        <w:tc>
          <w:tcPr>
            <w:tcW w:w="20" w:type="dxa"/>
            <w:vAlign w:val="bottom"/>
          </w:tcPr>
          <w:p>
            <w:pPr>
              <w:spacing w:after="0"/>
              <w:rPr>
                <w:sz w:val="19"/>
                <w:szCs w:val="19"/>
                <w:color w:val="auto"/>
              </w:rPr>
            </w:pPr>
          </w:p>
        </w:tc>
        <w:tc>
          <w:tcPr>
            <w:tcW w:w="7540" w:type="dxa"/>
            <w:vAlign w:val="bottom"/>
            <w:gridSpan w:val="2"/>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Loyalty revenue - travel </w:t>
            </w:r>
            <w:r>
              <w:rPr>
                <w:rFonts w:ascii="Arial" w:cs="Arial" w:eastAsia="Arial" w:hAnsi="Arial"/>
                <w:sz w:val="23"/>
                <w:szCs w:val="23"/>
                <w:color w:val="auto"/>
                <w:vertAlign w:val="superscript"/>
              </w:rPr>
              <w:t>(1)</w:t>
            </w: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w:t>
            </w:r>
          </w:p>
        </w:tc>
      </w:tr>
      <w:tr>
        <w:trPr>
          <w:trHeight w:val="223"/>
        </w:trPr>
        <w:tc>
          <w:tcPr>
            <w:tcW w:w="20" w:type="dxa"/>
            <w:vAlign w:val="bottom"/>
          </w:tcPr>
          <w:p>
            <w:pPr>
              <w:spacing w:after="0"/>
              <w:rPr>
                <w:sz w:val="19"/>
                <w:szCs w:val="19"/>
                <w:color w:val="auto"/>
              </w:rPr>
            </w:pPr>
          </w:p>
        </w:tc>
        <w:tc>
          <w:tcPr>
            <w:tcW w:w="7540" w:type="dxa"/>
            <w:vAlign w:val="bottom"/>
            <w:gridSpan w:val="2"/>
          </w:tcPr>
          <w:p>
            <w:pPr>
              <w:ind w:left="460"/>
              <w:spacing w:after="0"/>
              <w:rPr>
                <w:sz w:val="20"/>
                <w:szCs w:val="20"/>
                <w:color w:val="auto"/>
              </w:rPr>
            </w:pPr>
            <w:r>
              <w:rPr>
                <w:rFonts w:ascii="Arial" w:cs="Arial" w:eastAsia="Arial" w:hAnsi="Arial"/>
                <w:sz w:val="18"/>
                <w:szCs w:val="18"/>
                <w:color w:val="auto"/>
              </w:rPr>
              <w:t>Total passenger revenue</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11,391</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11,458</w:t>
            </w:r>
          </w:p>
        </w:tc>
      </w:tr>
      <w:tr>
        <w:trPr>
          <w:trHeight w:val="229"/>
        </w:trPr>
        <w:tc>
          <w:tcPr>
            <w:tcW w:w="20" w:type="dxa"/>
            <w:vAlign w:val="bottom"/>
          </w:tcPr>
          <w:p>
            <w:pPr>
              <w:spacing w:after="0"/>
              <w:rPr>
                <w:sz w:val="19"/>
                <w:szCs w:val="19"/>
                <w:color w:val="auto"/>
              </w:rPr>
            </w:pPr>
          </w:p>
        </w:tc>
        <w:tc>
          <w:tcPr>
            <w:tcW w:w="7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Cargo</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30"/>
        </w:trPr>
        <w:tc>
          <w:tcPr>
            <w:tcW w:w="20" w:type="dxa"/>
            <w:vAlign w:val="bottom"/>
          </w:tcPr>
          <w:p>
            <w:pPr>
              <w:spacing w:after="0"/>
              <w:rPr>
                <w:sz w:val="19"/>
                <w:szCs w:val="19"/>
                <w:color w:val="auto"/>
              </w:rPr>
            </w:pPr>
          </w:p>
        </w:tc>
        <w:tc>
          <w:tcPr>
            <w:tcW w:w="754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1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Loyalty revenue - marketing services</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r>
      <w:tr>
        <w:trPr>
          <w:trHeight w:val="229"/>
        </w:trPr>
        <w:tc>
          <w:tcPr>
            <w:tcW w:w="20" w:type="dxa"/>
            <w:vAlign w:val="bottom"/>
          </w:tcPr>
          <w:p>
            <w:pPr>
              <w:spacing w:after="0"/>
              <w:rPr>
                <w:sz w:val="19"/>
                <w:szCs w:val="19"/>
                <w:color w:val="auto"/>
              </w:rPr>
            </w:pPr>
          </w:p>
        </w:tc>
        <w:tc>
          <w:tcPr>
            <w:tcW w:w="75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revenue</w:t>
            </w: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r>
      <w:tr>
        <w:trPr>
          <w:trHeight w:val="223"/>
        </w:trPr>
        <w:tc>
          <w:tcPr>
            <w:tcW w:w="20" w:type="dxa"/>
            <w:vAlign w:val="bottom"/>
          </w:tcPr>
          <w:p>
            <w:pPr>
              <w:spacing w:after="0"/>
              <w:rPr>
                <w:sz w:val="19"/>
                <w:szCs w:val="19"/>
                <w:color w:val="auto"/>
              </w:rPr>
            </w:pPr>
          </w:p>
        </w:tc>
        <w:tc>
          <w:tcPr>
            <w:tcW w:w="75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Total other revenue</w:t>
            </w: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w:t>
            </w:r>
          </w:p>
        </w:tc>
      </w:tr>
      <w:tr>
        <w:trPr>
          <w:trHeight w:val="223"/>
        </w:trPr>
        <w:tc>
          <w:tcPr>
            <w:tcW w:w="20" w:type="dxa"/>
            <w:vAlign w:val="bottom"/>
          </w:tcPr>
          <w:p>
            <w:pPr>
              <w:spacing w:after="0"/>
              <w:rPr>
                <w:sz w:val="19"/>
                <w:szCs w:val="19"/>
                <w:color w:val="auto"/>
              </w:rPr>
            </w:pPr>
          </w:p>
        </w:tc>
        <w:tc>
          <w:tcPr>
            <w:tcW w:w="7540" w:type="dxa"/>
            <w:vAlign w:val="bottom"/>
            <w:gridSpan w:val="2"/>
          </w:tcPr>
          <w:p>
            <w:pPr>
              <w:ind w:left="660"/>
              <w:spacing w:after="0"/>
              <w:rPr>
                <w:sz w:val="20"/>
                <w:szCs w:val="20"/>
                <w:color w:val="auto"/>
              </w:rPr>
            </w:pPr>
            <w:r>
              <w:rPr>
                <w:rFonts w:ascii="Arial" w:cs="Arial" w:eastAsia="Arial" w:hAnsi="Arial"/>
                <w:sz w:val="18"/>
                <w:szCs w:val="18"/>
                <w:color w:val="auto"/>
              </w:rPr>
              <w:t>Total operating revenues</w:t>
            </w:r>
          </w:p>
        </w:tc>
        <w:tc>
          <w:tcPr>
            <w:tcW w:w="1100" w:type="dxa"/>
            <w:vAlign w:val="bottom"/>
            <w:tcBorders>
              <w:bottom w:val="single" w:sz="8" w:color="auto"/>
            </w:tcBorders>
          </w:tcPr>
          <w:p>
            <w:pPr>
              <w:jc w:val="right"/>
              <w:ind w:right="899"/>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12,551</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ind w:right="89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12,570</w:t>
            </w: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spacing w:after="0"/>
              <w:rPr>
                <w:sz w:val="14"/>
                <w:szCs w:val="14"/>
                <w:color w:val="auto"/>
              </w:rPr>
            </w:pPr>
          </w:p>
        </w:tc>
        <w:tc>
          <w:tcPr>
            <w:tcW w:w="5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80" w:type="dxa"/>
            <w:vAlign w:val="bottom"/>
          </w:tcPr>
          <w:p>
            <w:pPr>
              <w:spacing w:after="0"/>
              <w:rPr>
                <w:sz w:val="14"/>
                <w:szCs w:val="14"/>
                <w:color w:val="auto"/>
              </w:rPr>
            </w:pPr>
          </w:p>
        </w:tc>
      </w:tr>
    </w:tbl>
    <w:p>
      <w:pPr>
        <w:spacing w:after="0" w:line="62" w:lineRule="exact"/>
        <w:rPr>
          <w:sz w:val="20"/>
          <w:szCs w:val="20"/>
          <w:color w:val="auto"/>
        </w:rPr>
      </w:pPr>
    </w:p>
    <w:p>
      <w:pPr>
        <w:ind w:left="340" w:hanging="332"/>
        <w:spacing w:after="0" w:line="231" w:lineRule="auto"/>
        <w:tabs>
          <w:tab w:leader="none" w:pos="334"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Loyalty revenue included in passenger revenue is principally comprised of mileage credit redemptions, which were earned from travel or co-branded credit card and other partners.</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is our total passenger revenue by geographic region (in millions):</w:t>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7540" w:type="dxa"/>
            <w:vAlign w:val="bottom"/>
          </w:tcPr>
          <w:p>
            <w:pPr>
              <w:spacing w:after="0"/>
              <w:rPr>
                <w:sz w:val="17"/>
                <w:szCs w:val="17"/>
                <w:color w:val="auto"/>
              </w:rPr>
            </w:pPr>
          </w:p>
        </w:tc>
        <w:tc>
          <w:tcPr>
            <w:tcW w:w="300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Three Months Ended March 31,</w:t>
            </w:r>
          </w:p>
        </w:tc>
        <w:tc>
          <w:tcPr>
            <w:tcW w:w="660" w:type="dxa"/>
            <w:vAlign w:val="bottom"/>
            <w:tcBorders>
              <w:bottom w:val="single" w:sz="8" w:color="auto"/>
            </w:tcBorders>
          </w:tcPr>
          <w:p>
            <w:pPr>
              <w:spacing w:after="0"/>
              <w:rPr>
                <w:sz w:val="17"/>
                <w:szCs w:val="17"/>
                <w:color w:val="auto"/>
              </w:rPr>
            </w:pPr>
          </w:p>
        </w:tc>
      </w:tr>
      <w:tr>
        <w:trPr>
          <w:trHeight w:val="210"/>
        </w:trPr>
        <w:tc>
          <w:tcPr>
            <w:tcW w:w="754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60" w:type="dxa"/>
            <w:vAlign w:val="bottom"/>
            <w:tcBorders>
              <w:bottom w:val="single" w:sz="8" w:color="auto"/>
            </w:tcBorders>
          </w:tcPr>
          <w:p>
            <w:pPr>
              <w:spacing w:after="0"/>
              <w:rPr>
                <w:sz w:val="18"/>
                <w:szCs w:val="18"/>
                <w:color w:val="auto"/>
              </w:rPr>
            </w:pPr>
          </w:p>
        </w:tc>
      </w:tr>
      <w:tr>
        <w:trPr>
          <w:trHeight w:val="224"/>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8,262</w:t>
            </w:r>
          </w:p>
        </w:tc>
      </w:tr>
      <w:tr>
        <w:trPr>
          <w:trHeight w:val="230"/>
        </w:trPr>
        <w:tc>
          <w:tcPr>
            <w:tcW w:w="754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1,906</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1,902</w:t>
            </w:r>
          </w:p>
        </w:tc>
      </w:tr>
      <w:tr>
        <w:trPr>
          <w:trHeight w:val="229"/>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Atlantic</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r>
      <w:tr>
        <w:trPr>
          <w:trHeight w:val="230"/>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Pacific</w:t>
            </w:r>
          </w:p>
        </w:tc>
        <w:tc>
          <w:tcPr>
            <w:tcW w:w="1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r>
      <w:tr>
        <w:trPr>
          <w:trHeight w:val="248"/>
        </w:trPr>
        <w:tc>
          <w:tcPr>
            <w:tcW w:w="7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passenger revenue</w:t>
            </w:r>
          </w:p>
        </w:tc>
        <w:tc>
          <w:tcPr>
            <w:tcW w:w="112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11,391</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11,458</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attribute passenger revenue by geographic region based upon the origin and destination of each flight segment.</w:t>
      </w:r>
    </w:p>
    <w:p>
      <w:pPr>
        <w:spacing w:after="0" w:line="25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Contract Balances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Our significant contract liabilities are comprised of (1) outstanding loyalty program mileage credits that may be redeemed for future air travel, non-air travel and other awards, reported as loyalty program liability on the condensed consolidated balance sheets and (2) ticket sales for transportation that has not yet been provided, reported as air traffic liability on the condensed consolidated balance sheets.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7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March 31, 2025</w:t>
            </w: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196"/>
        </w:trPr>
        <w:tc>
          <w:tcPr>
            <w:tcW w:w="37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80" w:type="dxa"/>
            <w:vAlign w:val="bottom"/>
            <w:gridSpan w:val="4"/>
          </w:tcPr>
          <w:p>
            <w:pPr>
              <w:jc w:val="right"/>
              <w:ind w:right="1335"/>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Loyalty program liability</w:t>
            </w:r>
          </w:p>
        </w:tc>
        <w:tc>
          <w:tcPr>
            <w:tcW w:w="4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10,054</w:t>
            </w:r>
          </w:p>
        </w:tc>
        <w:tc>
          <w:tcPr>
            <w:tcW w:w="0" w:type="dxa"/>
            <w:vAlign w:val="bottom"/>
          </w:tcPr>
          <w:p>
            <w:pPr>
              <w:spacing w:after="0"/>
              <w:rPr>
                <w:sz w:val="1"/>
                <w:szCs w:val="1"/>
                <w:color w:val="auto"/>
              </w:rPr>
            </w:pPr>
          </w:p>
        </w:tc>
      </w:tr>
      <w:tr>
        <w:trPr>
          <w:trHeight w:val="230"/>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Air traffic liability</w:t>
            </w:r>
          </w:p>
        </w:tc>
        <w:tc>
          <w:tcPr>
            <w:tcW w:w="38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6,759</w:t>
            </w:r>
          </w:p>
        </w:tc>
        <w:tc>
          <w:tcPr>
            <w:tcW w:w="0" w:type="dxa"/>
            <w:vAlign w:val="bottom"/>
          </w:tcPr>
          <w:p>
            <w:pPr>
              <w:spacing w:after="0"/>
              <w:rPr>
                <w:sz w:val="1"/>
                <w:szCs w:val="1"/>
                <w:color w:val="auto"/>
              </w:rPr>
            </w:pPr>
          </w:p>
        </w:tc>
      </w:tr>
      <w:tr>
        <w:trPr>
          <w:trHeight w:val="248"/>
        </w:trPr>
        <w:tc>
          <w:tcPr>
            <w:tcW w:w="3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8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16,813</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bottom w:val="single" w:sz="8" w:color="CCEEFF"/>
            </w:tcBorders>
            <w:vMerge w:val="restart"/>
          </w:tcPr>
          <w:p>
            <w:pPr>
              <w:jc w:val="right"/>
              <w:ind w:right="1790"/>
              <w:spacing w:after="0"/>
              <w:rPr>
                <w:sz w:val="20"/>
                <w:szCs w:val="20"/>
                <w:color w:val="auto"/>
              </w:rPr>
            </w:pPr>
            <w:r>
              <w:rPr>
                <w:rFonts w:ascii="Arial" w:cs="Arial" w:eastAsia="Arial" w:hAnsi="Arial"/>
                <w:sz w:val="18"/>
                <w:szCs w:val="18"/>
                <w:color w:val="auto"/>
              </w:rPr>
              <w:t>12</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0"/>
        </w:trPr>
        <w:tc>
          <w:tcPr>
            <w:tcW w:w="3720" w:type="dxa"/>
            <w:vAlign w:val="bottom"/>
          </w:tcPr>
          <w:p>
            <w:pPr>
              <w:spacing w:after="0"/>
              <w:rPr>
                <w:sz w:val="24"/>
                <w:szCs w:val="24"/>
                <w:color w:val="auto"/>
              </w:rPr>
            </w:pPr>
          </w:p>
        </w:tc>
        <w:tc>
          <w:tcPr>
            <w:tcW w:w="38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720" w:type="dxa"/>
            <w:vAlign w:val="bottom"/>
            <w:tcBorders>
              <w:bottom w:val="single" w:sz="8" w:color="9A9A9A"/>
            </w:tcBorders>
          </w:tcPr>
          <w:p>
            <w:pPr>
              <w:spacing w:after="0"/>
              <w:rPr>
                <w:sz w:val="9"/>
                <w:szCs w:val="9"/>
                <w:color w:val="auto"/>
              </w:rPr>
            </w:pPr>
          </w:p>
        </w:tc>
        <w:tc>
          <w:tcPr>
            <w:tcW w:w="38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-1173480</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296"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61"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balance of the loyalty program liability fluctuates based on seasonal patterns, which impact the volume of mileage credits issued through travel or sold to co-branded credit card and other partners (deferral of revenue) and mileage credits redeemed (recognition of revenue). Changes in loyalty program liability are as follows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2024</w:t>
            </w: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10,054</w:t>
            </w:r>
          </w:p>
        </w:tc>
      </w:tr>
      <w:tr>
        <w:trPr>
          <w:trHeight w:val="230"/>
        </w:trPr>
        <w:tc>
          <w:tcPr>
            <w:tcW w:w="9540" w:type="dxa"/>
            <w:vAlign w:val="bottom"/>
            <w:gridSpan w:val="2"/>
          </w:tcPr>
          <w:p>
            <w:pPr>
              <w:ind w:left="220"/>
              <w:spacing w:after="0"/>
              <w:rPr>
                <w:sz w:val="20"/>
                <w:szCs w:val="20"/>
                <w:color w:val="auto"/>
              </w:rPr>
            </w:pPr>
            <w:r>
              <w:rPr>
                <w:rFonts w:ascii="Arial" w:cs="Arial" w:eastAsia="Arial" w:hAnsi="Arial"/>
                <w:sz w:val="18"/>
                <w:szCs w:val="18"/>
                <w:color w:val="auto"/>
              </w:rPr>
              <w:t>Deferral of revenue</w:t>
            </w: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1,204</w:t>
            </w:r>
          </w:p>
        </w:tc>
      </w:tr>
      <w:tr>
        <w:trPr>
          <w:trHeight w:val="229"/>
        </w:trPr>
        <w:tc>
          <w:tcPr>
            <w:tcW w:w="9540" w:type="dxa"/>
            <w:vAlign w:val="bottom"/>
            <w:gridSpan w:val="2"/>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Recognition of revenue </w:t>
            </w:r>
            <w:r>
              <w:rPr>
                <w:rFonts w:ascii="Arial" w:cs="Arial" w:eastAsia="Arial" w:hAnsi="Arial"/>
                <w:sz w:val="23"/>
                <w:szCs w:val="23"/>
                <w:color w:val="auto"/>
                <w:vertAlign w:val="superscript"/>
              </w:rPr>
              <w:t>(1)</w:t>
            </w:r>
          </w:p>
        </w:tc>
        <w:tc>
          <w:tcPr>
            <w:tcW w:w="6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w:t>
            </w:r>
          </w:p>
        </w:tc>
      </w:tr>
      <w:tr>
        <w:trPr>
          <w:trHeight w:val="223"/>
        </w:trPr>
        <w:tc>
          <w:tcPr>
            <w:tcW w:w="9540" w:type="dxa"/>
            <w:vAlign w:val="bottom"/>
            <w:gridSpan w:val="2"/>
          </w:tcPr>
          <w:p>
            <w:pPr>
              <w:ind w:left="20"/>
              <w:spacing w:after="0" w:line="223" w:lineRule="exact"/>
              <w:rPr>
                <w:sz w:val="20"/>
                <w:szCs w:val="20"/>
                <w:color w:val="auto"/>
              </w:rPr>
            </w:pPr>
            <w:r>
              <w:rPr>
                <w:rFonts w:ascii="Arial" w:cs="Arial" w:eastAsia="Arial" w:hAnsi="Arial"/>
                <w:sz w:val="18"/>
                <w:szCs w:val="18"/>
                <w:color w:val="auto"/>
              </w:rPr>
              <w:t xml:space="preserve">Balance at March 31, 2025 </w:t>
            </w:r>
            <w:r>
              <w:rPr>
                <w:rFonts w:ascii="Arial" w:cs="Arial" w:eastAsia="Arial" w:hAnsi="Arial"/>
                <w:sz w:val="23"/>
                <w:szCs w:val="23"/>
                <w:color w:val="auto"/>
                <w:vertAlign w:val="superscript"/>
              </w:rPr>
              <w:t>(2)</w:t>
            </w: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10,371</w:t>
            </w:r>
          </w:p>
        </w:tc>
      </w:tr>
      <w:tr>
        <w:trPr>
          <w:trHeight w:val="20"/>
        </w:trPr>
        <w:tc>
          <w:tcPr>
            <w:tcW w:w="208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69"/>
        </w:trPr>
        <w:tc>
          <w:tcPr>
            <w:tcW w:w="2080" w:type="dxa"/>
            <w:vAlign w:val="bottom"/>
            <w:tcBorders>
              <w:bottom w:val="single" w:sz="8" w:color="auto"/>
            </w:tcBorders>
          </w:tcPr>
          <w:p>
            <w:pPr>
              <w:spacing w:after="0"/>
              <w:rPr>
                <w:sz w:val="14"/>
                <w:szCs w:val="14"/>
                <w:color w:val="auto"/>
              </w:rPr>
            </w:pPr>
          </w:p>
        </w:tc>
        <w:tc>
          <w:tcPr>
            <w:tcW w:w="7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spacing w:after="0"/>
              <w:rPr>
                <w:sz w:val="14"/>
                <w:szCs w:val="14"/>
                <w:color w:val="auto"/>
              </w:rPr>
            </w:pPr>
          </w:p>
        </w:tc>
      </w:tr>
    </w:tbl>
    <w:p>
      <w:pPr>
        <w:spacing w:after="0" w:line="62" w:lineRule="exact"/>
        <w:rPr>
          <w:sz w:val="20"/>
          <w:szCs w:val="20"/>
          <w:color w:val="auto"/>
        </w:rPr>
      </w:pPr>
    </w:p>
    <w:p>
      <w:pPr>
        <w:jc w:val="both"/>
        <w:ind w:left="340" w:hanging="332"/>
        <w:spacing w:after="0"/>
        <w:tabs>
          <w:tab w:leader="none" w:pos="334"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Principally relates to revenue recognized from the redemption of mileage credits for air travel, non-air travel and other awards. Mileage credits are combined in one homogenous pool and are not separately identifiable. As such, the revenue is comprised of mileage credits that were part of the loyalty program deferred revenue balance at the beginning of the period, as well as mileage credits that were issued during the period.</w:t>
      </w:r>
    </w:p>
    <w:p>
      <w:pPr>
        <w:spacing w:after="0" w:line="140" w:lineRule="exact"/>
        <w:rPr>
          <w:rFonts w:ascii="Arial" w:cs="Arial" w:eastAsia="Arial" w:hAnsi="Arial"/>
          <w:sz w:val="23"/>
          <w:szCs w:val="23"/>
          <w:color w:val="auto"/>
          <w:vertAlign w:val="superscript"/>
        </w:rPr>
      </w:pPr>
    </w:p>
    <w:p>
      <w:pPr>
        <w:jc w:val="both"/>
        <w:ind w:left="340" w:hanging="332"/>
        <w:spacing w:after="0" w:line="242" w:lineRule="auto"/>
        <w:tabs>
          <w:tab w:leader="none" w:pos="334"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Mileage credits can be redeemed at any time and generally do not expire as long as the AAdvantage member has any type of qualifying activity at least every 24 months or if the AAdvantage member is the primary holder of a co-branded credit card. As of March 31, 2025, our current loyalty program liability was $3.7 billion and represents our current estimate of revenue expected to be recognized in the next 12 months based on historical trends, with the balance reflected in long-term loyalty program liability expected to be recognized as revenue in periods thereafter.</w:t>
      </w:r>
    </w:p>
    <w:p>
      <w:pPr>
        <w:spacing w:after="0" w:line="14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air traffic liability principally represents tickets sold for future travel on American and partner airlines. The balance in our air traffic liability also fluctuates with seasonal travel patterns. The contract duration of passenger tickets is generally one year. Accordingly, any revenue associated with tickets sold for future travel will be recognized within 12 months. For the three months ended March 31, 2025, $3.9 billion of revenue was recognized in passenger revenue that was included in our air traffic liability at December 31, 2024.</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296"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Long-term debt included in the condensed consolidated balance sheets consisted of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8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2025</w:t>
            </w:r>
          </w:p>
        </w:tc>
        <w:tc>
          <w:tcPr>
            <w:tcW w:w="180" w:type="dxa"/>
            <w:vAlign w:val="bottom"/>
          </w:tcPr>
          <w:p>
            <w:pPr>
              <w:spacing w:after="0"/>
              <w:rPr>
                <w:sz w:val="17"/>
                <w:szCs w:val="17"/>
                <w:color w:val="auto"/>
              </w:rPr>
            </w:pPr>
          </w:p>
        </w:tc>
        <w:tc>
          <w:tcPr>
            <w:tcW w:w="1600" w:type="dxa"/>
            <w:vAlign w:val="bottom"/>
          </w:tcPr>
          <w:p>
            <w:pPr>
              <w:jc w:val="right"/>
              <w:ind w:right="151"/>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211"/>
        </w:trPr>
        <w:tc>
          <w:tcPr>
            <w:tcW w:w="75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Secured</w:t>
            </w:r>
          </w:p>
        </w:tc>
        <w:tc>
          <w:tcPr>
            <w:tcW w:w="2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56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2013 Term Loan Facility, variable interest rate of 6.57%, installments until due in February</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980</w:t>
            </w:r>
          </w:p>
        </w:tc>
        <w:tc>
          <w:tcPr>
            <w:tcW w:w="12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43"/>
        </w:trPr>
        <w:tc>
          <w:tcPr>
            <w:tcW w:w="2080" w:type="dxa"/>
            <w:vAlign w:val="bottom"/>
          </w:tcPr>
          <w:p>
            <w:pPr>
              <w:ind w:left="300"/>
              <w:spacing w:after="0"/>
              <w:rPr>
                <w:sz w:val="20"/>
                <w:szCs w:val="20"/>
                <w:color w:val="auto"/>
              </w:rPr>
            </w:pPr>
            <w:r>
              <w:rPr>
                <w:rFonts w:ascii="Arial" w:cs="Arial" w:eastAsia="Arial" w:hAnsi="Arial"/>
                <w:sz w:val="18"/>
                <w:szCs w:val="18"/>
                <w:color w:val="auto"/>
              </w:rPr>
              <w:t>2028</w:t>
            </w:r>
          </w:p>
        </w:tc>
        <w:tc>
          <w:tcPr>
            <w:tcW w:w="5480" w:type="dxa"/>
            <w:vAlign w:val="bottom"/>
          </w:tcPr>
          <w:p>
            <w:pPr>
              <w:spacing w:after="0"/>
              <w:rPr>
                <w:sz w:val="21"/>
                <w:szCs w:val="21"/>
                <w:color w:val="auto"/>
              </w:rPr>
            </w:pPr>
          </w:p>
        </w:tc>
        <w:tc>
          <w:tcPr>
            <w:tcW w:w="260" w:type="dxa"/>
            <w:vAlign w:val="bottom"/>
            <w:vMerge w:val="continue"/>
          </w:tcPr>
          <w:p>
            <w:pPr>
              <w:spacing w:after="0"/>
              <w:rPr>
                <w:sz w:val="21"/>
                <w:szCs w:val="21"/>
                <w:color w:val="auto"/>
              </w:rPr>
            </w:pPr>
          </w:p>
        </w:tc>
        <w:tc>
          <w:tcPr>
            <w:tcW w:w="15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vMerge w:val="continue"/>
          </w:tcPr>
          <w:p>
            <w:pPr>
              <w:spacing w:after="0"/>
              <w:rPr>
                <w:sz w:val="21"/>
                <w:szCs w:val="21"/>
                <w:color w:val="auto"/>
              </w:rPr>
            </w:pPr>
          </w:p>
        </w:tc>
        <w:tc>
          <w:tcPr>
            <w:tcW w:w="1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756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2014 Term Loan Facility, variable interest rate of 6.17%, installments until due in January</w:t>
            </w:r>
          </w:p>
        </w:tc>
        <w:tc>
          <w:tcPr>
            <w:tcW w:w="26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2027</w:t>
            </w:r>
          </w:p>
        </w:tc>
        <w:tc>
          <w:tcPr>
            <w:tcW w:w="54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2023 Term Loan Facility, variable interest rate of 6.51%, installments until due in June 2029</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1,089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30"/>
        </w:trPr>
        <w:tc>
          <w:tcPr>
            <w:tcW w:w="7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10.75% senior secured IP notes, interest only payments until due in February 2026</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29"/>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10.75% senior secured LGA/DCA notes, interest only payments until due in February 2026</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9"/>
        </w:trPr>
        <w:tc>
          <w:tcPr>
            <w:tcW w:w="7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7.25% senior secured notes, interest only payments until due in February 2028</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30"/>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8.50% senior secured notes, interest only payments until due in May 2029</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756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5.50% senior secured notes, installments until due in April 2026 </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29"/>
        </w:trPr>
        <w:tc>
          <w:tcPr>
            <w:tcW w:w="756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5.75% senior secured notes, installments beginning in July 2026 until due in April 2029 </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176"/>
        </w:trPr>
        <w:tc>
          <w:tcPr>
            <w:tcW w:w="756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AAdvantage Term Loan Facility, variable interest rate of 6.55%, installments until due in April</w:t>
            </w:r>
          </w:p>
        </w:tc>
        <w:tc>
          <w:tcPr>
            <w:tcW w:w="26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2,275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2,450</w:t>
            </w: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300"/>
              <w:spacing w:after="0" w:line="243" w:lineRule="exact"/>
              <w:rPr>
                <w:sz w:val="20"/>
                <w:szCs w:val="20"/>
                <w:color w:val="auto"/>
              </w:rPr>
            </w:pPr>
            <w:r>
              <w:rPr>
                <w:rFonts w:ascii="Arial" w:cs="Arial" w:eastAsia="Arial" w:hAnsi="Arial"/>
                <w:sz w:val="18"/>
                <w:szCs w:val="18"/>
                <w:color w:val="auto"/>
              </w:rPr>
              <w:t xml:space="preserve">2028 </w:t>
            </w:r>
            <w:r>
              <w:rPr>
                <w:rFonts w:ascii="Arial" w:cs="Arial" w:eastAsia="Arial" w:hAnsi="Arial"/>
                <w:sz w:val="23"/>
                <w:szCs w:val="23"/>
                <w:color w:val="auto"/>
                <w:vertAlign w:val="superscript"/>
              </w:rPr>
              <w:t>(1)</w:t>
            </w:r>
          </w:p>
        </w:tc>
        <w:tc>
          <w:tcPr>
            <w:tcW w:w="54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756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Enhanced equipment trust certificates (EETCs), fixed interest rates ranging from 2.88% to</w:t>
            </w:r>
          </w:p>
        </w:tc>
        <w:tc>
          <w:tcPr>
            <w:tcW w:w="260" w:type="dxa"/>
            <w:vAlign w:val="bottom"/>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6,894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7,271</w:t>
            </w:r>
          </w:p>
        </w:tc>
        <w:tc>
          <w:tcPr>
            <w:tcW w:w="0" w:type="dxa"/>
            <w:vAlign w:val="bottom"/>
          </w:tcPr>
          <w:p>
            <w:pPr>
              <w:spacing w:after="0"/>
              <w:rPr>
                <w:sz w:val="1"/>
                <w:szCs w:val="1"/>
                <w:color w:val="auto"/>
              </w:rPr>
            </w:pPr>
          </w:p>
        </w:tc>
      </w:tr>
      <w:tr>
        <w:trPr>
          <w:trHeight w:val="243"/>
        </w:trPr>
        <w:tc>
          <w:tcPr>
            <w:tcW w:w="7560" w:type="dxa"/>
            <w:vAlign w:val="bottom"/>
            <w:gridSpan w:val="2"/>
          </w:tcPr>
          <w:p>
            <w:pPr>
              <w:ind w:left="300"/>
              <w:spacing w:after="0"/>
              <w:rPr>
                <w:sz w:val="20"/>
                <w:szCs w:val="20"/>
                <w:color w:val="auto"/>
              </w:rPr>
            </w:pPr>
            <w:r>
              <w:rPr>
                <w:rFonts w:ascii="Arial" w:cs="Arial" w:eastAsia="Arial" w:hAnsi="Arial"/>
                <w:sz w:val="18"/>
                <w:szCs w:val="18"/>
                <w:color w:val="auto"/>
              </w:rPr>
              <w:t>7.15%, averaging 3.80%, maturing from 2025 to 2034</w:t>
            </w:r>
          </w:p>
        </w:tc>
        <w:tc>
          <w:tcPr>
            <w:tcW w:w="260" w:type="dxa"/>
            <w:vAlign w:val="bottom"/>
          </w:tcPr>
          <w:p>
            <w:pPr>
              <w:spacing w:after="0"/>
              <w:rPr>
                <w:sz w:val="21"/>
                <w:szCs w:val="21"/>
                <w:color w:val="auto"/>
              </w:rPr>
            </w:pPr>
          </w:p>
        </w:tc>
        <w:tc>
          <w:tcPr>
            <w:tcW w:w="15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756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Equipment loans and other notes payable, fixed and variable interest rates ranging from</w:t>
            </w:r>
          </w:p>
        </w:tc>
        <w:tc>
          <w:tcPr>
            <w:tcW w:w="26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4,325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4,094</w:t>
            </w:r>
          </w:p>
        </w:tc>
        <w:tc>
          <w:tcPr>
            <w:tcW w:w="0" w:type="dxa"/>
            <w:vAlign w:val="bottom"/>
          </w:tcPr>
          <w:p>
            <w:pPr>
              <w:spacing w:after="0"/>
              <w:rPr>
                <w:sz w:val="1"/>
                <w:szCs w:val="1"/>
                <w:color w:val="auto"/>
              </w:rPr>
            </w:pPr>
          </w:p>
        </w:tc>
      </w:tr>
      <w:tr>
        <w:trPr>
          <w:trHeight w:val="243"/>
        </w:trPr>
        <w:tc>
          <w:tcPr>
            <w:tcW w:w="7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2.55% to 6.94%, averaging 6.02%, maturing from 2025 to 2037</w:t>
            </w:r>
          </w:p>
        </w:tc>
        <w:tc>
          <w:tcPr>
            <w:tcW w:w="260" w:type="dxa"/>
            <w:vAlign w:val="bottom"/>
            <w:shd w:val="clear" w:color="auto" w:fill="CCEEFF"/>
          </w:tcPr>
          <w:p>
            <w:pPr>
              <w:spacing w:after="0"/>
              <w:rPr>
                <w:sz w:val="21"/>
                <w:szCs w:val="21"/>
                <w:color w:val="auto"/>
              </w:rPr>
            </w:pPr>
          </w:p>
        </w:tc>
        <w:tc>
          <w:tcPr>
            <w:tcW w:w="15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756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Special facility revenue bonds, fixed interest rates ranging from 2.25% to 5.38%, maturing</w:t>
            </w:r>
          </w:p>
        </w:tc>
        <w:tc>
          <w:tcPr>
            <w:tcW w:w="260" w:type="dxa"/>
            <w:vAlign w:val="bottom"/>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880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43"/>
        </w:trPr>
        <w:tc>
          <w:tcPr>
            <w:tcW w:w="7560" w:type="dxa"/>
            <w:vAlign w:val="bottom"/>
            <w:tcBorders>
              <w:bottom w:val="single" w:sz="8" w:color="CCEEFF"/>
            </w:tcBorders>
            <w:gridSpan w:val="2"/>
          </w:tcPr>
          <w:p>
            <w:pPr>
              <w:ind w:left="300"/>
              <w:spacing w:after="0"/>
              <w:rPr>
                <w:sz w:val="20"/>
                <w:szCs w:val="20"/>
                <w:color w:val="auto"/>
              </w:rPr>
            </w:pPr>
            <w:r>
              <w:rPr>
                <w:rFonts w:ascii="Arial" w:cs="Arial" w:eastAsia="Arial" w:hAnsi="Arial"/>
                <w:sz w:val="18"/>
                <w:szCs w:val="18"/>
                <w:color w:val="auto"/>
              </w:rPr>
              <w:t>from 2026 to 2036</w:t>
            </w:r>
          </w:p>
        </w:tc>
        <w:tc>
          <w:tcPr>
            <w:tcW w:w="2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80" w:type="dxa"/>
            <w:vAlign w:val="bottom"/>
            <w:shd w:val="clear" w:color="auto" w:fill="CCEEFF"/>
          </w:tcPr>
          <w:p>
            <w:pPr>
              <w:spacing w:after="0"/>
              <w:rPr>
                <w:sz w:val="19"/>
                <w:szCs w:val="19"/>
                <w:color w:val="auto"/>
              </w:rPr>
            </w:pPr>
          </w:p>
        </w:tc>
        <w:tc>
          <w:tcPr>
            <w:tcW w:w="54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24,439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25,372</w:t>
            </w:r>
          </w:p>
        </w:tc>
        <w:tc>
          <w:tcPr>
            <w:tcW w:w="0" w:type="dxa"/>
            <w:vAlign w:val="bottom"/>
          </w:tcPr>
          <w:p>
            <w:pPr>
              <w:spacing w:after="0"/>
              <w:rPr>
                <w:sz w:val="1"/>
                <w:szCs w:val="1"/>
                <w:color w:val="auto"/>
              </w:rPr>
            </w:pPr>
          </w:p>
        </w:tc>
      </w:tr>
      <w:tr>
        <w:trPr>
          <w:trHeight w:val="210"/>
        </w:trPr>
        <w:tc>
          <w:tcPr>
            <w:tcW w:w="7560" w:type="dxa"/>
            <w:vAlign w:val="bottom"/>
            <w:gridSpan w:val="2"/>
          </w:tcPr>
          <w:p>
            <w:pPr>
              <w:ind w:left="20"/>
              <w:spacing w:after="0"/>
              <w:rPr>
                <w:sz w:val="20"/>
                <w:szCs w:val="20"/>
                <w:color w:val="auto"/>
              </w:rPr>
            </w:pPr>
            <w:r>
              <w:rPr>
                <w:rFonts w:ascii="Arial" w:cs="Arial" w:eastAsia="Arial" w:hAnsi="Arial"/>
                <w:sz w:val="18"/>
                <w:szCs w:val="18"/>
                <w:i w:val="1"/>
                <w:iCs w:val="1"/>
                <w:color w:val="auto"/>
              </w:rPr>
              <w:t>Unsecured</w:t>
            </w: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PSP1 Promissory Note, interest only payments until due in April 2030</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w:t>
            </w:r>
          </w:p>
        </w:tc>
        <w:tc>
          <w:tcPr>
            <w:tcW w:w="0" w:type="dxa"/>
            <w:vAlign w:val="bottom"/>
          </w:tcPr>
          <w:p>
            <w:pPr>
              <w:spacing w:after="0"/>
              <w:rPr>
                <w:sz w:val="1"/>
                <w:szCs w:val="1"/>
                <w:color w:val="auto"/>
              </w:rPr>
            </w:pPr>
          </w:p>
        </w:tc>
      </w:tr>
      <w:tr>
        <w:trPr>
          <w:trHeight w:val="230"/>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PSP2 Promissory Note, interest only payments until due in January 2031</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29"/>
        </w:trPr>
        <w:tc>
          <w:tcPr>
            <w:tcW w:w="7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PSP3 Promissory Note, interest only payments until due in April 2031</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30"/>
        </w:trPr>
        <w:tc>
          <w:tcPr>
            <w:tcW w:w="75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6.50% convertible senior notes, interest only payments until due in July 2025</w:t>
            </w: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2080" w:type="dxa"/>
            <w:vAlign w:val="bottom"/>
            <w:shd w:val="clear" w:color="auto" w:fill="CCEEFF"/>
          </w:tcPr>
          <w:p>
            <w:pPr>
              <w:spacing w:after="0"/>
              <w:rPr>
                <w:sz w:val="19"/>
                <w:szCs w:val="19"/>
                <w:color w:val="auto"/>
              </w:rPr>
            </w:pPr>
          </w:p>
        </w:tc>
        <w:tc>
          <w:tcPr>
            <w:tcW w:w="54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4,746</w:t>
            </w:r>
          </w:p>
        </w:tc>
        <w:tc>
          <w:tcPr>
            <w:tcW w:w="0" w:type="dxa"/>
            <w:vAlign w:val="bottom"/>
          </w:tcPr>
          <w:p>
            <w:pPr>
              <w:spacing w:after="0"/>
              <w:rPr>
                <w:sz w:val="1"/>
                <w:szCs w:val="1"/>
                <w:color w:val="auto"/>
              </w:rPr>
            </w:pPr>
          </w:p>
        </w:tc>
      </w:tr>
      <w:tr>
        <w:trPr>
          <w:trHeight w:val="223"/>
        </w:trPr>
        <w:tc>
          <w:tcPr>
            <w:tcW w:w="7560" w:type="dxa"/>
            <w:vAlign w:val="bottom"/>
            <w:gridSpan w:val="2"/>
          </w:tcPr>
          <w:p>
            <w:pPr>
              <w:ind w:left="20"/>
              <w:spacing w:after="0"/>
              <w:rPr>
                <w:sz w:val="20"/>
                <w:szCs w:val="20"/>
                <w:color w:val="auto"/>
              </w:rPr>
            </w:pPr>
            <w:r>
              <w:rPr>
                <w:rFonts w:ascii="Arial" w:cs="Arial" w:eastAsia="Arial" w:hAnsi="Arial"/>
                <w:sz w:val="18"/>
                <w:szCs w:val="18"/>
                <w:color w:val="auto"/>
              </w:rPr>
              <w:t>Total long-term debt</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29,185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30,118</w:t>
            </w:r>
          </w:p>
        </w:tc>
        <w:tc>
          <w:tcPr>
            <w:tcW w:w="0" w:type="dxa"/>
            <w:vAlign w:val="bottom"/>
          </w:tcPr>
          <w:p>
            <w:pPr>
              <w:spacing w:after="0"/>
              <w:rPr>
                <w:sz w:val="1"/>
                <w:szCs w:val="1"/>
                <w:color w:val="auto"/>
              </w:rPr>
            </w:pPr>
          </w:p>
        </w:tc>
      </w:tr>
      <w:tr>
        <w:trPr>
          <w:trHeight w:val="230"/>
        </w:trPr>
        <w:tc>
          <w:tcPr>
            <w:tcW w:w="7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Less: Total unamortized debt discount, premium and issuance costs</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30"/>
        </w:trPr>
        <w:tc>
          <w:tcPr>
            <w:tcW w:w="75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Less: Current maturities</w:t>
            </w: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5,196</w:t>
            </w:r>
          </w:p>
        </w:tc>
        <w:tc>
          <w:tcPr>
            <w:tcW w:w="0" w:type="dxa"/>
            <w:vAlign w:val="bottom"/>
          </w:tcPr>
          <w:p>
            <w:pPr>
              <w:spacing w:after="0"/>
              <w:rPr>
                <w:sz w:val="1"/>
                <w:szCs w:val="1"/>
                <w:color w:val="auto"/>
              </w:rPr>
            </w:pPr>
          </w:p>
        </w:tc>
      </w:tr>
      <w:tr>
        <w:trPr>
          <w:trHeight w:val="248"/>
        </w:trPr>
        <w:tc>
          <w:tcPr>
            <w:tcW w:w="75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Long-term debt, net of current maturities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24,617</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80" w:type="dxa"/>
            <w:vAlign w:val="bottom"/>
            <w:tcBorders>
              <w:bottom w:val="single" w:sz="8" w:color="auto"/>
            </w:tcBorders>
          </w:tcPr>
          <w:p>
            <w:pPr>
              <w:spacing w:after="0"/>
              <w:rPr>
                <w:sz w:val="13"/>
                <w:szCs w:val="13"/>
                <w:color w:val="auto"/>
              </w:rPr>
            </w:pPr>
          </w:p>
        </w:tc>
        <w:tc>
          <w:tcPr>
            <w:tcW w:w="5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Collectively referred to as the AAdvantage Financing.</w:t>
      </w:r>
    </w:p>
    <w:p>
      <w:pPr>
        <w:spacing w:after="0" w:line="13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March 31, 2025, the maximum availability under our revolving credit and other facilities is as follows (in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2013 Revolving Facility </w:t>
            </w:r>
            <w:r>
              <w:rPr>
                <w:rFonts w:ascii="Arial" w:cs="Arial" w:eastAsia="Arial" w:hAnsi="Arial"/>
                <w:sz w:val="23"/>
                <w:szCs w:val="23"/>
                <w:color w:val="auto"/>
                <w:vertAlign w:val="superscript"/>
              </w:rPr>
              <w:t>(1)</w:t>
            </w: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94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2014 Revolving Facility </w:t>
            </w:r>
            <w:r>
              <w:rPr>
                <w:rFonts w:ascii="Arial" w:cs="Arial" w:eastAsia="Arial" w:hAnsi="Arial"/>
                <w:sz w:val="23"/>
                <w:szCs w:val="23"/>
                <w:color w:val="auto"/>
                <w:vertAlign w:val="superscript"/>
              </w:rPr>
              <w:t>(1)</w:t>
            </w:r>
          </w:p>
        </w:tc>
        <w:tc>
          <w:tcPr>
            <w:tcW w:w="6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1,500</w:t>
            </w:r>
          </w:p>
        </w:tc>
      </w:tr>
      <w:tr>
        <w:trPr>
          <w:trHeight w:val="230"/>
        </w:trPr>
        <w:tc>
          <w:tcPr>
            <w:tcW w:w="94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2023 Revolving Facility </w:t>
            </w:r>
            <w:r>
              <w:rPr>
                <w:rFonts w:ascii="Arial" w:cs="Arial" w:eastAsia="Arial" w:hAnsi="Arial"/>
                <w:sz w:val="23"/>
                <w:szCs w:val="23"/>
                <w:color w:val="auto"/>
                <w:vertAlign w:val="superscript"/>
              </w:rPr>
              <w:t>(1)</w:t>
            </w:r>
          </w:p>
        </w:tc>
        <w:tc>
          <w:tcPr>
            <w:tcW w:w="6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r>
      <w:tr>
        <w:trPr>
          <w:trHeight w:val="230"/>
        </w:trPr>
        <w:tc>
          <w:tcPr>
            <w:tcW w:w="946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Other facilities </w:t>
            </w:r>
            <w:r>
              <w:rPr>
                <w:rFonts w:ascii="Arial" w:cs="Arial" w:eastAsia="Arial" w:hAnsi="Arial"/>
                <w:sz w:val="23"/>
                <w:szCs w:val="23"/>
                <w:color w:val="auto"/>
                <w:vertAlign w:val="superscript"/>
              </w:rPr>
              <w:t>(2)</w:t>
            </w:r>
          </w:p>
        </w:tc>
        <w:tc>
          <w:tcPr>
            <w:tcW w:w="6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r>
      <w:tr>
        <w:trPr>
          <w:trHeight w:val="248"/>
        </w:trPr>
        <w:tc>
          <w:tcPr>
            <w:tcW w:w="94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3,290</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73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2080" w:type="dxa"/>
            <w:vAlign w:val="bottom"/>
            <w:tcBorders>
              <w:bottom w:val="single" w:sz="8" w:color="auto"/>
            </w:tcBorders>
          </w:tcPr>
          <w:p>
            <w:pPr>
              <w:spacing w:after="0"/>
              <w:rPr>
                <w:sz w:val="13"/>
                <w:szCs w:val="13"/>
                <w:color w:val="auto"/>
              </w:rPr>
            </w:pPr>
          </w:p>
        </w:tc>
        <w:tc>
          <w:tcPr>
            <w:tcW w:w="7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00" w:type="dxa"/>
            <w:vAlign w:val="bottom"/>
          </w:tcPr>
          <w:p>
            <w:pPr>
              <w:spacing w:after="0"/>
              <w:rPr>
                <w:sz w:val="13"/>
                <w:szCs w:val="13"/>
                <w:color w:val="auto"/>
              </w:rPr>
            </w:pPr>
          </w:p>
        </w:tc>
      </w:tr>
    </w:tbl>
    <w:p>
      <w:pPr>
        <w:spacing w:after="0" w:line="76" w:lineRule="exact"/>
        <w:rPr>
          <w:sz w:val="20"/>
          <w:szCs w:val="20"/>
          <w:color w:val="auto"/>
        </w:rPr>
      </w:pPr>
    </w:p>
    <w:p>
      <w:pPr>
        <w:ind w:left="340" w:hanging="332"/>
        <w:spacing w:after="0" w:line="231" w:lineRule="auto"/>
        <w:tabs>
          <w:tab w:leader="none" w:pos="334"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On April 21, 2025, the aggregate revolving commitments under the 2013, 2014 and 2023 Revolving Facilities were increased from $2.9 billion to $3.0 billion. No other terms were changed and there were no borrowings outstanding under the facilities.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296"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61" w:lineRule="exact"/>
        <w:rPr>
          <w:sz w:val="20"/>
          <w:szCs w:val="20"/>
          <w:color w:val="auto"/>
        </w:rPr>
      </w:pPr>
    </w:p>
    <w:p>
      <w:pPr>
        <w:jc w:val="both"/>
        <w:ind w:left="340" w:hanging="332"/>
        <w:spacing w:after="0" w:line="237" w:lineRule="auto"/>
        <w:tabs>
          <w:tab w:leader="none" w:pos="334"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Includes a revolving credit facility that provides for borrowing capacity of up to $350 million, maturing in March 2027 with an option to extend for an additional year. As of March 31, 2025, there were no amounts drawn under this facility. Additionally, American currently has $50 million of available borrowing base under a cargo receivables facility that is set to expire in December 2025.</w:t>
      </w:r>
    </w:p>
    <w:p>
      <w:pPr>
        <w:spacing w:after="0" w:line="14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Secured financings, including revolving credit and other facilities, are collateralized by assets, consisting primarily of aircraft, engines, simulators, airport gate leasehold rights, route authorities, airport slots, certain receivables, certain intellectual property and certain loyalty program assets.</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AAdvantage Term Loan Facility</w:t>
      </w:r>
    </w:p>
    <w:p>
      <w:pPr>
        <w:spacing w:after="0" w:line="8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On March 24, 2025, American and AAdvantage Loyalty IP Ltd. entered into a second amendment to the term loan credit and guaranty agreement dated March 24, 2021 (the Second Amendment). As a result of the Second Amendment, the term loans outstanding with a principal amount of approximately $2.3 billion were replaced with new term loans in the same principal amount. The terms of the new term loans are substantially similar to the prior term loans; however, the new term loans bear interest at a base rate (subject to a floor of 0.00%) plus an applicable margin of 1.25% per annum or, at American’s option, the Secured Overnight Financing Rate (SOFR) for a tenor of three months (subject to a floor of 0.00%), plus an applicable margin of 2.25% per annum. Additionally, the scheduled quarterly principal amortization amount was reduced to 0.25% of the principal amount of term loans outstanding as of March 24, 2025 (approximately $ 6 million each quarter), payable beginning in July 2025, and the remaining balance is due at maturity in April 2028. Pursuant to the Second Amendment, the new term loans are not subject to a cost spread adjustment.</w:t>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6.50% Convertible Senior Notes</w:t>
      </w:r>
    </w:p>
    <w:p>
      <w:pPr>
        <w:spacing w:after="0" w:line="8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At March 31, 2025, the if-converted value of the 6.50% convertible senior notes due 2025 (the Convertible Notes) did not exceed the principal amount. The last reported sale price per share of our common stock (as defined in the indenture governing our Convertible Notes, the Convertible Notes Indenture) did not exceed 130% of the conversion price of the Convertible Notes for at least 20 of the 30 consecutive trading days ending on March 31, 2025. Pursuant to the terms of the Convertible Notes Indenture, the holders of the Convertible Notes can convert at their option beginning April 1, 2025, until the close of business on the scheduled trading day immediately before the maturity date, July 1, 2025, of the Convertible Notes. Each $1,000 principal amount of Convertible Notes is convertible at a rate of 61.7284 shares of AAG common stock, subject to adjustment as provided in the Convertible Notes Indenture.</w:t>
      </w:r>
    </w:p>
    <w:p>
      <w:pPr>
        <w:spacing w:after="0" w:line="12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On March 27, 2025, we provided notice to the holders of our Convertible Notes that we will settle our Convertible Notes at their upcoming maturity in cash (including any conversions up to a price per share of AAG common stock of approximately $22.00). We changed the default settlement method applicable to conversions of the Convertible Notes to provide that no shares of AAG common stock will be due upon settlement of the conversion of any Convertible Note (and, accordingly, such conversion will be settled entirely in cash) if the volume-weighted average price per share of AAG common stock does not exceed approximately $22.00 on any trading day of the 20 trading day “observation period” over which the consideration due upon conversion is calculated and determined.</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Equipment Loans and Other Notes Payable Issued in 2025</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During the first three months of 2025, American entered into agreements under which it borrowed $368 million in connection with the financing of certain aircraft. Debt incurred under these agreements matures in 2036 through 2037 and bears interest at variable rates (comprised of SOFR plus an applicable margin) averaging 6.15% as of March 31, 2025.</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Other Financing Activities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 the first quarter of 2025, American prepaid $144 million of the outstanding principal amount of equipment notes issued under an EETC and this amount was applied to repay the related trust certificates. Additionally, American prepaid $308 million toward portions of the outstanding principal amounts of the 10.75% senior secured IP notes and 10.75% senior secured LGA/DCA notes.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296"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9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At December 31, 2024, we had approximately $12.9 billion of gross federal net operating losses (NOLs) and $5.9 billion of other carryforwards available to reduce future federal taxable income, of which $2.6 billion will expire beginning in 2033 if unused and $ 16.2 billion can be carried forward indefinitely. We also had approximately $5.2 billion of NOL carryforwards to reduce future state taxable income at December 31, 2024, which will expire in taxable years 2024 through 2044 if unused.</w:t>
      </w:r>
    </w:p>
    <w:p>
      <w:pPr>
        <w:spacing w:after="0" w:line="122"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Our ability to use our NOLs and other carryforwards depends on the amount of taxable income generated in future periods. We provide a valuation allowance for our deferred tax assets, which include our NOLs and other carryforwards, when it is more likely than not that some portion, or all of our deferred tax assets, will not be realized. We consider all available positive and negative evidence and make certain assumptions in evaluating the realizability of our deferred tax assets. Many factors are considered that impact our assessment of future profitability, including conditions which are beyond our control, such as the health of the economy, the availability and price volatility of aircraft fuel and travel demand. We have determined that positive factors outweigh negative factors in the determination of the realizability of our deferred tax assets.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Assets Measured at Fair Value on a Recurring Basis</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We utilize the market approach to measure the fair value of our financial assets. The market approach uses prices and other relevant information generated by market transactions involving identical or comparable assets. Our short-term investments, restricted cash and restricted short-term investments classified as Level 2 utilize significant observable inputs, other than quoted prices in active markets, for valuation of these securities. No changes in valuation techniques or inputs occurred during the three months ended March 31, 2025.</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Assets measured at fair value on a recurring basis are summarized below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040" w:type="dxa"/>
            <w:vAlign w:val="bottom"/>
            <w:tcBorders>
              <w:bottom w:val="single" w:sz="8" w:color="auto"/>
            </w:tcBorders>
            <w:gridSpan w:val="9"/>
          </w:tcPr>
          <w:p>
            <w:pPr>
              <w:jc w:val="right"/>
              <w:ind w:right="10"/>
              <w:spacing w:after="0"/>
              <w:rPr>
                <w:sz w:val="20"/>
                <w:szCs w:val="20"/>
                <w:color w:val="auto"/>
              </w:rPr>
            </w:pPr>
            <w:r>
              <w:rPr>
                <w:rFonts w:ascii="Arial" w:cs="Arial" w:eastAsia="Arial" w:hAnsi="Arial"/>
                <w:sz w:val="14"/>
                <w:szCs w:val="14"/>
                <w:b w:val="1"/>
                <w:bCs w:val="1"/>
                <w:color w:val="auto"/>
              </w:rPr>
              <w:t>Fair Value Measurements as of March 31, 2025</w:t>
            </w:r>
          </w:p>
        </w:tc>
        <w:tc>
          <w:tcPr>
            <w:tcW w:w="960" w:type="dxa"/>
            <w:vAlign w:val="bottom"/>
            <w:tcBorders>
              <w:bottom w:val="single" w:sz="8" w:color="auto"/>
            </w:tcBorders>
          </w:tcPr>
          <w:p>
            <w:pPr>
              <w:spacing w:after="0"/>
              <w:rPr>
                <w:sz w:val="17"/>
                <w:szCs w:val="17"/>
                <w:color w:val="auto"/>
              </w:rPr>
            </w:pPr>
          </w:p>
        </w:tc>
      </w:tr>
      <w:tr>
        <w:trPr>
          <w:trHeight w:val="196"/>
        </w:trPr>
        <w:tc>
          <w:tcPr>
            <w:tcW w:w="5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7"/>
                <w:szCs w:val="17"/>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7"/>
                <w:szCs w:val="17"/>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7"/>
                <w:szCs w:val="17"/>
                <w:color w:val="auto"/>
              </w:rPr>
            </w:pPr>
          </w:p>
        </w:tc>
        <w:tc>
          <w:tcPr>
            <w:tcW w:w="960" w:type="dxa"/>
            <w:vAlign w:val="bottom"/>
          </w:tcPr>
          <w:p>
            <w:pPr>
              <w:ind w:left="100"/>
              <w:spacing w:after="0"/>
              <w:rPr>
                <w:sz w:val="20"/>
                <w:szCs w:val="20"/>
                <w:color w:val="auto"/>
              </w:rPr>
            </w:pPr>
            <w:r>
              <w:rPr>
                <w:rFonts w:ascii="Arial" w:cs="Arial" w:eastAsia="Arial" w:hAnsi="Arial"/>
                <w:sz w:val="14"/>
                <w:szCs w:val="14"/>
                <w:b w:val="1"/>
                <w:bCs w:val="1"/>
                <w:color w:val="auto"/>
              </w:rPr>
              <w:t>Level 3</w:t>
            </w:r>
          </w:p>
        </w:tc>
      </w:tr>
      <w:tr>
        <w:trPr>
          <w:trHeight w:val="210"/>
        </w:trPr>
        <w:tc>
          <w:tcPr>
            <w:tcW w:w="5940" w:type="dxa"/>
            <w:vAlign w:val="bottom"/>
            <w:tcBorders>
              <w:top w:val="single" w:sz="8" w:color="CCEEFF"/>
            </w:tcBorders>
            <w:shd w:val="clear" w:color="auto" w:fill="CCEEFF"/>
          </w:tcPr>
          <w:p>
            <w:pPr>
              <w:ind w:left="20"/>
              <w:spacing w:after="0" w:line="211" w:lineRule="exact"/>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3"/>
                <w:szCs w:val="23"/>
                <w:color w:val="auto"/>
                <w:vertAlign w:val="superscript"/>
              </w:rPr>
              <w:t>(1), (2)</w:t>
            </w: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30"/>
        </w:trPr>
        <w:tc>
          <w:tcPr>
            <w:tcW w:w="594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r>
      <w:tr>
        <w:trPr>
          <w:trHeight w:val="230"/>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obligations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29"/>
        </w:trPr>
        <w:tc>
          <w:tcPr>
            <w:tcW w:w="5940" w:type="dxa"/>
            <w:vAlign w:val="bottom"/>
          </w:tcPr>
          <w:p>
            <w:pPr>
              <w:ind w:left="140"/>
              <w:spacing w:after="0"/>
              <w:rPr>
                <w:sz w:val="20"/>
                <w:szCs w:val="20"/>
                <w:color w:val="auto"/>
              </w:rPr>
            </w:pPr>
            <w:r>
              <w:rPr>
                <w:rFonts w:ascii="Arial" w:cs="Arial" w:eastAsia="Arial" w:hAnsi="Arial"/>
                <w:sz w:val="18"/>
                <w:szCs w:val="18"/>
                <w:color w:val="auto"/>
              </w:rPr>
              <w:t>Bank notes/certificates of deposit/time deposits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2,135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2,135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r>
      <w:tr>
        <w:trPr>
          <w:trHeight w:val="230"/>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 agreements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23"/>
        </w:trPr>
        <w:tc>
          <w:tcPr>
            <w:tcW w:w="59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6,631</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6,399</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ind w:left="700"/>
              <w:spacing w:after="0"/>
              <w:rPr>
                <w:sz w:val="20"/>
                <w:szCs w:val="20"/>
                <w:color w:val="auto"/>
              </w:rPr>
            </w:pPr>
            <w:r>
              <w:rPr>
                <w:rFonts w:ascii="Arial" w:cs="Arial" w:eastAsia="Arial" w:hAnsi="Arial"/>
                <w:sz w:val="18"/>
                <w:szCs w:val="18"/>
                <w:color w:val="auto"/>
              </w:rPr>
              <w:t>—</w:t>
            </w:r>
          </w:p>
        </w:tc>
      </w:tr>
      <w:tr>
        <w:trPr>
          <w:trHeight w:val="230"/>
        </w:trPr>
        <w:tc>
          <w:tcPr>
            <w:tcW w:w="59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23"/>
                <w:szCs w:val="23"/>
                <w:color w:val="auto"/>
                <w:vertAlign w:val="superscript"/>
              </w:rPr>
              <w:t>(1), (3)</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30"/>
        </w:trPr>
        <w:tc>
          <w:tcPr>
            <w:tcW w:w="59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Long-term investments </w:t>
            </w:r>
            <w:r>
              <w:rPr>
                <w:rFonts w:ascii="Arial" w:cs="Arial" w:eastAsia="Arial" w:hAnsi="Arial"/>
                <w:sz w:val="23"/>
                <w:szCs w:val="23"/>
                <w:color w:val="auto"/>
                <w:vertAlign w:val="superscript"/>
              </w:rPr>
              <w:t>(4)</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r>
      <w:tr>
        <w:trPr>
          <w:trHeight w:val="248"/>
        </w:trPr>
        <w:tc>
          <w:tcPr>
            <w:tcW w:w="5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112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31" w:lineRule="exact"/>
        <w:rPr>
          <w:sz w:val="20"/>
          <w:szCs w:val="20"/>
          <w:color w:val="auto"/>
        </w:rPr>
      </w:pPr>
    </w:p>
    <w:p>
      <w:pPr>
        <w:ind w:left="340" w:right="20" w:hanging="332"/>
        <w:spacing w:after="0" w:line="231" w:lineRule="auto"/>
        <w:tabs>
          <w:tab w:leader="none" w:pos="334"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All short-term investments are classified as available-for-sale and stated at fair value. Unrealized gains and losses are recorded in accumulated other comprehensive loss at each reporting period. There were no credit losses.</w:t>
      </w:r>
    </w:p>
    <w:p>
      <w:pPr>
        <w:spacing w:after="0" w:line="114"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Our short-term investments mature in one year or less.</w:t>
      </w:r>
    </w:p>
    <w:p>
      <w:pPr>
        <w:spacing w:after="0" w:line="139" w:lineRule="exact"/>
        <w:rPr>
          <w:rFonts w:ascii="Arial" w:cs="Arial" w:eastAsia="Arial" w:hAnsi="Arial"/>
          <w:sz w:val="23"/>
          <w:szCs w:val="23"/>
          <w:color w:val="auto"/>
          <w:vertAlign w:val="superscript"/>
        </w:rPr>
      </w:pPr>
    </w:p>
    <w:p>
      <w:pPr>
        <w:jc w:val="both"/>
        <w:ind w:left="340" w:hanging="332"/>
        <w:spacing w:after="0" w:line="237" w:lineRule="auto"/>
        <w:tabs>
          <w:tab w:leader="none" w:pos="334"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Restricted cash and short-term investments primarily include collateral held to support workers’ compensation obligations and collateral associated with the payment of interest for the AAdvantage Financing. Restricted short-term investments mature in one year or less except for $151 million as of March 31, 2025.</w:t>
      </w:r>
    </w:p>
    <w:p>
      <w:pPr>
        <w:spacing w:after="0" w:line="140" w:lineRule="exact"/>
        <w:rPr>
          <w:rFonts w:ascii="Arial" w:cs="Arial" w:eastAsia="Arial" w:hAnsi="Arial"/>
          <w:sz w:val="23"/>
          <w:szCs w:val="23"/>
          <w:color w:val="auto"/>
          <w:vertAlign w:val="superscript"/>
        </w:rPr>
      </w:pPr>
    </w:p>
    <w:p>
      <w:pPr>
        <w:ind w:left="340" w:right="20" w:hanging="332"/>
        <w:spacing w:after="0" w:line="231" w:lineRule="auto"/>
        <w:tabs>
          <w:tab w:leader="none" w:pos="334"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Long-term investments primarily include our equity investment in China Southern Airlines Company Limited (China Southern Airlines). See Note 8 for further information on our equity investments.</w:t>
      </w:r>
    </w:p>
    <w:p>
      <w:pPr>
        <w:spacing w:after="0" w:line="22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Fair Value of Debt</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fair value of our long-term debt was estimated using quoted market prices or discounted cash flow analyses based on our current estimated incremental borrowing rates for similar types of borrowing arrangements. The fair value of the Convertible Notes, which would have been classified as Level 2, was $1.0 billion and $1.2 billion as of March 31, 2025 and December 31, 2024, respectively.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296"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6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carrying value and estimated fair value of our long-term debt, including current maturities, were as follows (in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March 31, 2025</w:t>
            </w: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195"/>
        </w:trPr>
        <w:tc>
          <w:tcPr>
            <w:tcW w:w="4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Fair Value</w:t>
            </w: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35"/>
        </w:trPr>
        <w:tc>
          <w:tcPr>
            <w:tcW w:w="4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211"/>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Value</w:t>
            </w:r>
          </w:p>
        </w:tc>
        <w:tc>
          <w:tcPr>
            <w:tcW w:w="320" w:type="dxa"/>
            <w:vAlign w:val="bottom"/>
          </w:tcPr>
          <w:p>
            <w:pPr>
              <w:spacing w:after="0"/>
              <w:rPr>
                <w:sz w:val="18"/>
                <w:szCs w:val="18"/>
                <w:color w:val="auto"/>
              </w:rPr>
            </w:pPr>
          </w:p>
        </w:tc>
        <w:tc>
          <w:tcPr>
            <w:tcW w:w="114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Level 1</w:t>
            </w:r>
          </w:p>
        </w:tc>
        <w:tc>
          <w:tcPr>
            <w:tcW w:w="36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8"/>
                <w:szCs w:val="18"/>
                <w:color w:val="auto"/>
              </w:rPr>
            </w:pPr>
          </w:p>
        </w:tc>
        <w:tc>
          <w:tcPr>
            <w:tcW w:w="1060" w:type="dxa"/>
            <w:vAlign w:val="bottom"/>
          </w:tcPr>
          <w:p>
            <w:pPr>
              <w:jc w:val="right"/>
              <w:ind w:right="339"/>
              <w:spacing w:after="0"/>
              <w:rPr>
                <w:sz w:val="20"/>
                <w:szCs w:val="20"/>
                <w:color w:val="auto"/>
              </w:rPr>
            </w:pPr>
            <w:r>
              <w:rPr>
                <w:rFonts w:ascii="Arial" w:cs="Arial" w:eastAsia="Arial" w:hAnsi="Arial"/>
                <w:sz w:val="14"/>
                <w:szCs w:val="14"/>
                <w:b w:val="1"/>
                <w:bCs w:val="1"/>
                <w:color w:val="auto"/>
              </w:rPr>
              <w:t>Level 3</w:t>
            </w:r>
          </w:p>
        </w:tc>
      </w:tr>
      <w:tr>
        <w:trPr>
          <w:trHeight w:val="249"/>
        </w:trPr>
        <w:tc>
          <w:tcPr>
            <w:tcW w:w="4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including current maturities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28,857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25,213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3,325</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405"/>
        </w:trPr>
        <w:tc>
          <w:tcPr>
            <w:tcW w:w="4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December 31, 2024</w:t>
            </w: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195"/>
        </w:trPr>
        <w:tc>
          <w:tcPr>
            <w:tcW w:w="4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Fair Value</w:t>
            </w: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35"/>
        </w:trPr>
        <w:tc>
          <w:tcPr>
            <w:tcW w:w="4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211"/>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Value</w:t>
            </w:r>
          </w:p>
        </w:tc>
        <w:tc>
          <w:tcPr>
            <w:tcW w:w="320" w:type="dxa"/>
            <w:vAlign w:val="bottom"/>
          </w:tcPr>
          <w:p>
            <w:pPr>
              <w:spacing w:after="0"/>
              <w:rPr>
                <w:sz w:val="18"/>
                <w:szCs w:val="18"/>
                <w:color w:val="auto"/>
              </w:rPr>
            </w:pPr>
          </w:p>
        </w:tc>
        <w:tc>
          <w:tcPr>
            <w:tcW w:w="114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Level 1</w:t>
            </w:r>
          </w:p>
        </w:tc>
        <w:tc>
          <w:tcPr>
            <w:tcW w:w="36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8"/>
                <w:szCs w:val="18"/>
                <w:color w:val="auto"/>
              </w:rPr>
            </w:pPr>
          </w:p>
        </w:tc>
        <w:tc>
          <w:tcPr>
            <w:tcW w:w="1060" w:type="dxa"/>
            <w:vAlign w:val="bottom"/>
          </w:tcPr>
          <w:p>
            <w:pPr>
              <w:jc w:val="right"/>
              <w:ind w:right="339"/>
              <w:spacing w:after="0"/>
              <w:rPr>
                <w:sz w:val="20"/>
                <w:szCs w:val="20"/>
                <w:color w:val="auto"/>
              </w:rPr>
            </w:pPr>
            <w:r>
              <w:rPr>
                <w:rFonts w:ascii="Arial" w:cs="Arial" w:eastAsia="Arial" w:hAnsi="Arial"/>
                <w:sz w:val="14"/>
                <w:szCs w:val="14"/>
                <w:b w:val="1"/>
                <w:bCs w:val="1"/>
                <w:color w:val="auto"/>
              </w:rPr>
              <w:t>Level 3</w:t>
            </w:r>
          </w:p>
        </w:tc>
      </w:tr>
      <w:tr>
        <w:trPr>
          <w:trHeight w:val="249"/>
        </w:trPr>
        <w:tc>
          <w:tcPr>
            <w:tcW w:w="4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including current maturities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29,813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26,402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3,608</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Investments</w:t>
      </w:r>
    </w:p>
    <w:p>
      <w:pPr>
        <w:spacing w:after="0" w:line="9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To help expand our network and as part of our ongoing commitment to sustainability, we enter into various commercial relationships or other strategic partnerships, including equity investments, with other airlines and companies. Our equity investments are reflected in other assets on our condensed consolidated balance sheets. Our share of equity method investees’ financial results and changes in fair value are recorded in nonoperating other expense, net on the condensed consolidated statements of operations.</w:t>
      </w:r>
    </w:p>
    <w:p>
      <w:pPr>
        <w:spacing w:after="0" w:line="12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Our equity investment ownership interests and carrying values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20" w:type="dxa"/>
            <w:vAlign w:val="bottom"/>
            <w:tcBorders>
              <w:bottom w:val="single" w:sz="8" w:color="auto"/>
            </w:tcBorders>
            <w:gridSpan w:val="3"/>
          </w:tcPr>
          <w:p>
            <w:pPr>
              <w:jc w:val="right"/>
              <w:ind w:right="1076"/>
              <w:spacing w:after="0"/>
              <w:rPr>
                <w:sz w:val="20"/>
                <w:szCs w:val="20"/>
                <w:color w:val="auto"/>
              </w:rPr>
            </w:pPr>
            <w:r>
              <w:rPr>
                <w:rFonts w:ascii="Arial" w:cs="Arial" w:eastAsia="Arial" w:hAnsi="Arial"/>
                <w:sz w:val="14"/>
                <w:szCs w:val="14"/>
                <w:b w:val="1"/>
                <w:bCs w:val="1"/>
                <w:color w:val="auto"/>
              </w:rPr>
              <w:t>Ownership Interest</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4"/>
                <w:szCs w:val="14"/>
                <w:b w:val="1"/>
                <w:bCs w:val="1"/>
                <w:color w:val="auto"/>
              </w:rPr>
              <w:t>Carrying Value (in millions)</w:t>
            </w:r>
          </w:p>
        </w:tc>
        <w:tc>
          <w:tcPr>
            <w:tcW w:w="0" w:type="dxa"/>
            <w:vAlign w:val="bottom"/>
          </w:tcPr>
          <w:p>
            <w:pPr>
              <w:spacing w:after="0"/>
              <w:rPr>
                <w:sz w:val="1"/>
                <w:szCs w:val="1"/>
                <w:color w:val="auto"/>
              </w:rPr>
            </w:pPr>
          </w:p>
        </w:tc>
      </w:tr>
      <w:tr>
        <w:trPr>
          <w:trHeight w:val="202"/>
        </w:trPr>
        <w:tc>
          <w:tcPr>
            <w:tcW w:w="20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Accounting Treatment</w:t>
            </w:r>
          </w:p>
        </w:tc>
        <w:tc>
          <w:tcPr>
            <w:tcW w:w="120" w:type="dxa"/>
            <w:vAlign w:val="bottom"/>
            <w:tcBorders>
              <w:bottom w:val="single" w:sz="8" w:color="CCEEFF"/>
            </w:tcBorders>
          </w:tcPr>
          <w:p>
            <w:pPr>
              <w:spacing w:after="0"/>
              <w:rPr>
                <w:sz w:val="17"/>
                <w:szCs w:val="17"/>
                <w:color w:val="auto"/>
              </w:rPr>
            </w:pPr>
          </w:p>
        </w:tc>
        <w:tc>
          <w:tcPr>
            <w:tcW w:w="174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March 31, 2025</w:t>
            </w:r>
          </w:p>
        </w:tc>
        <w:tc>
          <w:tcPr>
            <w:tcW w:w="120" w:type="dxa"/>
            <w:vAlign w:val="bottom"/>
            <w:tcBorders>
              <w:bottom w:val="single" w:sz="8" w:color="CCEEFF"/>
            </w:tcBorders>
          </w:tcPr>
          <w:p>
            <w:pPr>
              <w:spacing w:after="0"/>
              <w:rPr>
                <w:sz w:val="17"/>
                <w:szCs w:val="17"/>
                <w:color w:val="auto"/>
              </w:rPr>
            </w:pPr>
          </w:p>
        </w:tc>
        <w:tc>
          <w:tcPr>
            <w:tcW w:w="17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December 31, 2024</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March 31, 2025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157"/>
        </w:trPr>
        <w:tc>
          <w:tcPr>
            <w:tcW w:w="216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8"/>
                <w:szCs w:val="18"/>
                <w:color w:val="auto"/>
              </w:rPr>
              <w:t>Republic Airways</w:t>
            </w:r>
          </w:p>
        </w:tc>
        <w:tc>
          <w:tcPr>
            <w:tcW w:w="20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99"/>
              </w:rPr>
              <w:t>Equity Method</w:t>
            </w:r>
          </w:p>
        </w:tc>
        <w:tc>
          <w:tcPr>
            <w:tcW w:w="1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25.0 %</w:t>
            </w:r>
          </w:p>
        </w:tc>
        <w:tc>
          <w:tcPr>
            <w:tcW w:w="120" w:type="dxa"/>
            <w:vAlign w:val="bottom"/>
            <w:shd w:val="clear" w:color="auto" w:fill="CCEEFF"/>
          </w:tcPr>
          <w:p>
            <w:pPr>
              <w:spacing w:after="0"/>
              <w:rPr>
                <w:sz w:val="13"/>
                <w:szCs w:val="13"/>
                <w:color w:val="auto"/>
              </w:rPr>
            </w:pPr>
          </w:p>
        </w:tc>
        <w:tc>
          <w:tcPr>
            <w:tcW w:w="1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25.0 %</w:t>
            </w:r>
          </w:p>
        </w:tc>
        <w:tc>
          <w:tcPr>
            <w:tcW w:w="12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43"/>
        </w:trPr>
        <w:tc>
          <w:tcPr>
            <w:tcW w:w="2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Holdings Inc.</w:t>
            </w:r>
          </w:p>
        </w:tc>
        <w:tc>
          <w:tcPr>
            <w:tcW w:w="2000" w:type="dxa"/>
            <w:vAlign w:val="bottom"/>
            <w:gridSpan w:val="2"/>
            <w:vMerge w:val="continue"/>
            <w:shd w:val="clear" w:color="auto" w:fill="CCEEFF"/>
          </w:tcPr>
          <w:p>
            <w:pPr>
              <w:spacing w:after="0"/>
              <w:rPr>
                <w:sz w:val="21"/>
                <w:szCs w:val="21"/>
                <w:color w:val="auto"/>
              </w:rPr>
            </w:pPr>
          </w:p>
        </w:tc>
        <w:tc>
          <w:tcPr>
            <w:tcW w:w="17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14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15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160" w:type="dxa"/>
            <w:vAlign w:val="bottom"/>
            <w:gridSpan w:val="2"/>
          </w:tcPr>
          <w:p>
            <w:pPr>
              <w:ind w:left="20"/>
              <w:spacing w:after="0"/>
              <w:rPr>
                <w:sz w:val="20"/>
                <w:szCs w:val="20"/>
                <w:color w:val="auto"/>
              </w:rPr>
            </w:pPr>
            <w:r>
              <w:rPr>
                <w:rFonts w:ascii="Arial" w:cs="Arial" w:eastAsia="Arial" w:hAnsi="Arial"/>
                <w:sz w:val="18"/>
                <w:szCs w:val="18"/>
                <w:color w:val="auto"/>
              </w:rPr>
              <w:t>China Southern Airlines</w:t>
            </w:r>
          </w:p>
        </w:tc>
        <w:tc>
          <w:tcPr>
            <w:tcW w:w="200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Fair Value</w:t>
            </w:r>
          </w:p>
        </w:tc>
        <w:tc>
          <w:tcPr>
            <w:tcW w:w="1740" w:type="dxa"/>
            <w:vAlign w:val="bottom"/>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30"/>
        </w:trPr>
        <w:tc>
          <w:tcPr>
            <w:tcW w:w="21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investments </w:t>
            </w:r>
            <w:r>
              <w:rPr>
                <w:rFonts w:ascii="Arial" w:cs="Arial" w:eastAsia="Arial" w:hAnsi="Arial"/>
                <w:sz w:val="23"/>
                <w:szCs w:val="23"/>
                <w:color w:val="auto"/>
                <w:vertAlign w:val="superscript"/>
              </w:rPr>
              <w:t>(1)</w:t>
            </w:r>
          </w:p>
        </w:tc>
        <w:tc>
          <w:tcPr>
            <w:tcW w:w="20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Various</w:t>
            </w: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3"/>
        </w:trPr>
        <w:tc>
          <w:tcPr>
            <w:tcW w:w="216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Primarily includes our investment in JetSMART Holdings Limited, which is accounted for under the equity method.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Employee Benefit Plans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provides the components of net periodic benefit cost (income) (in millions):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40" w:type="dxa"/>
            <w:vAlign w:val="bottom"/>
            <w:gridSpan w:val="5"/>
            <w:vMerge w:val="restart"/>
          </w:tcPr>
          <w:p>
            <w:pPr>
              <w:ind w:left="440"/>
              <w:spacing w:after="0"/>
              <w:rPr>
                <w:sz w:val="20"/>
                <w:szCs w:val="20"/>
                <w:color w:val="auto"/>
              </w:rPr>
            </w:pPr>
            <w:r>
              <w:rPr>
                <w:rFonts w:ascii="Arial" w:cs="Arial" w:eastAsia="Arial" w:hAnsi="Arial"/>
                <w:sz w:val="14"/>
                <w:szCs w:val="14"/>
                <w:b w:val="1"/>
                <w:bCs w:val="1"/>
                <w:color w:val="auto"/>
              </w:rPr>
              <w:t>Pension Benefits</w:t>
            </w:r>
          </w:p>
        </w:tc>
        <w:tc>
          <w:tcPr>
            <w:tcW w:w="280" w:type="dxa"/>
            <w:vAlign w:val="bottom"/>
          </w:tcPr>
          <w:p>
            <w:pPr>
              <w:spacing w:after="0"/>
              <w:rPr>
                <w:sz w:val="14"/>
                <w:szCs w:val="14"/>
                <w:color w:val="auto"/>
              </w:rPr>
            </w:pPr>
          </w:p>
        </w:tc>
        <w:tc>
          <w:tcPr>
            <w:tcW w:w="2360" w:type="dxa"/>
            <w:vAlign w:val="bottom"/>
            <w:gridSpan w:val="4"/>
          </w:tcPr>
          <w:p>
            <w:pPr>
              <w:jc w:val="right"/>
              <w:ind w:right="353"/>
              <w:spacing w:after="0"/>
              <w:rPr>
                <w:sz w:val="20"/>
                <w:szCs w:val="20"/>
                <w:color w:val="auto"/>
              </w:rPr>
            </w:pPr>
            <w:r>
              <w:rPr>
                <w:rFonts w:ascii="Arial" w:cs="Arial" w:eastAsia="Arial" w:hAnsi="Arial"/>
                <w:sz w:val="14"/>
                <w:szCs w:val="14"/>
                <w:b w:val="1"/>
                <w:bCs w:val="1"/>
                <w:color w:val="auto"/>
              </w:rPr>
              <w:t>Retiree Medical and Other</w:t>
            </w:r>
          </w:p>
        </w:tc>
        <w:tc>
          <w:tcPr>
            <w:tcW w:w="0" w:type="dxa"/>
            <w:vAlign w:val="bottom"/>
          </w:tcPr>
          <w:p>
            <w:pPr>
              <w:spacing w:after="0"/>
              <w:rPr>
                <w:sz w:val="1"/>
                <w:szCs w:val="1"/>
                <w:color w:val="auto"/>
              </w:rPr>
            </w:pPr>
          </w:p>
        </w:tc>
      </w:tr>
      <w:tr>
        <w:trPr>
          <w:trHeight w:val="185"/>
        </w:trPr>
        <w:tc>
          <w:tcPr>
            <w:tcW w:w="5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40" w:type="dxa"/>
            <w:vAlign w:val="bottom"/>
            <w:gridSpan w:val="5"/>
            <w:vMerge w:val="continue"/>
          </w:tcPr>
          <w:p>
            <w:pPr>
              <w:spacing w:after="0"/>
              <w:rPr>
                <w:sz w:val="16"/>
                <w:szCs w:val="16"/>
                <w:color w:val="auto"/>
              </w:rPr>
            </w:pPr>
          </w:p>
        </w:tc>
        <w:tc>
          <w:tcPr>
            <w:tcW w:w="280" w:type="dxa"/>
            <w:vAlign w:val="bottom"/>
          </w:tcPr>
          <w:p>
            <w:pPr>
              <w:spacing w:after="0"/>
              <w:rPr>
                <w:sz w:val="16"/>
                <w:szCs w:val="16"/>
                <w:color w:val="auto"/>
              </w:rPr>
            </w:pPr>
          </w:p>
        </w:tc>
        <w:tc>
          <w:tcPr>
            <w:tcW w:w="2360" w:type="dxa"/>
            <w:vAlign w:val="bottom"/>
            <w:gridSpan w:val="4"/>
          </w:tcPr>
          <w:p>
            <w:pPr>
              <w:jc w:val="right"/>
              <w:ind w:right="433"/>
              <w:spacing w:after="0"/>
              <w:rPr>
                <w:sz w:val="20"/>
                <w:szCs w:val="20"/>
                <w:color w:val="auto"/>
              </w:rPr>
            </w:pPr>
            <w:r>
              <w:rPr>
                <w:rFonts w:ascii="Arial" w:cs="Arial" w:eastAsia="Arial" w:hAnsi="Arial"/>
                <w:sz w:val="14"/>
                <w:szCs w:val="14"/>
                <w:b w:val="1"/>
                <w:bCs w:val="1"/>
                <w:color w:val="auto"/>
              </w:rPr>
              <w:t>Postretirement Benefits</w:t>
            </w:r>
          </w:p>
        </w:tc>
        <w:tc>
          <w:tcPr>
            <w:tcW w:w="0" w:type="dxa"/>
            <w:vAlign w:val="bottom"/>
          </w:tcPr>
          <w:p>
            <w:pPr>
              <w:spacing w:after="0"/>
              <w:rPr>
                <w:sz w:val="1"/>
                <w:szCs w:val="1"/>
                <w:color w:val="auto"/>
              </w:rPr>
            </w:pPr>
          </w:p>
        </w:tc>
      </w:tr>
      <w:tr>
        <w:trPr>
          <w:trHeight w:val="195"/>
        </w:trPr>
        <w:tc>
          <w:tcPr>
            <w:tcW w:w="5880" w:type="dxa"/>
            <w:vAlign w:val="bottom"/>
            <w:gridSpan w:val="2"/>
          </w:tcPr>
          <w:p>
            <w:pPr>
              <w:ind w:left="20"/>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4"/>
        </w:trPr>
        <w:tc>
          <w:tcPr>
            <w:tcW w:w="5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return on assets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Amortization of:</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Prior service cost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8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Unrecognized net loss (gain)</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8"/>
        </w:trPr>
        <w:tc>
          <w:tcPr>
            <w:tcW w:w="5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periodic benefit cost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Effective November 1, 2012, substantially all of our defined benefit pension plans were frozen.</w:t>
      </w:r>
    </w:p>
    <w:p>
      <w:pPr>
        <w:spacing w:after="0" w:line="171"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The service cost component of net periodic benefit cost (income) is included in operating expenses and the other components of net periodic benefit cost (income) are included in nonoperating other expense, net in the condensed consolidated statements of operations.</w:t>
      </w:r>
    </w:p>
    <w:p>
      <w:pPr>
        <w:spacing w:after="0" w:line="9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During the first three months of 2025, we made required contributions of $222 million to our defined benefit pension plans.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296"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Accumulated Other Comprehensive Loss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components of accumulated other comprehensive loss (AOCI) are as follows (in millions):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Pension, Retiree</w:t>
            </w: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rPr>
              <w:t>Medical and Other</w:t>
            </w:r>
          </w:p>
        </w:tc>
        <w:tc>
          <w:tcPr>
            <w:tcW w:w="6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gridSpan w:val="2"/>
          </w:tcPr>
          <w:p>
            <w:pPr>
              <w:jc w:val="center"/>
              <w:ind w:right="280"/>
              <w:spacing w:after="0" w:line="139" w:lineRule="exact"/>
              <w:rPr>
                <w:sz w:val="20"/>
                <w:szCs w:val="20"/>
                <w:color w:val="auto"/>
              </w:rPr>
            </w:pPr>
            <w:r>
              <w:rPr>
                <w:rFonts w:ascii="Arial" w:cs="Arial" w:eastAsia="Arial" w:hAnsi="Arial"/>
                <w:sz w:val="14"/>
                <w:szCs w:val="14"/>
                <w:b w:val="1"/>
                <w:bCs w:val="1"/>
                <w:color w:val="auto"/>
              </w:rPr>
              <w:t>Postretirement</w:t>
            </w:r>
          </w:p>
        </w:tc>
        <w:tc>
          <w:tcPr>
            <w:tcW w:w="17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 xml:space="preserve">Income Tax Provision </w:t>
            </w:r>
            <w:r>
              <w:rPr>
                <w:rFonts w:ascii="Arial" w:cs="Arial" w:eastAsia="Arial" w:hAnsi="Arial"/>
                <w:sz w:val="18"/>
                <w:szCs w:val="18"/>
                <w:b w:val="1"/>
                <w:bCs w:val="1"/>
                <w:color w:val="auto"/>
                <w:vertAlign w:val="superscript"/>
              </w:rPr>
              <w:t>(1)</w:t>
            </w: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20" w:type="dxa"/>
            <w:vAlign w:val="bottom"/>
            <w:vMerge w:val="restart"/>
          </w:tcPr>
          <w:p>
            <w:pPr>
              <w:jc w:val="right"/>
              <w:ind w:right="6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8"/>
        </w:trPr>
        <w:tc>
          <w:tcPr>
            <w:tcW w:w="208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Benefits</w:t>
            </w:r>
          </w:p>
        </w:tc>
        <w:tc>
          <w:tcPr>
            <w:tcW w:w="172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6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2024</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(2,959)</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16"/>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2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(4,565)</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Amounts reclassified from AOCI</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bottom w:val="single" w:sz="8" w:color="CCEEFF"/>
            </w:tcBorders>
          </w:tcPr>
          <w:p>
            <w:pPr>
              <w:jc w:val="right"/>
              <w:ind w:right="66"/>
              <w:spacing w:after="0"/>
              <w:rPr>
                <w:sz w:val="20"/>
                <w:szCs w:val="20"/>
                <w:color w:val="auto"/>
              </w:rPr>
            </w:pPr>
            <w:r>
              <w:rPr>
                <w:rFonts w:ascii="Arial" w:cs="Arial" w:eastAsia="Arial" w:hAnsi="Arial"/>
                <w:sz w:val="11"/>
                <w:szCs w:val="11"/>
                <w:color w:val="auto"/>
              </w:rPr>
              <w:t>(2)</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5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current-period other comprehensive income (loss)</w:t>
            </w: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Balance at March 31, 2025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(2,937)</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6"/>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(1,610)</w:t>
            </w:r>
          </w:p>
        </w:tc>
        <w:tc>
          <w:tcPr>
            <w:tcW w:w="2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(4,547)</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80" w:type="dxa"/>
            <w:vAlign w:val="bottom"/>
            <w:tcBorders>
              <w:bottom w:val="single" w:sz="8" w:color="auto"/>
            </w:tcBorders>
          </w:tcPr>
          <w:p>
            <w:pPr>
              <w:spacing w:after="0"/>
              <w:rPr>
                <w:sz w:val="14"/>
                <w:szCs w:val="14"/>
                <w:color w:val="auto"/>
              </w:rPr>
            </w:pPr>
          </w:p>
        </w:tc>
        <w:tc>
          <w:tcPr>
            <w:tcW w:w="3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40" w:hanging="332"/>
        <w:spacing w:after="0" w:line="231" w:lineRule="auto"/>
        <w:tabs>
          <w:tab w:leader="none" w:pos="334"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Relates principally to pension, retiree medical and other postretirement benefits obligations that will not be recognized in net loss until the obligations are fully extinguished.</w:t>
      </w:r>
    </w:p>
    <w:p>
      <w:pPr>
        <w:spacing w:after="0" w:line="140"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Relates to pension, retiree medical and other postretirement benefits obligations and is recognized within the income tax benefit on the condensed consolidated statements of operations.</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Reclassifications out of AOCI are as follows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2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rPr>
              <w:t>Amounts reclassified from AOCI</w:t>
            </w: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300" w:type="dxa"/>
            <w:vAlign w:val="bottom"/>
          </w:tcPr>
          <w:p>
            <w:pPr>
              <w:spacing w:after="0"/>
              <w:rPr>
                <w:sz w:val="17"/>
                <w:szCs w:val="17"/>
                <w:color w:val="auto"/>
              </w:rPr>
            </w:pPr>
          </w:p>
        </w:tc>
      </w:tr>
      <w:tr>
        <w:trPr>
          <w:trHeight w:val="195"/>
        </w:trPr>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20" w:type="dxa"/>
            <w:vAlign w:val="bottom"/>
            <w:tcBorders>
              <w:bottom w:val="single" w:sz="8" w:color="auto"/>
            </w:tcBorders>
            <w:gridSpan w:val="4"/>
          </w:tcPr>
          <w:p>
            <w:pPr>
              <w:jc w:val="right"/>
              <w:ind w:right="116"/>
              <w:spacing w:after="0"/>
              <w:rPr>
                <w:sz w:val="20"/>
                <w:szCs w:val="20"/>
                <w:color w:val="auto"/>
              </w:rPr>
            </w:pPr>
            <w:r>
              <w:rPr>
                <w:rFonts w:ascii="Arial" w:cs="Arial" w:eastAsia="Arial" w:hAnsi="Arial"/>
                <w:sz w:val="14"/>
                <w:szCs w:val="14"/>
                <w:b w:val="1"/>
                <w:bCs w:val="1"/>
                <w:color w:val="auto"/>
              </w:rPr>
              <w:t>Three Months Ended March 31,</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300" w:type="dxa"/>
            <w:vAlign w:val="bottom"/>
          </w:tcPr>
          <w:p>
            <w:pPr>
              <w:jc w:val="center"/>
              <w:spacing w:after="0"/>
              <w:rPr>
                <w:sz w:val="20"/>
                <w:szCs w:val="20"/>
                <w:color w:val="auto"/>
              </w:rPr>
            </w:pPr>
            <w:r>
              <w:rPr>
                <w:rFonts w:ascii="Arial" w:cs="Arial" w:eastAsia="Arial" w:hAnsi="Arial"/>
                <w:sz w:val="14"/>
                <w:szCs w:val="14"/>
                <w:b w:val="1"/>
                <w:bCs w:val="1"/>
                <w:color w:val="auto"/>
              </w:rPr>
              <w:t>Affected line items on the condensed</w:t>
            </w:r>
          </w:p>
        </w:tc>
      </w:tr>
      <w:tr>
        <w:trPr>
          <w:trHeight w:val="198"/>
        </w:trPr>
        <w:tc>
          <w:tcPr>
            <w:tcW w:w="4480" w:type="dxa"/>
            <w:vAlign w:val="bottom"/>
            <w:gridSpan w:val="2"/>
          </w:tcPr>
          <w:p>
            <w:pPr>
              <w:ind w:left="20"/>
              <w:spacing w:after="0"/>
              <w:rPr>
                <w:sz w:val="20"/>
                <w:szCs w:val="20"/>
                <w:color w:val="auto"/>
              </w:rPr>
            </w:pPr>
            <w:r>
              <w:rPr>
                <w:rFonts w:ascii="Arial" w:cs="Arial" w:eastAsia="Arial" w:hAnsi="Arial"/>
                <w:sz w:val="14"/>
                <w:szCs w:val="14"/>
                <w:b w:val="1"/>
                <w:bCs w:val="1"/>
                <w:color w:val="auto"/>
              </w:rPr>
              <w:t>AOCI Components</w:t>
            </w:r>
          </w:p>
        </w:tc>
        <w:tc>
          <w:tcPr>
            <w:tcW w:w="1140" w:type="dxa"/>
            <w:vAlign w:val="bottom"/>
          </w:tcPr>
          <w:p>
            <w:pPr>
              <w:jc w:val="right"/>
              <w:ind w:right="101"/>
              <w:spacing w:after="0"/>
              <w:rPr>
                <w:sz w:val="20"/>
                <w:szCs w:val="20"/>
                <w:color w:val="auto"/>
              </w:rPr>
            </w:pPr>
            <w:r>
              <w:rPr>
                <w:rFonts w:ascii="Arial" w:cs="Arial" w:eastAsia="Arial" w:hAnsi="Arial"/>
                <w:sz w:val="14"/>
                <w:szCs w:val="14"/>
                <w:b w:val="1"/>
                <w:bCs w:val="1"/>
                <w:color w:val="auto"/>
              </w:rPr>
              <w:t>2025</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156"/>
              <w:spacing w:after="0"/>
              <w:rPr>
                <w:sz w:val="20"/>
                <w:szCs w:val="20"/>
                <w:color w:val="auto"/>
              </w:rPr>
            </w:pPr>
            <w:r>
              <w:rPr>
                <w:rFonts w:ascii="Arial" w:cs="Arial" w:eastAsia="Arial" w:hAnsi="Arial"/>
                <w:sz w:val="14"/>
                <w:szCs w:val="14"/>
                <w:b w:val="1"/>
                <w:bCs w:val="1"/>
                <w:color w:val="auto"/>
              </w:rPr>
              <w:t>2024</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00" w:type="dxa"/>
            <w:vAlign w:val="bottom"/>
          </w:tcPr>
          <w:p>
            <w:pPr>
              <w:jc w:val="center"/>
              <w:spacing w:after="0"/>
              <w:rPr>
                <w:sz w:val="20"/>
                <w:szCs w:val="20"/>
                <w:color w:val="auto"/>
              </w:rPr>
            </w:pPr>
            <w:r>
              <w:rPr>
                <w:rFonts w:ascii="Arial" w:cs="Arial" w:eastAsia="Arial" w:hAnsi="Arial"/>
                <w:sz w:val="14"/>
                <w:szCs w:val="14"/>
                <w:b w:val="1"/>
                <w:bCs w:val="1"/>
                <w:color w:val="auto"/>
              </w:rPr>
              <w:t>consolidated statements of operations</w:t>
            </w:r>
          </w:p>
        </w:tc>
      </w:tr>
      <w:tr>
        <w:trPr>
          <w:trHeight w:val="177"/>
        </w:trPr>
        <w:tc>
          <w:tcPr>
            <w:tcW w:w="4360" w:type="dxa"/>
            <w:vAlign w:val="bottom"/>
            <w:tcBorders>
              <w:top w:val="single" w:sz="8" w:color="auto"/>
            </w:tcBorders>
            <w:shd w:val="clear" w:color="auto" w:fill="CCEEFF"/>
          </w:tcPr>
          <w:p>
            <w:pPr>
              <w:ind w:left="20"/>
              <w:spacing w:after="0" w:line="177" w:lineRule="exact"/>
              <w:rPr>
                <w:sz w:val="20"/>
                <w:szCs w:val="20"/>
                <w:color w:val="auto"/>
              </w:rPr>
            </w:pPr>
            <w:r>
              <w:rPr>
                <w:rFonts w:ascii="Arial" w:cs="Arial" w:eastAsia="Arial" w:hAnsi="Arial"/>
                <w:sz w:val="18"/>
                <w:szCs w:val="18"/>
                <w:color w:val="auto"/>
              </w:rPr>
              <w:t>Amortization of pension, retiree medical and other</w:t>
            </w:r>
          </w:p>
        </w:tc>
        <w:tc>
          <w:tcPr>
            <w:tcW w:w="1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300" w:type="dxa"/>
            <w:vAlign w:val="bottom"/>
            <w:tcBorders>
              <w:top w:val="single" w:sz="8" w:color="auto"/>
            </w:tcBorders>
            <w:shd w:val="clear" w:color="auto" w:fill="CCEEFF"/>
          </w:tcPr>
          <w:p>
            <w:pPr>
              <w:spacing w:after="0"/>
              <w:rPr>
                <w:sz w:val="15"/>
                <w:szCs w:val="15"/>
                <w:color w:val="auto"/>
              </w:rPr>
            </w:pPr>
          </w:p>
        </w:tc>
      </w:tr>
      <w:tr>
        <w:trPr>
          <w:trHeight w:val="235"/>
        </w:trPr>
        <w:tc>
          <w:tcPr>
            <w:tcW w:w="4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postretirement benefits:</w:t>
            </w:r>
          </w:p>
        </w:tc>
        <w:tc>
          <w:tcPr>
            <w:tcW w:w="1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300" w:type="dxa"/>
            <w:vAlign w:val="bottom"/>
            <w:shd w:val="clear" w:color="auto" w:fill="CCEEFF"/>
          </w:tcPr>
          <w:p>
            <w:pPr>
              <w:spacing w:after="0"/>
              <w:rPr>
                <w:sz w:val="20"/>
                <w:szCs w:val="20"/>
                <w:color w:val="auto"/>
              </w:rPr>
            </w:pPr>
          </w:p>
        </w:tc>
      </w:tr>
      <w:tr>
        <w:trPr>
          <w:trHeight w:val="229"/>
        </w:trPr>
        <w:tc>
          <w:tcPr>
            <w:tcW w:w="4480" w:type="dxa"/>
            <w:vAlign w:val="bottom"/>
            <w:gridSpan w:val="2"/>
          </w:tcPr>
          <w:p>
            <w:pPr>
              <w:ind w:left="360"/>
              <w:spacing w:after="0"/>
              <w:rPr>
                <w:sz w:val="20"/>
                <w:szCs w:val="20"/>
                <w:color w:val="auto"/>
              </w:rPr>
            </w:pPr>
            <w:r>
              <w:rPr>
                <w:rFonts w:ascii="Arial" w:cs="Arial" w:eastAsia="Arial" w:hAnsi="Arial"/>
                <w:sz w:val="18"/>
                <w:szCs w:val="18"/>
                <w:color w:val="auto"/>
              </w:rPr>
              <w:t>Prior service cost</w:t>
            </w:r>
          </w:p>
        </w:tc>
        <w:tc>
          <w:tcPr>
            <w:tcW w:w="1140" w:type="dxa"/>
            <w:vAlign w:val="bottom"/>
          </w:tcPr>
          <w:p>
            <w:pPr>
              <w:jc w:val="right"/>
              <w:ind w:right="941"/>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200" w:type="dxa"/>
            <w:vAlign w:val="bottom"/>
          </w:tcPr>
          <w:p>
            <w:pPr>
              <w:jc w:val="right"/>
              <w:ind w:right="1016"/>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Nonoperating other expense, net</w:t>
            </w:r>
          </w:p>
        </w:tc>
      </w:tr>
      <w:tr>
        <w:trPr>
          <w:trHeight w:val="230"/>
        </w:trPr>
        <w:tc>
          <w:tcPr>
            <w:tcW w:w="4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Actuarial loss</w:t>
            </w:r>
          </w:p>
        </w:tc>
        <w:tc>
          <w:tcPr>
            <w:tcW w:w="11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other expense, net</w:t>
            </w:r>
          </w:p>
        </w:tc>
      </w:tr>
      <w:tr>
        <w:trPr>
          <w:trHeight w:val="223"/>
        </w:trPr>
        <w:tc>
          <w:tcPr>
            <w:tcW w:w="4480" w:type="dxa"/>
            <w:vAlign w:val="bottom"/>
            <w:gridSpan w:val="2"/>
          </w:tcPr>
          <w:p>
            <w:pPr>
              <w:ind w:left="20"/>
              <w:spacing w:after="0"/>
              <w:rPr>
                <w:sz w:val="20"/>
                <w:szCs w:val="20"/>
                <w:color w:val="auto"/>
              </w:rPr>
            </w:pPr>
            <w:r>
              <w:rPr>
                <w:rFonts w:ascii="Arial" w:cs="Arial" w:eastAsia="Arial" w:hAnsi="Arial"/>
                <w:sz w:val="18"/>
                <w:szCs w:val="18"/>
                <w:color w:val="auto"/>
              </w:rPr>
              <w:t>Total reclassifications for the period, net of tax</w:t>
            </w:r>
          </w:p>
        </w:tc>
        <w:tc>
          <w:tcPr>
            <w:tcW w:w="1140" w:type="dxa"/>
            <w:vAlign w:val="bottom"/>
            <w:tcBorders>
              <w:bottom w:val="single" w:sz="8" w:color="auto"/>
            </w:tcBorders>
          </w:tcPr>
          <w:p>
            <w:pPr>
              <w:jc w:val="right"/>
              <w:ind w:right="941"/>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1200" w:type="dxa"/>
            <w:vAlign w:val="bottom"/>
            <w:tcBorders>
              <w:bottom w:val="single" w:sz="8" w:color="auto"/>
            </w:tcBorders>
          </w:tcPr>
          <w:p>
            <w:pPr>
              <w:jc w:val="right"/>
              <w:ind w:right="101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3300" w:type="dxa"/>
            <w:vAlign w:val="bottom"/>
          </w:tcPr>
          <w:p>
            <w:pPr>
              <w:spacing w:after="0"/>
              <w:rPr>
                <w:sz w:val="19"/>
                <w:szCs w:val="19"/>
                <w:color w:val="auto"/>
              </w:rPr>
            </w:pPr>
          </w:p>
        </w:tc>
      </w:tr>
      <w:tr>
        <w:trPr>
          <w:trHeight w:val="21"/>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Regional Expenses</w:t>
      </w:r>
    </w:p>
    <w:p>
      <w:pPr>
        <w:spacing w:after="0" w:line="9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Our regional carriers provide scheduled air transportation under the brand name “American Eagle.” The American Eagle carriers include our wholly-owned regional carriers as well as third-party regional carriers. Our regional carrier arrangements are principally in the form of capacity purchase agreements. Expenses associated with American Eagle operations are classified as regional expenses on the condensed consolidated statements of operations.</w:t>
      </w:r>
    </w:p>
    <w:p>
      <w:pPr>
        <w:spacing w:after="0" w:line="122"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Regional expenses for each of the three months ended March 31, 2025 and 2024 include $79 million of depreciation and amortization and $2 million of aircraft rent.</w:t>
      </w:r>
    </w:p>
    <w:p>
      <w:pPr>
        <w:spacing w:after="0" w:line="9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During the three months ended March 31, 2025 and 2024, we recognized $168 million and $149 million, respectively, of expense under our capacity purchase agreement with Republic Airways Inc. (Republic). We hold a 25% equity interest in Republic Airways Holdings Inc., the parent company of Republic.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Legal Proceedings</w:t>
      </w:r>
    </w:p>
    <w:p>
      <w:pPr>
        <w:spacing w:after="0" w:line="90"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i w:val="1"/>
          <w:iCs w:val="1"/>
          <w:color w:val="auto"/>
        </w:rPr>
        <w:t xml:space="preserve">Government Antitrust Action Related to the Northeast Alliance. </w:t>
      </w:r>
      <w:r>
        <w:rPr>
          <w:rFonts w:ascii="Arial" w:cs="Arial" w:eastAsia="Arial" w:hAnsi="Arial"/>
          <w:sz w:val="18"/>
          <w:szCs w:val="18"/>
          <w:color w:val="auto"/>
        </w:rPr>
        <w:t>On September 21, 2021, the United States Department of Justice, joined</w:t>
      </w:r>
      <w:r>
        <w:rPr>
          <w:rFonts w:ascii="Arial" w:cs="Arial" w:eastAsia="Arial" w:hAnsi="Arial"/>
          <w:sz w:val="18"/>
          <w:szCs w:val="18"/>
          <w:i w:val="1"/>
          <w:iCs w:val="1"/>
          <w:color w:val="auto"/>
        </w:rPr>
        <w:t xml:space="preserve"> </w:t>
      </w:r>
      <w:r>
        <w:rPr>
          <w:rFonts w:ascii="Arial" w:cs="Arial" w:eastAsia="Arial" w:hAnsi="Arial"/>
          <w:sz w:val="18"/>
          <w:szCs w:val="18"/>
          <w:color w:val="auto"/>
        </w:rPr>
        <w:t>by Attorneys General from six states and the District of Columbia, filed an antitrust complaint against AAG and JetBlue Airways Corporation (JetBlue) in the U.S. District Court for the District of Massachusetts alleging that AAG and JetBlue violated U.S. antitrust law in connection with the previously disclosed Northeast Alliance arrangement (NEA). On May 19, 2023, the U.S. District Court for the District of Massachusetts issued an order permanently enjoining AAG and JetBlue from continuing and further implementing the NEA. In June 2023, JetBlue delivered a notice of termination of the NEA, effective July 29, 2023, and the carriers have substantially completed wind-down activities. Following written submissions by the parties and a hearing on July 26, 2023, the U.S. District Court for the District of Massachusetts entered a Final Judgment and Order Entering Permanent Injunction on July 28, 2023. The parties are complying with the terms of the Final Judgment and Order Entering Permanent Injunction, including by completing wind-down activities related to the NEA. AAG filed a notice of appeal to the U.S. Court of Appeals for the First Circuit on September 25, 2023. The First Circuit affirmed the District Court’s decision on November 8, 2024. AAG filed a petition for writ of certiorari to the U.S. Supreme Court on February 27, 2025, and the petition remains pending.</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296"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61"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i w:val="1"/>
          <w:iCs w:val="1"/>
          <w:color w:val="auto"/>
        </w:rPr>
        <w:t xml:space="preserve">Private Party Antitrust Actions Related to the Northeast Alliance. </w:t>
      </w:r>
      <w:r>
        <w:rPr>
          <w:rFonts w:ascii="Arial" w:cs="Arial" w:eastAsia="Arial" w:hAnsi="Arial"/>
          <w:sz w:val="18"/>
          <w:szCs w:val="18"/>
          <w:color w:val="auto"/>
        </w:rPr>
        <w:t>On December 5, 2022 and December 7, 2022, two private party plaintiffs</w:t>
      </w:r>
      <w:r>
        <w:rPr>
          <w:rFonts w:ascii="Arial" w:cs="Arial" w:eastAsia="Arial" w:hAnsi="Arial"/>
          <w:sz w:val="18"/>
          <w:szCs w:val="18"/>
          <w:i w:val="1"/>
          <w:iCs w:val="1"/>
          <w:color w:val="auto"/>
        </w:rPr>
        <w:t xml:space="preserve"> </w:t>
      </w:r>
      <w:r>
        <w:rPr>
          <w:rFonts w:ascii="Arial" w:cs="Arial" w:eastAsia="Arial" w:hAnsi="Arial"/>
          <w:sz w:val="18"/>
          <w:szCs w:val="18"/>
          <w:color w:val="auto"/>
        </w:rPr>
        <w:t>filed putative class action antitrust complaints against AAG and JetBlue in the U.S. District Court for the Eastern District of New York alleging that AAG and JetBlue violated U.S. antitrust law in connection with the previously disclosed NEA. These actions were consolidated on January 10, 2023. The private party plaintiffs filed an amended consolidated complaint on February 3, 2023. On February 2, 2023 and February 15, 2023, private party plaintiffs filed two additional putative class action antitrust complaints against AAG and JetBlue in the U.S. District Court for the District of Massachusetts and the U.S. District Court for the Eastern District of New York, respectively. In March 2023, AAG filed a motion in the U.S. District Court for the District of Massachusetts case asking to transfer the case to the U.S. District Court for the Eastern District of New York and consolidate it with the cases pending in that venue. The U.S. District Court for the District of Massachusetts granted that motion. The remaining cases were consolidated with the other actions in the Eastern District of New York. In June 2023, the private party plaintiffs filed a second amended consolidated complaint, followed by a third amended complaint filed in August 2023. In September 2023, AAG, together with JetBlue, filed a motion to dismiss the third amended complaint. In September 2024, the court denied that motion. AAG and JetBlue filed answers to the private party plaintiffs’ third amended complaint in October 2024, and the parties are now engaged in discovery. We believe these lawsuits are without merit and are defending against them vigorously.</w:t>
      </w:r>
    </w:p>
    <w:p>
      <w:pPr>
        <w:spacing w:after="0" w:line="133"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i w:val="1"/>
          <w:iCs w:val="1"/>
          <w:color w:val="auto"/>
        </w:rPr>
        <w:t xml:space="preserve">Securities and Stockholder Derivative Litigation. </w:t>
      </w:r>
      <w:r>
        <w:rPr>
          <w:rFonts w:ascii="Arial" w:cs="Arial" w:eastAsia="Arial" w:hAnsi="Arial"/>
          <w:sz w:val="18"/>
          <w:szCs w:val="18"/>
          <w:color w:val="auto"/>
        </w:rPr>
        <w:t>On July 18, 2024, AAG and certain of its current and former officers were named 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defendants in a putative class action lawsuit filed in the United States District Court for the Northern District of Texas, captioned </w:t>
      </w:r>
      <w:r>
        <w:rPr>
          <w:rFonts w:ascii="Arial" w:cs="Arial" w:eastAsia="Arial" w:hAnsi="Arial"/>
          <w:sz w:val="18"/>
          <w:szCs w:val="18"/>
          <w:i w:val="1"/>
          <w:iCs w:val="1"/>
          <w:color w:val="auto"/>
        </w:rPr>
        <w:t>Qawasmi v.</w:t>
      </w:r>
      <w:r>
        <w:rPr>
          <w:rFonts w:ascii="Arial" w:cs="Arial" w:eastAsia="Arial" w:hAnsi="Arial"/>
          <w:sz w:val="18"/>
          <w:szCs w:val="18"/>
          <w:color w:val="auto"/>
        </w:rPr>
        <w:t xml:space="preserve"> </w:t>
      </w:r>
      <w:r>
        <w:rPr>
          <w:rFonts w:ascii="Arial" w:cs="Arial" w:eastAsia="Arial" w:hAnsi="Arial"/>
          <w:sz w:val="18"/>
          <w:szCs w:val="18"/>
          <w:i w:val="1"/>
          <w:iCs w:val="1"/>
          <w:color w:val="auto"/>
        </w:rPr>
        <w:t>American Airlines Group Inc., et al</w:t>
      </w:r>
      <w:r>
        <w:rPr>
          <w:rFonts w:ascii="Arial" w:cs="Arial" w:eastAsia="Arial" w:hAnsi="Arial"/>
          <w:sz w:val="18"/>
          <w:szCs w:val="18"/>
          <w:color w:val="auto"/>
        </w:rPr>
        <w:t>. The</w:t>
      </w:r>
      <w:r>
        <w:rPr>
          <w:rFonts w:ascii="Arial" w:cs="Arial" w:eastAsia="Arial" w:hAnsi="Arial"/>
          <w:sz w:val="18"/>
          <w:szCs w:val="18"/>
          <w:i w:val="1"/>
          <w:iCs w:val="1"/>
          <w:color w:val="auto"/>
        </w:rPr>
        <w:t xml:space="preserve"> Qawasmi </w:t>
      </w:r>
      <w:r>
        <w:rPr>
          <w:rFonts w:ascii="Arial" w:cs="Arial" w:eastAsia="Arial" w:hAnsi="Arial"/>
          <w:sz w:val="18"/>
          <w:szCs w:val="18"/>
          <w:color w:val="auto"/>
        </w:rPr>
        <w:t>plaintiff purports to represent investors who acquired AAG securities between January 25,</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2024 and May 28, 2024. On August 28, 2024, AAG and certain of its current and former officers were named as defendants in a second putative class action lawsuit filed in the same court, captioned </w:t>
      </w:r>
      <w:r>
        <w:rPr>
          <w:rFonts w:ascii="Arial" w:cs="Arial" w:eastAsia="Arial" w:hAnsi="Arial"/>
          <w:sz w:val="18"/>
          <w:szCs w:val="18"/>
          <w:i w:val="1"/>
          <w:iCs w:val="1"/>
          <w:color w:val="auto"/>
        </w:rPr>
        <w:t>Thornburg v. American Airlines Group Inc., et al.</w:t>
      </w:r>
      <w:r>
        <w:rPr>
          <w:rFonts w:ascii="Arial" w:cs="Arial" w:eastAsia="Arial" w:hAnsi="Arial"/>
          <w:sz w:val="18"/>
          <w:szCs w:val="18"/>
          <w:color w:val="auto"/>
        </w:rPr>
        <w:t xml:space="preserve"> The </w:t>
      </w:r>
      <w:r>
        <w:rPr>
          <w:rFonts w:ascii="Arial" w:cs="Arial" w:eastAsia="Arial" w:hAnsi="Arial"/>
          <w:sz w:val="18"/>
          <w:szCs w:val="18"/>
          <w:i w:val="1"/>
          <w:iCs w:val="1"/>
          <w:color w:val="auto"/>
        </w:rPr>
        <w:t>Thornburg</w:t>
      </w:r>
      <w:r>
        <w:rPr>
          <w:rFonts w:ascii="Arial" w:cs="Arial" w:eastAsia="Arial" w:hAnsi="Arial"/>
          <w:sz w:val="18"/>
          <w:szCs w:val="18"/>
          <w:color w:val="auto"/>
        </w:rPr>
        <w:t xml:space="preserve"> plaintiff purports to represent investors who acquired AAG securities between July 20, 2023 and May 28, 2024. Both the </w:t>
      </w:r>
      <w:r>
        <w:rPr>
          <w:rFonts w:ascii="Arial" w:cs="Arial" w:eastAsia="Arial" w:hAnsi="Arial"/>
          <w:sz w:val="18"/>
          <w:szCs w:val="18"/>
          <w:i w:val="1"/>
          <w:iCs w:val="1"/>
          <w:color w:val="auto"/>
        </w:rPr>
        <w:t>Qawasmi</w:t>
      </w:r>
      <w:r>
        <w:rPr>
          <w:rFonts w:ascii="Arial" w:cs="Arial" w:eastAsia="Arial" w:hAnsi="Arial"/>
          <w:sz w:val="18"/>
          <w:szCs w:val="18"/>
          <w:color w:val="auto"/>
        </w:rPr>
        <w:t xml:space="preserve"> and </w:t>
      </w:r>
      <w:r>
        <w:rPr>
          <w:rFonts w:ascii="Arial" w:cs="Arial" w:eastAsia="Arial" w:hAnsi="Arial"/>
          <w:sz w:val="18"/>
          <w:szCs w:val="18"/>
          <w:i w:val="1"/>
          <w:iCs w:val="1"/>
          <w:color w:val="auto"/>
        </w:rPr>
        <w:t>Thornburg</w:t>
      </w:r>
      <w:r>
        <w:rPr>
          <w:rFonts w:ascii="Arial" w:cs="Arial" w:eastAsia="Arial" w:hAnsi="Arial"/>
          <w:sz w:val="18"/>
          <w:szCs w:val="18"/>
          <w:color w:val="auto"/>
        </w:rPr>
        <w:t xml:space="preserve"> complaints assert violations of Sections 10(b) and 20(a) of the Exchange Act based on allegations that, during the relevant periods, AAG misrepresented and/or omitted material facts related to its financial outlook and certain commercial initiatives. On September 16, 2024, certain purported AAG investors moved for consolidation of the </w:t>
      </w:r>
      <w:r>
        <w:rPr>
          <w:rFonts w:ascii="Arial" w:cs="Arial" w:eastAsia="Arial" w:hAnsi="Arial"/>
          <w:sz w:val="18"/>
          <w:szCs w:val="18"/>
          <w:i w:val="1"/>
          <w:iCs w:val="1"/>
          <w:color w:val="auto"/>
        </w:rPr>
        <w:t>Qawasmi</w:t>
      </w:r>
      <w:r>
        <w:rPr>
          <w:rFonts w:ascii="Arial" w:cs="Arial" w:eastAsia="Arial" w:hAnsi="Arial"/>
          <w:sz w:val="18"/>
          <w:szCs w:val="18"/>
          <w:color w:val="auto"/>
        </w:rPr>
        <w:t xml:space="preserve"> and </w:t>
      </w:r>
      <w:r>
        <w:rPr>
          <w:rFonts w:ascii="Arial" w:cs="Arial" w:eastAsia="Arial" w:hAnsi="Arial"/>
          <w:sz w:val="18"/>
          <w:szCs w:val="18"/>
          <w:i w:val="1"/>
          <w:iCs w:val="1"/>
          <w:color w:val="auto"/>
        </w:rPr>
        <w:t>Thornburg</w:t>
      </w:r>
      <w:r>
        <w:rPr>
          <w:rFonts w:ascii="Arial" w:cs="Arial" w:eastAsia="Arial" w:hAnsi="Arial"/>
          <w:sz w:val="18"/>
          <w:szCs w:val="18"/>
          <w:color w:val="auto"/>
        </w:rPr>
        <w:t xml:space="preserve"> actions as well as appointment as lead plaintiff. On November 22, 2024, the </w:t>
      </w:r>
      <w:r>
        <w:rPr>
          <w:rFonts w:ascii="Arial" w:cs="Arial" w:eastAsia="Arial" w:hAnsi="Arial"/>
          <w:sz w:val="18"/>
          <w:szCs w:val="18"/>
          <w:i w:val="1"/>
          <w:iCs w:val="1"/>
          <w:color w:val="auto"/>
        </w:rPr>
        <w:t>Qawasmi</w:t>
      </w:r>
      <w:r>
        <w:rPr>
          <w:rFonts w:ascii="Arial" w:cs="Arial" w:eastAsia="Arial" w:hAnsi="Arial"/>
          <w:sz w:val="18"/>
          <w:szCs w:val="18"/>
          <w:color w:val="auto"/>
        </w:rPr>
        <w:t xml:space="preserve"> and </w:t>
      </w:r>
      <w:r>
        <w:rPr>
          <w:rFonts w:ascii="Arial" w:cs="Arial" w:eastAsia="Arial" w:hAnsi="Arial"/>
          <w:sz w:val="18"/>
          <w:szCs w:val="18"/>
          <w:i w:val="1"/>
          <w:iCs w:val="1"/>
          <w:color w:val="auto"/>
        </w:rPr>
        <w:t>Thornburg</w:t>
      </w:r>
      <w:r>
        <w:rPr>
          <w:rFonts w:ascii="Arial" w:cs="Arial" w:eastAsia="Arial" w:hAnsi="Arial"/>
          <w:sz w:val="18"/>
          <w:szCs w:val="18"/>
          <w:color w:val="auto"/>
        </w:rPr>
        <w:t xml:space="preserve"> complaints were consolidated into a single action bearing the caption </w:t>
      </w:r>
      <w:r>
        <w:rPr>
          <w:rFonts w:ascii="Arial" w:cs="Arial" w:eastAsia="Arial" w:hAnsi="Arial"/>
          <w:sz w:val="18"/>
          <w:szCs w:val="18"/>
          <w:i w:val="1"/>
          <w:iCs w:val="1"/>
          <w:color w:val="auto"/>
        </w:rPr>
        <w:t>In re American</w:t>
      </w:r>
      <w:r>
        <w:rPr>
          <w:rFonts w:ascii="Arial" w:cs="Arial" w:eastAsia="Arial" w:hAnsi="Arial"/>
          <w:sz w:val="18"/>
          <w:szCs w:val="18"/>
          <w:color w:val="auto"/>
        </w:rPr>
        <w:t xml:space="preserve"> </w:t>
      </w:r>
      <w:r>
        <w:rPr>
          <w:rFonts w:ascii="Arial" w:cs="Arial" w:eastAsia="Arial" w:hAnsi="Arial"/>
          <w:sz w:val="18"/>
          <w:szCs w:val="18"/>
          <w:i w:val="1"/>
          <w:iCs w:val="1"/>
          <w:color w:val="auto"/>
        </w:rPr>
        <w:t>Airlines Group Inc. Securities Litigation</w:t>
      </w:r>
      <w:r>
        <w:rPr>
          <w:rFonts w:ascii="Arial" w:cs="Arial" w:eastAsia="Arial" w:hAnsi="Arial"/>
          <w:sz w:val="18"/>
          <w:szCs w:val="18"/>
          <w:color w:val="auto"/>
        </w:rPr>
        <w:t>. The court also appointed co-lead plaintiffs and lead counsel to represent the putative class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action. Plaintiffs filed a consolidated complaint on January 21, 2025, and an amended consolidated complaint on March 19, 2025. The consolidated complaint makes similar factual allegations to the prior complaints regarding AAG’s financial outlook and certain commercial initiatives. AAG and the individual defendants filed a joint motion to dismiss on March 21, 2025. Plaintiffs’ response is due by April 25, 2025 and AAG’s reply is then due by May 23, 2025.</w:t>
      </w:r>
    </w:p>
    <w:p>
      <w:pPr>
        <w:spacing w:after="0" w:line="129"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 xml:space="preserve">Additionally, on September 19, 2024, certain of AAG’s current and former directors and officers were named as defendants in a shareholder derivative lawsuit (in which AAG is a nominal defendant) filed in the United States District Court for the Northern District of Texas, captioned </w:t>
      </w:r>
      <w:r>
        <w:rPr>
          <w:rFonts w:ascii="Arial" w:cs="Arial" w:eastAsia="Arial" w:hAnsi="Arial"/>
          <w:sz w:val="18"/>
          <w:szCs w:val="18"/>
          <w:i w:val="1"/>
          <w:iCs w:val="1"/>
          <w:color w:val="auto"/>
        </w:rPr>
        <w:t>Hollin v. Isom, et al.</w:t>
      </w:r>
      <w:r>
        <w:rPr>
          <w:rFonts w:ascii="Arial" w:cs="Arial" w:eastAsia="Arial" w:hAnsi="Arial"/>
          <w:sz w:val="18"/>
          <w:szCs w:val="18"/>
          <w:color w:val="auto"/>
        </w:rPr>
        <w:t xml:space="preserve"> The </w:t>
      </w:r>
      <w:r>
        <w:rPr>
          <w:rFonts w:ascii="Arial" w:cs="Arial" w:eastAsia="Arial" w:hAnsi="Arial"/>
          <w:sz w:val="18"/>
          <w:szCs w:val="18"/>
          <w:i w:val="1"/>
          <w:iCs w:val="1"/>
          <w:color w:val="auto"/>
        </w:rPr>
        <w:t>Hollin</w:t>
      </w:r>
      <w:r>
        <w:rPr>
          <w:rFonts w:ascii="Arial" w:cs="Arial" w:eastAsia="Arial" w:hAnsi="Arial"/>
          <w:sz w:val="18"/>
          <w:szCs w:val="18"/>
          <w:color w:val="auto"/>
        </w:rPr>
        <w:t xml:space="preserve"> complaint asserts violations of Section 10(b) of the Exchange Act, breach of fiduciary duty, and claims for unjust enrichment and corporate waste. On September 26, 2024, a second derivative complaint was filed in the same court, similarly naming certain of AAG’s current and former directors and officers (as well as AAG as a nominal defendant), captioned </w:t>
      </w:r>
      <w:r>
        <w:rPr>
          <w:rFonts w:ascii="Arial" w:cs="Arial" w:eastAsia="Arial" w:hAnsi="Arial"/>
          <w:sz w:val="18"/>
          <w:szCs w:val="18"/>
          <w:i w:val="1"/>
          <w:iCs w:val="1"/>
          <w:color w:val="auto"/>
        </w:rPr>
        <w:t>Leon v. Isom,</w:t>
      </w:r>
      <w:r>
        <w:rPr>
          <w:rFonts w:ascii="Arial" w:cs="Arial" w:eastAsia="Arial" w:hAnsi="Arial"/>
          <w:sz w:val="18"/>
          <w:szCs w:val="18"/>
          <w:color w:val="auto"/>
        </w:rPr>
        <w:t xml:space="preserve"> </w:t>
      </w:r>
      <w:r>
        <w:rPr>
          <w:rFonts w:ascii="Arial" w:cs="Arial" w:eastAsia="Arial" w:hAnsi="Arial"/>
          <w:sz w:val="18"/>
          <w:szCs w:val="18"/>
          <w:i w:val="1"/>
          <w:iCs w:val="1"/>
          <w:color w:val="auto"/>
        </w:rPr>
        <w:t>et al</w:t>
      </w:r>
      <w:r>
        <w:rPr>
          <w:rFonts w:ascii="Arial" w:cs="Arial" w:eastAsia="Arial" w:hAnsi="Arial"/>
          <w:sz w:val="18"/>
          <w:szCs w:val="18"/>
          <w:color w:val="auto"/>
        </w:rPr>
        <w:t>. The</w:t>
      </w:r>
      <w:r>
        <w:rPr>
          <w:rFonts w:ascii="Arial" w:cs="Arial" w:eastAsia="Arial" w:hAnsi="Arial"/>
          <w:sz w:val="18"/>
          <w:szCs w:val="18"/>
          <w:i w:val="1"/>
          <w:iCs w:val="1"/>
          <w:color w:val="auto"/>
        </w:rPr>
        <w:t xml:space="preserve"> Leon </w:t>
      </w:r>
      <w:r>
        <w:rPr>
          <w:rFonts w:ascii="Arial" w:cs="Arial" w:eastAsia="Arial" w:hAnsi="Arial"/>
          <w:sz w:val="18"/>
          <w:szCs w:val="18"/>
          <w:color w:val="auto"/>
        </w:rPr>
        <w:t>complaint asserts violations of Section 14(a) of the Exchange Act, breaches of fiduciary duty, claims of unjust enrichment,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abuse of control, gross mismanagement, waste of corporate assets, and a claim for contribution. The </w:t>
      </w:r>
      <w:r>
        <w:rPr>
          <w:rFonts w:ascii="Arial" w:cs="Arial" w:eastAsia="Arial" w:hAnsi="Arial"/>
          <w:sz w:val="18"/>
          <w:szCs w:val="18"/>
          <w:i w:val="1"/>
          <w:iCs w:val="1"/>
          <w:color w:val="auto"/>
        </w:rPr>
        <w:t>Hollin</w:t>
      </w:r>
      <w:r>
        <w:rPr>
          <w:rFonts w:ascii="Arial" w:cs="Arial" w:eastAsia="Arial" w:hAnsi="Arial"/>
          <w:sz w:val="18"/>
          <w:szCs w:val="18"/>
          <w:color w:val="auto"/>
        </w:rPr>
        <w:t xml:space="preserve"> and </w:t>
      </w:r>
      <w:r>
        <w:rPr>
          <w:rFonts w:ascii="Arial" w:cs="Arial" w:eastAsia="Arial" w:hAnsi="Arial"/>
          <w:sz w:val="18"/>
          <w:szCs w:val="18"/>
          <w:i w:val="1"/>
          <w:iCs w:val="1"/>
          <w:color w:val="auto"/>
        </w:rPr>
        <w:t>Leon</w:t>
      </w:r>
      <w:r>
        <w:rPr>
          <w:rFonts w:ascii="Arial" w:cs="Arial" w:eastAsia="Arial" w:hAnsi="Arial"/>
          <w:sz w:val="18"/>
          <w:szCs w:val="18"/>
          <w:color w:val="auto"/>
        </w:rPr>
        <w:t xml:space="preserve"> complaints generally allege the same purported misconduct as alleged in the securities class actions. On November 25, 2024, the </w:t>
      </w:r>
      <w:r>
        <w:rPr>
          <w:rFonts w:ascii="Arial" w:cs="Arial" w:eastAsia="Arial" w:hAnsi="Arial"/>
          <w:sz w:val="18"/>
          <w:szCs w:val="18"/>
          <w:i w:val="1"/>
          <w:iCs w:val="1"/>
          <w:color w:val="auto"/>
        </w:rPr>
        <w:t>Hollin</w:t>
      </w:r>
      <w:r>
        <w:rPr>
          <w:rFonts w:ascii="Arial" w:cs="Arial" w:eastAsia="Arial" w:hAnsi="Arial"/>
          <w:sz w:val="18"/>
          <w:szCs w:val="18"/>
          <w:color w:val="auto"/>
        </w:rPr>
        <w:t xml:space="preserve"> and </w:t>
      </w:r>
      <w:r>
        <w:rPr>
          <w:rFonts w:ascii="Arial" w:cs="Arial" w:eastAsia="Arial" w:hAnsi="Arial"/>
          <w:sz w:val="18"/>
          <w:szCs w:val="18"/>
          <w:i w:val="1"/>
          <w:iCs w:val="1"/>
          <w:color w:val="auto"/>
        </w:rPr>
        <w:t>Leon</w:t>
      </w:r>
      <w:r>
        <w:rPr>
          <w:rFonts w:ascii="Arial" w:cs="Arial" w:eastAsia="Arial" w:hAnsi="Arial"/>
          <w:sz w:val="18"/>
          <w:szCs w:val="18"/>
          <w:color w:val="auto"/>
        </w:rPr>
        <w:t xml:space="preserve"> complaints were consolidated into a single action bearing the caption </w:t>
      </w:r>
      <w:r>
        <w:rPr>
          <w:rFonts w:ascii="Arial" w:cs="Arial" w:eastAsia="Arial" w:hAnsi="Arial"/>
          <w:sz w:val="18"/>
          <w:szCs w:val="18"/>
          <w:i w:val="1"/>
          <w:iCs w:val="1"/>
          <w:color w:val="auto"/>
        </w:rPr>
        <w:t>In re American Airlines Group Inc. Stockholder Derivative Action</w:t>
      </w:r>
      <w:r>
        <w:rPr>
          <w:rFonts w:ascii="Arial" w:cs="Arial" w:eastAsia="Arial" w:hAnsi="Arial"/>
          <w:sz w:val="18"/>
          <w:szCs w:val="18"/>
          <w:color w:val="auto"/>
        </w:rPr>
        <w:t>. The derivative actions are currently stayed pending resolution of the securities class action. We believe both the securities class action and shareholder derivative lawsuit are without merit and intend to defend against them vigorously.</w:t>
      </w:r>
    </w:p>
    <w:p>
      <w:pPr>
        <w:spacing w:after="0" w:line="12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In addition to the specifically identified legal proceedings, we and our subsidiaries are also engaged in other legal proceedings</w:t>
      </w:r>
      <w:r>
        <w:rPr>
          <w:rFonts w:ascii="Arial" w:cs="Arial" w:eastAsia="Arial" w:hAnsi="Arial"/>
          <w:sz w:val="18"/>
          <w:szCs w:val="18"/>
          <w:i w:val="1"/>
          <w:iCs w:val="1"/>
          <w:color w:val="auto"/>
        </w:rPr>
        <w:t xml:space="preserve"> </w:t>
      </w:r>
      <w:r>
        <w:rPr>
          <w:rFonts w:ascii="Arial" w:cs="Arial" w:eastAsia="Arial" w:hAnsi="Arial"/>
          <w:sz w:val="18"/>
          <w:szCs w:val="18"/>
          <w:color w:val="auto"/>
        </w:rPr>
        <w:t>from time to time. Legal proceedings can be complex and take many months, or even years, to reach resolution, with the final outcome depending on a number of variables, some of which are not within our control. Therefore, although we will vigorously defend ourselves in each of the actions described above and such other legal proceedings, their ultimate resolution and potential financial and other impacts on us are uncertain but could be material.</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CONDENSED CONSOLIDATED FINANCIAL STATEMENTS OF AMERICAN AIRLINES,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60" w:type="dxa"/>
            <w:vAlign w:val="bottom"/>
          </w:tcPr>
          <w:p>
            <w:pPr>
              <w:spacing w:after="0"/>
              <w:rPr>
                <w:sz w:val="17"/>
                <w:szCs w:val="17"/>
                <w:color w:val="auto"/>
              </w:rPr>
            </w:pPr>
          </w:p>
        </w:tc>
        <w:tc>
          <w:tcPr>
            <w:tcW w:w="300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Three Months Ended March 31,</w:t>
            </w:r>
          </w:p>
        </w:tc>
        <w:tc>
          <w:tcPr>
            <w:tcW w:w="680" w:type="dxa"/>
            <w:vAlign w:val="bottom"/>
            <w:tcBorders>
              <w:bottom w:val="single" w:sz="8" w:color="auto"/>
            </w:tcBorders>
          </w:tcPr>
          <w:p>
            <w:pPr>
              <w:spacing w:after="0"/>
              <w:rPr>
                <w:sz w:val="17"/>
                <w:szCs w:val="17"/>
                <w:color w:val="auto"/>
              </w:rPr>
            </w:pPr>
          </w:p>
        </w:tc>
      </w:tr>
      <w:tr>
        <w:trPr>
          <w:trHeight w:val="196"/>
        </w:trPr>
        <w:tc>
          <w:tcPr>
            <w:tcW w:w="756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80" w:type="dxa"/>
            <w:vAlign w:val="bottom"/>
            <w:tcBorders>
              <w:bottom w:val="single" w:sz="8" w:color="auto"/>
            </w:tcBorders>
          </w:tcPr>
          <w:p>
            <w:pPr>
              <w:spacing w:after="0"/>
              <w:rPr>
                <w:sz w:val="17"/>
                <w:szCs w:val="17"/>
                <w:color w:val="auto"/>
              </w:rPr>
            </w:pPr>
          </w:p>
        </w:tc>
      </w:tr>
      <w:tr>
        <w:trPr>
          <w:trHeight w:val="211"/>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30"/>
        </w:trPr>
        <w:tc>
          <w:tcPr>
            <w:tcW w:w="7560" w:type="dxa"/>
            <w:vAlign w:val="bottom"/>
          </w:tcPr>
          <w:p>
            <w:pPr>
              <w:ind w:left="360"/>
              <w:spacing w:after="0"/>
              <w:rPr>
                <w:sz w:val="20"/>
                <w:szCs w:val="20"/>
                <w:color w:val="auto"/>
              </w:rPr>
            </w:pPr>
            <w:r>
              <w:rPr>
                <w:rFonts w:ascii="Arial" w:cs="Arial" w:eastAsia="Arial" w:hAnsi="Arial"/>
                <w:sz w:val="18"/>
                <w:szCs w:val="18"/>
                <w:color w:val="auto"/>
              </w:rPr>
              <w:t>Passenger</w:t>
            </w:r>
          </w:p>
        </w:tc>
        <w:tc>
          <w:tcPr>
            <w:tcW w:w="1120" w:type="dxa"/>
            <w:vAlign w:val="bottom"/>
          </w:tcPr>
          <w:p>
            <w:pPr>
              <w:jc w:val="right"/>
              <w:ind w:right="919"/>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11,391</w:t>
            </w:r>
          </w:p>
        </w:tc>
        <w:tc>
          <w:tcPr>
            <w:tcW w:w="120" w:type="dxa"/>
            <w:vAlign w:val="bottom"/>
          </w:tcPr>
          <w:p>
            <w:pPr>
              <w:spacing w:after="0"/>
              <w:rPr>
                <w:sz w:val="19"/>
                <w:szCs w:val="19"/>
                <w:color w:val="auto"/>
              </w:rPr>
            </w:pPr>
          </w:p>
        </w:tc>
        <w:tc>
          <w:tcPr>
            <w:tcW w:w="1100" w:type="dxa"/>
            <w:vAlign w:val="bottom"/>
          </w:tcPr>
          <w:p>
            <w:pPr>
              <w:jc w:val="right"/>
              <w:ind w:right="896"/>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11,458</w:t>
            </w:r>
          </w:p>
        </w:tc>
      </w:tr>
      <w:tr>
        <w:trPr>
          <w:trHeight w:val="229"/>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Cargo</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29"/>
        </w:trPr>
        <w:tc>
          <w:tcPr>
            <w:tcW w:w="7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w:t>
            </w:r>
          </w:p>
        </w:tc>
      </w:tr>
      <w:tr>
        <w:trPr>
          <w:trHeight w:val="223"/>
        </w:trPr>
        <w:tc>
          <w:tcPr>
            <w:tcW w:w="7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revenues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12,549</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12,569</w:t>
            </w: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Aircraft fuel and related taxes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2,980</w:t>
            </w:r>
          </w:p>
        </w:tc>
      </w:tr>
      <w:tr>
        <w:trPr>
          <w:trHeight w:val="229"/>
        </w:trPr>
        <w:tc>
          <w:tcPr>
            <w:tcW w:w="7560" w:type="dxa"/>
            <w:vAlign w:val="bottom"/>
          </w:tcPr>
          <w:p>
            <w:pPr>
              <w:ind w:left="360"/>
              <w:spacing w:after="0"/>
              <w:rPr>
                <w:sz w:val="20"/>
                <w:szCs w:val="20"/>
                <w:color w:val="auto"/>
              </w:rPr>
            </w:pPr>
            <w:r>
              <w:rPr>
                <w:rFonts w:ascii="Arial" w:cs="Arial" w:eastAsia="Arial" w:hAnsi="Arial"/>
                <w:sz w:val="18"/>
                <w:szCs w:val="18"/>
                <w:color w:val="auto"/>
              </w:rPr>
              <w:t>Salaries, wages and benefits</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4,220</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3,865</w:t>
            </w: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Regional expenses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w:t>
            </w:r>
          </w:p>
        </w:tc>
      </w:tr>
      <w:tr>
        <w:trPr>
          <w:trHeight w:val="229"/>
        </w:trPr>
        <w:tc>
          <w:tcPr>
            <w:tcW w:w="7560" w:type="dxa"/>
            <w:vAlign w:val="bottom"/>
          </w:tcPr>
          <w:p>
            <w:pPr>
              <w:ind w:left="360"/>
              <w:spacing w:after="0"/>
              <w:rPr>
                <w:sz w:val="20"/>
                <w:szCs w:val="20"/>
                <w:color w:val="auto"/>
              </w:rPr>
            </w:pPr>
            <w:r>
              <w:rPr>
                <w:rFonts w:ascii="Arial" w:cs="Arial" w:eastAsia="Arial" w:hAnsi="Arial"/>
                <w:sz w:val="18"/>
                <w:szCs w:val="18"/>
                <w:color w:val="auto"/>
              </w:rPr>
              <w:t>Maintenance, materials and repairs</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922</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884</w:t>
            </w:r>
          </w:p>
        </w:tc>
      </w:tr>
      <w:tr>
        <w:trPr>
          <w:trHeight w:val="229"/>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rent and landing fees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r>
      <w:tr>
        <w:trPr>
          <w:trHeight w:val="230"/>
        </w:trPr>
        <w:tc>
          <w:tcPr>
            <w:tcW w:w="7560" w:type="dxa"/>
            <w:vAlign w:val="bottom"/>
          </w:tcPr>
          <w:p>
            <w:pPr>
              <w:ind w:left="360"/>
              <w:spacing w:after="0"/>
              <w:rPr>
                <w:sz w:val="20"/>
                <w:szCs w:val="20"/>
                <w:color w:val="auto"/>
              </w:rPr>
            </w:pPr>
            <w:r>
              <w:rPr>
                <w:rFonts w:ascii="Arial" w:cs="Arial" w:eastAsia="Arial" w:hAnsi="Arial"/>
                <w:sz w:val="18"/>
                <w:szCs w:val="18"/>
                <w:color w:val="auto"/>
              </w:rPr>
              <w:t>Aircraft rent</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328</w:t>
            </w:r>
          </w:p>
        </w:tc>
      </w:tr>
      <w:tr>
        <w:trPr>
          <w:trHeight w:val="229"/>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expenses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r>
      <w:tr>
        <w:trPr>
          <w:trHeight w:val="229"/>
        </w:trPr>
        <w:tc>
          <w:tcPr>
            <w:tcW w:w="756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467</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468</w:t>
            </w: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Special items, net</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29"/>
        </w:trPr>
        <w:tc>
          <w:tcPr>
            <w:tcW w:w="7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w:t>
            </w:r>
          </w:p>
        </w:tc>
      </w:tr>
      <w:tr>
        <w:trPr>
          <w:trHeight w:val="223"/>
        </w:trPr>
        <w:tc>
          <w:tcPr>
            <w:tcW w:w="7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expenses</w:t>
            </w: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12,817</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12,556</w:t>
            </w: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income (expense):</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756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262</w:t>
            </w: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r>
      <w:tr>
        <w:trPr>
          <w:trHeight w:val="230"/>
        </w:trPr>
        <w:tc>
          <w:tcPr>
            <w:tcW w:w="7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expense, net</w:t>
            </w:r>
          </w:p>
        </w:tc>
        <w:tc>
          <w:tcPr>
            <w:tcW w:w="1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23"/>
        </w:trPr>
        <w:tc>
          <w:tcPr>
            <w:tcW w:w="7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nonoperating expense, net</w:t>
            </w: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(528)</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(286)</w:t>
            </w: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benefit</w:t>
            </w: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1120" w:type="dxa"/>
            <w:vAlign w:val="bottom"/>
            <w:tcBorders>
              <w:bottom w:val="single" w:sz="8" w:color="auto"/>
            </w:tcBorders>
          </w:tcPr>
          <w:p>
            <w:pPr>
              <w:jc w:val="right"/>
              <w:ind w:right="91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19"/>
                <w:szCs w:val="19"/>
                <w:color w:val="auto"/>
              </w:rPr>
            </w:pPr>
          </w:p>
        </w:tc>
        <w:tc>
          <w:tcPr>
            <w:tcW w:w="1100" w:type="dxa"/>
            <w:vAlign w:val="bottom"/>
            <w:tcBorders>
              <w:bottom w:val="single" w:sz="8" w:color="auto"/>
            </w:tcBorders>
          </w:tcPr>
          <w:p>
            <w:pPr>
              <w:jc w:val="right"/>
              <w:ind w:right="89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r>
      <w:tr>
        <w:trPr>
          <w:trHeight w:val="20"/>
        </w:trPr>
        <w:tc>
          <w:tcPr>
            <w:tcW w:w="75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03" w:lineRule="exact"/>
        <w:rPr>
          <w:sz w:val="20"/>
          <w:szCs w:val="20"/>
          <w:color w:val="auto"/>
        </w:rPr>
      </w:pPr>
    </w:p>
    <w:p>
      <w:pPr>
        <w:ind w:left="8340"/>
        <w:spacing w:after="0"/>
        <w:rPr>
          <w:sz w:val="20"/>
          <w:szCs w:val="20"/>
          <w:color w:val="auto"/>
        </w:rPr>
      </w:pPr>
      <w:r>
        <w:rPr>
          <w:rFonts w:ascii="Arial" w:cs="Arial" w:eastAsia="Arial" w:hAnsi="Arial"/>
          <w:sz w:val="14"/>
          <w:szCs w:val="14"/>
          <w:b w:val="1"/>
          <w:bCs w:val="1"/>
          <w:color w:val="auto"/>
        </w:rPr>
        <w:t>Three Months Ended March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60" w:type="dxa"/>
            <w:vAlign w:val="bottom"/>
            <w:tcBorders>
              <w:bottom w:val="single" w:sz="8" w:color="CCEEFF"/>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2025</w:t>
            </w:r>
          </w:p>
        </w:tc>
        <w:tc>
          <w:tcPr>
            <w:tcW w:w="5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2024</w:t>
            </w:r>
          </w:p>
        </w:tc>
      </w:tr>
      <w:tr>
        <w:trPr>
          <w:trHeight w:val="224"/>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1200" w:type="dxa"/>
            <w:vAlign w:val="bottom"/>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1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Pension, retiree medical and other postretirement benefits</w:t>
            </w:r>
          </w:p>
        </w:tc>
        <w:tc>
          <w:tcPr>
            <w:tcW w:w="1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7560" w:type="dxa"/>
            <w:vAlign w:val="bottom"/>
          </w:tcPr>
          <w:p>
            <w:pPr>
              <w:ind w:left="360"/>
              <w:spacing w:after="0"/>
              <w:rPr>
                <w:sz w:val="20"/>
                <w:szCs w:val="20"/>
                <w:color w:val="auto"/>
              </w:rPr>
            </w:pPr>
            <w:r>
              <w:rPr>
                <w:rFonts w:ascii="Arial" w:cs="Arial" w:eastAsia="Arial" w:hAnsi="Arial"/>
                <w:sz w:val="18"/>
                <w:szCs w:val="18"/>
                <w:color w:val="auto"/>
              </w:rPr>
              <w:t>Investments</w:t>
            </w:r>
          </w:p>
        </w:tc>
        <w:tc>
          <w:tcPr>
            <w:tcW w:w="120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756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Total other comprehensive income, net of tax</w:t>
            </w:r>
          </w:p>
        </w:tc>
        <w:tc>
          <w:tcPr>
            <w:tcW w:w="120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loss</w:t>
            </w:r>
          </w:p>
        </w:tc>
        <w:tc>
          <w:tcPr>
            <w:tcW w:w="1200" w:type="dxa"/>
            <w:vAlign w:val="bottom"/>
            <w:tcBorders>
              <w:bottom w:val="single" w:sz="8" w:color="auto"/>
            </w:tcBorders>
          </w:tcPr>
          <w:p>
            <w:pPr>
              <w:jc w:val="right"/>
              <w:ind w:right="9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r>
      <w:tr>
        <w:trPr>
          <w:trHeight w:val="20"/>
        </w:trPr>
        <w:tc>
          <w:tcPr>
            <w:tcW w:w="75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AIRLINES, INC.</w:t>
      </w:r>
    </w:p>
    <w:p>
      <w:pPr>
        <w:spacing w:after="0" w:line="27"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(In millions, except share and par value amounts)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75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rPr>
              <w:t>March 31, 2025</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196"/>
        </w:trPr>
        <w:tc>
          <w:tcPr>
            <w:tcW w:w="7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tcPr>
          <w:p>
            <w:pPr>
              <w:ind w:left="20"/>
              <w:spacing w:after="0"/>
              <w:rPr>
                <w:sz w:val="20"/>
                <w:szCs w:val="20"/>
                <w:color w:val="auto"/>
              </w:rPr>
            </w:pPr>
            <w:r>
              <w:rPr>
                <w:rFonts w:ascii="Arial" w:cs="Arial" w:eastAsia="Arial" w:hAnsi="Arial"/>
                <w:sz w:val="15"/>
                <w:szCs w:val="15"/>
                <w:b w:val="1"/>
                <w:bCs w:val="1"/>
                <w:color w:val="auto"/>
              </w:rPr>
              <w:t>Current assets</w:t>
            </w: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Cash</w:t>
            </w: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795</w:t>
            </w:r>
          </w:p>
        </w:tc>
        <w:tc>
          <w:tcPr>
            <w:tcW w:w="0" w:type="dxa"/>
            <w:vAlign w:val="bottom"/>
          </w:tcPr>
          <w:p>
            <w:pPr>
              <w:spacing w:after="0"/>
              <w:rPr>
                <w:sz w:val="1"/>
                <w:szCs w:val="1"/>
                <w:color w:val="auto"/>
              </w:rPr>
            </w:pPr>
          </w:p>
        </w:tc>
      </w:tr>
      <w:tr>
        <w:trPr>
          <w:trHeight w:val="201"/>
        </w:trPr>
        <w:tc>
          <w:tcPr>
            <w:tcW w:w="7560" w:type="dxa"/>
            <w:vAlign w:val="bottom"/>
          </w:tcPr>
          <w:p>
            <w:pPr>
              <w:ind w:left="340"/>
              <w:spacing w:after="0"/>
              <w:rPr>
                <w:sz w:val="20"/>
                <w:szCs w:val="20"/>
                <w:color w:val="auto"/>
              </w:rPr>
            </w:pPr>
            <w:r>
              <w:rPr>
                <w:rFonts w:ascii="Arial" w:cs="Arial" w:eastAsia="Arial" w:hAnsi="Arial"/>
                <w:sz w:val="15"/>
                <w:szCs w:val="15"/>
                <w:color w:val="auto"/>
              </w:rPr>
              <w:t>Short-term investments</w:t>
            </w: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6,629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6,177</w:t>
            </w:r>
          </w:p>
        </w:tc>
        <w:tc>
          <w:tcPr>
            <w:tcW w:w="0" w:type="dxa"/>
            <w:vAlign w:val="bottom"/>
          </w:tcPr>
          <w:p>
            <w:pPr>
              <w:spacing w:after="0"/>
              <w:rPr>
                <w:sz w:val="1"/>
                <w:szCs w:val="1"/>
                <w:color w:val="auto"/>
              </w:rPr>
            </w:pPr>
          </w:p>
        </w:tc>
      </w:tr>
      <w:tr>
        <w:trPr>
          <w:trHeight w:val="204"/>
        </w:trPr>
        <w:tc>
          <w:tcPr>
            <w:tcW w:w="75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Restricted cash and short-term investments</w:t>
            </w: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732</w:t>
            </w:r>
          </w:p>
        </w:tc>
        <w:tc>
          <w:tcPr>
            <w:tcW w:w="0" w:type="dxa"/>
            <w:vAlign w:val="bottom"/>
          </w:tcPr>
          <w:p>
            <w:pPr>
              <w:spacing w:after="0"/>
              <w:rPr>
                <w:sz w:val="1"/>
                <w:szCs w:val="1"/>
                <w:color w:val="auto"/>
              </w:rPr>
            </w:pPr>
          </w:p>
        </w:tc>
      </w:tr>
      <w:tr>
        <w:trPr>
          <w:trHeight w:val="201"/>
        </w:trPr>
        <w:tc>
          <w:tcPr>
            <w:tcW w:w="7560" w:type="dxa"/>
            <w:vAlign w:val="bottom"/>
          </w:tcPr>
          <w:p>
            <w:pPr>
              <w:ind w:left="340"/>
              <w:spacing w:after="0"/>
              <w:rPr>
                <w:sz w:val="20"/>
                <w:szCs w:val="20"/>
                <w:color w:val="auto"/>
              </w:rPr>
            </w:pPr>
            <w:r>
              <w:rPr>
                <w:rFonts w:ascii="Arial" w:cs="Arial" w:eastAsia="Arial" w:hAnsi="Arial"/>
                <w:sz w:val="15"/>
                <w:szCs w:val="15"/>
                <w:color w:val="auto"/>
              </w:rPr>
              <w:t>Accounts receivable, net</w:t>
            </w: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1,878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1,977</w:t>
            </w:r>
          </w:p>
        </w:tc>
        <w:tc>
          <w:tcPr>
            <w:tcW w:w="0" w:type="dxa"/>
            <w:vAlign w:val="bottom"/>
          </w:tcPr>
          <w:p>
            <w:pPr>
              <w:spacing w:after="0"/>
              <w:rPr>
                <w:sz w:val="1"/>
                <w:szCs w:val="1"/>
                <w:color w:val="auto"/>
              </w:rPr>
            </w:pPr>
          </w:p>
        </w:tc>
      </w:tr>
      <w:tr>
        <w:trPr>
          <w:trHeight w:val="204"/>
        </w:trPr>
        <w:tc>
          <w:tcPr>
            <w:tcW w:w="75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Receivables from related parties, net</w:t>
            </w: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8,439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8,187</w:t>
            </w:r>
          </w:p>
        </w:tc>
        <w:tc>
          <w:tcPr>
            <w:tcW w:w="0" w:type="dxa"/>
            <w:vAlign w:val="bottom"/>
          </w:tcPr>
          <w:p>
            <w:pPr>
              <w:spacing w:after="0"/>
              <w:rPr>
                <w:sz w:val="1"/>
                <w:szCs w:val="1"/>
                <w:color w:val="auto"/>
              </w:rPr>
            </w:pPr>
          </w:p>
        </w:tc>
      </w:tr>
      <w:tr>
        <w:trPr>
          <w:trHeight w:val="201"/>
        </w:trPr>
        <w:tc>
          <w:tcPr>
            <w:tcW w:w="7560" w:type="dxa"/>
            <w:vAlign w:val="bottom"/>
          </w:tcPr>
          <w:p>
            <w:pPr>
              <w:ind w:left="340"/>
              <w:spacing w:after="0"/>
              <w:rPr>
                <w:sz w:val="20"/>
                <w:szCs w:val="20"/>
                <w:color w:val="auto"/>
              </w:rPr>
            </w:pPr>
            <w:r>
              <w:rPr>
                <w:rFonts w:ascii="Arial" w:cs="Arial" w:eastAsia="Arial" w:hAnsi="Arial"/>
                <w:sz w:val="15"/>
                <w:szCs w:val="15"/>
                <w:color w:val="auto"/>
              </w:rPr>
              <w:t>Aircraft fuel, spare parts and supplies, net</w:t>
            </w: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2,499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2,476</w:t>
            </w:r>
          </w:p>
        </w:tc>
        <w:tc>
          <w:tcPr>
            <w:tcW w:w="0" w:type="dxa"/>
            <w:vAlign w:val="bottom"/>
          </w:tcPr>
          <w:p>
            <w:pPr>
              <w:spacing w:after="0"/>
              <w:rPr>
                <w:sz w:val="1"/>
                <w:szCs w:val="1"/>
                <w:color w:val="auto"/>
              </w:rPr>
            </w:pPr>
          </w:p>
        </w:tc>
      </w:tr>
      <w:tr>
        <w:trPr>
          <w:trHeight w:val="204"/>
        </w:trPr>
        <w:tc>
          <w:tcPr>
            <w:tcW w:w="75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Prepaid expenses and other</w:t>
            </w:r>
          </w:p>
        </w:tc>
        <w:tc>
          <w:tcPr>
            <w:tcW w:w="22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793</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675</w:t>
            </w:r>
          </w:p>
        </w:tc>
        <w:tc>
          <w:tcPr>
            <w:tcW w:w="0" w:type="dxa"/>
            <w:vAlign w:val="bottom"/>
          </w:tcPr>
          <w:p>
            <w:pPr>
              <w:spacing w:after="0"/>
              <w:rPr>
                <w:sz w:val="1"/>
                <w:szCs w:val="1"/>
                <w:color w:val="auto"/>
              </w:rPr>
            </w:pPr>
          </w:p>
        </w:tc>
      </w:tr>
      <w:tr>
        <w:trPr>
          <w:trHeight w:val="195"/>
        </w:trPr>
        <w:tc>
          <w:tcPr>
            <w:tcW w:w="7560" w:type="dxa"/>
            <w:vAlign w:val="bottom"/>
          </w:tcPr>
          <w:p>
            <w:pPr>
              <w:ind w:left="660"/>
              <w:spacing w:after="0"/>
              <w:rPr>
                <w:sz w:val="20"/>
                <w:szCs w:val="20"/>
                <w:color w:val="auto"/>
              </w:rPr>
            </w:pPr>
            <w:r>
              <w:rPr>
                <w:rFonts w:ascii="Arial" w:cs="Arial" w:eastAsia="Arial" w:hAnsi="Arial"/>
                <w:sz w:val="15"/>
                <w:szCs w:val="15"/>
                <w:color w:val="auto"/>
              </w:rPr>
              <w:t>Total current assets</w:t>
            </w:r>
          </w:p>
        </w:tc>
        <w:tc>
          <w:tcPr>
            <w:tcW w:w="2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21,714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21,019</w:t>
            </w:r>
          </w:p>
        </w:tc>
        <w:tc>
          <w:tcPr>
            <w:tcW w:w="0" w:type="dxa"/>
            <w:vAlign w:val="bottom"/>
          </w:tcPr>
          <w:p>
            <w:pPr>
              <w:spacing w:after="0"/>
              <w:rPr>
                <w:sz w:val="1"/>
                <w:szCs w:val="1"/>
                <w:color w:val="auto"/>
              </w:rPr>
            </w:pPr>
          </w:p>
        </w:tc>
      </w:tr>
      <w:tr>
        <w:trPr>
          <w:trHeight w:val="204"/>
        </w:trPr>
        <w:tc>
          <w:tcPr>
            <w:tcW w:w="75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Operating property and equipment</w:t>
            </w: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560" w:type="dxa"/>
            <w:vAlign w:val="bottom"/>
          </w:tcPr>
          <w:p>
            <w:pPr>
              <w:ind w:left="340"/>
              <w:spacing w:after="0"/>
              <w:rPr>
                <w:sz w:val="20"/>
                <w:szCs w:val="20"/>
                <w:color w:val="auto"/>
              </w:rPr>
            </w:pPr>
            <w:r>
              <w:rPr>
                <w:rFonts w:ascii="Arial" w:cs="Arial" w:eastAsia="Arial" w:hAnsi="Arial"/>
                <w:sz w:val="15"/>
                <w:szCs w:val="15"/>
                <w:color w:val="auto"/>
              </w:rPr>
              <w:t>Flight equipment</w:t>
            </w: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43,382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43,158</w:t>
            </w:r>
          </w:p>
        </w:tc>
        <w:tc>
          <w:tcPr>
            <w:tcW w:w="0" w:type="dxa"/>
            <w:vAlign w:val="bottom"/>
          </w:tcPr>
          <w:p>
            <w:pPr>
              <w:spacing w:after="0"/>
              <w:rPr>
                <w:sz w:val="1"/>
                <w:szCs w:val="1"/>
                <w:color w:val="auto"/>
              </w:rPr>
            </w:pPr>
          </w:p>
        </w:tc>
      </w:tr>
      <w:tr>
        <w:trPr>
          <w:trHeight w:val="204"/>
        </w:trPr>
        <w:tc>
          <w:tcPr>
            <w:tcW w:w="75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Ground property and equipment</w:t>
            </w: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9,799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9,709</w:t>
            </w:r>
          </w:p>
        </w:tc>
        <w:tc>
          <w:tcPr>
            <w:tcW w:w="0" w:type="dxa"/>
            <w:vAlign w:val="bottom"/>
          </w:tcPr>
          <w:p>
            <w:pPr>
              <w:spacing w:after="0"/>
              <w:rPr>
                <w:sz w:val="1"/>
                <w:szCs w:val="1"/>
                <w:color w:val="auto"/>
              </w:rPr>
            </w:pPr>
          </w:p>
        </w:tc>
      </w:tr>
      <w:tr>
        <w:trPr>
          <w:trHeight w:val="201"/>
        </w:trPr>
        <w:tc>
          <w:tcPr>
            <w:tcW w:w="756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Equipment purchase deposits</w:t>
            </w: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1,063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1,012</w:t>
            </w:r>
          </w:p>
        </w:tc>
        <w:tc>
          <w:tcPr>
            <w:tcW w:w="0" w:type="dxa"/>
            <w:vAlign w:val="bottom"/>
          </w:tcPr>
          <w:p>
            <w:pPr>
              <w:spacing w:after="0"/>
              <w:rPr>
                <w:sz w:val="1"/>
                <w:szCs w:val="1"/>
                <w:color w:val="auto"/>
              </w:rPr>
            </w:pPr>
          </w:p>
        </w:tc>
      </w:tr>
      <w:tr>
        <w:trPr>
          <w:trHeight w:val="197"/>
        </w:trPr>
        <w:tc>
          <w:tcPr>
            <w:tcW w:w="7560" w:type="dxa"/>
            <w:vAlign w:val="bottom"/>
            <w:shd w:val="clear" w:color="auto" w:fill="CCEEFF"/>
          </w:tcPr>
          <w:p>
            <w:pPr>
              <w:ind w:left="660"/>
              <w:spacing w:after="0"/>
              <w:rPr>
                <w:sz w:val="20"/>
                <w:szCs w:val="20"/>
                <w:color w:val="auto"/>
              </w:rPr>
            </w:pPr>
            <w:r>
              <w:rPr>
                <w:rFonts w:ascii="Arial" w:cs="Arial" w:eastAsia="Arial" w:hAnsi="Arial"/>
                <w:sz w:val="15"/>
                <w:szCs w:val="15"/>
                <w:color w:val="auto"/>
              </w:rPr>
              <w:t>Total property and equipment, at cost</w:t>
            </w: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54,244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53,879</w:t>
            </w:r>
          </w:p>
        </w:tc>
        <w:tc>
          <w:tcPr>
            <w:tcW w:w="0" w:type="dxa"/>
            <w:vAlign w:val="bottom"/>
          </w:tcPr>
          <w:p>
            <w:pPr>
              <w:spacing w:after="0"/>
              <w:rPr>
                <w:sz w:val="1"/>
                <w:szCs w:val="1"/>
                <w:color w:val="auto"/>
              </w:rPr>
            </w:pPr>
          </w:p>
        </w:tc>
      </w:tr>
      <w:tr>
        <w:trPr>
          <w:trHeight w:val="201"/>
        </w:trPr>
        <w:tc>
          <w:tcPr>
            <w:tcW w:w="756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Less accumulated depreciation and amortization</w:t>
            </w: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(23,248)</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(23,060)</w:t>
            </w:r>
          </w:p>
        </w:tc>
        <w:tc>
          <w:tcPr>
            <w:tcW w:w="0" w:type="dxa"/>
            <w:vAlign w:val="bottom"/>
          </w:tcPr>
          <w:p>
            <w:pPr>
              <w:spacing w:after="0"/>
              <w:rPr>
                <w:sz w:val="1"/>
                <w:szCs w:val="1"/>
                <w:color w:val="auto"/>
              </w:rPr>
            </w:pPr>
          </w:p>
        </w:tc>
      </w:tr>
      <w:tr>
        <w:trPr>
          <w:trHeight w:val="197"/>
        </w:trPr>
        <w:tc>
          <w:tcPr>
            <w:tcW w:w="7560" w:type="dxa"/>
            <w:vAlign w:val="bottom"/>
            <w:shd w:val="clear" w:color="auto" w:fill="CCEEFF"/>
          </w:tcPr>
          <w:p>
            <w:pPr>
              <w:ind w:left="660"/>
              <w:spacing w:after="0"/>
              <w:rPr>
                <w:sz w:val="20"/>
                <w:szCs w:val="20"/>
                <w:color w:val="auto"/>
              </w:rPr>
            </w:pPr>
            <w:r>
              <w:rPr>
                <w:rFonts w:ascii="Arial" w:cs="Arial" w:eastAsia="Arial" w:hAnsi="Arial"/>
                <w:sz w:val="15"/>
                <w:szCs w:val="15"/>
                <w:color w:val="auto"/>
              </w:rPr>
              <w:t>Total property and equipment, net</w:t>
            </w: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30,996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30,819</w:t>
            </w:r>
          </w:p>
        </w:tc>
        <w:tc>
          <w:tcPr>
            <w:tcW w:w="0" w:type="dxa"/>
            <w:vAlign w:val="bottom"/>
          </w:tcPr>
          <w:p>
            <w:pPr>
              <w:spacing w:after="0"/>
              <w:rPr>
                <w:sz w:val="1"/>
                <w:szCs w:val="1"/>
                <w:color w:val="auto"/>
              </w:rPr>
            </w:pPr>
          </w:p>
        </w:tc>
      </w:tr>
      <w:tr>
        <w:trPr>
          <w:trHeight w:val="203"/>
        </w:trPr>
        <w:tc>
          <w:tcPr>
            <w:tcW w:w="7560" w:type="dxa"/>
            <w:vAlign w:val="bottom"/>
          </w:tcPr>
          <w:p>
            <w:pPr>
              <w:ind w:left="20"/>
              <w:spacing w:after="0"/>
              <w:rPr>
                <w:sz w:val="20"/>
                <w:szCs w:val="20"/>
                <w:color w:val="auto"/>
              </w:rPr>
            </w:pPr>
            <w:r>
              <w:rPr>
                <w:rFonts w:ascii="Arial" w:cs="Arial" w:eastAsia="Arial" w:hAnsi="Arial"/>
                <w:sz w:val="15"/>
                <w:szCs w:val="15"/>
                <w:b w:val="1"/>
                <w:bCs w:val="1"/>
                <w:color w:val="auto"/>
              </w:rPr>
              <w:t>Operating lease right-of-use assets</w:t>
            </w: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7,385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7,274</w:t>
            </w: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Other assets</w:t>
            </w: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560" w:type="dxa"/>
            <w:vAlign w:val="bottom"/>
          </w:tcPr>
          <w:p>
            <w:pPr>
              <w:ind w:left="340"/>
              <w:spacing w:after="0"/>
              <w:rPr>
                <w:sz w:val="20"/>
                <w:szCs w:val="20"/>
                <w:color w:val="auto"/>
              </w:rPr>
            </w:pPr>
            <w:r>
              <w:rPr>
                <w:rFonts w:ascii="Arial" w:cs="Arial" w:eastAsia="Arial" w:hAnsi="Arial"/>
                <w:sz w:val="15"/>
                <w:szCs w:val="15"/>
                <w:color w:val="auto"/>
              </w:rPr>
              <w:t>Goodwill</w:t>
            </w: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4,091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4,091</w:t>
            </w:r>
          </w:p>
        </w:tc>
        <w:tc>
          <w:tcPr>
            <w:tcW w:w="0" w:type="dxa"/>
            <w:vAlign w:val="bottom"/>
          </w:tcPr>
          <w:p>
            <w:pPr>
              <w:spacing w:after="0"/>
              <w:rPr>
                <w:sz w:val="1"/>
                <w:szCs w:val="1"/>
                <w:color w:val="auto"/>
              </w:rPr>
            </w:pPr>
          </w:p>
        </w:tc>
      </w:tr>
      <w:tr>
        <w:trPr>
          <w:trHeight w:val="204"/>
        </w:trPr>
        <w:tc>
          <w:tcPr>
            <w:tcW w:w="75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Intangibles, net of accumulated amortization of $843 and $841, respectively</w:t>
            </w: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2,042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2,044</w:t>
            </w:r>
          </w:p>
        </w:tc>
        <w:tc>
          <w:tcPr>
            <w:tcW w:w="0" w:type="dxa"/>
            <w:vAlign w:val="bottom"/>
          </w:tcPr>
          <w:p>
            <w:pPr>
              <w:spacing w:after="0"/>
              <w:rPr>
                <w:sz w:val="1"/>
                <w:szCs w:val="1"/>
                <w:color w:val="auto"/>
              </w:rPr>
            </w:pPr>
          </w:p>
        </w:tc>
      </w:tr>
      <w:tr>
        <w:trPr>
          <w:trHeight w:val="201"/>
        </w:trPr>
        <w:tc>
          <w:tcPr>
            <w:tcW w:w="7560" w:type="dxa"/>
            <w:vAlign w:val="bottom"/>
          </w:tcPr>
          <w:p>
            <w:pPr>
              <w:ind w:left="340"/>
              <w:spacing w:after="0"/>
              <w:rPr>
                <w:sz w:val="20"/>
                <w:szCs w:val="20"/>
                <w:color w:val="auto"/>
              </w:rPr>
            </w:pPr>
            <w:r>
              <w:rPr>
                <w:rFonts w:ascii="Arial" w:cs="Arial" w:eastAsia="Arial" w:hAnsi="Arial"/>
                <w:sz w:val="15"/>
                <w:szCs w:val="15"/>
                <w:color w:val="auto"/>
              </w:rPr>
              <w:t>Deferred tax asset</w:t>
            </w: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2,207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2,068</w:t>
            </w:r>
          </w:p>
        </w:tc>
        <w:tc>
          <w:tcPr>
            <w:tcW w:w="0" w:type="dxa"/>
            <w:vAlign w:val="bottom"/>
          </w:tcPr>
          <w:p>
            <w:pPr>
              <w:spacing w:after="0"/>
              <w:rPr>
                <w:sz w:val="1"/>
                <w:szCs w:val="1"/>
                <w:color w:val="auto"/>
              </w:rPr>
            </w:pPr>
          </w:p>
        </w:tc>
      </w:tr>
      <w:tr>
        <w:trPr>
          <w:trHeight w:val="204"/>
        </w:trPr>
        <w:tc>
          <w:tcPr>
            <w:tcW w:w="75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Other assets</w:t>
            </w:r>
          </w:p>
        </w:tc>
        <w:tc>
          <w:tcPr>
            <w:tcW w:w="22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1,344</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1,440</w:t>
            </w:r>
          </w:p>
        </w:tc>
        <w:tc>
          <w:tcPr>
            <w:tcW w:w="0" w:type="dxa"/>
            <w:vAlign w:val="bottom"/>
          </w:tcPr>
          <w:p>
            <w:pPr>
              <w:spacing w:after="0"/>
              <w:rPr>
                <w:sz w:val="1"/>
                <w:szCs w:val="1"/>
                <w:color w:val="auto"/>
              </w:rPr>
            </w:pPr>
          </w:p>
        </w:tc>
      </w:tr>
      <w:tr>
        <w:trPr>
          <w:trHeight w:val="195"/>
        </w:trPr>
        <w:tc>
          <w:tcPr>
            <w:tcW w:w="7560" w:type="dxa"/>
            <w:vAlign w:val="bottom"/>
            <w:tcBorders>
              <w:bottom w:val="single" w:sz="8" w:color="CCEEFF"/>
            </w:tcBorders>
          </w:tcPr>
          <w:p>
            <w:pPr>
              <w:ind w:left="660"/>
              <w:spacing w:after="0"/>
              <w:rPr>
                <w:sz w:val="20"/>
                <w:szCs w:val="20"/>
                <w:color w:val="auto"/>
              </w:rPr>
            </w:pPr>
            <w:r>
              <w:rPr>
                <w:rFonts w:ascii="Arial" w:cs="Arial" w:eastAsia="Arial" w:hAnsi="Arial"/>
                <w:sz w:val="15"/>
                <w:szCs w:val="15"/>
                <w:color w:val="auto"/>
              </w:rPr>
              <w:t>Total other assets</w:t>
            </w:r>
          </w:p>
        </w:tc>
        <w:tc>
          <w:tcPr>
            <w:tcW w:w="2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9,684</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9,643</w:t>
            </w:r>
          </w:p>
        </w:tc>
        <w:tc>
          <w:tcPr>
            <w:tcW w:w="0" w:type="dxa"/>
            <w:vAlign w:val="bottom"/>
          </w:tcPr>
          <w:p>
            <w:pPr>
              <w:spacing w:after="0"/>
              <w:rPr>
                <w:sz w:val="1"/>
                <w:szCs w:val="1"/>
                <w:color w:val="auto"/>
              </w:rPr>
            </w:pPr>
          </w:p>
        </w:tc>
      </w:tr>
      <w:tr>
        <w:trPr>
          <w:trHeight w:val="221"/>
        </w:trPr>
        <w:tc>
          <w:tcPr>
            <w:tcW w:w="756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5"/>
                <w:szCs w:val="15"/>
                <w:b w:val="1"/>
                <w:bCs w:val="1"/>
                <w:color w:val="auto"/>
              </w:rPr>
              <w:t>Total assets</w:t>
            </w: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69,779</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68,755</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75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Current liabilities</w:t>
            </w: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560" w:type="dxa"/>
            <w:vAlign w:val="bottom"/>
          </w:tcPr>
          <w:p>
            <w:pPr>
              <w:ind w:left="340"/>
              <w:spacing w:after="0"/>
              <w:rPr>
                <w:sz w:val="20"/>
                <w:szCs w:val="20"/>
                <w:color w:val="auto"/>
              </w:rPr>
            </w:pPr>
            <w:r>
              <w:rPr>
                <w:rFonts w:ascii="Arial" w:cs="Arial" w:eastAsia="Arial" w:hAnsi="Arial"/>
                <w:sz w:val="15"/>
                <w:szCs w:val="15"/>
                <w:color w:val="auto"/>
              </w:rPr>
              <w:t>Current maturities of long-term debt and finance leases</w:t>
            </w: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520" w:type="dxa"/>
            <w:vAlign w:val="bottom"/>
          </w:tcPr>
          <w:p>
            <w:pPr>
              <w:jc w:val="right"/>
              <w:spacing w:after="0"/>
              <w:rPr>
                <w:sz w:val="20"/>
                <w:szCs w:val="20"/>
                <w:color w:val="auto"/>
              </w:rPr>
            </w:pPr>
            <w:r>
              <w:rPr>
                <w:rFonts w:ascii="Arial" w:cs="Arial" w:eastAsia="Arial" w:hAnsi="Arial"/>
                <w:sz w:val="15"/>
                <w:szCs w:val="15"/>
                <w:color w:val="auto"/>
              </w:rPr>
              <w:t>3,726</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4,326</w:t>
            </w:r>
          </w:p>
        </w:tc>
        <w:tc>
          <w:tcPr>
            <w:tcW w:w="0" w:type="dxa"/>
            <w:vAlign w:val="bottom"/>
          </w:tcPr>
          <w:p>
            <w:pPr>
              <w:spacing w:after="0"/>
              <w:rPr>
                <w:sz w:val="1"/>
                <w:szCs w:val="1"/>
                <w:color w:val="auto"/>
              </w:rPr>
            </w:pPr>
          </w:p>
        </w:tc>
      </w:tr>
      <w:tr>
        <w:trPr>
          <w:trHeight w:val="204"/>
        </w:trPr>
        <w:tc>
          <w:tcPr>
            <w:tcW w:w="75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Accounts payable</w:t>
            </w: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3,031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2,372</w:t>
            </w:r>
          </w:p>
        </w:tc>
        <w:tc>
          <w:tcPr>
            <w:tcW w:w="0" w:type="dxa"/>
            <w:vAlign w:val="bottom"/>
          </w:tcPr>
          <w:p>
            <w:pPr>
              <w:spacing w:after="0"/>
              <w:rPr>
                <w:sz w:val="1"/>
                <w:szCs w:val="1"/>
                <w:color w:val="auto"/>
              </w:rPr>
            </w:pPr>
          </w:p>
        </w:tc>
      </w:tr>
      <w:tr>
        <w:trPr>
          <w:trHeight w:val="201"/>
        </w:trPr>
        <w:tc>
          <w:tcPr>
            <w:tcW w:w="7560" w:type="dxa"/>
            <w:vAlign w:val="bottom"/>
          </w:tcPr>
          <w:p>
            <w:pPr>
              <w:ind w:left="340"/>
              <w:spacing w:after="0"/>
              <w:rPr>
                <w:sz w:val="20"/>
                <w:szCs w:val="20"/>
                <w:color w:val="auto"/>
              </w:rPr>
            </w:pPr>
            <w:r>
              <w:rPr>
                <w:rFonts w:ascii="Arial" w:cs="Arial" w:eastAsia="Arial" w:hAnsi="Arial"/>
                <w:sz w:val="15"/>
                <w:szCs w:val="15"/>
                <w:color w:val="auto"/>
              </w:rPr>
              <w:t>Accrued salaries and wages</w:t>
            </w: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1,666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1,995</w:t>
            </w:r>
          </w:p>
        </w:tc>
        <w:tc>
          <w:tcPr>
            <w:tcW w:w="0" w:type="dxa"/>
            <w:vAlign w:val="bottom"/>
          </w:tcPr>
          <w:p>
            <w:pPr>
              <w:spacing w:after="0"/>
              <w:rPr>
                <w:sz w:val="1"/>
                <w:szCs w:val="1"/>
                <w:color w:val="auto"/>
              </w:rPr>
            </w:pPr>
          </w:p>
        </w:tc>
      </w:tr>
      <w:tr>
        <w:trPr>
          <w:trHeight w:val="204"/>
        </w:trPr>
        <w:tc>
          <w:tcPr>
            <w:tcW w:w="75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Air traffic liability</w:t>
            </w: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8,932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6,759</w:t>
            </w:r>
          </w:p>
        </w:tc>
        <w:tc>
          <w:tcPr>
            <w:tcW w:w="0" w:type="dxa"/>
            <w:vAlign w:val="bottom"/>
          </w:tcPr>
          <w:p>
            <w:pPr>
              <w:spacing w:after="0"/>
              <w:rPr>
                <w:sz w:val="1"/>
                <w:szCs w:val="1"/>
                <w:color w:val="auto"/>
              </w:rPr>
            </w:pPr>
          </w:p>
        </w:tc>
      </w:tr>
      <w:tr>
        <w:trPr>
          <w:trHeight w:val="201"/>
        </w:trPr>
        <w:tc>
          <w:tcPr>
            <w:tcW w:w="7560" w:type="dxa"/>
            <w:vAlign w:val="bottom"/>
          </w:tcPr>
          <w:p>
            <w:pPr>
              <w:ind w:left="340"/>
              <w:spacing w:after="0"/>
              <w:rPr>
                <w:sz w:val="20"/>
                <w:szCs w:val="20"/>
                <w:color w:val="auto"/>
              </w:rPr>
            </w:pPr>
            <w:r>
              <w:rPr>
                <w:rFonts w:ascii="Arial" w:cs="Arial" w:eastAsia="Arial" w:hAnsi="Arial"/>
                <w:sz w:val="15"/>
                <w:szCs w:val="15"/>
                <w:color w:val="auto"/>
              </w:rPr>
              <w:t>Loyalty program liability</w:t>
            </w: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3,663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3,556</w:t>
            </w:r>
          </w:p>
        </w:tc>
        <w:tc>
          <w:tcPr>
            <w:tcW w:w="0" w:type="dxa"/>
            <w:vAlign w:val="bottom"/>
          </w:tcPr>
          <w:p>
            <w:pPr>
              <w:spacing w:after="0"/>
              <w:rPr>
                <w:sz w:val="1"/>
                <w:szCs w:val="1"/>
                <w:color w:val="auto"/>
              </w:rPr>
            </w:pPr>
          </w:p>
        </w:tc>
      </w:tr>
      <w:tr>
        <w:trPr>
          <w:trHeight w:val="204"/>
        </w:trPr>
        <w:tc>
          <w:tcPr>
            <w:tcW w:w="75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Operating lease liabilities</w:t>
            </w: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1,082</w:t>
            </w:r>
          </w:p>
        </w:tc>
        <w:tc>
          <w:tcPr>
            <w:tcW w:w="0" w:type="dxa"/>
            <w:vAlign w:val="bottom"/>
          </w:tcPr>
          <w:p>
            <w:pPr>
              <w:spacing w:after="0"/>
              <w:rPr>
                <w:sz w:val="1"/>
                <w:szCs w:val="1"/>
                <w:color w:val="auto"/>
              </w:rPr>
            </w:pPr>
          </w:p>
        </w:tc>
      </w:tr>
      <w:tr>
        <w:trPr>
          <w:trHeight w:val="201"/>
        </w:trPr>
        <w:tc>
          <w:tcPr>
            <w:tcW w:w="756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Other accrued liabilities</w:t>
            </w: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2,629</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2,812</w:t>
            </w:r>
          </w:p>
        </w:tc>
        <w:tc>
          <w:tcPr>
            <w:tcW w:w="0" w:type="dxa"/>
            <w:vAlign w:val="bottom"/>
          </w:tcPr>
          <w:p>
            <w:pPr>
              <w:spacing w:after="0"/>
              <w:rPr>
                <w:sz w:val="1"/>
                <w:szCs w:val="1"/>
                <w:color w:val="auto"/>
              </w:rPr>
            </w:pPr>
          </w:p>
        </w:tc>
      </w:tr>
      <w:tr>
        <w:trPr>
          <w:trHeight w:val="197"/>
        </w:trPr>
        <w:tc>
          <w:tcPr>
            <w:tcW w:w="7560" w:type="dxa"/>
            <w:vAlign w:val="bottom"/>
            <w:shd w:val="clear" w:color="auto" w:fill="CCEEFF"/>
          </w:tcPr>
          <w:p>
            <w:pPr>
              <w:ind w:left="660"/>
              <w:spacing w:after="0"/>
              <w:rPr>
                <w:sz w:val="20"/>
                <w:szCs w:val="20"/>
                <w:color w:val="auto"/>
              </w:rPr>
            </w:pPr>
            <w:r>
              <w:rPr>
                <w:rFonts w:ascii="Arial" w:cs="Arial" w:eastAsia="Arial" w:hAnsi="Arial"/>
                <w:sz w:val="15"/>
                <w:szCs w:val="15"/>
                <w:color w:val="auto"/>
              </w:rPr>
              <w:t>Total current liabilities</w:t>
            </w: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24,733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22,902</w:t>
            </w:r>
          </w:p>
        </w:tc>
        <w:tc>
          <w:tcPr>
            <w:tcW w:w="0" w:type="dxa"/>
            <w:vAlign w:val="bottom"/>
          </w:tcPr>
          <w:p>
            <w:pPr>
              <w:spacing w:after="0"/>
              <w:rPr>
                <w:sz w:val="1"/>
                <w:szCs w:val="1"/>
                <w:color w:val="auto"/>
              </w:rPr>
            </w:pPr>
          </w:p>
        </w:tc>
      </w:tr>
      <w:tr>
        <w:trPr>
          <w:trHeight w:val="202"/>
        </w:trPr>
        <w:tc>
          <w:tcPr>
            <w:tcW w:w="7560" w:type="dxa"/>
            <w:vAlign w:val="bottom"/>
          </w:tcPr>
          <w:p>
            <w:pPr>
              <w:ind w:left="20"/>
              <w:spacing w:after="0"/>
              <w:rPr>
                <w:sz w:val="20"/>
                <w:szCs w:val="20"/>
                <w:color w:val="auto"/>
              </w:rPr>
            </w:pPr>
            <w:r>
              <w:rPr>
                <w:rFonts w:ascii="Arial" w:cs="Arial" w:eastAsia="Arial" w:hAnsi="Arial"/>
                <w:sz w:val="15"/>
                <w:szCs w:val="15"/>
                <w:b w:val="1"/>
                <w:bCs w:val="1"/>
                <w:color w:val="auto"/>
              </w:rPr>
              <w:t>Noncurrent liabilities</w:t>
            </w: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Long-term debt and finance leases, net of current maturities</w:t>
            </w: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20,969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21,410</w:t>
            </w:r>
          </w:p>
        </w:tc>
        <w:tc>
          <w:tcPr>
            <w:tcW w:w="0" w:type="dxa"/>
            <w:vAlign w:val="bottom"/>
          </w:tcPr>
          <w:p>
            <w:pPr>
              <w:spacing w:after="0"/>
              <w:rPr>
                <w:sz w:val="1"/>
                <w:szCs w:val="1"/>
                <w:color w:val="auto"/>
              </w:rPr>
            </w:pPr>
          </w:p>
        </w:tc>
      </w:tr>
      <w:tr>
        <w:trPr>
          <w:trHeight w:val="201"/>
        </w:trPr>
        <w:tc>
          <w:tcPr>
            <w:tcW w:w="7560" w:type="dxa"/>
            <w:vAlign w:val="bottom"/>
          </w:tcPr>
          <w:p>
            <w:pPr>
              <w:ind w:left="340"/>
              <w:spacing w:after="0"/>
              <w:rPr>
                <w:sz w:val="20"/>
                <w:szCs w:val="20"/>
                <w:color w:val="auto"/>
              </w:rPr>
            </w:pPr>
            <w:r>
              <w:rPr>
                <w:rFonts w:ascii="Arial" w:cs="Arial" w:eastAsia="Arial" w:hAnsi="Arial"/>
                <w:sz w:val="15"/>
                <w:szCs w:val="15"/>
                <w:color w:val="auto"/>
              </w:rPr>
              <w:t>Pension and postretirement benefits</w:t>
            </w: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1,857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2,115</w:t>
            </w:r>
          </w:p>
        </w:tc>
        <w:tc>
          <w:tcPr>
            <w:tcW w:w="0" w:type="dxa"/>
            <w:vAlign w:val="bottom"/>
          </w:tcPr>
          <w:p>
            <w:pPr>
              <w:spacing w:after="0"/>
              <w:rPr>
                <w:sz w:val="1"/>
                <w:szCs w:val="1"/>
                <w:color w:val="auto"/>
              </w:rPr>
            </w:pPr>
          </w:p>
        </w:tc>
      </w:tr>
      <w:tr>
        <w:trPr>
          <w:trHeight w:val="204"/>
        </w:trPr>
        <w:tc>
          <w:tcPr>
            <w:tcW w:w="75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Loyalty program liability</w:t>
            </w: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6,708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6,498</w:t>
            </w:r>
          </w:p>
        </w:tc>
        <w:tc>
          <w:tcPr>
            <w:tcW w:w="0" w:type="dxa"/>
            <w:vAlign w:val="bottom"/>
          </w:tcPr>
          <w:p>
            <w:pPr>
              <w:spacing w:after="0"/>
              <w:rPr>
                <w:sz w:val="1"/>
                <w:szCs w:val="1"/>
                <w:color w:val="auto"/>
              </w:rPr>
            </w:pPr>
          </w:p>
        </w:tc>
      </w:tr>
      <w:tr>
        <w:trPr>
          <w:trHeight w:val="201"/>
        </w:trPr>
        <w:tc>
          <w:tcPr>
            <w:tcW w:w="7560" w:type="dxa"/>
            <w:vAlign w:val="bottom"/>
          </w:tcPr>
          <w:p>
            <w:pPr>
              <w:ind w:left="340"/>
              <w:spacing w:after="0"/>
              <w:rPr>
                <w:sz w:val="20"/>
                <w:szCs w:val="20"/>
                <w:color w:val="auto"/>
              </w:rPr>
            </w:pPr>
            <w:r>
              <w:rPr>
                <w:rFonts w:ascii="Arial" w:cs="Arial" w:eastAsia="Arial" w:hAnsi="Arial"/>
                <w:sz w:val="15"/>
                <w:szCs w:val="15"/>
                <w:color w:val="auto"/>
              </w:rPr>
              <w:t>Operating lease liabilities</w:t>
            </w: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6,014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5,926</w:t>
            </w:r>
          </w:p>
        </w:tc>
        <w:tc>
          <w:tcPr>
            <w:tcW w:w="0" w:type="dxa"/>
            <w:vAlign w:val="bottom"/>
          </w:tcPr>
          <w:p>
            <w:pPr>
              <w:spacing w:after="0"/>
              <w:rPr>
                <w:sz w:val="1"/>
                <w:szCs w:val="1"/>
                <w:color w:val="auto"/>
              </w:rPr>
            </w:pPr>
          </w:p>
        </w:tc>
      </w:tr>
      <w:tr>
        <w:trPr>
          <w:trHeight w:val="204"/>
        </w:trPr>
        <w:tc>
          <w:tcPr>
            <w:tcW w:w="75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Other liabilities</w:t>
            </w:r>
          </w:p>
        </w:tc>
        <w:tc>
          <w:tcPr>
            <w:tcW w:w="22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1,614</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1,670</w:t>
            </w:r>
          </w:p>
        </w:tc>
        <w:tc>
          <w:tcPr>
            <w:tcW w:w="0" w:type="dxa"/>
            <w:vAlign w:val="bottom"/>
          </w:tcPr>
          <w:p>
            <w:pPr>
              <w:spacing w:after="0"/>
              <w:rPr>
                <w:sz w:val="1"/>
                <w:szCs w:val="1"/>
                <w:color w:val="auto"/>
              </w:rPr>
            </w:pPr>
          </w:p>
        </w:tc>
      </w:tr>
      <w:tr>
        <w:trPr>
          <w:trHeight w:val="195"/>
        </w:trPr>
        <w:tc>
          <w:tcPr>
            <w:tcW w:w="7560" w:type="dxa"/>
            <w:vAlign w:val="bottom"/>
          </w:tcPr>
          <w:p>
            <w:pPr>
              <w:ind w:left="660"/>
              <w:spacing w:after="0"/>
              <w:rPr>
                <w:sz w:val="20"/>
                <w:szCs w:val="20"/>
                <w:color w:val="auto"/>
              </w:rPr>
            </w:pPr>
            <w:r>
              <w:rPr>
                <w:rFonts w:ascii="Arial" w:cs="Arial" w:eastAsia="Arial" w:hAnsi="Arial"/>
                <w:sz w:val="15"/>
                <w:szCs w:val="15"/>
                <w:color w:val="auto"/>
              </w:rPr>
              <w:t>Total noncurrent liabilities</w:t>
            </w:r>
          </w:p>
        </w:tc>
        <w:tc>
          <w:tcPr>
            <w:tcW w:w="2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37,162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37,619</w:t>
            </w:r>
          </w:p>
        </w:tc>
        <w:tc>
          <w:tcPr>
            <w:tcW w:w="0" w:type="dxa"/>
            <w:vAlign w:val="bottom"/>
          </w:tcPr>
          <w:p>
            <w:pPr>
              <w:spacing w:after="0"/>
              <w:rPr>
                <w:sz w:val="1"/>
                <w:szCs w:val="1"/>
                <w:color w:val="auto"/>
              </w:rPr>
            </w:pPr>
          </w:p>
        </w:tc>
      </w:tr>
      <w:tr>
        <w:trPr>
          <w:trHeight w:val="204"/>
        </w:trPr>
        <w:tc>
          <w:tcPr>
            <w:tcW w:w="75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Commitments and contingencies</w:t>
            </w: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tcPr>
          <w:p>
            <w:pPr>
              <w:ind w:left="20"/>
              <w:spacing w:after="0"/>
              <w:rPr>
                <w:sz w:val="20"/>
                <w:szCs w:val="20"/>
                <w:color w:val="auto"/>
              </w:rPr>
            </w:pPr>
            <w:r>
              <w:rPr>
                <w:rFonts w:ascii="Arial" w:cs="Arial" w:eastAsia="Arial" w:hAnsi="Arial"/>
                <w:sz w:val="15"/>
                <w:szCs w:val="15"/>
                <w:b w:val="1"/>
                <w:bCs w:val="1"/>
                <w:color w:val="auto"/>
              </w:rPr>
              <w:t>Stockholder’s equity</w:t>
            </w: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Common stock, $1.00 par value; 1,000 shares authorized, issued and outstanding</w:t>
            </w:r>
          </w:p>
        </w:tc>
        <w:tc>
          <w:tcPr>
            <w:tcW w:w="22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1"/>
        </w:trPr>
        <w:tc>
          <w:tcPr>
            <w:tcW w:w="7560" w:type="dxa"/>
            <w:vAlign w:val="bottom"/>
          </w:tcPr>
          <w:p>
            <w:pPr>
              <w:ind w:left="340"/>
              <w:spacing w:after="0"/>
              <w:rPr>
                <w:sz w:val="20"/>
                <w:szCs w:val="20"/>
                <w:color w:val="auto"/>
              </w:rPr>
            </w:pPr>
            <w:r>
              <w:rPr>
                <w:rFonts w:ascii="Arial" w:cs="Arial" w:eastAsia="Arial" w:hAnsi="Arial"/>
                <w:sz w:val="15"/>
                <w:szCs w:val="15"/>
                <w:color w:val="auto"/>
              </w:rPr>
              <w:t>Additional paid-in capital</w:t>
            </w: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17,424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17,408</w:t>
            </w:r>
          </w:p>
        </w:tc>
        <w:tc>
          <w:tcPr>
            <w:tcW w:w="0" w:type="dxa"/>
            <w:vAlign w:val="bottom"/>
          </w:tcPr>
          <w:p>
            <w:pPr>
              <w:spacing w:after="0"/>
              <w:rPr>
                <w:sz w:val="1"/>
                <w:szCs w:val="1"/>
                <w:color w:val="auto"/>
              </w:rPr>
            </w:pPr>
          </w:p>
        </w:tc>
      </w:tr>
      <w:tr>
        <w:trPr>
          <w:trHeight w:val="204"/>
        </w:trPr>
        <w:tc>
          <w:tcPr>
            <w:tcW w:w="75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Accumulated other comprehensive loss</w:t>
            </w: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(4,659)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(4,677)</w:t>
            </w:r>
          </w:p>
        </w:tc>
        <w:tc>
          <w:tcPr>
            <w:tcW w:w="0" w:type="dxa"/>
            <w:vAlign w:val="bottom"/>
          </w:tcPr>
          <w:p>
            <w:pPr>
              <w:spacing w:after="0"/>
              <w:rPr>
                <w:sz w:val="1"/>
                <w:szCs w:val="1"/>
                <w:color w:val="auto"/>
              </w:rPr>
            </w:pPr>
          </w:p>
        </w:tc>
      </w:tr>
      <w:tr>
        <w:trPr>
          <w:trHeight w:val="201"/>
        </w:trPr>
        <w:tc>
          <w:tcPr>
            <w:tcW w:w="756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Retained deficit</w:t>
            </w: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(4,881)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(4,497)</w:t>
            </w:r>
          </w:p>
        </w:tc>
        <w:tc>
          <w:tcPr>
            <w:tcW w:w="0" w:type="dxa"/>
            <w:vAlign w:val="bottom"/>
          </w:tcPr>
          <w:p>
            <w:pPr>
              <w:spacing w:after="0"/>
              <w:rPr>
                <w:sz w:val="1"/>
                <w:szCs w:val="1"/>
                <w:color w:val="auto"/>
              </w:rPr>
            </w:pPr>
          </w:p>
        </w:tc>
      </w:tr>
      <w:tr>
        <w:trPr>
          <w:trHeight w:val="197"/>
        </w:trPr>
        <w:tc>
          <w:tcPr>
            <w:tcW w:w="7560" w:type="dxa"/>
            <w:vAlign w:val="bottom"/>
            <w:shd w:val="clear" w:color="auto" w:fill="CCEEFF"/>
          </w:tcPr>
          <w:p>
            <w:pPr>
              <w:ind w:left="660"/>
              <w:spacing w:after="0"/>
              <w:rPr>
                <w:sz w:val="20"/>
                <w:szCs w:val="20"/>
                <w:color w:val="auto"/>
              </w:rPr>
            </w:pPr>
            <w:r>
              <w:rPr>
                <w:rFonts w:ascii="Arial" w:cs="Arial" w:eastAsia="Arial" w:hAnsi="Arial"/>
                <w:sz w:val="15"/>
                <w:szCs w:val="15"/>
                <w:color w:val="auto"/>
              </w:rPr>
              <w:t>Total stockholder’s equity</w:t>
            </w:r>
          </w:p>
        </w:tc>
        <w:tc>
          <w:tcPr>
            <w:tcW w:w="22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7,884</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8,234</w:t>
            </w:r>
          </w:p>
        </w:tc>
        <w:tc>
          <w:tcPr>
            <w:tcW w:w="0" w:type="dxa"/>
            <w:vAlign w:val="bottom"/>
          </w:tcPr>
          <w:p>
            <w:pPr>
              <w:spacing w:after="0"/>
              <w:rPr>
                <w:sz w:val="1"/>
                <w:szCs w:val="1"/>
                <w:color w:val="auto"/>
              </w:rPr>
            </w:pPr>
          </w:p>
        </w:tc>
      </w:tr>
      <w:tr>
        <w:trPr>
          <w:trHeight w:val="195"/>
        </w:trPr>
        <w:tc>
          <w:tcPr>
            <w:tcW w:w="7560" w:type="dxa"/>
            <w:vAlign w:val="bottom"/>
          </w:tcPr>
          <w:p>
            <w:pPr>
              <w:ind w:left="1000"/>
              <w:spacing w:after="0"/>
              <w:rPr>
                <w:sz w:val="20"/>
                <w:szCs w:val="20"/>
                <w:color w:val="auto"/>
              </w:rPr>
            </w:pPr>
            <w:r>
              <w:rPr>
                <w:rFonts w:ascii="Arial" w:cs="Arial" w:eastAsia="Arial" w:hAnsi="Arial"/>
                <w:sz w:val="15"/>
                <w:szCs w:val="15"/>
                <w:b w:val="1"/>
                <w:bCs w:val="1"/>
                <w:color w:val="auto"/>
              </w:rPr>
              <w:t>Total liabilities and stockholder’s equity</w:t>
            </w: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69,779</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6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68,755</w:t>
            </w:r>
          </w:p>
        </w:tc>
        <w:tc>
          <w:tcPr>
            <w:tcW w:w="0" w:type="dxa"/>
            <w:vAlign w:val="bottom"/>
          </w:tcPr>
          <w:p>
            <w:pPr>
              <w:spacing w:after="0"/>
              <w:rPr>
                <w:sz w:val="1"/>
                <w:szCs w:val="1"/>
                <w:color w:val="auto"/>
              </w:rPr>
            </w:pPr>
          </w:p>
        </w:tc>
      </w:tr>
      <w:tr>
        <w:trPr>
          <w:trHeight w:val="22"/>
        </w:trPr>
        <w:tc>
          <w:tcPr>
            <w:tcW w:w="7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60" w:type="dxa"/>
            <w:vAlign w:val="bottom"/>
          </w:tcPr>
          <w:p>
            <w:pPr>
              <w:spacing w:after="0"/>
              <w:rPr>
                <w:sz w:val="17"/>
                <w:szCs w:val="17"/>
                <w:color w:val="auto"/>
              </w:rPr>
            </w:pPr>
          </w:p>
        </w:tc>
        <w:tc>
          <w:tcPr>
            <w:tcW w:w="28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40" w:type="dxa"/>
            <w:vAlign w:val="bottom"/>
            <w:tcBorders>
              <w:bottom w:val="single" w:sz="8" w:color="auto"/>
            </w:tcBorders>
          </w:tcPr>
          <w:p>
            <w:pPr>
              <w:spacing w:after="0"/>
              <w:rPr>
                <w:sz w:val="17"/>
                <w:szCs w:val="17"/>
                <w:color w:val="auto"/>
              </w:rPr>
            </w:pPr>
          </w:p>
        </w:tc>
      </w:tr>
      <w:tr>
        <w:trPr>
          <w:trHeight w:val="196"/>
        </w:trPr>
        <w:tc>
          <w:tcPr>
            <w:tcW w:w="776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40" w:type="dxa"/>
            <w:vAlign w:val="bottom"/>
            <w:tcBorders>
              <w:bottom w:val="single" w:sz="8" w:color="auto"/>
            </w:tcBorders>
          </w:tcPr>
          <w:p>
            <w:pPr>
              <w:spacing w:after="0"/>
              <w:rPr>
                <w:sz w:val="17"/>
                <w:szCs w:val="17"/>
                <w:color w:val="auto"/>
              </w:rPr>
            </w:pPr>
          </w:p>
        </w:tc>
      </w:tr>
      <w:tr>
        <w:trPr>
          <w:trHeight w:val="224"/>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1040" w:type="dxa"/>
            <w:vAlign w:val="bottom"/>
            <w:shd w:val="clear" w:color="auto" w:fill="CCEEFF"/>
          </w:tcPr>
          <w:p>
            <w:pPr>
              <w:jc w:val="right"/>
              <w:ind w:right="837"/>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2,348</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5"/>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w:t>
            </w: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expenditures and aircraft purchase deposits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r>
      <w:tr>
        <w:trPr>
          <w:trHeight w:val="229"/>
        </w:trPr>
        <w:tc>
          <w:tcPr>
            <w:tcW w:w="7760" w:type="dxa"/>
            <w:vAlign w:val="bottom"/>
          </w:tcPr>
          <w:p>
            <w:pPr>
              <w:ind w:left="360"/>
              <w:spacing w:after="0"/>
              <w:rPr>
                <w:sz w:val="20"/>
                <w:szCs w:val="20"/>
                <w:color w:val="auto"/>
              </w:rPr>
            </w:pPr>
            <w:r>
              <w:rPr>
                <w:rFonts w:ascii="Arial" w:cs="Arial" w:eastAsia="Arial" w:hAnsi="Arial"/>
                <w:sz w:val="18"/>
                <w:szCs w:val="18"/>
                <w:color w:val="auto"/>
              </w:rPr>
              <w:t>Purchases of short-term investments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(1,806)</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(3,285)</w:t>
            </w: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of short-term investments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w:t>
            </w:r>
          </w:p>
        </w:tc>
      </w:tr>
      <w:tr>
        <w:trPr>
          <w:trHeight w:val="230"/>
        </w:trPr>
        <w:tc>
          <w:tcPr>
            <w:tcW w:w="7760" w:type="dxa"/>
            <w:vAlign w:val="bottom"/>
          </w:tcPr>
          <w:p>
            <w:pPr>
              <w:ind w:left="360"/>
              <w:spacing w:after="0"/>
              <w:rPr>
                <w:sz w:val="20"/>
                <w:szCs w:val="20"/>
                <w:color w:val="auto"/>
              </w:rPr>
            </w:pPr>
            <w:r>
              <w:rPr>
                <w:rFonts w:ascii="Arial" w:cs="Arial" w:eastAsia="Arial" w:hAnsi="Arial"/>
                <w:sz w:val="18"/>
                <w:szCs w:val="18"/>
                <w:color w:val="auto"/>
              </w:rPr>
              <w:t>Decrease in restricted short-term investments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investing activities</w:t>
            </w: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7760" w:type="dxa"/>
            <w:vAlign w:val="bottom"/>
          </w:tcPr>
          <w:p>
            <w:pPr>
              <w:ind w:left="660"/>
              <w:spacing w:after="0"/>
              <w:rPr>
                <w:sz w:val="20"/>
                <w:szCs w:val="20"/>
                <w:color w:val="auto"/>
              </w:rPr>
            </w:pPr>
            <w:r>
              <w:rPr>
                <w:rFonts w:ascii="Arial" w:cs="Arial" w:eastAsia="Arial" w:hAnsi="Arial"/>
                <w:sz w:val="18"/>
                <w:szCs w:val="18"/>
                <w:color w:val="auto"/>
              </w:rPr>
              <w:t>Net cash used in investing activities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(1,185)</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(1,505)</w:t>
            </w:r>
          </w:p>
        </w:tc>
      </w:t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29"/>
        </w:trPr>
        <w:tc>
          <w:tcPr>
            <w:tcW w:w="7760" w:type="dxa"/>
            <w:vAlign w:val="bottom"/>
          </w:tcPr>
          <w:p>
            <w:pPr>
              <w:ind w:left="360"/>
              <w:spacing w:after="0"/>
              <w:rPr>
                <w:sz w:val="20"/>
                <w:szCs w:val="20"/>
                <w:color w:val="auto"/>
              </w:rPr>
            </w:pPr>
            <w:r>
              <w:rPr>
                <w:rFonts w:ascii="Arial" w:cs="Arial" w:eastAsia="Arial" w:hAnsi="Arial"/>
                <w:sz w:val="18"/>
                <w:szCs w:val="18"/>
                <w:color w:val="auto"/>
              </w:rPr>
              <w:t>Payments on long-term debt and finance leases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(1,362)</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(870)</w:t>
            </w: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issuance of long-term debt</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29"/>
        </w:trPr>
        <w:tc>
          <w:tcPr>
            <w:tcW w:w="77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financing activities</w:t>
            </w: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77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used in financing activities</w:t>
            </w: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w:t>
            </w:r>
          </w:p>
        </w:tc>
      </w:tr>
      <w:tr>
        <w:trPr>
          <w:trHeight w:val="223"/>
        </w:trPr>
        <w:tc>
          <w:tcPr>
            <w:tcW w:w="7760" w:type="dxa"/>
            <w:vAlign w:val="bottom"/>
          </w:tcPr>
          <w:p>
            <w:pPr>
              <w:ind w:left="20"/>
              <w:spacing w:after="0"/>
              <w:rPr>
                <w:sz w:val="20"/>
                <w:szCs w:val="20"/>
                <w:color w:val="auto"/>
              </w:rPr>
            </w:pPr>
            <w:r>
              <w:rPr>
                <w:rFonts w:ascii="Arial" w:cs="Arial" w:eastAsia="Arial" w:hAnsi="Arial"/>
                <w:sz w:val="18"/>
                <w:szCs w:val="18"/>
                <w:color w:val="auto"/>
              </w:rPr>
              <w:t>Net increase in cash and restricted cash</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restricted cash at beginning of period</w:t>
            </w: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w:t>
            </w:r>
          </w:p>
        </w:tc>
      </w:tr>
      <w:tr>
        <w:trPr>
          <w:trHeight w:val="223"/>
        </w:trPr>
        <w:tc>
          <w:tcPr>
            <w:tcW w:w="7760" w:type="dxa"/>
            <w:vAlign w:val="bottom"/>
          </w:tcPr>
          <w:p>
            <w:pPr>
              <w:ind w:left="20"/>
              <w:spacing w:after="0" w:line="223" w:lineRule="exact"/>
              <w:rPr>
                <w:sz w:val="20"/>
                <w:szCs w:val="20"/>
                <w:color w:val="auto"/>
              </w:rPr>
            </w:pPr>
            <w:r>
              <w:rPr>
                <w:rFonts w:ascii="Arial" w:cs="Arial" w:eastAsia="Arial" w:hAnsi="Arial"/>
                <w:sz w:val="18"/>
                <w:szCs w:val="18"/>
                <w:color w:val="auto"/>
              </w:rPr>
              <w:t xml:space="preserve">Cash and restricted cash at end of period </w:t>
            </w:r>
            <w:r>
              <w:rPr>
                <w:rFonts w:ascii="Arial" w:cs="Arial" w:eastAsia="Arial" w:hAnsi="Arial"/>
                <w:sz w:val="23"/>
                <w:szCs w:val="23"/>
                <w:color w:val="auto"/>
                <w:vertAlign w:val="superscript"/>
              </w:rPr>
              <w:t>(1)</w:t>
            </w:r>
          </w:p>
        </w:tc>
        <w:tc>
          <w:tcPr>
            <w:tcW w:w="1040" w:type="dxa"/>
            <w:vAlign w:val="bottom"/>
            <w:tcBorders>
              <w:bottom w:val="single" w:sz="8" w:color="auto"/>
            </w:tcBorders>
          </w:tcPr>
          <w:p>
            <w:pPr>
              <w:jc w:val="right"/>
              <w:ind w:right="837"/>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w:t>
            </w: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ind w:right="835"/>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w:t>
            </w:r>
          </w:p>
        </w:tc>
      </w:tr>
      <w:tr>
        <w:trPr>
          <w:trHeight w:val="20"/>
        </w:trPr>
        <w:tc>
          <w:tcPr>
            <w:tcW w:w="77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23"/>
        </w:trPr>
        <w:tc>
          <w:tcPr>
            <w:tcW w:w="77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Non-cash transactions:</w:t>
            </w: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Right-of-use (ROU) assets acquired through operating leases</w:t>
            </w:r>
          </w:p>
        </w:tc>
        <w:tc>
          <w:tcPr>
            <w:tcW w:w="1040" w:type="dxa"/>
            <w:vAlign w:val="bottom"/>
            <w:shd w:val="clear" w:color="auto" w:fill="CCEEFF"/>
          </w:tcPr>
          <w:p>
            <w:pPr>
              <w:jc w:val="right"/>
              <w:ind w:right="837"/>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5"/>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r>
      <w:tr>
        <w:trPr>
          <w:trHeight w:val="230"/>
        </w:trPr>
        <w:tc>
          <w:tcPr>
            <w:tcW w:w="7760" w:type="dxa"/>
            <w:vAlign w:val="bottom"/>
          </w:tcPr>
          <w:p>
            <w:pPr>
              <w:ind w:left="360"/>
              <w:spacing w:after="0"/>
              <w:rPr>
                <w:sz w:val="20"/>
                <w:szCs w:val="20"/>
                <w:color w:val="auto"/>
              </w:rPr>
            </w:pPr>
            <w:r>
              <w:rPr>
                <w:rFonts w:ascii="Arial" w:cs="Arial" w:eastAsia="Arial" w:hAnsi="Arial"/>
                <w:sz w:val="18"/>
                <w:szCs w:val="18"/>
                <w:color w:val="auto"/>
              </w:rPr>
              <w:t>Property and equipment acquired through finance leases and other</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leases converted to operating leases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7760" w:type="dxa"/>
            <w:vAlign w:val="bottom"/>
          </w:tcPr>
          <w:p>
            <w:pPr>
              <w:ind w:left="360"/>
              <w:spacing w:after="0"/>
              <w:rPr>
                <w:sz w:val="20"/>
                <w:szCs w:val="20"/>
                <w:color w:val="auto"/>
              </w:rPr>
            </w:pPr>
            <w:r>
              <w:rPr>
                <w:rFonts w:ascii="Arial" w:cs="Arial" w:eastAsia="Arial" w:hAnsi="Arial"/>
                <w:sz w:val="18"/>
                <w:szCs w:val="18"/>
                <w:color w:val="auto"/>
              </w:rPr>
              <w:t>Operating leases converted to finance leases</w:t>
            </w:r>
          </w:p>
        </w:tc>
        <w:tc>
          <w:tcPr>
            <w:tcW w:w="104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information:</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30"/>
        </w:trPr>
        <w:tc>
          <w:tcPr>
            <w:tcW w:w="7760" w:type="dxa"/>
            <w:vAlign w:val="bottom"/>
          </w:tcPr>
          <w:p>
            <w:pPr>
              <w:ind w:left="360"/>
              <w:spacing w:after="0"/>
              <w:rPr>
                <w:sz w:val="20"/>
                <w:szCs w:val="20"/>
                <w:color w:val="auto"/>
              </w:rPr>
            </w:pPr>
            <w:r>
              <w:rPr>
                <w:rFonts w:ascii="Arial" w:cs="Arial" w:eastAsia="Arial" w:hAnsi="Arial"/>
                <w:sz w:val="18"/>
                <w:szCs w:val="18"/>
                <w:color w:val="auto"/>
              </w:rPr>
              <w:t>Interest paid, net</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497</w:t>
            </w: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 paid</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112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31" w:lineRule="exact"/>
        <w:rPr>
          <w:sz w:val="20"/>
          <w:szCs w:val="20"/>
          <w:color w:val="auto"/>
        </w:rPr>
      </w:pPr>
    </w:p>
    <w:p>
      <w:pPr>
        <w:ind w:left="340" w:right="20" w:hanging="332"/>
        <w:spacing w:after="0" w:line="231" w:lineRule="auto"/>
        <w:tabs>
          <w:tab w:leader="none" w:pos="334"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The following table provides a reconciliation of cash and restricted cash to amounts reported within the condensed consolidated balance sheets: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r>
      <w:tr>
        <w:trPr>
          <w:trHeight w:val="230"/>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 included in restricted cash and short-term investments</w:t>
            </w:r>
          </w:p>
        </w:tc>
        <w:tc>
          <w:tcPr>
            <w:tcW w:w="7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r>
      <w:tr>
        <w:trPr>
          <w:trHeight w:val="248"/>
        </w:trPr>
        <w:tc>
          <w:tcPr>
            <w:tcW w:w="7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cash and restricted cash</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AIRLINES,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millions)(Unaudited)</w:t>
      </w:r>
    </w:p>
    <w:p>
      <w:pPr>
        <w:spacing w:after="0" w:line="19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Retained</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Loss</w:t>
            </w:r>
          </w:p>
        </w:tc>
        <w:tc>
          <w:tcPr>
            <w:tcW w:w="16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2024</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8,234</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1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Intercompany equity transfer</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54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2025</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17,424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7,884</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5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Retained</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Loss</w:t>
            </w:r>
          </w:p>
        </w:tc>
        <w:tc>
          <w:tcPr>
            <w:tcW w:w="16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6,577</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1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Modification of share-based awards</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Intercompany equity transfer</w:t>
            </w:r>
          </w:p>
        </w:tc>
        <w:tc>
          <w:tcPr>
            <w:tcW w:w="1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5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2024</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6,386</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200" w:hanging="192"/>
        <w:spacing w:after="0"/>
        <w:tabs>
          <w:tab w:leader="none" w:pos="2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92" w:lineRule="exact"/>
        <w:rPr>
          <w:rFonts w:ascii="Arial" w:cs="Arial" w:eastAsia="Arial" w:hAnsi="Arial"/>
          <w:sz w:val="18"/>
          <w:szCs w:val="18"/>
          <w:b w:val="1"/>
          <w:bCs w:val="1"/>
          <w:color w:val="auto"/>
        </w:rPr>
      </w:pPr>
    </w:p>
    <w:p>
      <w:pPr>
        <w:ind w:left="520" w:hanging="269"/>
        <w:spacing w:after="0"/>
        <w:tabs>
          <w:tab w:leader="none" w:pos="520" w:val="left"/>
        </w:tabs>
        <w:numPr>
          <w:ilvl w:val="1"/>
          <w:numId w:val="20"/>
        </w:numPr>
        <w:rPr>
          <w:rFonts w:ascii="Arial" w:cs="Arial" w:eastAsia="Arial" w:hAnsi="Arial"/>
          <w:sz w:val="18"/>
          <w:szCs w:val="18"/>
          <w:b w:val="1"/>
          <w:bCs w:val="1"/>
          <w:i w:val="1"/>
          <w:iCs w:val="1"/>
          <w:u w:val="single" w:color="auto"/>
          <w:color w:val="auto"/>
        </w:rPr>
      </w:pPr>
      <w:r>
        <w:rPr>
          <w:rFonts w:ascii="Arial" w:cs="Arial" w:eastAsia="Arial" w:hAnsi="Arial"/>
          <w:sz w:val="18"/>
          <w:szCs w:val="18"/>
          <w:b w:val="1"/>
          <w:bCs w:val="1"/>
          <w:i w:val="1"/>
          <w:iCs w:val="1"/>
          <w:u w:val="single" w:color="auto"/>
          <w:color w:val="auto"/>
        </w:rPr>
        <w:t>Basis of Presentation</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accompanying unaudited condensed consolidated financial statements of American Airlines, Inc. (American) should be read in conjunction with the consolidated financial statements contained in American’s Annual Report on Form 10-K for the year ended December 31, 2024. American is the principal wholly-owned subsidiary of American Airlines Group Inc. (AAG). All significant intercompany transactions have been eliminated.</w:t>
      </w:r>
    </w:p>
    <w:p>
      <w:pPr>
        <w:spacing w:after="0" w:line="122"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Management believes that all adjustments necessary for the fair presentation of results, consisting of normally recurring items, have been included in the unaudited condensed consolidated financial statements for the interim periods presented. 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the loyalty program, deferred tax assets, as well as pension and retiree medical and other postretirement benefits.</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(b) Operating Property and Equipment</w:t>
      </w:r>
    </w:p>
    <w:p>
      <w:pPr>
        <w:spacing w:after="0" w:line="88" w:lineRule="exact"/>
        <w:rPr>
          <w:sz w:val="20"/>
          <w:szCs w:val="20"/>
          <w:color w:val="auto"/>
        </w:rPr>
      </w:pPr>
    </w:p>
    <w:p>
      <w:pPr>
        <w:jc w:val="both"/>
        <w:ind w:firstLine="243"/>
        <w:spacing w:after="0" w:line="282" w:lineRule="auto"/>
        <w:rPr>
          <w:sz w:val="20"/>
          <w:szCs w:val="20"/>
          <w:color w:val="auto"/>
        </w:rPr>
      </w:pPr>
      <w:r>
        <w:rPr>
          <w:rFonts w:ascii="Arial" w:cs="Arial" w:eastAsia="Arial" w:hAnsi="Arial"/>
          <w:sz w:val="17"/>
          <w:szCs w:val="17"/>
          <w:color w:val="auto"/>
        </w:rPr>
        <w:t>Effective January 1, 2025, American adjusted the estimated useful lives of its mainline and regional aircraft, engines and related rotable parts by three years to align with the extended lives of aircraft included in American’s long-term fleet plan. In conjunction with this change, American also reduced the salvage values for most of these assets from 10% to 5% of original cost to more closely reflect the estimated value at the end of the useful life. Accordingly, the estimated useful lives for the principal property and equipment classification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gridSpan w:val="2"/>
          </w:tcPr>
          <w:p>
            <w:pPr>
              <w:spacing w:after="0"/>
              <w:rPr>
                <w:sz w:val="20"/>
                <w:szCs w:val="20"/>
                <w:color w:val="auto"/>
              </w:rPr>
            </w:pPr>
            <w:r>
              <w:rPr>
                <w:rFonts w:ascii="Arial" w:cs="Arial" w:eastAsia="Arial" w:hAnsi="Arial"/>
                <w:sz w:val="14"/>
                <w:szCs w:val="14"/>
                <w:b w:val="1"/>
                <w:bCs w:val="1"/>
                <w:color w:val="auto"/>
              </w:rPr>
              <w:t>Principal Property and Equipment Classification</w:t>
            </w:r>
          </w:p>
        </w:tc>
        <w:tc>
          <w:tcPr>
            <w:tcW w:w="47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Estimated Useful Life</w:t>
            </w:r>
          </w:p>
        </w:tc>
      </w:tr>
      <w:tr>
        <w:trPr>
          <w:trHeight w:val="20"/>
        </w:trPr>
        <w:tc>
          <w:tcPr>
            <w:tcW w:w="20" w:type="dxa"/>
            <w:vAlign w:val="bottom"/>
          </w:tcPr>
          <w:p>
            <w:pPr>
              <w:spacing w:after="0" w:line="20" w:lineRule="exact"/>
              <w:rPr>
                <w:sz w:val="1"/>
                <w:szCs w:val="1"/>
                <w:color w:val="auto"/>
              </w:rPr>
            </w:pPr>
          </w:p>
        </w:tc>
        <w:tc>
          <w:tcPr>
            <w:tcW w:w="3300" w:type="dxa"/>
            <w:vAlign w:val="bottom"/>
            <w:tcBorders>
              <w:top w:val="single" w:sz="8" w:color="auto"/>
            </w:tcBorders>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Aircraft, engines and related rotable parts</w:t>
            </w:r>
          </w:p>
        </w:tc>
        <w:tc>
          <w:tcPr>
            <w:tcW w:w="3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 – 33 years</w:t>
            </w:r>
          </w:p>
        </w:tc>
      </w:tr>
    </w:tbl>
    <w:p>
      <w:pPr>
        <w:spacing w:after="0" w:line="238"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The effect of these changes did not have a material impact to depreciation and amortization expense in the condensed consolidated statement of operations for the three months ended March 31, 2025.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Special Items, Net</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Special items, net in the condensed consolidated statements of operations consisted of the following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60" w:type="dxa"/>
            <w:vAlign w:val="bottom"/>
          </w:tcPr>
          <w:p>
            <w:pPr>
              <w:spacing w:after="0"/>
              <w:rPr>
                <w:sz w:val="17"/>
                <w:szCs w:val="17"/>
                <w:color w:val="auto"/>
              </w:rPr>
            </w:pPr>
          </w:p>
        </w:tc>
        <w:tc>
          <w:tcPr>
            <w:tcW w:w="318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17"/>
                <w:szCs w:val="17"/>
                <w:color w:val="auto"/>
              </w:rPr>
            </w:pPr>
          </w:p>
        </w:tc>
      </w:tr>
      <w:tr>
        <w:trPr>
          <w:trHeight w:val="196"/>
        </w:trPr>
        <w:tc>
          <w:tcPr>
            <w:tcW w:w="756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2025</w:t>
            </w: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2024</w:t>
            </w:r>
          </w:p>
        </w:tc>
        <w:tc>
          <w:tcPr>
            <w:tcW w:w="500" w:type="dxa"/>
            <w:vAlign w:val="bottom"/>
            <w:tcBorders>
              <w:bottom w:val="single" w:sz="8" w:color="auto"/>
            </w:tcBorders>
          </w:tcPr>
          <w:p>
            <w:pPr>
              <w:spacing w:after="0"/>
              <w:rPr>
                <w:sz w:val="17"/>
                <w:szCs w:val="17"/>
                <w:color w:val="auto"/>
              </w:rPr>
            </w:pPr>
          </w:p>
        </w:tc>
      </w:tr>
      <w:tr>
        <w:trPr>
          <w:trHeight w:val="224"/>
        </w:trPr>
        <w:tc>
          <w:tcPr>
            <w:tcW w:w="756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Labor contract expenses </w:t>
            </w:r>
            <w:r>
              <w:rPr>
                <w:rFonts w:ascii="Arial" w:cs="Arial" w:eastAsia="Arial" w:hAnsi="Arial"/>
                <w:sz w:val="23"/>
                <w:szCs w:val="23"/>
                <w:color w:val="auto"/>
                <w:vertAlign w:val="superscript"/>
              </w:rPr>
              <w:t>(1)</w:t>
            </w:r>
          </w:p>
        </w:tc>
        <w:tc>
          <w:tcPr>
            <w:tcW w:w="1280" w:type="dxa"/>
            <w:vAlign w:val="bottom"/>
            <w:shd w:val="clear" w:color="auto" w:fill="CCEEFF"/>
          </w:tcPr>
          <w:p>
            <w:pPr>
              <w:jc w:val="right"/>
              <w:ind w:right="1082"/>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7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Litigation reserve adjustments</w:t>
            </w:r>
          </w:p>
        </w:tc>
        <w:tc>
          <w:tcPr>
            <w:tcW w:w="12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 expenses</w:t>
            </w:r>
          </w:p>
        </w:tc>
        <w:tc>
          <w:tcPr>
            <w:tcW w:w="12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operating special items, net</w:t>
            </w:r>
          </w:p>
        </w:tc>
        <w:tc>
          <w:tcPr>
            <w:tcW w:w="12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Mainline operating special items, net</w:t>
            </w:r>
          </w:p>
        </w:tc>
        <w:tc>
          <w:tcPr>
            <w:tcW w:w="12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70"/>
        </w:trPr>
        <w:tc>
          <w:tcPr>
            <w:tcW w:w="75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230"/>
        </w:trPr>
        <w:tc>
          <w:tcPr>
            <w:tcW w:w="75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Mark-to-market adjustments on equity investments, net </w:t>
            </w:r>
            <w:r>
              <w:rPr>
                <w:rFonts w:ascii="Arial" w:cs="Arial" w:eastAsia="Arial" w:hAnsi="Arial"/>
                <w:sz w:val="23"/>
                <w:szCs w:val="23"/>
                <w:color w:val="auto"/>
                <w:vertAlign w:val="superscript"/>
              </w:rPr>
              <w:t>(2)</w:t>
            </w:r>
          </w:p>
        </w:tc>
        <w:tc>
          <w:tcPr>
            <w:tcW w:w="12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9"/>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Debt refinancing and extinguishment</w:t>
            </w:r>
          </w:p>
        </w:tc>
        <w:tc>
          <w:tcPr>
            <w:tcW w:w="12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Nonoperating special items, net</w:t>
            </w:r>
          </w:p>
        </w:tc>
        <w:tc>
          <w:tcPr>
            <w:tcW w:w="12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3112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31" w:lineRule="exact"/>
        <w:rPr>
          <w:sz w:val="20"/>
          <w:szCs w:val="20"/>
          <w:color w:val="auto"/>
        </w:rPr>
      </w:pPr>
    </w:p>
    <w:p>
      <w:pPr>
        <w:jc w:val="both"/>
        <w:ind w:left="340" w:hanging="332"/>
        <w:spacing w:after="0" w:line="237" w:lineRule="auto"/>
        <w:tabs>
          <w:tab w:leader="none" w:pos="334"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Labor contract expenses for the three months ended March 31, 2025 included a one-time charge for adjustments to vacation accruals resulting from pay rate increases effective January 1, 2025, related to the ratification of the contract extension in the fourth quarter of 2024 with American’s mainline maintenance and fleet service team members.</w:t>
      </w:r>
    </w:p>
    <w:p>
      <w:pPr>
        <w:spacing w:after="0" w:line="140" w:lineRule="exact"/>
        <w:rPr>
          <w:rFonts w:ascii="Arial" w:cs="Arial" w:eastAsia="Arial" w:hAnsi="Arial"/>
          <w:sz w:val="23"/>
          <w:szCs w:val="23"/>
          <w:color w:val="auto"/>
          <w:vertAlign w:val="superscript"/>
        </w:rPr>
      </w:pPr>
    </w:p>
    <w:p>
      <w:pPr>
        <w:ind w:left="340"/>
        <w:spacing w:after="0" w:line="287" w:lineRule="auto"/>
        <w:rPr>
          <w:rFonts w:ascii="Arial" w:cs="Arial" w:eastAsia="Arial" w:hAnsi="Arial"/>
          <w:sz w:val="23"/>
          <w:szCs w:val="23"/>
          <w:color w:val="auto"/>
          <w:vertAlign w:val="superscript"/>
        </w:rPr>
      </w:pPr>
      <w:r>
        <w:rPr>
          <w:rFonts w:ascii="Arial" w:cs="Arial" w:eastAsia="Arial" w:hAnsi="Arial"/>
          <w:sz w:val="18"/>
          <w:szCs w:val="18"/>
          <w:color w:val="auto"/>
        </w:rPr>
        <w:t>Labor contract expenses for the three months ended March 31, 2024 included one-time charges resulting from the ratification of a new collective bargaining agreement with American’s mainline passenger service team members, including a one-time signing bonus.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5"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Mark-to-market adjustments on equity investments, net included unrealized gains and losses associated with certain equity investments.</w:t>
      </w:r>
    </w:p>
    <w:p>
      <w:pPr>
        <w:spacing w:after="0" w:line="220" w:lineRule="exact"/>
        <w:rPr>
          <w:sz w:val="20"/>
          <w:szCs w:val="20"/>
          <w:color w:val="auto"/>
        </w:rPr>
      </w:pPr>
    </w:p>
    <w:p>
      <w:pPr>
        <w:ind w:left="260" w:right="9200" w:hanging="252"/>
        <w:spacing w:after="0" w:line="364" w:lineRule="auto"/>
        <w:tabs>
          <w:tab w:leader="none" w:pos="217"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Revenue Recognition </w:t>
      </w:r>
      <w:r>
        <w:rPr>
          <w:rFonts w:ascii="Arial" w:cs="Arial" w:eastAsia="Arial" w:hAnsi="Arial"/>
          <w:sz w:val="17"/>
          <w:szCs w:val="17"/>
          <w:b w:val="1"/>
          <w:bCs w:val="1"/>
          <w:i w:val="1"/>
          <w:iCs w:val="1"/>
          <w:u w:val="single" w:color="auto"/>
          <w:color w:val="auto"/>
        </w:rPr>
        <w:t>Revenue</w:t>
      </w:r>
    </w:p>
    <w:p>
      <w:pPr>
        <w:spacing w:after="0" w:line="1" w:lineRule="exact"/>
        <w:rPr>
          <w:rFonts w:ascii="Arial" w:cs="Arial" w:eastAsia="Arial" w:hAnsi="Arial"/>
          <w:sz w:val="17"/>
          <w:szCs w:val="17"/>
          <w:b w:val="1"/>
          <w:bCs w:val="1"/>
          <w:color w:val="auto"/>
        </w:rPr>
      </w:pPr>
    </w:p>
    <w:p>
      <w:pPr>
        <w:ind w:left="260"/>
        <w:spacing w:after="0"/>
        <w:rPr>
          <w:rFonts w:ascii="Arial" w:cs="Arial" w:eastAsia="Arial" w:hAnsi="Arial"/>
          <w:sz w:val="17"/>
          <w:szCs w:val="17"/>
          <w:b w:val="1"/>
          <w:bCs w:val="1"/>
          <w:color w:val="auto"/>
        </w:rPr>
      </w:pPr>
      <w:r>
        <w:rPr>
          <w:rFonts w:ascii="Arial" w:cs="Arial" w:eastAsia="Arial" w:hAnsi="Arial"/>
          <w:sz w:val="18"/>
          <w:szCs w:val="18"/>
          <w:color w:val="auto"/>
        </w:rPr>
        <w:t>The following are the significant categories comprising American’s operating revenues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2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80" w:type="dxa"/>
            <w:vAlign w:val="bottom"/>
            <w:tcBorders>
              <w:bottom w:val="single" w:sz="8" w:color="auto"/>
            </w:tcBorders>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2060" w:type="dxa"/>
            <w:vAlign w:val="bottom"/>
            <w:tcBorders>
              <w:bottom w:val="single" w:sz="8" w:color="CCEEFF"/>
            </w:tcBorders>
          </w:tcPr>
          <w:p>
            <w:pPr>
              <w:spacing w:after="0"/>
              <w:rPr>
                <w:sz w:val="18"/>
                <w:szCs w:val="18"/>
                <w:color w:val="auto"/>
              </w:rPr>
            </w:pPr>
          </w:p>
        </w:tc>
        <w:tc>
          <w:tcPr>
            <w:tcW w:w="54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80" w:type="dxa"/>
            <w:vAlign w:val="bottom"/>
            <w:tcBorders>
              <w:bottom w:val="single" w:sz="8" w:color="auto"/>
            </w:tcBorders>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7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Passenger revenue:</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540" w:type="dxa"/>
            <w:vAlign w:val="bottom"/>
            <w:gridSpan w:val="2"/>
          </w:tcPr>
          <w:p>
            <w:pPr>
              <w:ind w:left="220"/>
              <w:spacing w:after="0"/>
              <w:rPr>
                <w:sz w:val="20"/>
                <w:szCs w:val="20"/>
                <w:color w:val="auto"/>
              </w:rPr>
            </w:pPr>
            <w:r>
              <w:rPr>
                <w:rFonts w:ascii="Arial" w:cs="Arial" w:eastAsia="Arial" w:hAnsi="Arial"/>
                <w:sz w:val="18"/>
                <w:szCs w:val="18"/>
                <w:color w:val="auto"/>
              </w:rPr>
              <w:t>Passenger travel</w:t>
            </w:r>
          </w:p>
        </w:tc>
        <w:tc>
          <w:tcPr>
            <w:tcW w:w="1100" w:type="dxa"/>
            <w:vAlign w:val="bottom"/>
          </w:tcPr>
          <w:p>
            <w:pPr>
              <w:jc w:val="right"/>
              <w:ind w:right="899"/>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10,475</w:t>
            </w:r>
          </w:p>
        </w:tc>
        <w:tc>
          <w:tcPr>
            <w:tcW w:w="100" w:type="dxa"/>
            <w:vAlign w:val="bottom"/>
          </w:tcPr>
          <w:p>
            <w:pPr>
              <w:spacing w:after="0"/>
              <w:rPr>
                <w:sz w:val="19"/>
                <w:szCs w:val="19"/>
                <w:color w:val="auto"/>
              </w:rPr>
            </w:pPr>
          </w:p>
        </w:tc>
        <w:tc>
          <w:tcPr>
            <w:tcW w:w="1100" w:type="dxa"/>
            <w:vAlign w:val="bottom"/>
          </w:tcPr>
          <w:p>
            <w:pPr>
              <w:jc w:val="right"/>
              <w:ind w:right="896"/>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10,582</w:t>
            </w:r>
          </w:p>
        </w:tc>
      </w:tr>
      <w:tr>
        <w:trPr>
          <w:trHeight w:val="229"/>
        </w:trPr>
        <w:tc>
          <w:tcPr>
            <w:tcW w:w="20" w:type="dxa"/>
            <w:vAlign w:val="bottom"/>
          </w:tcPr>
          <w:p>
            <w:pPr>
              <w:spacing w:after="0"/>
              <w:rPr>
                <w:sz w:val="19"/>
                <w:szCs w:val="19"/>
                <w:color w:val="auto"/>
              </w:rPr>
            </w:pPr>
          </w:p>
        </w:tc>
        <w:tc>
          <w:tcPr>
            <w:tcW w:w="7540" w:type="dxa"/>
            <w:vAlign w:val="bottom"/>
            <w:gridSpan w:val="2"/>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Loyalty revenue - travel </w:t>
            </w:r>
            <w:r>
              <w:rPr>
                <w:rFonts w:ascii="Arial" w:cs="Arial" w:eastAsia="Arial" w:hAnsi="Arial"/>
                <w:sz w:val="23"/>
                <w:szCs w:val="23"/>
                <w:color w:val="auto"/>
                <w:vertAlign w:val="superscript"/>
              </w:rPr>
              <w:t>(1)</w:t>
            </w: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w:t>
            </w:r>
          </w:p>
        </w:tc>
      </w:tr>
      <w:tr>
        <w:trPr>
          <w:trHeight w:val="223"/>
        </w:trPr>
        <w:tc>
          <w:tcPr>
            <w:tcW w:w="20" w:type="dxa"/>
            <w:vAlign w:val="bottom"/>
          </w:tcPr>
          <w:p>
            <w:pPr>
              <w:spacing w:after="0"/>
              <w:rPr>
                <w:sz w:val="19"/>
                <w:szCs w:val="19"/>
                <w:color w:val="auto"/>
              </w:rPr>
            </w:pPr>
          </w:p>
        </w:tc>
        <w:tc>
          <w:tcPr>
            <w:tcW w:w="7540" w:type="dxa"/>
            <w:vAlign w:val="bottom"/>
            <w:gridSpan w:val="2"/>
          </w:tcPr>
          <w:p>
            <w:pPr>
              <w:ind w:left="460"/>
              <w:spacing w:after="0"/>
              <w:rPr>
                <w:sz w:val="20"/>
                <w:szCs w:val="20"/>
                <w:color w:val="auto"/>
              </w:rPr>
            </w:pPr>
            <w:r>
              <w:rPr>
                <w:rFonts w:ascii="Arial" w:cs="Arial" w:eastAsia="Arial" w:hAnsi="Arial"/>
                <w:sz w:val="18"/>
                <w:szCs w:val="18"/>
                <w:color w:val="auto"/>
              </w:rPr>
              <w:t>Total passenger revenue</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11,391</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11,458</w:t>
            </w:r>
          </w:p>
        </w:tc>
      </w:tr>
      <w:tr>
        <w:trPr>
          <w:trHeight w:val="229"/>
        </w:trPr>
        <w:tc>
          <w:tcPr>
            <w:tcW w:w="20" w:type="dxa"/>
            <w:vAlign w:val="bottom"/>
          </w:tcPr>
          <w:p>
            <w:pPr>
              <w:spacing w:after="0"/>
              <w:rPr>
                <w:sz w:val="19"/>
                <w:szCs w:val="19"/>
                <w:color w:val="auto"/>
              </w:rPr>
            </w:pPr>
          </w:p>
        </w:tc>
        <w:tc>
          <w:tcPr>
            <w:tcW w:w="7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Cargo</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30"/>
        </w:trPr>
        <w:tc>
          <w:tcPr>
            <w:tcW w:w="20" w:type="dxa"/>
            <w:vAlign w:val="bottom"/>
          </w:tcPr>
          <w:p>
            <w:pPr>
              <w:spacing w:after="0"/>
              <w:rPr>
                <w:sz w:val="19"/>
                <w:szCs w:val="19"/>
                <w:color w:val="auto"/>
              </w:rPr>
            </w:pPr>
          </w:p>
        </w:tc>
        <w:tc>
          <w:tcPr>
            <w:tcW w:w="754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1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Loyalty revenue - marketing services</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r>
      <w:tr>
        <w:trPr>
          <w:trHeight w:val="229"/>
        </w:trPr>
        <w:tc>
          <w:tcPr>
            <w:tcW w:w="20" w:type="dxa"/>
            <w:vAlign w:val="bottom"/>
          </w:tcPr>
          <w:p>
            <w:pPr>
              <w:spacing w:after="0"/>
              <w:rPr>
                <w:sz w:val="19"/>
                <w:szCs w:val="19"/>
                <w:color w:val="auto"/>
              </w:rPr>
            </w:pPr>
          </w:p>
        </w:tc>
        <w:tc>
          <w:tcPr>
            <w:tcW w:w="75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revenue</w:t>
            </w: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r>
      <w:tr>
        <w:trPr>
          <w:trHeight w:val="223"/>
        </w:trPr>
        <w:tc>
          <w:tcPr>
            <w:tcW w:w="20" w:type="dxa"/>
            <w:vAlign w:val="bottom"/>
          </w:tcPr>
          <w:p>
            <w:pPr>
              <w:spacing w:after="0"/>
              <w:rPr>
                <w:sz w:val="19"/>
                <w:szCs w:val="19"/>
                <w:color w:val="auto"/>
              </w:rPr>
            </w:pPr>
          </w:p>
        </w:tc>
        <w:tc>
          <w:tcPr>
            <w:tcW w:w="75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Total other revenue</w:t>
            </w: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w:t>
            </w:r>
          </w:p>
        </w:tc>
      </w:tr>
      <w:tr>
        <w:trPr>
          <w:trHeight w:val="223"/>
        </w:trPr>
        <w:tc>
          <w:tcPr>
            <w:tcW w:w="20" w:type="dxa"/>
            <w:vAlign w:val="bottom"/>
          </w:tcPr>
          <w:p>
            <w:pPr>
              <w:spacing w:after="0"/>
              <w:rPr>
                <w:sz w:val="19"/>
                <w:szCs w:val="19"/>
                <w:color w:val="auto"/>
              </w:rPr>
            </w:pPr>
          </w:p>
        </w:tc>
        <w:tc>
          <w:tcPr>
            <w:tcW w:w="7540" w:type="dxa"/>
            <w:vAlign w:val="bottom"/>
            <w:gridSpan w:val="2"/>
          </w:tcPr>
          <w:p>
            <w:pPr>
              <w:ind w:left="660"/>
              <w:spacing w:after="0"/>
              <w:rPr>
                <w:sz w:val="20"/>
                <w:szCs w:val="20"/>
                <w:color w:val="auto"/>
              </w:rPr>
            </w:pPr>
            <w:r>
              <w:rPr>
                <w:rFonts w:ascii="Arial" w:cs="Arial" w:eastAsia="Arial" w:hAnsi="Arial"/>
                <w:sz w:val="18"/>
                <w:szCs w:val="18"/>
                <w:color w:val="auto"/>
              </w:rPr>
              <w:t>Total operating revenues</w:t>
            </w:r>
          </w:p>
        </w:tc>
        <w:tc>
          <w:tcPr>
            <w:tcW w:w="1100" w:type="dxa"/>
            <w:vAlign w:val="bottom"/>
            <w:tcBorders>
              <w:bottom w:val="single" w:sz="8" w:color="auto"/>
            </w:tcBorders>
          </w:tcPr>
          <w:p>
            <w:pPr>
              <w:jc w:val="right"/>
              <w:ind w:right="899"/>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12,549</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ind w:right="89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12,569</w:t>
            </w: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spacing w:after="0"/>
              <w:rPr>
                <w:sz w:val="14"/>
                <w:szCs w:val="14"/>
                <w:color w:val="auto"/>
              </w:rPr>
            </w:pPr>
          </w:p>
        </w:tc>
        <w:tc>
          <w:tcPr>
            <w:tcW w:w="5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80" w:type="dxa"/>
            <w:vAlign w:val="bottom"/>
          </w:tcPr>
          <w:p>
            <w:pPr>
              <w:spacing w:after="0"/>
              <w:rPr>
                <w:sz w:val="14"/>
                <w:szCs w:val="14"/>
                <w:color w:val="auto"/>
              </w:rPr>
            </w:pPr>
          </w:p>
        </w:tc>
      </w:tr>
    </w:tbl>
    <w:p>
      <w:pPr>
        <w:spacing w:after="0" w:line="62" w:lineRule="exact"/>
        <w:rPr>
          <w:sz w:val="20"/>
          <w:szCs w:val="20"/>
          <w:color w:val="auto"/>
        </w:rPr>
      </w:pPr>
    </w:p>
    <w:p>
      <w:pPr>
        <w:ind w:left="340" w:hanging="332"/>
        <w:spacing w:after="0" w:line="231" w:lineRule="auto"/>
        <w:tabs>
          <w:tab w:leader="none" w:pos="334"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Loyalty revenue included in passenger revenue is principally comprised of mileage credit redemptions, which were earned from travel or co-branded credit card and other partners.</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is American’s total passenger revenue by geographic region (in millions):</w:t>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7540" w:type="dxa"/>
            <w:vAlign w:val="bottom"/>
          </w:tcPr>
          <w:p>
            <w:pPr>
              <w:spacing w:after="0"/>
              <w:rPr>
                <w:sz w:val="17"/>
                <w:szCs w:val="17"/>
                <w:color w:val="auto"/>
              </w:rPr>
            </w:pPr>
          </w:p>
        </w:tc>
        <w:tc>
          <w:tcPr>
            <w:tcW w:w="300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Three Months Ended March 31,</w:t>
            </w:r>
          </w:p>
        </w:tc>
        <w:tc>
          <w:tcPr>
            <w:tcW w:w="660" w:type="dxa"/>
            <w:vAlign w:val="bottom"/>
            <w:tcBorders>
              <w:bottom w:val="single" w:sz="8" w:color="auto"/>
            </w:tcBorders>
          </w:tcPr>
          <w:p>
            <w:pPr>
              <w:spacing w:after="0"/>
              <w:rPr>
                <w:sz w:val="17"/>
                <w:szCs w:val="17"/>
                <w:color w:val="auto"/>
              </w:rPr>
            </w:pPr>
          </w:p>
        </w:tc>
      </w:tr>
      <w:tr>
        <w:trPr>
          <w:trHeight w:val="210"/>
        </w:trPr>
        <w:tc>
          <w:tcPr>
            <w:tcW w:w="754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60" w:type="dxa"/>
            <w:vAlign w:val="bottom"/>
            <w:tcBorders>
              <w:bottom w:val="single" w:sz="8" w:color="auto"/>
            </w:tcBorders>
          </w:tcPr>
          <w:p>
            <w:pPr>
              <w:spacing w:after="0"/>
              <w:rPr>
                <w:sz w:val="18"/>
                <w:szCs w:val="18"/>
                <w:color w:val="auto"/>
              </w:rPr>
            </w:pPr>
          </w:p>
        </w:tc>
      </w:tr>
      <w:tr>
        <w:trPr>
          <w:trHeight w:val="224"/>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8,262</w:t>
            </w:r>
          </w:p>
        </w:tc>
      </w:tr>
      <w:tr>
        <w:trPr>
          <w:trHeight w:val="230"/>
        </w:trPr>
        <w:tc>
          <w:tcPr>
            <w:tcW w:w="754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1,906</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1,902</w:t>
            </w:r>
          </w:p>
        </w:tc>
      </w:tr>
      <w:tr>
        <w:trPr>
          <w:trHeight w:val="229"/>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Atlantic</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r>
      <w:tr>
        <w:trPr>
          <w:trHeight w:val="230"/>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Pacific</w:t>
            </w:r>
          </w:p>
        </w:tc>
        <w:tc>
          <w:tcPr>
            <w:tcW w:w="1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r>
      <w:tr>
        <w:trPr>
          <w:trHeight w:val="248"/>
        </w:trPr>
        <w:tc>
          <w:tcPr>
            <w:tcW w:w="7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passenger revenue</w:t>
            </w:r>
          </w:p>
        </w:tc>
        <w:tc>
          <w:tcPr>
            <w:tcW w:w="112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11,391</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11,458</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American attributes passenger revenue by geographic region based upon the origin and destination of each flight segment.</w:t>
      </w:r>
    </w:p>
    <w:p>
      <w:pPr>
        <w:spacing w:after="0" w:line="25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Contract Balances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American’s significant contract liabilities are comprised of (1) outstanding loyalty program mileage credits that may be redeemed for future air travel, non-air travel and other awards, reported as loyalty program liability on the condensed consolidated balance sheets and (2) ticket sales for transportation that has not yet been provided, reported as air traffic liability on the condensed consolidated balance sheets.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7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March 31, 2025</w:t>
            </w: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196"/>
        </w:trPr>
        <w:tc>
          <w:tcPr>
            <w:tcW w:w="37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20" w:type="dxa"/>
            <w:vAlign w:val="bottom"/>
            <w:gridSpan w:val="4"/>
          </w:tcPr>
          <w:p>
            <w:pPr>
              <w:jc w:val="right"/>
              <w:ind w:right="1355"/>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Loyalty program liability</w:t>
            </w:r>
          </w:p>
        </w:tc>
        <w:tc>
          <w:tcPr>
            <w:tcW w:w="41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10,054</w:t>
            </w:r>
          </w:p>
        </w:tc>
        <w:tc>
          <w:tcPr>
            <w:tcW w:w="0" w:type="dxa"/>
            <w:vAlign w:val="bottom"/>
          </w:tcPr>
          <w:p>
            <w:pPr>
              <w:spacing w:after="0"/>
              <w:rPr>
                <w:sz w:val="1"/>
                <w:szCs w:val="1"/>
                <w:color w:val="auto"/>
              </w:rPr>
            </w:pPr>
          </w:p>
        </w:tc>
      </w:tr>
      <w:tr>
        <w:trPr>
          <w:trHeight w:val="230"/>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Air traffic liability</w:t>
            </w:r>
          </w:p>
        </w:tc>
        <w:tc>
          <w:tcPr>
            <w:tcW w:w="38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6,759</w:t>
            </w:r>
          </w:p>
        </w:tc>
        <w:tc>
          <w:tcPr>
            <w:tcW w:w="0" w:type="dxa"/>
            <w:vAlign w:val="bottom"/>
          </w:tcPr>
          <w:p>
            <w:pPr>
              <w:spacing w:after="0"/>
              <w:rPr>
                <w:sz w:val="1"/>
                <w:szCs w:val="1"/>
                <w:color w:val="auto"/>
              </w:rPr>
            </w:pPr>
          </w:p>
        </w:tc>
      </w:tr>
      <w:tr>
        <w:trPr>
          <w:trHeight w:val="248"/>
        </w:trPr>
        <w:tc>
          <w:tcPr>
            <w:tcW w:w="3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8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16,813</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bottom w:val="single" w:sz="8" w:color="CCEEFF"/>
            </w:tcBorders>
            <w:vMerge w:val="restart"/>
          </w:tcPr>
          <w:p>
            <w:pPr>
              <w:jc w:val="right"/>
              <w:ind w:right="1750"/>
              <w:spacing w:after="0"/>
              <w:rPr>
                <w:sz w:val="20"/>
                <w:szCs w:val="20"/>
                <w:color w:val="auto"/>
              </w:rPr>
            </w:pPr>
            <w:r>
              <w:rPr>
                <w:rFonts w:ascii="Arial" w:cs="Arial" w:eastAsia="Arial" w:hAnsi="Arial"/>
                <w:sz w:val="18"/>
                <w:szCs w:val="18"/>
                <w:color w:val="auto"/>
              </w:rPr>
              <w:t>26</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0"/>
        </w:trPr>
        <w:tc>
          <w:tcPr>
            <w:tcW w:w="3720" w:type="dxa"/>
            <w:vAlign w:val="bottom"/>
          </w:tcPr>
          <w:p>
            <w:pPr>
              <w:spacing w:after="0"/>
              <w:rPr>
                <w:sz w:val="24"/>
                <w:szCs w:val="24"/>
                <w:color w:val="auto"/>
              </w:rPr>
            </w:pPr>
          </w:p>
        </w:tc>
        <w:tc>
          <w:tcPr>
            <w:tcW w:w="38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720" w:type="dxa"/>
            <w:vAlign w:val="bottom"/>
            <w:tcBorders>
              <w:bottom w:val="single" w:sz="8" w:color="9A9A9A"/>
            </w:tcBorders>
          </w:tcPr>
          <w:p>
            <w:pPr>
              <w:spacing w:after="0"/>
              <w:rPr>
                <w:sz w:val="9"/>
                <w:szCs w:val="9"/>
                <w:color w:val="auto"/>
              </w:rPr>
            </w:pPr>
          </w:p>
        </w:tc>
        <w:tc>
          <w:tcPr>
            <w:tcW w:w="38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-1174115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1"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balance of the loyalty program liability fluctuates based on seasonal patterns, which impact the volume of mileage credits issued through travel or sold to co-branded credit card and other partners (deferral of revenue) and mileage credits redeemed (recognition of revenue). Changes in loyalty program liability are as follows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2024</w:t>
            </w: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10,054</w:t>
            </w:r>
          </w:p>
        </w:tc>
      </w:tr>
      <w:tr>
        <w:trPr>
          <w:trHeight w:val="229"/>
        </w:trPr>
        <w:tc>
          <w:tcPr>
            <w:tcW w:w="9460" w:type="dxa"/>
            <w:vAlign w:val="bottom"/>
            <w:gridSpan w:val="2"/>
          </w:tcPr>
          <w:p>
            <w:pPr>
              <w:ind w:left="220"/>
              <w:spacing w:after="0"/>
              <w:rPr>
                <w:sz w:val="20"/>
                <w:szCs w:val="20"/>
                <w:color w:val="auto"/>
              </w:rPr>
            </w:pPr>
            <w:r>
              <w:rPr>
                <w:rFonts w:ascii="Arial" w:cs="Arial" w:eastAsia="Arial" w:hAnsi="Arial"/>
                <w:sz w:val="18"/>
                <w:szCs w:val="18"/>
                <w:color w:val="auto"/>
              </w:rPr>
              <w:t>Deferral of revenue</w:t>
            </w:r>
          </w:p>
        </w:tc>
        <w:tc>
          <w:tcPr>
            <w:tcW w:w="6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1,204</w:t>
            </w:r>
          </w:p>
        </w:tc>
      </w:tr>
      <w:tr>
        <w:trPr>
          <w:trHeight w:val="230"/>
        </w:trPr>
        <w:tc>
          <w:tcPr>
            <w:tcW w:w="9460" w:type="dxa"/>
            <w:vAlign w:val="bottom"/>
            <w:gridSpan w:val="2"/>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Recognition of revenue </w:t>
            </w:r>
            <w:r>
              <w:rPr>
                <w:rFonts w:ascii="Arial" w:cs="Arial" w:eastAsia="Arial" w:hAnsi="Arial"/>
                <w:sz w:val="23"/>
                <w:szCs w:val="23"/>
                <w:color w:val="auto"/>
                <w:vertAlign w:val="superscript"/>
              </w:rPr>
              <w:t>(1)</w:t>
            </w:r>
          </w:p>
        </w:tc>
        <w:tc>
          <w:tcPr>
            <w:tcW w:w="6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w:t>
            </w:r>
          </w:p>
        </w:tc>
      </w:tr>
      <w:tr>
        <w:trPr>
          <w:trHeight w:val="223"/>
        </w:trPr>
        <w:tc>
          <w:tcPr>
            <w:tcW w:w="9460" w:type="dxa"/>
            <w:vAlign w:val="bottom"/>
            <w:gridSpan w:val="2"/>
          </w:tcPr>
          <w:p>
            <w:pPr>
              <w:ind w:left="20"/>
              <w:spacing w:after="0" w:line="223" w:lineRule="exact"/>
              <w:rPr>
                <w:sz w:val="20"/>
                <w:szCs w:val="20"/>
                <w:color w:val="auto"/>
              </w:rPr>
            </w:pPr>
            <w:r>
              <w:rPr>
                <w:rFonts w:ascii="Arial" w:cs="Arial" w:eastAsia="Arial" w:hAnsi="Arial"/>
                <w:sz w:val="18"/>
                <w:szCs w:val="18"/>
                <w:color w:val="auto"/>
              </w:rPr>
              <w:t xml:space="preserve">Balance at March 31, 2025 </w:t>
            </w:r>
            <w:r>
              <w:rPr>
                <w:rFonts w:ascii="Arial" w:cs="Arial" w:eastAsia="Arial" w:hAnsi="Arial"/>
                <w:sz w:val="23"/>
                <w:szCs w:val="23"/>
                <w:color w:val="auto"/>
                <w:vertAlign w:val="superscript"/>
              </w:rPr>
              <w:t>(2)</w:t>
            </w: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10,371</w:t>
            </w:r>
          </w:p>
        </w:tc>
      </w:tr>
      <w:tr>
        <w:trPr>
          <w:trHeight w:val="21"/>
        </w:trPr>
        <w:tc>
          <w:tcPr>
            <w:tcW w:w="208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69"/>
        </w:trPr>
        <w:tc>
          <w:tcPr>
            <w:tcW w:w="2080" w:type="dxa"/>
            <w:vAlign w:val="bottom"/>
            <w:tcBorders>
              <w:bottom w:val="single" w:sz="8" w:color="auto"/>
            </w:tcBorders>
          </w:tcPr>
          <w:p>
            <w:pPr>
              <w:spacing w:after="0"/>
              <w:rPr>
                <w:sz w:val="14"/>
                <w:szCs w:val="14"/>
                <w:color w:val="auto"/>
              </w:rPr>
            </w:pPr>
          </w:p>
        </w:tc>
        <w:tc>
          <w:tcPr>
            <w:tcW w:w="7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40" w:type="dxa"/>
            <w:vAlign w:val="bottom"/>
          </w:tcPr>
          <w:p>
            <w:pPr>
              <w:spacing w:after="0"/>
              <w:rPr>
                <w:sz w:val="14"/>
                <w:szCs w:val="14"/>
                <w:color w:val="auto"/>
              </w:rPr>
            </w:pPr>
          </w:p>
        </w:tc>
      </w:tr>
    </w:tbl>
    <w:p>
      <w:pPr>
        <w:spacing w:after="0" w:line="62" w:lineRule="exact"/>
        <w:rPr>
          <w:sz w:val="20"/>
          <w:szCs w:val="20"/>
          <w:color w:val="auto"/>
        </w:rPr>
      </w:pPr>
    </w:p>
    <w:p>
      <w:pPr>
        <w:jc w:val="both"/>
        <w:ind w:left="340" w:hanging="332"/>
        <w:spacing w:after="0"/>
        <w:tabs>
          <w:tab w:leader="none" w:pos="334"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Principally relates to revenue recognized from the redemption of mileage credits for air travel, non-air travel and other awards. Mileage credits are combined in one homogenous pool and are not separately identifiable. As such, the revenue is comprised of mileage credits that were part of the loyalty program deferred revenue balance at the beginning of the period, as well as mileage credits that were issued during the period.</w:t>
      </w:r>
    </w:p>
    <w:p>
      <w:pPr>
        <w:spacing w:after="0" w:line="140" w:lineRule="exact"/>
        <w:rPr>
          <w:rFonts w:ascii="Arial" w:cs="Arial" w:eastAsia="Arial" w:hAnsi="Arial"/>
          <w:sz w:val="23"/>
          <w:szCs w:val="23"/>
          <w:color w:val="auto"/>
          <w:vertAlign w:val="superscript"/>
        </w:rPr>
      </w:pPr>
    </w:p>
    <w:p>
      <w:pPr>
        <w:jc w:val="both"/>
        <w:ind w:left="340" w:hanging="332"/>
        <w:spacing w:after="0" w:line="242" w:lineRule="auto"/>
        <w:tabs>
          <w:tab w:leader="none" w:pos="334"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Mileage credits can be redeemed at any time and generally do not expire as long as the AAdvantage member has any type of qualifying activity at least every 24 months or if the AAdvantage member is the primary holder of a co-branded credit card. As of March 31, 2025, American’s current loyalty program liability was $3.7 billion and represents American’s current estimate of revenue expected to be recognized in the next 12 months based on historical trends, with the balance reflected in long-term loyalty program liability expected to be recognized as revenue in periods thereafter.</w:t>
      </w:r>
    </w:p>
    <w:p>
      <w:pPr>
        <w:spacing w:after="0" w:line="14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air traffic liability principally represents tickets sold for future travel on American and partner airlines. The balance in American’s air traffic liability also fluctuates with seasonal travel patterns. The contract duration of passenger tickets is generally one year. Accordingly, any revenue associated with tickets sold for future travel will be recognized within 12 months. For the three months ended March 31, 2025, $3.9 billion of revenue was recognized in passenger revenue that was included in American’s air traffic liability at December 31, 2024.</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Long-term debt included in the condensed consolidated balance sheets consisted of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8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2025</w:t>
            </w:r>
          </w:p>
        </w:tc>
        <w:tc>
          <w:tcPr>
            <w:tcW w:w="180" w:type="dxa"/>
            <w:vAlign w:val="bottom"/>
          </w:tcPr>
          <w:p>
            <w:pPr>
              <w:spacing w:after="0"/>
              <w:rPr>
                <w:sz w:val="17"/>
                <w:szCs w:val="17"/>
                <w:color w:val="auto"/>
              </w:rPr>
            </w:pPr>
          </w:p>
        </w:tc>
        <w:tc>
          <w:tcPr>
            <w:tcW w:w="1600" w:type="dxa"/>
            <w:vAlign w:val="bottom"/>
          </w:tcPr>
          <w:p>
            <w:pPr>
              <w:jc w:val="right"/>
              <w:ind w:right="151"/>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210"/>
        </w:trPr>
        <w:tc>
          <w:tcPr>
            <w:tcW w:w="75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Secured</w:t>
            </w:r>
          </w:p>
        </w:tc>
        <w:tc>
          <w:tcPr>
            <w:tcW w:w="2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56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2013 Term Loan Facility, variable interest rate of 6.57%, installments until due in February</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980</w:t>
            </w:r>
          </w:p>
        </w:tc>
        <w:tc>
          <w:tcPr>
            <w:tcW w:w="12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43"/>
        </w:trPr>
        <w:tc>
          <w:tcPr>
            <w:tcW w:w="2080" w:type="dxa"/>
            <w:vAlign w:val="bottom"/>
          </w:tcPr>
          <w:p>
            <w:pPr>
              <w:ind w:left="300"/>
              <w:spacing w:after="0"/>
              <w:rPr>
                <w:sz w:val="20"/>
                <w:szCs w:val="20"/>
                <w:color w:val="auto"/>
              </w:rPr>
            </w:pPr>
            <w:r>
              <w:rPr>
                <w:rFonts w:ascii="Arial" w:cs="Arial" w:eastAsia="Arial" w:hAnsi="Arial"/>
                <w:sz w:val="18"/>
                <w:szCs w:val="18"/>
                <w:color w:val="auto"/>
              </w:rPr>
              <w:t>2028</w:t>
            </w:r>
          </w:p>
        </w:tc>
        <w:tc>
          <w:tcPr>
            <w:tcW w:w="5480" w:type="dxa"/>
            <w:vAlign w:val="bottom"/>
          </w:tcPr>
          <w:p>
            <w:pPr>
              <w:spacing w:after="0"/>
              <w:rPr>
                <w:sz w:val="21"/>
                <w:szCs w:val="21"/>
                <w:color w:val="auto"/>
              </w:rPr>
            </w:pPr>
          </w:p>
        </w:tc>
        <w:tc>
          <w:tcPr>
            <w:tcW w:w="260" w:type="dxa"/>
            <w:vAlign w:val="bottom"/>
            <w:vMerge w:val="continue"/>
          </w:tcPr>
          <w:p>
            <w:pPr>
              <w:spacing w:after="0"/>
              <w:rPr>
                <w:sz w:val="21"/>
                <w:szCs w:val="21"/>
                <w:color w:val="auto"/>
              </w:rPr>
            </w:pPr>
          </w:p>
        </w:tc>
        <w:tc>
          <w:tcPr>
            <w:tcW w:w="15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vMerge w:val="continue"/>
          </w:tcPr>
          <w:p>
            <w:pPr>
              <w:spacing w:after="0"/>
              <w:rPr>
                <w:sz w:val="21"/>
                <w:szCs w:val="21"/>
                <w:color w:val="auto"/>
              </w:rPr>
            </w:pPr>
          </w:p>
        </w:tc>
        <w:tc>
          <w:tcPr>
            <w:tcW w:w="1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756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2014 Term Loan Facility, variable interest rate of 6.17%, installments until due in January</w:t>
            </w:r>
          </w:p>
        </w:tc>
        <w:tc>
          <w:tcPr>
            <w:tcW w:w="26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2027</w:t>
            </w:r>
          </w:p>
        </w:tc>
        <w:tc>
          <w:tcPr>
            <w:tcW w:w="54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2023 Term Loan Facility, variable interest rate of 6.51%, installments until due in June 2029</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1,089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29"/>
        </w:trPr>
        <w:tc>
          <w:tcPr>
            <w:tcW w:w="7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10.75% senior secured IP notes, interest only payments until due in February 2026</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29"/>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10.75% senior secured LGA/DCA notes, interest only payments until due in February 2026</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30"/>
        </w:trPr>
        <w:tc>
          <w:tcPr>
            <w:tcW w:w="7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7.25% senior secured notes, interest only payments until due in February 2028</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29"/>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8.50% senior secured notes, interest only payments until due in May 2029</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756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5.50% senior secured notes, installments until due in April 2026 </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29"/>
        </w:trPr>
        <w:tc>
          <w:tcPr>
            <w:tcW w:w="756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5.75% senior secured notes, installments beginning in July 2026 until due in April 2029 </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176"/>
        </w:trPr>
        <w:tc>
          <w:tcPr>
            <w:tcW w:w="756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AAdvantage Term Loan Facility, variable interest rate of 6.55%, installments until due in April</w:t>
            </w:r>
          </w:p>
        </w:tc>
        <w:tc>
          <w:tcPr>
            <w:tcW w:w="26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2,275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2,450</w:t>
            </w: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300"/>
              <w:spacing w:after="0" w:line="243" w:lineRule="exact"/>
              <w:rPr>
                <w:sz w:val="20"/>
                <w:szCs w:val="20"/>
                <w:color w:val="auto"/>
              </w:rPr>
            </w:pPr>
            <w:r>
              <w:rPr>
                <w:rFonts w:ascii="Arial" w:cs="Arial" w:eastAsia="Arial" w:hAnsi="Arial"/>
                <w:sz w:val="18"/>
                <w:szCs w:val="18"/>
                <w:color w:val="auto"/>
              </w:rPr>
              <w:t xml:space="preserve">2028 </w:t>
            </w:r>
            <w:r>
              <w:rPr>
                <w:rFonts w:ascii="Arial" w:cs="Arial" w:eastAsia="Arial" w:hAnsi="Arial"/>
                <w:sz w:val="23"/>
                <w:szCs w:val="23"/>
                <w:color w:val="auto"/>
                <w:vertAlign w:val="superscript"/>
              </w:rPr>
              <w:t>(1)</w:t>
            </w:r>
          </w:p>
        </w:tc>
        <w:tc>
          <w:tcPr>
            <w:tcW w:w="54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756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Enhanced equipment trust certificates (EETCs), fixed interest rates ranging from 2.88% to</w:t>
            </w:r>
          </w:p>
        </w:tc>
        <w:tc>
          <w:tcPr>
            <w:tcW w:w="260" w:type="dxa"/>
            <w:vAlign w:val="bottom"/>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6,894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7,271</w:t>
            </w:r>
          </w:p>
        </w:tc>
        <w:tc>
          <w:tcPr>
            <w:tcW w:w="0" w:type="dxa"/>
            <w:vAlign w:val="bottom"/>
          </w:tcPr>
          <w:p>
            <w:pPr>
              <w:spacing w:after="0"/>
              <w:rPr>
                <w:sz w:val="1"/>
                <w:szCs w:val="1"/>
                <w:color w:val="auto"/>
              </w:rPr>
            </w:pPr>
          </w:p>
        </w:tc>
      </w:tr>
      <w:tr>
        <w:trPr>
          <w:trHeight w:val="243"/>
        </w:trPr>
        <w:tc>
          <w:tcPr>
            <w:tcW w:w="7560" w:type="dxa"/>
            <w:vAlign w:val="bottom"/>
            <w:gridSpan w:val="2"/>
          </w:tcPr>
          <w:p>
            <w:pPr>
              <w:ind w:left="300"/>
              <w:spacing w:after="0"/>
              <w:rPr>
                <w:sz w:val="20"/>
                <w:szCs w:val="20"/>
                <w:color w:val="auto"/>
              </w:rPr>
            </w:pPr>
            <w:r>
              <w:rPr>
                <w:rFonts w:ascii="Arial" w:cs="Arial" w:eastAsia="Arial" w:hAnsi="Arial"/>
                <w:sz w:val="18"/>
                <w:szCs w:val="18"/>
                <w:color w:val="auto"/>
              </w:rPr>
              <w:t>7.15%, averaging 3.80%, maturing from 2025 to 2034</w:t>
            </w:r>
          </w:p>
        </w:tc>
        <w:tc>
          <w:tcPr>
            <w:tcW w:w="260" w:type="dxa"/>
            <w:vAlign w:val="bottom"/>
          </w:tcPr>
          <w:p>
            <w:pPr>
              <w:spacing w:after="0"/>
              <w:rPr>
                <w:sz w:val="21"/>
                <w:szCs w:val="21"/>
                <w:color w:val="auto"/>
              </w:rPr>
            </w:pPr>
          </w:p>
        </w:tc>
        <w:tc>
          <w:tcPr>
            <w:tcW w:w="15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756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Equipment loans and other notes payable, fixed and variable interest rates ranging from</w:t>
            </w:r>
          </w:p>
        </w:tc>
        <w:tc>
          <w:tcPr>
            <w:tcW w:w="26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4,325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4,094</w:t>
            </w:r>
          </w:p>
        </w:tc>
        <w:tc>
          <w:tcPr>
            <w:tcW w:w="0" w:type="dxa"/>
            <w:vAlign w:val="bottom"/>
          </w:tcPr>
          <w:p>
            <w:pPr>
              <w:spacing w:after="0"/>
              <w:rPr>
                <w:sz w:val="1"/>
                <w:szCs w:val="1"/>
                <w:color w:val="auto"/>
              </w:rPr>
            </w:pPr>
          </w:p>
        </w:tc>
      </w:tr>
      <w:tr>
        <w:trPr>
          <w:trHeight w:val="243"/>
        </w:trPr>
        <w:tc>
          <w:tcPr>
            <w:tcW w:w="7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2.55% to 6.94%, averaging 6.02%, maturing from 2025 to 2037</w:t>
            </w:r>
          </w:p>
        </w:tc>
        <w:tc>
          <w:tcPr>
            <w:tcW w:w="260" w:type="dxa"/>
            <w:vAlign w:val="bottom"/>
            <w:shd w:val="clear" w:color="auto" w:fill="CCEEFF"/>
          </w:tcPr>
          <w:p>
            <w:pPr>
              <w:spacing w:after="0"/>
              <w:rPr>
                <w:sz w:val="21"/>
                <w:szCs w:val="21"/>
                <w:color w:val="auto"/>
              </w:rPr>
            </w:pPr>
          </w:p>
        </w:tc>
        <w:tc>
          <w:tcPr>
            <w:tcW w:w="15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756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Special facility revenue bonds, fixed interest rates ranging from 2.25% to 5.38%, maturing</w:t>
            </w:r>
          </w:p>
        </w:tc>
        <w:tc>
          <w:tcPr>
            <w:tcW w:w="260" w:type="dxa"/>
            <w:vAlign w:val="bottom"/>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880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43"/>
        </w:trPr>
        <w:tc>
          <w:tcPr>
            <w:tcW w:w="7560" w:type="dxa"/>
            <w:vAlign w:val="bottom"/>
            <w:tcBorders>
              <w:bottom w:val="single" w:sz="8" w:color="CCEEFF"/>
            </w:tcBorders>
            <w:gridSpan w:val="2"/>
          </w:tcPr>
          <w:p>
            <w:pPr>
              <w:ind w:left="300"/>
              <w:spacing w:after="0"/>
              <w:rPr>
                <w:sz w:val="20"/>
                <w:szCs w:val="20"/>
                <w:color w:val="auto"/>
              </w:rPr>
            </w:pPr>
            <w:r>
              <w:rPr>
                <w:rFonts w:ascii="Arial" w:cs="Arial" w:eastAsia="Arial" w:hAnsi="Arial"/>
                <w:sz w:val="18"/>
                <w:szCs w:val="18"/>
                <w:color w:val="auto"/>
              </w:rPr>
              <w:t>from 2026 to 2036</w:t>
            </w:r>
          </w:p>
        </w:tc>
        <w:tc>
          <w:tcPr>
            <w:tcW w:w="2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24,439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25,372</w:t>
            </w:r>
          </w:p>
        </w:tc>
        <w:tc>
          <w:tcPr>
            <w:tcW w:w="0" w:type="dxa"/>
            <w:vAlign w:val="bottom"/>
          </w:tcPr>
          <w:p>
            <w:pPr>
              <w:spacing w:after="0"/>
              <w:rPr>
                <w:sz w:val="1"/>
                <w:szCs w:val="1"/>
                <w:color w:val="auto"/>
              </w:rPr>
            </w:pPr>
          </w:p>
        </w:tc>
      </w:tr>
      <w:tr>
        <w:trPr>
          <w:trHeight w:val="223"/>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Less: Total unamortized debt discount, premium and issuance costs</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9"/>
        </w:trPr>
        <w:tc>
          <w:tcPr>
            <w:tcW w:w="7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Less: Current maturities</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4,196</w:t>
            </w:r>
          </w:p>
        </w:tc>
        <w:tc>
          <w:tcPr>
            <w:tcW w:w="0" w:type="dxa"/>
            <w:vAlign w:val="bottom"/>
          </w:tcPr>
          <w:p>
            <w:pPr>
              <w:spacing w:after="0"/>
              <w:rPr>
                <w:sz w:val="1"/>
                <w:szCs w:val="1"/>
                <w:color w:val="auto"/>
              </w:rPr>
            </w:pPr>
          </w:p>
        </w:tc>
      </w:tr>
      <w:tr>
        <w:trPr>
          <w:trHeight w:val="223"/>
        </w:trPr>
        <w:tc>
          <w:tcPr>
            <w:tcW w:w="7560" w:type="dxa"/>
            <w:vAlign w:val="bottom"/>
            <w:gridSpan w:val="2"/>
          </w:tcPr>
          <w:p>
            <w:pPr>
              <w:ind w:left="360"/>
              <w:spacing w:after="0"/>
              <w:rPr>
                <w:sz w:val="20"/>
                <w:szCs w:val="20"/>
                <w:color w:val="auto"/>
              </w:rPr>
            </w:pPr>
            <w:r>
              <w:rPr>
                <w:rFonts w:ascii="Arial" w:cs="Arial" w:eastAsia="Arial" w:hAnsi="Arial"/>
                <w:sz w:val="18"/>
                <w:szCs w:val="18"/>
                <w:color w:val="auto"/>
              </w:rPr>
              <w:t>Long-term debt, net of current maturities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20,474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20,876</w:t>
            </w: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80" w:type="dxa"/>
            <w:vAlign w:val="bottom"/>
            <w:tcBorders>
              <w:bottom w:val="single" w:sz="8" w:color="auto"/>
            </w:tcBorders>
          </w:tcPr>
          <w:p>
            <w:pPr>
              <w:spacing w:after="0"/>
              <w:rPr>
                <w:sz w:val="14"/>
                <w:szCs w:val="14"/>
                <w:color w:val="auto"/>
              </w:rPr>
            </w:pPr>
          </w:p>
        </w:tc>
        <w:tc>
          <w:tcPr>
            <w:tcW w:w="5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Collectively referred to as the AAdvantage Financing.</w:t>
      </w:r>
    </w:p>
    <w:p>
      <w:pPr>
        <w:spacing w:after="0" w:line="13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March 31, 2025, the maximum availability under American’s revolving credit and other facilities is as follows (in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2013 Revolving Facility </w:t>
            </w:r>
            <w:r>
              <w:rPr>
                <w:rFonts w:ascii="Arial" w:cs="Arial" w:eastAsia="Arial" w:hAnsi="Arial"/>
                <w:sz w:val="23"/>
                <w:szCs w:val="23"/>
                <w:color w:val="auto"/>
                <w:vertAlign w:val="superscript"/>
              </w:rPr>
              <w:t>(1)</w:t>
            </w: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94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2014 Revolving Facility </w:t>
            </w:r>
            <w:r>
              <w:rPr>
                <w:rFonts w:ascii="Arial" w:cs="Arial" w:eastAsia="Arial" w:hAnsi="Arial"/>
                <w:sz w:val="23"/>
                <w:szCs w:val="23"/>
                <w:color w:val="auto"/>
                <w:vertAlign w:val="superscript"/>
              </w:rPr>
              <w:t>(1)</w:t>
            </w:r>
          </w:p>
        </w:tc>
        <w:tc>
          <w:tcPr>
            <w:tcW w:w="6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1,500</w:t>
            </w:r>
          </w:p>
        </w:tc>
      </w:tr>
      <w:tr>
        <w:trPr>
          <w:trHeight w:val="229"/>
        </w:trPr>
        <w:tc>
          <w:tcPr>
            <w:tcW w:w="94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2023 Revolving Facility </w:t>
            </w:r>
            <w:r>
              <w:rPr>
                <w:rFonts w:ascii="Arial" w:cs="Arial" w:eastAsia="Arial" w:hAnsi="Arial"/>
                <w:sz w:val="23"/>
                <w:szCs w:val="23"/>
                <w:color w:val="auto"/>
                <w:vertAlign w:val="superscript"/>
              </w:rPr>
              <w:t>(1)</w:t>
            </w:r>
          </w:p>
        </w:tc>
        <w:tc>
          <w:tcPr>
            <w:tcW w:w="6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r>
      <w:tr>
        <w:trPr>
          <w:trHeight w:val="230"/>
        </w:trPr>
        <w:tc>
          <w:tcPr>
            <w:tcW w:w="946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Other facilities </w:t>
            </w:r>
            <w:r>
              <w:rPr>
                <w:rFonts w:ascii="Arial" w:cs="Arial" w:eastAsia="Arial" w:hAnsi="Arial"/>
                <w:sz w:val="23"/>
                <w:szCs w:val="23"/>
                <w:color w:val="auto"/>
                <w:vertAlign w:val="superscript"/>
              </w:rPr>
              <w:t>(2)</w:t>
            </w:r>
          </w:p>
        </w:tc>
        <w:tc>
          <w:tcPr>
            <w:tcW w:w="6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r>
      <w:tr>
        <w:trPr>
          <w:trHeight w:val="248"/>
        </w:trPr>
        <w:tc>
          <w:tcPr>
            <w:tcW w:w="94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3,290</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73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2080" w:type="dxa"/>
            <w:vAlign w:val="bottom"/>
            <w:tcBorders>
              <w:bottom w:val="single" w:sz="8" w:color="auto"/>
            </w:tcBorders>
          </w:tcPr>
          <w:p>
            <w:pPr>
              <w:spacing w:after="0"/>
              <w:rPr>
                <w:sz w:val="13"/>
                <w:szCs w:val="13"/>
                <w:color w:val="auto"/>
              </w:rPr>
            </w:pPr>
          </w:p>
        </w:tc>
        <w:tc>
          <w:tcPr>
            <w:tcW w:w="7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00" w:type="dxa"/>
            <w:vAlign w:val="bottom"/>
          </w:tcPr>
          <w:p>
            <w:pPr>
              <w:spacing w:after="0"/>
              <w:rPr>
                <w:sz w:val="13"/>
                <w:szCs w:val="13"/>
                <w:color w:val="auto"/>
              </w:rPr>
            </w:pPr>
          </w:p>
        </w:tc>
      </w:tr>
    </w:tbl>
    <w:p>
      <w:pPr>
        <w:spacing w:after="0" w:line="76" w:lineRule="exact"/>
        <w:rPr>
          <w:sz w:val="20"/>
          <w:szCs w:val="20"/>
          <w:color w:val="auto"/>
        </w:rPr>
      </w:pPr>
    </w:p>
    <w:p>
      <w:pPr>
        <w:ind w:left="340" w:hanging="332"/>
        <w:spacing w:after="0" w:line="231" w:lineRule="auto"/>
        <w:tabs>
          <w:tab w:leader="none" w:pos="334"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On April 21, 2025, the aggregate revolving commitments under the 2013, 2014 and 2023 Revolving Facilities were increased from $2.9 billion to $3.0 billion. No other terms were changed and there were no borrowings outstanding under the facilities.</w:t>
      </w:r>
    </w:p>
    <w:p>
      <w:pPr>
        <w:spacing w:after="0" w:line="140" w:lineRule="exact"/>
        <w:rPr>
          <w:rFonts w:ascii="Arial" w:cs="Arial" w:eastAsia="Arial" w:hAnsi="Arial"/>
          <w:sz w:val="23"/>
          <w:szCs w:val="23"/>
          <w:color w:val="auto"/>
          <w:vertAlign w:val="superscript"/>
        </w:rPr>
      </w:pPr>
    </w:p>
    <w:p>
      <w:pPr>
        <w:jc w:val="both"/>
        <w:ind w:left="340" w:hanging="332"/>
        <w:spacing w:after="0" w:line="237" w:lineRule="auto"/>
        <w:tabs>
          <w:tab w:leader="none" w:pos="334"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Includes a revolving credit facility that provides for borrowing capacity of up to $350 million, maturing in March 2027 with an option to extend for an additional year. As of March 31, 2025, there were no amounts drawn under this facility. Additionally, American currently has $50 million of available borrowing base under a cargo receivables facility that is set to expire in December 2025.</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1"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Secured financings, including revolving credit and other facilities, are collateralized by assets, consisting primarily of aircraft, engines, simulators, airport gate leasehold rights, route authorities, airport slots, certain receivables, certain intellectual property and certain loyalty program assets.</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AAdvantage Term Loan Facility</w:t>
      </w:r>
    </w:p>
    <w:p>
      <w:pPr>
        <w:spacing w:after="0" w:line="8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On March 24, 2025, American and AAdvantage Loyalty IP Ltd. entered into a second amendment to the term loan credit and guaranty agreement dated March 24, 2021 (the Second Amendment). As a result of the Second Amendment, the term loans outstanding with a principal amount of approximately $2.3 billion were replaced with new term loans in the same principal amount. The terms of the new term loans are substantially similar to the prior term loans; however, the new term loans bear interest at a base rate (subject to a floor of 0.00%) plus an applicable margin of 1.25% per annum or, at American’s option, the Secured Overnight Financing Rate (SOFR) for a tenor of three months (subject to a floor of 0.00%), plus an applicable margin of 2.25% per annum. Additionally, the scheduled quarterly principal amortization amount was reduced to 0.25% of the principal amount of term loans outstanding as of March 24, 2025 (approximately $ 6 million each quarter), payable beginning in July 2025, and the remaining balance is due at maturity in April 2028. Pursuant to the Second Amendment, the new term loans are not subject to a cost spread adjustment.</w:t>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Equipment Loans and Other Notes Payable Issued in 2025</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During the first three months of 2025, American entered into agreements under which it borrowed $368 million in connection with the financing of certain aircraft. Debt incurred under these agreements matures in 2036 through 2037 and bears interest at variable rates (comprised of SOFR plus an applicable margin) averaging 6.15% as of March 31, 2025.</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Other Financing Activities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 the first quarter of 2025, American prepaid $144 million of the outstanding principal amount of equipment notes issued under an EETC and this amount was applied to repay the related trust certificates. Additionally, American prepaid $308 million toward portions of the outstanding principal amounts of the 10.75% senior secured IP notes and 10.75% senior secured LGA/DCA notes.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9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At December 31, 2024, American had approximately $12.8 billion of gross federal net operating losses (NOLs) and $4.2 billion of other carryforwards available to reduce future federal taxable income, of which $2.9 billion will expire beginning in 2033 if unused and $14.1 billion can be carried forward indefinitely. American is a member of AAG’s consolidated federal and certain state income tax returns. American also had approximately $5.0 billion of NOL carryforwards to reduce future state taxable income at December 31, 2024, which will expire in taxable years 2024 through 2044 if unused.</w:t>
      </w:r>
    </w:p>
    <w:p>
      <w:pPr>
        <w:spacing w:after="0" w:line="125"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American’s ability to use its NOLs and other carryforwards depends on the amount of taxable income generated in future periods. American provides a valuation allowance for its deferred tax assets, which include its NOLs and other carryforwards, when it is more likely than not that some portion, or all of its deferred tax assets, will not be realized. American considers all available positive and negative evidence and makes certain assumptions in evaluating the realizability of its deferred tax assets. Many factors are considered that impact American’s assessment of future profitability, including conditions which are beyond its control, such as the health of the economy, the availability and price volatility of aircraft fuel and travel demand. American has determined that positive factors outweigh negative factors in the determination of the realizability of its deferred tax assets.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Assets Measured at Fair Value on a Recurring Basis</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American utilizes the market approach to measure the fair value of its financial assets. The market approach uses prices and other relevant information generated by market transactions involving identical or comparable assets. American’s short-term investments, restricted cash and restricted short-term investments classified as Level 2 utilize significant observable inputs, other than quoted prices in active markets, for valuation of these securities. No changes in valuation techniques or inputs occurred during the three months ended March 31, 2025.</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Assets measured at fair value on a recurring basis are summarized below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3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gridSpan w:val="9"/>
          </w:tcPr>
          <w:p>
            <w:pPr>
              <w:jc w:val="right"/>
              <w:ind w:right="170"/>
              <w:spacing w:after="0"/>
              <w:rPr>
                <w:sz w:val="20"/>
                <w:szCs w:val="20"/>
                <w:color w:val="auto"/>
              </w:rPr>
            </w:pPr>
            <w:r>
              <w:rPr>
                <w:rFonts w:ascii="Arial" w:cs="Arial" w:eastAsia="Arial" w:hAnsi="Arial"/>
                <w:sz w:val="14"/>
                <w:szCs w:val="14"/>
                <w:b w:val="1"/>
                <w:bCs w:val="1"/>
                <w:color w:val="auto"/>
              </w:rPr>
              <w:t>Fair Value Measurements as of March 31, 2025</w:t>
            </w:r>
          </w:p>
        </w:tc>
        <w:tc>
          <w:tcPr>
            <w:tcW w:w="1100" w:type="dxa"/>
            <w:vAlign w:val="bottom"/>
            <w:tcBorders>
              <w:bottom w:val="single" w:sz="8" w:color="auto"/>
            </w:tcBorders>
          </w:tcPr>
          <w:p>
            <w:pPr>
              <w:spacing w:after="0"/>
              <w:rPr>
                <w:sz w:val="17"/>
                <w:szCs w:val="17"/>
                <w:color w:val="auto"/>
              </w:rPr>
            </w:pPr>
          </w:p>
        </w:tc>
      </w:tr>
      <w:tr>
        <w:trPr>
          <w:trHeight w:val="196"/>
        </w:trPr>
        <w:tc>
          <w:tcPr>
            <w:tcW w:w="5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7"/>
                <w:szCs w:val="17"/>
                <w:color w:val="auto"/>
              </w:rPr>
            </w:pPr>
          </w:p>
        </w:tc>
        <w:tc>
          <w:tcPr>
            <w:tcW w:w="1100" w:type="dxa"/>
            <w:vAlign w:val="bottom"/>
          </w:tcPr>
          <w:p>
            <w:pPr>
              <w:ind w:left="160"/>
              <w:spacing w:after="0"/>
              <w:rPr>
                <w:sz w:val="20"/>
                <w:szCs w:val="20"/>
                <w:color w:val="auto"/>
              </w:rPr>
            </w:pPr>
            <w:r>
              <w:rPr>
                <w:rFonts w:ascii="Arial" w:cs="Arial" w:eastAsia="Arial" w:hAnsi="Arial"/>
                <w:sz w:val="14"/>
                <w:szCs w:val="14"/>
                <w:b w:val="1"/>
                <w:bCs w:val="1"/>
                <w:color w:val="auto"/>
              </w:rPr>
              <w:t>Level 3</w:t>
            </w:r>
          </w:p>
        </w:tc>
      </w:tr>
      <w:tr>
        <w:trPr>
          <w:trHeight w:val="210"/>
        </w:trPr>
        <w:tc>
          <w:tcPr>
            <w:tcW w:w="5320" w:type="dxa"/>
            <w:vAlign w:val="bottom"/>
            <w:tcBorders>
              <w:top w:val="single" w:sz="8" w:color="CCEEFF"/>
            </w:tcBorders>
            <w:shd w:val="clear" w:color="auto" w:fill="CCEEFF"/>
          </w:tcPr>
          <w:p>
            <w:pPr>
              <w:ind w:left="20"/>
              <w:spacing w:after="0" w:line="211" w:lineRule="exact"/>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3"/>
                <w:szCs w:val="23"/>
                <w:color w:val="auto"/>
                <w:vertAlign w:val="superscript"/>
              </w:rPr>
              <w:t>(1), (2)</w:t>
            </w: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29"/>
        </w:trPr>
        <w:tc>
          <w:tcPr>
            <w:tcW w:w="532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230</w:t>
            </w:r>
          </w:p>
        </w:tc>
        <w:tc>
          <w:tcPr>
            <w:tcW w:w="44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ind w:left="840"/>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obligations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3,789</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29"/>
        </w:trPr>
        <w:tc>
          <w:tcPr>
            <w:tcW w:w="5320" w:type="dxa"/>
            <w:vAlign w:val="bottom"/>
          </w:tcPr>
          <w:p>
            <w:pPr>
              <w:ind w:left="140"/>
              <w:spacing w:after="0"/>
              <w:rPr>
                <w:sz w:val="20"/>
                <w:szCs w:val="20"/>
                <w:color w:val="auto"/>
              </w:rPr>
            </w:pPr>
            <w:r>
              <w:rPr>
                <w:rFonts w:ascii="Arial" w:cs="Arial" w:eastAsia="Arial" w:hAnsi="Arial"/>
                <w:sz w:val="18"/>
                <w:szCs w:val="18"/>
                <w:color w:val="auto"/>
              </w:rPr>
              <w:t>Bank notes/certificates of deposit/time deposits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2,135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ind w:left="840"/>
              <w:spacing w:after="0"/>
              <w:rPr>
                <w:sz w:val="20"/>
                <w:szCs w:val="20"/>
                <w:color w:val="auto"/>
              </w:rPr>
            </w:pPr>
            <w:r>
              <w:rPr>
                <w:rFonts w:ascii="Arial" w:cs="Arial" w:eastAsia="Arial" w:hAnsi="Arial"/>
                <w:sz w:val="18"/>
                <w:szCs w:val="18"/>
                <w:color w:val="auto"/>
              </w:rPr>
              <w:t>—</w:t>
            </w:r>
          </w:p>
        </w:tc>
      </w:tr>
      <w:tr>
        <w:trPr>
          <w:trHeight w:val="229"/>
        </w:trPr>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 agreements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23"/>
        </w:trPr>
        <w:tc>
          <w:tcPr>
            <w:tcW w:w="53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6,629</w:t>
            </w:r>
          </w:p>
        </w:tc>
        <w:tc>
          <w:tcPr>
            <w:tcW w:w="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6,399</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ind w:left="840"/>
              <w:spacing w:after="0"/>
              <w:rPr>
                <w:sz w:val="20"/>
                <w:szCs w:val="20"/>
                <w:color w:val="auto"/>
              </w:rPr>
            </w:pPr>
            <w:r>
              <w:rPr>
                <w:rFonts w:ascii="Arial" w:cs="Arial" w:eastAsia="Arial" w:hAnsi="Arial"/>
                <w:sz w:val="18"/>
                <w:szCs w:val="18"/>
                <w:color w:val="auto"/>
              </w:rPr>
              <w:t>—</w:t>
            </w:r>
          </w:p>
        </w:tc>
      </w:tr>
      <w:tr>
        <w:trPr>
          <w:trHeight w:val="229"/>
        </w:trPr>
        <w:tc>
          <w:tcPr>
            <w:tcW w:w="53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23"/>
                <w:szCs w:val="23"/>
                <w:color w:val="auto"/>
                <w:vertAlign w:val="superscript"/>
              </w:rPr>
              <w:t>(1), (3)</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Long-term investments </w:t>
            </w:r>
            <w:r>
              <w:rPr>
                <w:rFonts w:ascii="Arial" w:cs="Arial" w:eastAsia="Arial" w:hAnsi="Arial"/>
                <w:sz w:val="23"/>
                <w:szCs w:val="23"/>
                <w:color w:val="auto"/>
                <w:vertAlign w:val="superscript"/>
              </w:rPr>
              <w:t>(4)</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Pr>
          <w:p>
            <w:pPr>
              <w:ind w:left="840"/>
              <w:spacing w:after="0"/>
              <w:rPr>
                <w:sz w:val="20"/>
                <w:szCs w:val="20"/>
                <w:color w:val="auto"/>
              </w:rPr>
            </w:pPr>
            <w:r>
              <w:rPr>
                <w:rFonts w:ascii="Arial" w:cs="Arial" w:eastAsia="Arial" w:hAnsi="Arial"/>
                <w:sz w:val="18"/>
                <w:szCs w:val="18"/>
                <w:color w:val="auto"/>
              </w:rPr>
              <w:t>—</w:t>
            </w:r>
          </w:p>
        </w:tc>
      </w:tr>
      <w:tr>
        <w:trPr>
          <w:trHeight w:val="248"/>
        </w:trPr>
        <w:tc>
          <w:tcPr>
            <w:tcW w:w="5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7,408</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1127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31" w:lineRule="exact"/>
        <w:rPr>
          <w:sz w:val="20"/>
          <w:szCs w:val="20"/>
          <w:color w:val="auto"/>
        </w:rPr>
      </w:pPr>
    </w:p>
    <w:p>
      <w:pPr>
        <w:ind w:left="340" w:right="20" w:hanging="332"/>
        <w:spacing w:after="0" w:line="231" w:lineRule="auto"/>
        <w:tabs>
          <w:tab w:leader="none" w:pos="334"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All short-term investments are classified as available-for-sale and stated at fair value. Unrealized gains and losses are recorded in accumulated other comprehensive loss at each reporting period. There were no credit losses.</w:t>
      </w:r>
    </w:p>
    <w:p>
      <w:pPr>
        <w:spacing w:after="0" w:line="114"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American’s short-term investments mature in one year or less.</w:t>
      </w:r>
    </w:p>
    <w:p>
      <w:pPr>
        <w:spacing w:after="0" w:line="139" w:lineRule="exact"/>
        <w:rPr>
          <w:rFonts w:ascii="Arial" w:cs="Arial" w:eastAsia="Arial" w:hAnsi="Arial"/>
          <w:sz w:val="23"/>
          <w:szCs w:val="23"/>
          <w:color w:val="auto"/>
          <w:vertAlign w:val="superscript"/>
        </w:rPr>
      </w:pPr>
    </w:p>
    <w:p>
      <w:pPr>
        <w:jc w:val="both"/>
        <w:ind w:left="340" w:hanging="332"/>
        <w:spacing w:after="0" w:line="237" w:lineRule="auto"/>
        <w:tabs>
          <w:tab w:leader="none" w:pos="334"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Restricted cash and short-term investments primarily include collateral held to support workers’ compensation obligations and collateral associated with the payment of interest for the AAdvantage Financing. Restricted short-term investments mature in one year or less except for $151 million as of March 31, 2025.</w:t>
      </w:r>
    </w:p>
    <w:p>
      <w:pPr>
        <w:spacing w:after="0" w:line="140"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Long-term investments primarily include American’s equity investment in China Southern Airlines Company Limited (China Southern Airlines). See Note 7 for further information on American’s equity investments.</w:t>
      </w:r>
    </w:p>
    <w:p>
      <w:pPr>
        <w:spacing w:after="0" w:line="22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Fair Value of Debt</w:t>
      </w:r>
    </w:p>
    <w:p>
      <w:pPr>
        <w:spacing w:after="0" w:line="88" w:lineRule="exact"/>
        <w:rPr>
          <w:sz w:val="20"/>
          <w:szCs w:val="20"/>
          <w:color w:val="auto"/>
        </w:rPr>
      </w:pPr>
    </w:p>
    <w:p>
      <w:pPr>
        <w:ind w:right="20" w:firstLine="243"/>
        <w:spacing w:after="0" w:line="287" w:lineRule="auto"/>
        <w:rPr>
          <w:sz w:val="20"/>
          <w:szCs w:val="20"/>
          <w:color w:val="auto"/>
        </w:rPr>
      </w:pPr>
      <w:r>
        <w:rPr>
          <w:rFonts w:ascii="Arial" w:cs="Arial" w:eastAsia="Arial" w:hAnsi="Arial"/>
          <w:sz w:val="18"/>
          <w:szCs w:val="18"/>
          <w:color w:val="auto"/>
        </w:rPr>
        <w:t>The fair value of American’s long-term debt was estimated using quoted market prices or discounted cash flow analyses based on American’s current estimated incremental borrowing rates for similar types of borrowing arrangements.</w:t>
      </w:r>
    </w:p>
    <w:p>
      <w:pPr>
        <w:spacing w:after="0" w:line="9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carrying value and estimated fair value of American’s long-term debt, including current maturities, were as follows (in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March 31, 2025</w:t>
            </w: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195"/>
        </w:trPr>
        <w:tc>
          <w:tcPr>
            <w:tcW w:w="4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Fair Value</w:t>
            </w: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48"/>
        </w:trPr>
        <w:tc>
          <w:tcPr>
            <w:tcW w:w="4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97"/>
        </w:trPr>
        <w:tc>
          <w:tcPr>
            <w:tcW w:w="4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center"/>
              <w:ind w:right="162"/>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17"/>
                <w:szCs w:val="17"/>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7"/>
                <w:szCs w:val="17"/>
                <w:color w:val="auto"/>
              </w:rPr>
            </w:pPr>
          </w:p>
        </w:tc>
        <w:tc>
          <w:tcPr>
            <w:tcW w:w="1060" w:type="dxa"/>
            <w:vAlign w:val="bottom"/>
          </w:tcPr>
          <w:p>
            <w:pPr>
              <w:ind w:left="160"/>
              <w:spacing w:after="0"/>
              <w:rPr>
                <w:sz w:val="20"/>
                <w:szCs w:val="20"/>
                <w:color w:val="auto"/>
              </w:rPr>
            </w:pPr>
            <w:r>
              <w:rPr>
                <w:rFonts w:ascii="Arial" w:cs="Arial" w:eastAsia="Arial" w:hAnsi="Arial"/>
                <w:sz w:val="14"/>
                <w:szCs w:val="14"/>
                <w:b w:val="1"/>
                <w:bCs w:val="1"/>
                <w:color w:val="auto"/>
              </w:rPr>
              <w:t>Level 3</w:t>
            </w:r>
          </w:p>
        </w:tc>
      </w:tr>
      <w:tr>
        <w:trPr>
          <w:trHeight w:val="249"/>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including current maturities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418"/>
        </w:trPr>
        <w:tc>
          <w:tcPr>
            <w:tcW w:w="4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rPr>
              <w:t>December 31, 2024</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195"/>
        </w:trPr>
        <w:tc>
          <w:tcPr>
            <w:tcW w:w="4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Fair Value</w:t>
            </w: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48"/>
        </w:trPr>
        <w:tc>
          <w:tcPr>
            <w:tcW w:w="4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97"/>
        </w:trPr>
        <w:tc>
          <w:tcPr>
            <w:tcW w:w="4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center"/>
              <w:ind w:right="162"/>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17"/>
                <w:szCs w:val="17"/>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7"/>
                <w:szCs w:val="17"/>
                <w:color w:val="auto"/>
              </w:rPr>
            </w:pPr>
          </w:p>
        </w:tc>
        <w:tc>
          <w:tcPr>
            <w:tcW w:w="1060" w:type="dxa"/>
            <w:vAlign w:val="bottom"/>
          </w:tcPr>
          <w:p>
            <w:pPr>
              <w:ind w:left="160"/>
              <w:spacing w:after="0"/>
              <w:rPr>
                <w:sz w:val="20"/>
                <w:szCs w:val="20"/>
                <w:color w:val="auto"/>
              </w:rPr>
            </w:pPr>
            <w:r>
              <w:rPr>
                <w:rFonts w:ascii="Arial" w:cs="Arial" w:eastAsia="Arial" w:hAnsi="Arial"/>
                <w:sz w:val="14"/>
                <w:szCs w:val="14"/>
                <w:b w:val="1"/>
                <w:bCs w:val="1"/>
                <w:color w:val="auto"/>
              </w:rPr>
              <w:t>Level 3</w:t>
            </w:r>
          </w:p>
        </w:tc>
      </w:tr>
      <w:tr>
        <w:trPr>
          <w:trHeight w:val="249"/>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including current maturities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720"/>
        </w:trPr>
        <w:tc>
          <w:tcPr>
            <w:tcW w:w="4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30</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11"/>
        </w:trPr>
        <w:tc>
          <w:tcPr>
            <w:tcW w:w="41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Investments</w:t>
      </w:r>
    </w:p>
    <w:p>
      <w:pPr>
        <w:spacing w:after="0" w:line="9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To help expand American’s network and as part of its ongoing commitment to sustainability, American enters into various commercial relationships or other strategic partnerships, including equity investments, with other airlines and companies. American’s equity investments are reflected in other assets on its condensed consolidated balance sheets. American’s share of equity method investees’ financial results and changes in fair value are recorded in nonoperating other expense, net on the condensed consolidated statements of operations.</w:t>
      </w:r>
    </w:p>
    <w:p>
      <w:pPr>
        <w:spacing w:after="0" w:line="12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American’s equity investment ownership interests and carrying values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20" w:type="dxa"/>
            <w:vAlign w:val="bottom"/>
            <w:tcBorders>
              <w:bottom w:val="single" w:sz="8" w:color="auto"/>
            </w:tcBorders>
            <w:gridSpan w:val="3"/>
          </w:tcPr>
          <w:p>
            <w:pPr>
              <w:jc w:val="right"/>
              <w:ind w:right="1076"/>
              <w:spacing w:after="0"/>
              <w:rPr>
                <w:sz w:val="20"/>
                <w:szCs w:val="20"/>
                <w:color w:val="auto"/>
              </w:rPr>
            </w:pPr>
            <w:r>
              <w:rPr>
                <w:rFonts w:ascii="Arial" w:cs="Arial" w:eastAsia="Arial" w:hAnsi="Arial"/>
                <w:sz w:val="14"/>
                <w:szCs w:val="14"/>
                <w:b w:val="1"/>
                <w:bCs w:val="1"/>
                <w:color w:val="auto"/>
              </w:rPr>
              <w:t>Ownership Interest</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4"/>
                <w:szCs w:val="14"/>
                <w:b w:val="1"/>
                <w:bCs w:val="1"/>
                <w:color w:val="auto"/>
              </w:rPr>
              <w:t>Carrying Value (in millions)</w:t>
            </w:r>
          </w:p>
        </w:tc>
        <w:tc>
          <w:tcPr>
            <w:tcW w:w="0" w:type="dxa"/>
            <w:vAlign w:val="bottom"/>
          </w:tcPr>
          <w:p>
            <w:pPr>
              <w:spacing w:after="0"/>
              <w:rPr>
                <w:sz w:val="1"/>
                <w:szCs w:val="1"/>
                <w:color w:val="auto"/>
              </w:rPr>
            </w:pPr>
          </w:p>
        </w:tc>
      </w:tr>
      <w:tr>
        <w:trPr>
          <w:trHeight w:val="202"/>
        </w:trPr>
        <w:tc>
          <w:tcPr>
            <w:tcW w:w="20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Accounting Treatment</w:t>
            </w:r>
          </w:p>
        </w:tc>
        <w:tc>
          <w:tcPr>
            <w:tcW w:w="120" w:type="dxa"/>
            <w:vAlign w:val="bottom"/>
            <w:tcBorders>
              <w:bottom w:val="single" w:sz="8" w:color="CCEEFF"/>
            </w:tcBorders>
          </w:tcPr>
          <w:p>
            <w:pPr>
              <w:spacing w:after="0"/>
              <w:rPr>
                <w:sz w:val="17"/>
                <w:szCs w:val="17"/>
                <w:color w:val="auto"/>
              </w:rPr>
            </w:pPr>
          </w:p>
        </w:tc>
        <w:tc>
          <w:tcPr>
            <w:tcW w:w="174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March 31, 2025</w:t>
            </w:r>
          </w:p>
        </w:tc>
        <w:tc>
          <w:tcPr>
            <w:tcW w:w="120" w:type="dxa"/>
            <w:vAlign w:val="bottom"/>
            <w:tcBorders>
              <w:bottom w:val="single" w:sz="8" w:color="CCEEFF"/>
            </w:tcBorders>
          </w:tcPr>
          <w:p>
            <w:pPr>
              <w:spacing w:after="0"/>
              <w:rPr>
                <w:sz w:val="17"/>
                <w:szCs w:val="17"/>
                <w:color w:val="auto"/>
              </w:rPr>
            </w:pPr>
          </w:p>
        </w:tc>
        <w:tc>
          <w:tcPr>
            <w:tcW w:w="17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December 31, 2024</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March 31, 2025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157"/>
        </w:trPr>
        <w:tc>
          <w:tcPr>
            <w:tcW w:w="216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8"/>
                <w:szCs w:val="18"/>
                <w:color w:val="auto"/>
              </w:rPr>
              <w:t>Republic Airways</w:t>
            </w:r>
          </w:p>
        </w:tc>
        <w:tc>
          <w:tcPr>
            <w:tcW w:w="20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99"/>
              </w:rPr>
              <w:t>Equity Method</w:t>
            </w:r>
          </w:p>
        </w:tc>
        <w:tc>
          <w:tcPr>
            <w:tcW w:w="1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25.0 %</w:t>
            </w:r>
          </w:p>
        </w:tc>
        <w:tc>
          <w:tcPr>
            <w:tcW w:w="120" w:type="dxa"/>
            <w:vAlign w:val="bottom"/>
            <w:shd w:val="clear" w:color="auto" w:fill="CCEEFF"/>
          </w:tcPr>
          <w:p>
            <w:pPr>
              <w:spacing w:after="0"/>
              <w:rPr>
                <w:sz w:val="13"/>
                <w:szCs w:val="13"/>
                <w:color w:val="auto"/>
              </w:rPr>
            </w:pPr>
          </w:p>
        </w:tc>
        <w:tc>
          <w:tcPr>
            <w:tcW w:w="1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25.0 %</w:t>
            </w:r>
          </w:p>
        </w:tc>
        <w:tc>
          <w:tcPr>
            <w:tcW w:w="12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43"/>
        </w:trPr>
        <w:tc>
          <w:tcPr>
            <w:tcW w:w="2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Holdings Inc.</w:t>
            </w:r>
          </w:p>
        </w:tc>
        <w:tc>
          <w:tcPr>
            <w:tcW w:w="2000" w:type="dxa"/>
            <w:vAlign w:val="bottom"/>
            <w:gridSpan w:val="2"/>
            <w:vMerge w:val="continue"/>
            <w:shd w:val="clear" w:color="auto" w:fill="CCEEFF"/>
          </w:tcPr>
          <w:p>
            <w:pPr>
              <w:spacing w:after="0"/>
              <w:rPr>
                <w:sz w:val="21"/>
                <w:szCs w:val="21"/>
                <w:color w:val="auto"/>
              </w:rPr>
            </w:pPr>
          </w:p>
        </w:tc>
        <w:tc>
          <w:tcPr>
            <w:tcW w:w="17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14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15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160" w:type="dxa"/>
            <w:vAlign w:val="bottom"/>
            <w:gridSpan w:val="2"/>
          </w:tcPr>
          <w:p>
            <w:pPr>
              <w:ind w:left="20"/>
              <w:spacing w:after="0"/>
              <w:rPr>
                <w:sz w:val="20"/>
                <w:szCs w:val="20"/>
                <w:color w:val="auto"/>
              </w:rPr>
            </w:pPr>
            <w:r>
              <w:rPr>
                <w:rFonts w:ascii="Arial" w:cs="Arial" w:eastAsia="Arial" w:hAnsi="Arial"/>
                <w:sz w:val="18"/>
                <w:szCs w:val="18"/>
                <w:color w:val="auto"/>
              </w:rPr>
              <w:t>China Southern Airlines</w:t>
            </w:r>
          </w:p>
        </w:tc>
        <w:tc>
          <w:tcPr>
            <w:tcW w:w="200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Fair Value</w:t>
            </w:r>
          </w:p>
        </w:tc>
        <w:tc>
          <w:tcPr>
            <w:tcW w:w="1740" w:type="dxa"/>
            <w:vAlign w:val="bottom"/>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29"/>
        </w:trPr>
        <w:tc>
          <w:tcPr>
            <w:tcW w:w="21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investments </w:t>
            </w:r>
            <w:r>
              <w:rPr>
                <w:rFonts w:ascii="Arial" w:cs="Arial" w:eastAsia="Arial" w:hAnsi="Arial"/>
                <w:sz w:val="23"/>
                <w:szCs w:val="23"/>
                <w:color w:val="auto"/>
                <w:vertAlign w:val="superscript"/>
              </w:rPr>
              <w:t>(1)</w:t>
            </w:r>
          </w:p>
        </w:tc>
        <w:tc>
          <w:tcPr>
            <w:tcW w:w="20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Various</w:t>
            </w: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3"/>
        </w:trPr>
        <w:tc>
          <w:tcPr>
            <w:tcW w:w="216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320" w:hanging="312"/>
        <w:spacing w:after="0"/>
        <w:tabs>
          <w:tab w:leader="none" w:pos="320"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Primarily includes American’s investment in JetSMART Holdings Limited, which is accounted for under the equity method.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Employee Benefit Plans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provides the components of net periodic benefit cost (income) (in millions):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40" w:type="dxa"/>
            <w:vAlign w:val="bottom"/>
            <w:gridSpan w:val="5"/>
            <w:vMerge w:val="restart"/>
          </w:tcPr>
          <w:p>
            <w:pPr>
              <w:ind w:left="440"/>
              <w:spacing w:after="0"/>
              <w:rPr>
                <w:sz w:val="20"/>
                <w:szCs w:val="20"/>
                <w:color w:val="auto"/>
              </w:rPr>
            </w:pPr>
            <w:r>
              <w:rPr>
                <w:rFonts w:ascii="Arial" w:cs="Arial" w:eastAsia="Arial" w:hAnsi="Arial"/>
                <w:sz w:val="14"/>
                <w:szCs w:val="14"/>
                <w:b w:val="1"/>
                <w:bCs w:val="1"/>
                <w:color w:val="auto"/>
              </w:rPr>
              <w:t>Pension Benefits</w:t>
            </w:r>
          </w:p>
        </w:tc>
        <w:tc>
          <w:tcPr>
            <w:tcW w:w="280" w:type="dxa"/>
            <w:vAlign w:val="bottom"/>
          </w:tcPr>
          <w:p>
            <w:pPr>
              <w:spacing w:after="0"/>
              <w:rPr>
                <w:sz w:val="14"/>
                <w:szCs w:val="14"/>
                <w:color w:val="auto"/>
              </w:rPr>
            </w:pPr>
          </w:p>
        </w:tc>
        <w:tc>
          <w:tcPr>
            <w:tcW w:w="2360" w:type="dxa"/>
            <w:vAlign w:val="bottom"/>
            <w:gridSpan w:val="4"/>
          </w:tcPr>
          <w:p>
            <w:pPr>
              <w:jc w:val="right"/>
              <w:ind w:right="353"/>
              <w:spacing w:after="0"/>
              <w:rPr>
                <w:sz w:val="20"/>
                <w:szCs w:val="20"/>
                <w:color w:val="auto"/>
              </w:rPr>
            </w:pPr>
            <w:r>
              <w:rPr>
                <w:rFonts w:ascii="Arial" w:cs="Arial" w:eastAsia="Arial" w:hAnsi="Arial"/>
                <w:sz w:val="14"/>
                <w:szCs w:val="14"/>
                <w:b w:val="1"/>
                <w:bCs w:val="1"/>
                <w:color w:val="auto"/>
              </w:rPr>
              <w:t>Retiree Medical and Other</w:t>
            </w:r>
          </w:p>
        </w:tc>
        <w:tc>
          <w:tcPr>
            <w:tcW w:w="0" w:type="dxa"/>
            <w:vAlign w:val="bottom"/>
          </w:tcPr>
          <w:p>
            <w:pPr>
              <w:spacing w:after="0"/>
              <w:rPr>
                <w:sz w:val="1"/>
                <w:szCs w:val="1"/>
                <w:color w:val="auto"/>
              </w:rPr>
            </w:pPr>
          </w:p>
        </w:tc>
      </w:tr>
      <w:tr>
        <w:trPr>
          <w:trHeight w:val="185"/>
        </w:trPr>
        <w:tc>
          <w:tcPr>
            <w:tcW w:w="5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40" w:type="dxa"/>
            <w:vAlign w:val="bottom"/>
            <w:gridSpan w:val="5"/>
            <w:vMerge w:val="continue"/>
          </w:tcPr>
          <w:p>
            <w:pPr>
              <w:spacing w:after="0"/>
              <w:rPr>
                <w:sz w:val="16"/>
                <w:szCs w:val="16"/>
                <w:color w:val="auto"/>
              </w:rPr>
            </w:pPr>
          </w:p>
        </w:tc>
        <w:tc>
          <w:tcPr>
            <w:tcW w:w="280" w:type="dxa"/>
            <w:vAlign w:val="bottom"/>
          </w:tcPr>
          <w:p>
            <w:pPr>
              <w:spacing w:after="0"/>
              <w:rPr>
                <w:sz w:val="16"/>
                <w:szCs w:val="16"/>
                <w:color w:val="auto"/>
              </w:rPr>
            </w:pPr>
          </w:p>
        </w:tc>
        <w:tc>
          <w:tcPr>
            <w:tcW w:w="2360" w:type="dxa"/>
            <w:vAlign w:val="bottom"/>
            <w:gridSpan w:val="4"/>
          </w:tcPr>
          <w:p>
            <w:pPr>
              <w:jc w:val="right"/>
              <w:ind w:right="433"/>
              <w:spacing w:after="0"/>
              <w:rPr>
                <w:sz w:val="20"/>
                <w:szCs w:val="20"/>
                <w:color w:val="auto"/>
              </w:rPr>
            </w:pPr>
            <w:r>
              <w:rPr>
                <w:rFonts w:ascii="Arial" w:cs="Arial" w:eastAsia="Arial" w:hAnsi="Arial"/>
                <w:sz w:val="14"/>
                <w:szCs w:val="14"/>
                <w:b w:val="1"/>
                <w:bCs w:val="1"/>
                <w:color w:val="auto"/>
              </w:rPr>
              <w:t>Postretirement Benefits</w:t>
            </w:r>
          </w:p>
        </w:tc>
        <w:tc>
          <w:tcPr>
            <w:tcW w:w="0" w:type="dxa"/>
            <w:vAlign w:val="bottom"/>
          </w:tcPr>
          <w:p>
            <w:pPr>
              <w:spacing w:after="0"/>
              <w:rPr>
                <w:sz w:val="1"/>
                <w:szCs w:val="1"/>
                <w:color w:val="auto"/>
              </w:rPr>
            </w:pPr>
          </w:p>
        </w:tc>
      </w:tr>
      <w:tr>
        <w:trPr>
          <w:trHeight w:val="195"/>
        </w:trPr>
        <w:tc>
          <w:tcPr>
            <w:tcW w:w="5880" w:type="dxa"/>
            <w:vAlign w:val="bottom"/>
            <w:gridSpan w:val="2"/>
          </w:tcPr>
          <w:p>
            <w:pPr>
              <w:ind w:left="20"/>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4"/>
        </w:trPr>
        <w:tc>
          <w:tcPr>
            <w:tcW w:w="5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return on assets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Amortization of:</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Prior service cost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58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Unrecognized net loss (gain)</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8"/>
        </w:trPr>
        <w:tc>
          <w:tcPr>
            <w:tcW w:w="5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periodic benefit cost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Effective November 1, 2012, substantially all of American’s defined benefit pension plans were frozen.</w:t>
      </w:r>
    </w:p>
    <w:p>
      <w:pPr>
        <w:spacing w:after="0" w:line="171"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The service cost component of net periodic benefit cost (income) is included in operating expenses and the other components of net periodic benefit cost (income) are included in nonoperating other expense, net in the condensed consolidated statements of operations.</w:t>
      </w:r>
    </w:p>
    <w:p>
      <w:pPr>
        <w:spacing w:after="0" w:line="9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During the first three months of 2025, American made required contributions of $221 million to its defined benefit pension plans.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Accumulated Other Comprehensive Loss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components of accumulated other comprehensive loss (AOCI) are as follows (in millions):</w:t>
      </w:r>
    </w:p>
    <w:p>
      <w:pPr>
        <w:spacing w:after="0" w:line="209" w:lineRule="exact"/>
        <w:rPr>
          <w:sz w:val="20"/>
          <w:szCs w:val="20"/>
          <w:color w:val="auto"/>
        </w:rPr>
      </w:pPr>
    </w:p>
    <w:p>
      <w:pPr>
        <w:jc w:val="center"/>
        <w:ind w:left="1800"/>
        <w:spacing w:after="0"/>
        <w:rPr>
          <w:sz w:val="20"/>
          <w:szCs w:val="20"/>
          <w:color w:val="auto"/>
        </w:rPr>
      </w:pPr>
      <w:r>
        <w:rPr>
          <w:rFonts w:ascii="Arial" w:cs="Arial" w:eastAsia="Arial" w:hAnsi="Arial"/>
          <w:sz w:val="14"/>
          <w:szCs w:val="14"/>
          <w:b w:val="1"/>
          <w:bCs w:val="1"/>
          <w:color w:val="auto"/>
        </w:rPr>
        <w:t>Pension, Retiree</w:t>
      </w:r>
    </w:p>
    <w:p>
      <w:pPr>
        <w:jc w:val="center"/>
        <w:ind w:left="1800"/>
        <w:spacing w:after="0" w:line="221" w:lineRule="auto"/>
        <w:rPr>
          <w:sz w:val="20"/>
          <w:szCs w:val="20"/>
          <w:color w:val="auto"/>
        </w:rPr>
      </w:pPr>
      <w:r>
        <w:rPr>
          <w:rFonts w:ascii="Arial" w:cs="Arial" w:eastAsia="Arial" w:hAnsi="Arial"/>
          <w:sz w:val="14"/>
          <w:szCs w:val="14"/>
          <w:b w:val="1"/>
          <w:bCs w:val="1"/>
          <w:color w:val="auto"/>
        </w:rPr>
        <w:t>Medical and Other</w:t>
      </w:r>
    </w:p>
    <w:p>
      <w:pPr>
        <w:ind w:left="6020"/>
        <w:spacing w:after="0" w:line="209" w:lineRule="auto"/>
        <w:rPr>
          <w:sz w:val="20"/>
          <w:szCs w:val="20"/>
          <w:color w:val="auto"/>
        </w:rPr>
      </w:pPr>
      <w:r>
        <w:rPr>
          <w:rFonts w:ascii="Arial" w:cs="Arial" w:eastAsia="Arial" w:hAnsi="Arial"/>
          <w:sz w:val="14"/>
          <w:szCs w:val="14"/>
          <w:b w:val="1"/>
          <w:bCs w:val="1"/>
          <w:color w:val="auto"/>
        </w:rPr>
        <w:t>Postretirement</w:t>
      </w:r>
    </w:p>
    <w:tbl>
      <w:tblPr>
        <w:tblLayout w:type="fixed"/>
        <w:tblInd w:w="0" w:type="dxa"/>
        <w:tblCellMar>
          <w:top w:w="0" w:type="dxa"/>
          <w:left w:w="0" w:type="dxa"/>
          <w:bottom w:w="0" w:type="dxa"/>
          <w:right w:w="0" w:type="dxa"/>
        </w:tblCellMar>
      </w:tblPr>
      <w:tr>
        <w:trPr>
          <w:trHeight w:val="193"/>
        </w:trPr>
        <w:tc>
          <w:tcPr>
            <w:tcW w:w="4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gridSpan w:val="2"/>
          </w:tcPr>
          <w:p>
            <w:pPr>
              <w:ind w:left="220"/>
              <w:spacing w:after="0"/>
              <w:rPr>
                <w:sz w:val="20"/>
                <w:szCs w:val="20"/>
                <w:color w:val="auto"/>
              </w:rPr>
            </w:pPr>
            <w:r>
              <w:rPr>
                <w:rFonts w:ascii="Arial" w:cs="Arial" w:eastAsia="Arial" w:hAnsi="Arial"/>
                <w:sz w:val="14"/>
                <w:szCs w:val="14"/>
                <w:b w:val="1"/>
                <w:bCs w:val="1"/>
                <w:color w:val="auto"/>
              </w:rPr>
              <w:t>Benefits</w:t>
            </w:r>
          </w:p>
        </w:tc>
        <w:tc>
          <w:tcPr>
            <w:tcW w:w="1720" w:type="dxa"/>
            <w:vAlign w:val="bottom"/>
            <w:gridSpan w:val="2"/>
          </w:tcPr>
          <w:p>
            <w:pPr>
              <w:jc w:val="right"/>
              <w:spacing w:after="0" w:line="193" w:lineRule="exact"/>
              <w:rPr>
                <w:sz w:val="20"/>
                <w:szCs w:val="20"/>
                <w:color w:val="auto"/>
              </w:rPr>
            </w:pPr>
            <w:r>
              <w:rPr>
                <w:rFonts w:ascii="Arial" w:cs="Arial" w:eastAsia="Arial" w:hAnsi="Arial"/>
                <w:sz w:val="14"/>
                <w:szCs w:val="14"/>
                <w:b w:val="1"/>
                <w:bCs w:val="1"/>
                <w:color w:val="auto"/>
              </w:rPr>
              <w:t xml:space="preserve">Income Tax Provision </w:t>
            </w:r>
            <w:r>
              <w:rPr>
                <w:rFonts w:ascii="Arial" w:cs="Arial" w:eastAsia="Arial" w:hAnsi="Arial"/>
                <w:sz w:val="18"/>
                <w:szCs w:val="18"/>
                <w:b w:val="1"/>
                <w:bCs w:val="1"/>
                <w:color w:val="auto"/>
                <w:vertAlign w:val="superscript"/>
              </w:rPr>
              <w:t>(1)</w:t>
            </w: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gridSpan w:val="2"/>
          </w:tcPr>
          <w:p>
            <w:pPr>
              <w:ind w:left="280"/>
              <w:spacing w:after="0"/>
              <w:rPr>
                <w:sz w:val="20"/>
                <w:szCs w:val="20"/>
                <w:color w:val="auto"/>
              </w:rPr>
            </w:pPr>
            <w:r>
              <w:rPr>
                <w:rFonts w:ascii="Arial" w:cs="Arial" w:eastAsia="Arial" w:hAnsi="Arial"/>
                <w:sz w:val="14"/>
                <w:szCs w:val="14"/>
                <w:b w:val="1"/>
                <w:bCs w:val="1"/>
                <w:color w:val="auto"/>
              </w:rPr>
              <w:t>Total</w:t>
            </w:r>
          </w:p>
        </w:tc>
      </w:tr>
      <w:tr>
        <w:trPr>
          <w:trHeight w:val="223"/>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2024</w:t>
            </w:r>
          </w:p>
        </w:tc>
        <w:tc>
          <w:tcPr>
            <w:tcW w:w="6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(2,962)</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16"/>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2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(4,677)</w:t>
            </w:r>
          </w:p>
        </w:tc>
        <w:tc>
          <w:tcPr>
            <w:tcW w:w="20" w:type="dxa"/>
            <w:vAlign w:val="bottom"/>
          </w:tcPr>
          <w:p>
            <w:pPr>
              <w:spacing w:after="0"/>
              <w:rPr>
                <w:sz w:val="19"/>
                <w:szCs w:val="19"/>
                <w:color w:val="auto"/>
              </w:rPr>
            </w:pPr>
          </w:p>
        </w:tc>
      </w:tr>
      <w:tr>
        <w:trPr>
          <w:trHeight w:val="230"/>
        </w:trPr>
        <w:tc>
          <w:tcPr>
            <w:tcW w:w="4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Amounts reclassified from AOCI</w:t>
            </w:r>
          </w:p>
        </w:tc>
        <w:tc>
          <w:tcPr>
            <w:tcW w:w="6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bottom w:val="single" w:sz="8" w:color="CCEEFF"/>
            </w:tcBorders>
          </w:tcPr>
          <w:p>
            <w:pPr>
              <w:jc w:val="right"/>
              <w:ind w:right="66"/>
              <w:spacing w:after="0"/>
              <w:rPr>
                <w:sz w:val="20"/>
                <w:szCs w:val="20"/>
                <w:color w:val="auto"/>
              </w:rPr>
            </w:pPr>
            <w:r>
              <w:rPr>
                <w:rFonts w:ascii="Arial" w:cs="Arial" w:eastAsia="Arial" w:hAnsi="Arial"/>
                <w:sz w:val="11"/>
                <w:szCs w:val="11"/>
                <w:color w:val="auto"/>
              </w:rPr>
              <w:t>(2)</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r>
      <w:tr>
        <w:trPr>
          <w:trHeight w:val="223"/>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current-period other comprehensive income (loss)</w:t>
            </w:r>
          </w:p>
        </w:tc>
        <w:tc>
          <w:tcPr>
            <w:tcW w:w="6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r>
      <w:tr>
        <w:trPr>
          <w:trHeight w:val="223"/>
        </w:trPr>
        <w:tc>
          <w:tcPr>
            <w:tcW w:w="4980" w:type="dxa"/>
            <w:vAlign w:val="bottom"/>
          </w:tcPr>
          <w:p>
            <w:pPr>
              <w:ind w:left="20"/>
              <w:spacing w:after="0"/>
              <w:rPr>
                <w:sz w:val="20"/>
                <w:szCs w:val="20"/>
                <w:color w:val="auto"/>
              </w:rPr>
            </w:pPr>
            <w:r>
              <w:rPr>
                <w:rFonts w:ascii="Arial" w:cs="Arial" w:eastAsia="Arial" w:hAnsi="Arial"/>
                <w:sz w:val="18"/>
                <w:szCs w:val="18"/>
                <w:color w:val="auto"/>
              </w:rPr>
              <w:t>Balance at March 31, 2025</w:t>
            </w:r>
          </w:p>
        </w:tc>
        <w:tc>
          <w:tcPr>
            <w:tcW w:w="6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(2,940)</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6"/>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(1,719)</w:t>
            </w:r>
          </w:p>
        </w:tc>
        <w:tc>
          <w:tcPr>
            <w:tcW w:w="2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(4,659)</w:t>
            </w:r>
          </w:p>
        </w:tc>
        <w:tc>
          <w:tcPr>
            <w:tcW w:w="20" w:type="dxa"/>
            <w:vAlign w:val="bottom"/>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26"/>
        </w:trPr>
        <w:tc>
          <w:tcPr>
            <w:tcW w:w="4980" w:type="dxa"/>
            <w:vAlign w:val="bottom"/>
          </w:tcPr>
          <w:p>
            <w:pPr>
              <w:spacing w:after="0"/>
              <w:rPr>
                <w:sz w:val="24"/>
                <w:szCs w:val="24"/>
                <w:color w:val="auto"/>
              </w:rPr>
            </w:pPr>
          </w:p>
        </w:tc>
        <w:tc>
          <w:tcPr>
            <w:tcW w:w="1040" w:type="dxa"/>
            <w:vAlign w:val="bottom"/>
            <w:gridSpan w:val="2"/>
          </w:tcPr>
          <w:p>
            <w:pPr>
              <w:jc w:val="right"/>
              <w:ind w:right="210"/>
              <w:spacing w:after="0"/>
              <w:rPr>
                <w:sz w:val="20"/>
                <w:szCs w:val="20"/>
                <w:color w:val="auto"/>
              </w:rPr>
            </w:pPr>
            <w:r>
              <w:rPr>
                <w:rFonts w:ascii="Arial" w:cs="Arial" w:eastAsia="Arial" w:hAnsi="Arial"/>
                <w:sz w:val="18"/>
                <w:szCs w:val="18"/>
                <w:color w:val="auto"/>
              </w:rPr>
              <w:t>31</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1"/>
        </w:trPr>
        <w:tc>
          <w:tcPr>
            <w:tcW w:w="49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13112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340" w:hanging="332"/>
        <w:spacing w:after="0" w:line="231" w:lineRule="auto"/>
        <w:tabs>
          <w:tab w:leader="none" w:pos="334"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Relates principally to pension, retiree medical and other postretirement benefits obligations that will not be recognized in net loss until the obligations are fully extinguished.</w:t>
      </w:r>
    </w:p>
    <w:p>
      <w:pPr>
        <w:spacing w:after="0" w:line="140"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Relates to pension, retiree medical and other postretirement benefits obligations and is recognized within the income tax benefit on the condensed consolidated statements of operations.</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Reclassifications out of AOCI are as follows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6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rPr>
              <w:t>Amounts reclassified from AOCI</w:t>
            </w:r>
          </w:p>
        </w:tc>
        <w:tc>
          <w:tcPr>
            <w:tcW w:w="4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80" w:type="dxa"/>
            <w:vAlign w:val="bottom"/>
          </w:tcPr>
          <w:p>
            <w:pPr>
              <w:spacing w:after="0"/>
              <w:rPr>
                <w:sz w:val="17"/>
                <w:szCs w:val="17"/>
                <w:color w:val="auto"/>
              </w:rPr>
            </w:pPr>
          </w:p>
        </w:tc>
      </w:tr>
      <w:tr>
        <w:trPr>
          <w:trHeight w:val="195"/>
        </w:trPr>
        <w:tc>
          <w:tcPr>
            <w:tcW w:w="4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60" w:type="dxa"/>
            <w:vAlign w:val="bottom"/>
            <w:tcBorders>
              <w:bottom w:val="single" w:sz="8" w:color="auto"/>
            </w:tcBorders>
            <w:gridSpan w:val="4"/>
          </w:tcPr>
          <w:p>
            <w:pPr>
              <w:jc w:val="right"/>
              <w:ind w:right="116"/>
              <w:spacing w:after="0"/>
              <w:rPr>
                <w:sz w:val="20"/>
                <w:szCs w:val="20"/>
                <w:color w:val="auto"/>
              </w:rPr>
            </w:pPr>
            <w:r>
              <w:rPr>
                <w:rFonts w:ascii="Arial" w:cs="Arial" w:eastAsia="Arial" w:hAnsi="Arial"/>
                <w:sz w:val="14"/>
                <w:szCs w:val="14"/>
                <w:b w:val="1"/>
                <w:bCs w:val="1"/>
                <w:color w:val="auto"/>
              </w:rPr>
              <w:t>Three Months Ended March 31,</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80" w:type="dxa"/>
            <w:vAlign w:val="bottom"/>
          </w:tcPr>
          <w:p>
            <w:pPr>
              <w:jc w:val="center"/>
              <w:spacing w:after="0"/>
              <w:rPr>
                <w:sz w:val="20"/>
                <w:szCs w:val="20"/>
                <w:color w:val="auto"/>
              </w:rPr>
            </w:pPr>
            <w:r>
              <w:rPr>
                <w:rFonts w:ascii="Arial" w:cs="Arial" w:eastAsia="Arial" w:hAnsi="Arial"/>
                <w:sz w:val="14"/>
                <w:szCs w:val="14"/>
                <w:b w:val="1"/>
                <w:bCs w:val="1"/>
                <w:color w:val="auto"/>
              </w:rPr>
              <w:t>Affected line items on the condensed</w:t>
            </w:r>
          </w:p>
        </w:tc>
      </w:tr>
      <w:tr>
        <w:trPr>
          <w:trHeight w:val="198"/>
        </w:trPr>
        <w:tc>
          <w:tcPr>
            <w:tcW w:w="4440" w:type="dxa"/>
            <w:vAlign w:val="bottom"/>
            <w:gridSpan w:val="2"/>
          </w:tcPr>
          <w:p>
            <w:pPr>
              <w:ind w:left="20"/>
              <w:spacing w:after="0"/>
              <w:rPr>
                <w:sz w:val="20"/>
                <w:szCs w:val="20"/>
                <w:color w:val="auto"/>
              </w:rPr>
            </w:pPr>
            <w:r>
              <w:rPr>
                <w:rFonts w:ascii="Arial" w:cs="Arial" w:eastAsia="Arial" w:hAnsi="Arial"/>
                <w:sz w:val="14"/>
                <w:szCs w:val="14"/>
                <w:b w:val="1"/>
                <w:bCs w:val="1"/>
                <w:color w:val="auto"/>
              </w:rPr>
              <w:t>AOCI Components</w:t>
            </w:r>
          </w:p>
        </w:tc>
        <w:tc>
          <w:tcPr>
            <w:tcW w:w="1180" w:type="dxa"/>
            <w:vAlign w:val="bottom"/>
          </w:tcPr>
          <w:p>
            <w:pPr>
              <w:jc w:val="right"/>
              <w:ind w:right="121"/>
              <w:spacing w:after="0"/>
              <w:rPr>
                <w:sz w:val="20"/>
                <w:szCs w:val="20"/>
                <w:color w:val="auto"/>
              </w:rPr>
            </w:pPr>
            <w:r>
              <w:rPr>
                <w:rFonts w:ascii="Arial" w:cs="Arial" w:eastAsia="Arial" w:hAnsi="Arial"/>
                <w:sz w:val="14"/>
                <w:szCs w:val="14"/>
                <w:b w:val="1"/>
                <w:bCs w:val="1"/>
                <w:color w:val="auto"/>
              </w:rPr>
              <w:t>2025</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156"/>
              <w:spacing w:after="0"/>
              <w:rPr>
                <w:sz w:val="20"/>
                <w:szCs w:val="20"/>
                <w:color w:val="auto"/>
              </w:rPr>
            </w:pPr>
            <w:r>
              <w:rPr>
                <w:rFonts w:ascii="Arial" w:cs="Arial" w:eastAsia="Arial" w:hAnsi="Arial"/>
                <w:sz w:val="14"/>
                <w:szCs w:val="14"/>
                <w:b w:val="1"/>
                <w:bCs w:val="1"/>
                <w:color w:val="auto"/>
              </w:rPr>
              <w:t>2024</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80" w:type="dxa"/>
            <w:vAlign w:val="bottom"/>
          </w:tcPr>
          <w:p>
            <w:pPr>
              <w:jc w:val="center"/>
              <w:spacing w:after="0"/>
              <w:rPr>
                <w:sz w:val="20"/>
                <w:szCs w:val="20"/>
                <w:color w:val="auto"/>
              </w:rPr>
            </w:pPr>
            <w:r>
              <w:rPr>
                <w:rFonts w:ascii="Arial" w:cs="Arial" w:eastAsia="Arial" w:hAnsi="Arial"/>
                <w:sz w:val="14"/>
                <w:szCs w:val="14"/>
                <w:b w:val="1"/>
                <w:bCs w:val="1"/>
                <w:color w:val="auto"/>
              </w:rPr>
              <w:t>consolidated statements of operations</w:t>
            </w:r>
          </w:p>
        </w:tc>
      </w:tr>
      <w:tr>
        <w:trPr>
          <w:trHeight w:val="169"/>
        </w:trPr>
        <w:tc>
          <w:tcPr>
            <w:tcW w:w="434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Amortization of pension, retiree medical and other</w:t>
            </w:r>
          </w:p>
        </w:tc>
        <w:tc>
          <w:tcPr>
            <w:tcW w:w="10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280" w:type="dxa"/>
            <w:vAlign w:val="bottom"/>
            <w:tcBorders>
              <w:top w:val="single" w:sz="8" w:color="auto"/>
            </w:tcBorders>
            <w:shd w:val="clear" w:color="auto" w:fill="CCEEFF"/>
          </w:tcPr>
          <w:p>
            <w:pPr>
              <w:spacing w:after="0"/>
              <w:rPr>
                <w:sz w:val="14"/>
                <w:szCs w:val="14"/>
                <w:color w:val="auto"/>
              </w:rPr>
            </w:pPr>
          </w:p>
        </w:tc>
      </w:tr>
      <w:tr>
        <w:trPr>
          <w:trHeight w:val="243"/>
        </w:trPr>
        <w:tc>
          <w:tcPr>
            <w:tcW w:w="4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postretirement benefits:</w:t>
            </w:r>
          </w:p>
        </w:tc>
        <w:tc>
          <w:tcPr>
            <w:tcW w:w="11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80" w:type="dxa"/>
            <w:vAlign w:val="bottom"/>
            <w:shd w:val="clear" w:color="auto" w:fill="CCEEFF"/>
          </w:tcPr>
          <w:p>
            <w:pPr>
              <w:spacing w:after="0"/>
              <w:rPr>
                <w:sz w:val="21"/>
                <w:szCs w:val="21"/>
                <w:color w:val="auto"/>
              </w:rPr>
            </w:pPr>
          </w:p>
        </w:tc>
      </w:tr>
      <w:tr>
        <w:trPr>
          <w:trHeight w:val="229"/>
        </w:trPr>
        <w:tc>
          <w:tcPr>
            <w:tcW w:w="4440" w:type="dxa"/>
            <w:vAlign w:val="bottom"/>
            <w:gridSpan w:val="2"/>
          </w:tcPr>
          <w:p>
            <w:pPr>
              <w:ind w:left="360"/>
              <w:spacing w:after="0"/>
              <w:rPr>
                <w:sz w:val="20"/>
                <w:szCs w:val="20"/>
                <w:color w:val="auto"/>
              </w:rPr>
            </w:pPr>
            <w:r>
              <w:rPr>
                <w:rFonts w:ascii="Arial" w:cs="Arial" w:eastAsia="Arial" w:hAnsi="Arial"/>
                <w:sz w:val="18"/>
                <w:szCs w:val="18"/>
                <w:color w:val="auto"/>
              </w:rPr>
              <w:t>Prior service cost</w:t>
            </w:r>
          </w:p>
        </w:tc>
        <w:tc>
          <w:tcPr>
            <w:tcW w:w="1180" w:type="dxa"/>
            <w:vAlign w:val="bottom"/>
          </w:tcPr>
          <w:p>
            <w:pPr>
              <w:jc w:val="right"/>
              <w:ind w:right="981"/>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200" w:type="dxa"/>
            <w:vAlign w:val="bottom"/>
          </w:tcPr>
          <w:p>
            <w:pPr>
              <w:jc w:val="right"/>
              <w:ind w:right="1016"/>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280" w:type="dxa"/>
            <w:vAlign w:val="bottom"/>
          </w:tcPr>
          <w:p>
            <w:pPr>
              <w:ind w:left="20"/>
              <w:spacing w:after="0"/>
              <w:rPr>
                <w:sz w:val="20"/>
                <w:szCs w:val="20"/>
                <w:color w:val="auto"/>
              </w:rPr>
            </w:pPr>
            <w:r>
              <w:rPr>
                <w:rFonts w:ascii="Arial" w:cs="Arial" w:eastAsia="Arial" w:hAnsi="Arial"/>
                <w:sz w:val="18"/>
                <w:szCs w:val="18"/>
                <w:color w:val="auto"/>
              </w:rPr>
              <w:t>Nonoperating other expense, net</w:t>
            </w:r>
          </w:p>
        </w:tc>
      </w:tr>
      <w:tr>
        <w:trPr>
          <w:trHeight w:val="230"/>
        </w:trPr>
        <w:tc>
          <w:tcPr>
            <w:tcW w:w="44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Actuarial loss</w:t>
            </w:r>
          </w:p>
        </w:tc>
        <w:tc>
          <w:tcPr>
            <w:tcW w:w="11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other expense, net</w:t>
            </w:r>
          </w:p>
        </w:tc>
      </w:tr>
      <w:tr>
        <w:trPr>
          <w:trHeight w:val="223"/>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Total reclassifications for the period, net of tax</w:t>
            </w:r>
          </w:p>
        </w:tc>
        <w:tc>
          <w:tcPr>
            <w:tcW w:w="1180" w:type="dxa"/>
            <w:vAlign w:val="bottom"/>
            <w:tcBorders>
              <w:bottom w:val="single" w:sz="8" w:color="auto"/>
            </w:tcBorders>
          </w:tcPr>
          <w:p>
            <w:pPr>
              <w:jc w:val="right"/>
              <w:ind w:right="981"/>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1200" w:type="dxa"/>
            <w:vAlign w:val="bottom"/>
            <w:tcBorders>
              <w:bottom w:val="single" w:sz="8" w:color="auto"/>
            </w:tcBorders>
          </w:tcPr>
          <w:p>
            <w:pPr>
              <w:jc w:val="right"/>
              <w:ind w:right="101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3280" w:type="dxa"/>
            <w:vAlign w:val="bottom"/>
          </w:tcPr>
          <w:p>
            <w:pPr>
              <w:spacing w:after="0"/>
              <w:rPr>
                <w:sz w:val="19"/>
                <w:szCs w:val="19"/>
                <w:color w:val="auto"/>
              </w:rPr>
            </w:pPr>
          </w:p>
        </w:tc>
      </w:tr>
      <w:tr>
        <w:trPr>
          <w:trHeight w:val="21"/>
        </w:trPr>
        <w:tc>
          <w:tcPr>
            <w:tcW w:w="4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Regional Expenses</w:t>
      </w:r>
    </w:p>
    <w:p>
      <w:pPr>
        <w:spacing w:after="0" w:line="9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American’s regional carriers provide scheduled air transportation under the brand name “American Eagle.” The American Eagle carriers include AAG’s wholly-owned regional carriers as well as third-party regional carriers. American’s regional carrier arrangements are principally in the form of capacity purchase agreements. Expenses associated with American Eagle operations are classified as regional expenses on the condensed consolidated statements of operations.</w:t>
      </w:r>
    </w:p>
    <w:p>
      <w:pPr>
        <w:spacing w:after="0" w:line="122"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Regional expenses for the three months ended March 31, 2025 and 2024 include $70 million and $69 million of depreciation and amortization, respectively, and each include $2 million of aircraft rent.</w:t>
      </w:r>
    </w:p>
    <w:p>
      <w:pPr>
        <w:spacing w:after="0" w:line="9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During the three months ended March 31, 2025 and 2024, American recognized $168 million and $149 million, respectively, of expense under its capacity purchase agreement with Republic Airways Inc. (Republic). American holds a 25% equity interest in Republic Airways Holdings Inc., the parent company of Republic.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Transactions with Related Parties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represents the net receivables (payables) to related parties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8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2025</w:t>
            </w:r>
          </w:p>
        </w:tc>
        <w:tc>
          <w:tcPr>
            <w:tcW w:w="180" w:type="dxa"/>
            <w:vAlign w:val="bottom"/>
          </w:tcPr>
          <w:p>
            <w:pPr>
              <w:spacing w:after="0"/>
              <w:rPr>
                <w:sz w:val="17"/>
                <w:szCs w:val="17"/>
                <w:color w:val="auto"/>
              </w:rPr>
            </w:pPr>
          </w:p>
        </w:tc>
        <w:tc>
          <w:tcPr>
            <w:tcW w:w="1620" w:type="dxa"/>
            <w:vAlign w:val="bottom"/>
          </w:tcPr>
          <w:p>
            <w:pPr>
              <w:jc w:val="right"/>
              <w:ind w:right="175"/>
              <w:spacing w:after="0"/>
              <w:rPr>
                <w:sz w:val="20"/>
                <w:szCs w:val="20"/>
                <w:color w:val="auto"/>
              </w:rPr>
            </w:pPr>
            <w:r>
              <w:rPr>
                <w:rFonts w:ascii="Arial" w:cs="Arial" w:eastAsia="Arial" w:hAnsi="Arial"/>
                <w:sz w:val="14"/>
                <w:szCs w:val="14"/>
                <w:b w:val="1"/>
                <w:bCs w:val="1"/>
                <w:color w:val="auto"/>
              </w:rPr>
              <w:t>December 31, 2024</w:t>
            </w:r>
          </w:p>
        </w:tc>
      </w:tr>
      <w:tr>
        <w:trPr>
          <w:trHeight w:val="224"/>
        </w:trPr>
        <w:tc>
          <w:tcPr>
            <w:tcW w:w="75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AAG</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10,258</w:t>
            </w:r>
          </w:p>
        </w:tc>
      </w:tr>
      <w:tr>
        <w:trPr>
          <w:trHeight w:val="230"/>
        </w:trPr>
        <w:tc>
          <w:tcPr>
            <w:tcW w:w="752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AAG’s wholly-owned subsidiaries </w:t>
            </w:r>
            <w:r>
              <w:rPr>
                <w:rFonts w:ascii="Arial" w:cs="Arial" w:eastAsia="Arial" w:hAnsi="Arial"/>
                <w:sz w:val="23"/>
                <w:szCs w:val="23"/>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(2,071)</w:t>
            </w:r>
          </w:p>
        </w:tc>
      </w:tr>
      <w:tr>
        <w:trPr>
          <w:trHeight w:val="248"/>
        </w:trPr>
        <w:tc>
          <w:tcPr>
            <w:tcW w:w="7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8,187</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5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2080" w:type="dxa"/>
            <w:vAlign w:val="bottom"/>
            <w:tcBorders>
              <w:bottom w:val="single" w:sz="8" w:color="auto"/>
            </w:tcBorders>
          </w:tcPr>
          <w:p>
            <w:pPr>
              <w:spacing w:after="0"/>
              <w:rPr>
                <w:sz w:val="13"/>
                <w:szCs w:val="13"/>
                <w:color w:val="auto"/>
              </w:rPr>
            </w:pPr>
          </w:p>
        </w:tc>
        <w:tc>
          <w:tcPr>
            <w:tcW w:w="5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tcPr>
          <w:p>
            <w:pPr>
              <w:spacing w:after="0"/>
              <w:rPr>
                <w:sz w:val="13"/>
                <w:szCs w:val="13"/>
                <w:color w:val="auto"/>
              </w:rPr>
            </w:pPr>
          </w:p>
        </w:tc>
      </w:tr>
    </w:tbl>
    <w:p>
      <w:pPr>
        <w:spacing w:after="0" w:line="76" w:lineRule="exact"/>
        <w:rPr>
          <w:sz w:val="20"/>
          <w:szCs w:val="20"/>
          <w:color w:val="auto"/>
        </w:rPr>
      </w:pPr>
    </w:p>
    <w:p>
      <w:pPr>
        <w:ind w:left="340" w:hanging="332"/>
        <w:spacing w:after="0" w:line="231" w:lineRule="auto"/>
        <w:tabs>
          <w:tab w:leader="none" w:pos="334" w:val="left"/>
        </w:tabs>
        <w:numPr>
          <w:ilvl w:val="0"/>
          <w:numId w:val="31"/>
        </w:numPr>
        <w:rPr>
          <w:rFonts w:ascii="Arial" w:cs="Arial" w:eastAsia="Arial" w:hAnsi="Arial"/>
          <w:sz w:val="23"/>
          <w:szCs w:val="23"/>
          <w:color w:val="auto"/>
          <w:vertAlign w:val="superscript"/>
        </w:rPr>
      </w:pPr>
      <w:r>
        <w:rPr>
          <w:rFonts w:ascii="Arial" w:cs="Arial" w:eastAsia="Arial" w:hAnsi="Arial"/>
          <w:sz w:val="18"/>
          <w:szCs w:val="18"/>
          <w:color w:val="auto"/>
        </w:rPr>
        <w:t>The net payable to AAG’s wholly-owned subsidiaries consists primarily of amounts due under regional capacity purchase agreements with AAG’s wholly-owned regional airlines operating under the brand name of American Eagle.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Legal Proceedings</w:t>
      </w:r>
    </w:p>
    <w:p>
      <w:pPr>
        <w:spacing w:after="0" w:line="90"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i w:val="1"/>
          <w:iCs w:val="1"/>
          <w:color w:val="auto"/>
        </w:rPr>
        <w:t xml:space="preserve">Government Antitrust Action Related to the Northeast Alliance. </w:t>
      </w:r>
      <w:r>
        <w:rPr>
          <w:rFonts w:ascii="Arial" w:cs="Arial" w:eastAsia="Arial" w:hAnsi="Arial"/>
          <w:sz w:val="18"/>
          <w:szCs w:val="18"/>
          <w:color w:val="auto"/>
        </w:rPr>
        <w:t>On September 21, 2021, the United States Department of Justice, joined</w:t>
      </w:r>
      <w:r>
        <w:rPr>
          <w:rFonts w:ascii="Arial" w:cs="Arial" w:eastAsia="Arial" w:hAnsi="Arial"/>
          <w:sz w:val="18"/>
          <w:szCs w:val="18"/>
          <w:i w:val="1"/>
          <w:iCs w:val="1"/>
          <w:color w:val="auto"/>
        </w:rPr>
        <w:t xml:space="preserve"> </w:t>
      </w:r>
      <w:r>
        <w:rPr>
          <w:rFonts w:ascii="Arial" w:cs="Arial" w:eastAsia="Arial" w:hAnsi="Arial"/>
          <w:sz w:val="18"/>
          <w:szCs w:val="18"/>
          <w:color w:val="auto"/>
        </w:rPr>
        <w:t>by Attorneys General from six states and the District of Columbia, filed an antitrust complaint against AAG and JetBlue Airways Corporation (JetBlue) in the U.S. District Court for the District of Massachusetts alleging that AAG and JetBlue violated U.S. antitrust law in connection with the previously disclosed Northeast Alliance arrangement (NEA). On May 19, 2023, the U.S. District Court for the District of Massachusetts issued an order permanently enjoining AAG and JetBlue from continuing and further implementing the NEA. In June 2023, JetBlue delivered a notice of termination of the NEA, effective July 29, 2023, and the carriers have substantially completed wind-down activities. Following written submissions by the parties and a hearing on July 26, 2023, the U.S. District Court for the District of Massachusetts entered a Final Judgment and Order Entering Permanent Injunction on July 28, 2023. The parties are complying with the terms of the Final Judgment and Order Entering Permanent Injunction, including by completing wind-down activities related to the NEA. AAG filed a notice of appeal to the U.S. Court of Appeals for the First Circuit on September 25, 2023. The First Circuit affirmed the District Court’s decision on November 8, 2024. AAG filed a petition for writ of certiorari to the U.S. Supreme Court on February 27, 2025, and the petition remains pending.</w:t>
      </w:r>
    </w:p>
    <w:p>
      <w:pPr>
        <w:spacing w:after="0" w:line="136"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i w:val="1"/>
          <w:iCs w:val="1"/>
          <w:color w:val="auto"/>
        </w:rPr>
        <w:t xml:space="preserve">Private Party Antitrust Actions Related to the Northeast Alliance. </w:t>
      </w:r>
      <w:r>
        <w:rPr>
          <w:rFonts w:ascii="Arial" w:cs="Arial" w:eastAsia="Arial" w:hAnsi="Arial"/>
          <w:sz w:val="18"/>
          <w:szCs w:val="18"/>
          <w:color w:val="auto"/>
        </w:rPr>
        <w:t>On December 5, 2022 and December 7, 2022, two private party plaintiffs</w:t>
      </w:r>
      <w:r>
        <w:rPr>
          <w:rFonts w:ascii="Arial" w:cs="Arial" w:eastAsia="Arial" w:hAnsi="Arial"/>
          <w:sz w:val="18"/>
          <w:szCs w:val="18"/>
          <w:i w:val="1"/>
          <w:iCs w:val="1"/>
          <w:color w:val="auto"/>
        </w:rPr>
        <w:t xml:space="preserve"> </w:t>
      </w:r>
      <w:r>
        <w:rPr>
          <w:rFonts w:ascii="Arial" w:cs="Arial" w:eastAsia="Arial" w:hAnsi="Arial"/>
          <w:sz w:val="18"/>
          <w:szCs w:val="18"/>
          <w:color w:val="auto"/>
        </w:rPr>
        <w:t>filed putative class action antitrust complaints against AAG and JetBlue in the U.S. District Court for the Eastern District of New York alleging that AAG and JetBlue violated U.S. antitrust law in connection with the previously disclosed NEA. These actions were consolidated on January 10, 2023. The private party plaintiffs filed an amended consolidated complaint on February 3, 2023. On February 2, 2023 and February 15, 2023, private party plaintiffs filed two additional putative class action antitrust complaints against AAG and JetBlue in the U.S. District Court for the District of Massachusetts and the U.S. District Court for the Eastern District of New York, respectively. In March 2023, AAG filed a motion in the U.S. District Court for the District of Massachusetts case asking to transfer the case to the U.S. District Court for the Eastern District of New York and consolidate it with the cases pending in that venue. The U.S. District Court for the District of Massachusetts granted that motion. The remaining cases were consolidated with the other actions in the Eastern District of New York. In June 2023, the private party plaintiffs filed a second amended consolidated complaint, followed by a third amended complaint filed in August 2023. In September 2023, AAG, together with JetBlue, filed a motion to dismiss the third amended complaint. In September 2024, the court denied that motion. AAG and JetBlue filed answers to the private party plaintiffs’ third amended complaint in October 2024, and the parties are now engaged in discovery. AAG believes these lawsuits are without merit and is defending against them vigorously.</w:t>
      </w:r>
    </w:p>
    <w:p>
      <w:pPr>
        <w:spacing w:after="0" w:line="133"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i w:val="1"/>
          <w:iCs w:val="1"/>
          <w:color w:val="auto"/>
        </w:rPr>
        <w:t xml:space="preserve">Securities and Stockholder Derivative Litigation. </w:t>
      </w:r>
      <w:r>
        <w:rPr>
          <w:rFonts w:ascii="Arial" w:cs="Arial" w:eastAsia="Arial" w:hAnsi="Arial"/>
          <w:sz w:val="18"/>
          <w:szCs w:val="18"/>
          <w:color w:val="auto"/>
        </w:rPr>
        <w:t>On July 18, 2024, AAG and certain of its current and former officers were named 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defendants in a putative class action lawsuit filed in the United States District Court for the Northern District of Texas, captioned </w:t>
      </w:r>
      <w:r>
        <w:rPr>
          <w:rFonts w:ascii="Arial" w:cs="Arial" w:eastAsia="Arial" w:hAnsi="Arial"/>
          <w:sz w:val="18"/>
          <w:szCs w:val="18"/>
          <w:i w:val="1"/>
          <w:iCs w:val="1"/>
          <w:color w:val="auto"/>
        </w:rPr>
        <w:t>Qawasmi v.</w:t>
      </w:r>
      <w:r>
        <w:rPr>
          <w:rFonts w:ascii="Arial" w:cs="Arial" w:eastAsia="Arial" w:hAnsi="Arial"/>
          <w:sz w:val="18"/>
          <w:szCs w:val="18"/>
          <w:color w:val="auto"/>
        </w:rPr>
        <w:t xml:space="preserve"> </w:t>
      </w:r>
      <w:r>
        <w:rPr>
          <w:rFonts w:ascii="Arial" w:cs="Arial" w:eastAsia="Arial" w:hAnsi="Arial"/>
          <w:sz w:val="18"/>
          <w:szCs w:val="18"/>
          <w:i w:val="1"/>
          <w:iCs w:val="1"/>
          <w:color w:val="auto"/>
        </w:rPr>
        <w:t>American Airlines Group Inc., et al</w:t>
      </w:r>
      <w:r>
        <w:rPr>
          <w:rFonts w:ascii="Arial" w:cs="Arial" w:eastAsia="Arial" w:hAnsi="Arial"/>
          <w:sz w:val="18"/>
          <w:szCs w:val="18"/>
          <w:color w:val="auto"/>
        </w:rPr>
        <w:t>. The</w:t>
      </w:r>
      <w:r>
        <w:rPr>
          <w:rFonts w:ascii="Arial" w:cs="Arial" w:eastAsia="Arial" w:hAnsi="Arial"/>
          <w:sz w:val="18"/>
          <w:szCs w:val="18"/>
          <w:i w:val="1"/>
          <w:iCs w:val="1"/>
          <w:color w:val="auto"/>
        </w:rPr>
        <w:t xml:space="preserve"> Qawasmi </w:t>
      </w:r>
      <w:r>
        <w:rPr>
          <w:rFonts w:ascii="Arial" w:cs="Arial" w:eastAsia="Arial" w:hAnsi="Arial"/>
          <w:sz w:val="18"/>
          <w:szCs w:val="18"/>
          <w:color w:val="auto"/>
        </w:rPr>
        <w:t>plaintiff purports to represent investors who acquired AAG securities between January 25,</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2024 and May 28, 2024. On August 28, 2024, AAG and certain of its current and former officers were named as defendants in a second putative class action lawsuit filed in the same court, captioned </w:t>
      </w:r>
      <w:r>
        <w:rPr>
          <w:rFonts w:ascii="Arial" w:cs="Arial" w:eastAsia="Arial" w:hAnsi="Arial"/>
          <w:sz w:val="18"/>
          <w:szCs w:val="18"/>
          <w:i w:val="1"/>
          <w:iCs w:val="1"/>
          <w:color w:val="auto"/>
        </w:rPr>
        <w:t>Thornburg v. American Airlines Group Inc., et al</w:t>
      </w:r>
      <w:r>
        <w:rPr>
          <w:rFonts w:ascii="Arial" w:cs="Arial" w:eastAsia="Arial" w:hAnsi="Arial"/>
          <w:sz w:val="18"/>
          <w:szCs w:val="18"/>
          <w:color w:val="auto"/>
        </w:rPr>
        <w:t xml:space="preserve">. The </w:t>
      </w:r>
      <w:r>
        <w:rPr>
          <w:rFonts w:ascii="Arial" w:cs="Arial" w:eastAsia="Arial" w:hAnsi="Arial"/>
          <w:sz w:val="18"/>
          <w:szCs w:val="18"/>
          <w:i w:val="1"/>
          <w:iCs w:val="1"/>
          <w:color w:val="auto"/>
        </w:rPr>
        <w:t>Thornburg</w:t>
      </w:r>
      <w:r>
        <w:rPr>
          <w:rFonts w:ascii="Arial" w:cs="Arial" w:eastAsia="Arial" w:hAnsi="Arial"/>
          <w:sz w:val="18"/>
          <w:szCs w:val="18"/>
          <w:color w:val="auto"/>
        </w:rPr>
        <w:t xml:space="preserve"> plaintiff purports to represent investors who acquired AAG securities between July 20, 2023 and May 28, 2024. Both the </w:t>
      </w:r>
      <w:r>
        <w:rPr>
          <w:rFonts w:ascii="Arial" w:cs="Arial" w:eastAsia="Arial" w:hAnsi="Arial"/>
          <w:sz w:val="18"/>
          <w:szCs w:val="18"/>
          <w:i w:val="1"/>
          <w:iCs w:val="1"/>
          <w:color w:val="auto"/>
        </w:rPr>
        <w:t>Qawasmi</w:t>
      </w:r>
      <w:r>
        <w:rPr>
          <w:rFonts w:ascii="Arial" w:cs="Arial" w:eastAsia="Arial" w:hAnsi="Arial"/>
          <w:sz w:val="18"/>
          <w:szCs w:val="18"/>
          <w:color w:val="auto"/>
        </w:rPr>
        <w:t xml:space="preserve"> and </w:t>
      </w:r>
      <w:r>
        <w:rPr>
          <w:rFonts w:ascii="Arial" w:cs="Arial" w:eastAsia="Arial" w:hAnsi="Arial"/>
          <w:sz w:val="18"/>
          <w:szCs w:val="18"/>
          <w:i w:val="1"/>
          <w:iCs w:val="1"/>
          <w:color w:val="auto"/>
        </w:rPr>
        <w:t>Thornburg</w:t>
      </w:r>
      <w:r>
        <w:rPr>
          <w:rFonts w:ascii="Arial" w:cs="Arial" w:eastAsia="Arial" w:hAnsi="Arial"/>
          <w:sz w:val="18"/>
          <w:szCs w:val="18"/>
          <w:color w:val="auto"/>
        </w:rPr>
        <w:t xml:space="preserve"> complaints assert violations of Sections 10(b) and 20(a) of the Exchange Act based on allegations that, during the relevant periods, AAG misrepresented and/or omitted material facts related to its financial outlook and certain commercial initiatives. On September 16, 2024, certain purported AAG investors moved for consolidation of the </w:t>
      </w:r>
      <w:r>
        <w:rPr>
          <w:rFonts w:ascii="Arial" w:cs="Arial" w:eastAsia="Arial" w:hAnsi="Arial"/>
          <w:sz w:val="18"/>
          <w:szCs w:val="18"/>
          <w:i w:val="1"/>
          <w:iCs w:val="1"/>
          <w:color w:val="auto"/>
        </w:rPr>
        <w:t>Qawasmi</w:t>
      </w:r>
      <w:r>
        <w:rPr>
          <w:rFonts w:ascii="Arial" w:cs="Arial" w:eastAsia="Arial" w:hAnsi="Arial"/>
          <w:sz w:val="18"/>
          <w:szCs w:val="18"/>
          <w:color w:val="auto"/>
        </w:rPr>
        <w:t xml:space="preserve"> and </w:t>
      </w:r>
      <w:r>
        <w:rPr>
          <w:rFonts w:ascii="Arial" w:cs="Arial" w:eastAsia="Arial" w:hAnsi="Arial"/>
          <w:sz w:val="18"/>
          <w:szCs w:val="18"/>
          <w:i w:val="1"/>
          <w:iCs w:val="1"/>
          <w:color w:val="auto"/>
        </w:rPr>
        <w:t>Thornburg</w:t>
      </w:r>
      <w:r>
        <w:rPr>
          <w:rFonts w:ascii="Arial" w:cs="Arial" w:eastAsia="Arial" w:hAnsi="Arial"/>
          <w:sz w:val="18"/>
          <w:szCs w:val="18"/>
          <w:color w:val="auto"/>
        </w:rPr>
        <w:t xml:space="preserve"> actions as well as appointment as lead plaintiff. On November 22, 2024, the </w:t>
      </w:r>
      <w:r>
        <w:rPr>
          <w:rFonts w:ascii="Arial" w:cs="Arial" w:eastAsia="Arial" w:hAnsi="Arial"/>
          <w:sz w:val="18"/>
          <w:szCs w:val="18"/>
          <w:i w:val="1"/>
          <w:iCs w:val="1"/>
          <w:color w:val="auto"/>
        </w:rPr>
        <w:t>Qawasmi</w:t>
      </w:r>
      <w:r>
        <w:rPr>
          <w:rFonts w:ascii="Arial" w:cs="Arial" w:eastAsia="Arial" w:hAnsi="Arial"/>
          <w:sz w:val="18"/>
          <w:szCs w:val="18"/>
          <w:color w:val="auto"/>
        </w:rPr>
        <w:t xml:space="preserve"> and </w:t>
      </w:r>
      <w:r>
        <w:rPr>
          <w:rFonts w:ascii="Arial" w:cs="Arial" w:eastAsia="Arial" w:hAnsi="Arial"/>
          <w:sz w:val="18"/>
          <w:szCs w:val="18"/>
          <w:i w:val="1"/>
          <w:iCs w:val="1"/>
          <w:color w:val="auto"/>
        </w:rPr>
        <w:t>Thornburg</w:t>
      </w:r>
      <w:r>
        <w:rPr>
          <w:rFonts w:ascii="Arial" w:cs="Arial" w:eastAsia="Arial" w:hAnsi="Arial"/>
          <w:sz w:val="18"/>
          <w:szCs w:val="18"/>
          <w:color w:val="auto"/>
        </w:rPr>
        <w:t xml:space="preserve"> complaints were consolidated into a single action bearing the caption </w:t>
      </w:r>
      <w:r>
        <w:rPr>
          <w:rFonts w:ascii="Arial" w:cs="Arial" w:eastAsia="Arial" w:hAnsi="Arial"/>
          <w:sz w:val="18"/>
          <w:szCs w:val="18"/>
          <w:i w:val="1"/>
          <w:iCs w:val="1"/>
          <w:color w:val="auto"/>
        </w:rPr>
        <w:t>In re American</w:t>
      </w:r>
      <w:r>
        <w:rPr>
          <w:rFonts w:ascii="Arial" w:cs="Arial" w:eastAsia="Arial" w:hAnsi="Arial"/>
          <w:sz w:val="18"/>
          <w:szCs w:val="18"/>
          <w:color w:val="auto"/>
        </w:rPr>
        <w:t xml:space="preserve"> </w:t>
      </w:r>
      <w:r>
        <w:rPr>
          <w:rFonts w:ascii="Arial" w:cs="Arial" w:eastAsia="Arial" w:hAnsi="Arial"/>
          <w:sz w:val="18"/>
          <w:szCs w:val="18"/>
          <w:i w:val="1"/>
          <w:iCs w:val="1"/>
          <w:color w:val="auto"/>
        </w:rPr>
        <w:t>Airlines Group Inc. Securities Litigation</w:t>
      </w:r>
      <w:r>
        <w:rPr>
          <w:rFonts w:ascii="Arial" w:cs="Arial" w:eastAsia="Arial" w:hAnsi="Arial"/>
          <w:sz w:val="18"/>
          <w:szCs w:val="18"/>
          <w:color w:val="auto"/>
        </w:rPr>
        <w:t>. The court also appointed co-lead plaintiffs and lead counsel to represent the putative class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action. Plaintiffs filed a consolidated complaint on January 21, 2025, and an amended consolidated complaint on March 19, 2025. The consolidated complaint makes similar factual allegations to the prior complaints regarding AAG’s financial outlook and certain commercial initiatives. AAG and the individual defendants filed a joint motion to dismiss on March 21, 2025. Plaintiffs’ response is due by April 25, 2025 and AAG’s reply is then due by May 23, 2025.</w:t>
      </w:r>
    </w:p>
    <w:p>
      <w:pPr>
        <w:spacing w:after="0" w:line="12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Additionally, on September 19, 2024, certain of AAG’s current and former directors and officers were named as defendants in a shareholder derivative lawsuit (in which AAG is a nominal defendant) filed in the United States District Court for the Northern District of Texas, captioned </w:t>
      </w:r>
      <w:r>
        <w:rPr>
          <w:rFonts w:ascii="Arial" w:cs="Arial" w:eastAsia="Arial" w:hAnsi="Arial"/>
          <w:sz w:val="18"/>
          <w:szCs w:val="18"/>
          <w:i w:val="1"/>
          <w:iCs w:val="1"/>
          <w:color w:val="auto"/>
        </w:rPr>
        <w:t>Hollin v. Isom, et al.</w:t>
      </w:r>
      <w:r>
        <w:rPr>
          <w:rFonts w:ascii="Arial" w:cs="Arial" w:eastAsia="Arial" w:hAnsi="Arial"/>
          <w:sz w:val="18"/>
          <w:szCs w:val="18"/>
          <w:color w:val="auto"/>
        </w:rPr>
        <w:t xml:space="preserve"> The </w:t>
      </w:r>
      <w:r>
        <w:rPr>
          <w:rFonts w:ascii="Arial" w:cs="Arial" w:eastAsia="Arial" w:hAnsi="Arial"/>
          <w:sz w:val="18"/>
          <w:szCs w:val="18"/>
          <w:i w:val="1"/>
          <w:iCs w:val="1"/>
          <w:color w:val="auto"/>
        </w:rPr>
        <w:t>Hollin</w:t>
      </w:r>
      <w:r>
        <w:rPr>
          <w:rFonts w:ascii="Arial" w:cs="Arial" w:eastAsia="Arial" w:hAnsi="Arial"/>
          <w:sz w:val="18"/>
          <w:szCs w:val="18"/>
          <w:color w:val="auto"/>
        </w:rPr>
        <w:t xml:space="preserve"> complaint asserts violations of Section 10(b) of the Exchange Act, breach of fiduciary duty, and claims for unjust enrichment and corporate waste. On September 26, 2024, a second derivative complaint was filed in the same court, similarly naming certain of AAG’s current and former directors and officers (as well as AAG as a nominal defendant), captioned </w:t>
      </w:r>
      <w:r>
        <w:rPr>
          <w:rFonts w:ascii="Arial" w:cs="Arial" w:eastAsia="Arial" w:hAnsi="Arial"/>
          <w:sz w:val="18"/>
          <w:szCs w:val="18"/>
          <w:i w:val="1"/>
          <w:iCs w:val="1"/>
          <w:color w:val="auto"/>
        </w:rPr>
        <w:t>Leon v. Isom,</w:t>
      </w:r>
      <w:r>
        <w:rPr>
          <w:rFonts w:ascii="Arial" w:cs="Arial" w:eastAsia="Arial" w:hAnsi="Arial"/>
          <w:sz w:val="18"/>
          <w:szCs w:val="18"/>
          <w:color w:val="auto"/>
        </w:rPr>
        <w:t xml:space="preserve"> </w:t>
      </w:r>
      <w:r>
        <w:rPr>
          <w:rFonts w:ascii="Arial" w:cs="Arial" w:eastAsia="Arial" w:hAnsi="Arial"/>
          <w:sz w:val="18"/>
          <w:szCs w:val="18"/>
          <w:i w:val="1"/>
          <w:iCs w:val="1"/>
          <w:color w:val="auto"/>
        </w:rPr>
        <w:t>et al</w:t>
      </w:r>
      <w:r>
        <w:rPr>
          <w:rFonts w:ascii="Arial" w:cs="Arial" w:eastAsia="Arial" w:hAnsi="Arial"/>
          <w:sz w:val="18"/>
          <w:szCs w:val="18"/>
          <w:color w:val="auto"/>
        </w:rPr>
        <w:t>. The</w:t>
      </w:r>
      <w:r>
        <w:rPr>
          <w:rFonts w:ascii="Arial" w:cs="Arial" w:eastAsia="Arial" w:hAnsi="Arial"/>
          <w:sz w:val="18"/>
          <w:szCs w:val="18"/>
          <w:i w:val="1"/>
          <w:iCs w:val="1"/>
          <w:color w:val="auto"/>
        </w:rPr>
        <w:t xml:space="preserve"> Leon </w:t>
      </w:r>
      <w:r>
        <w:rPr>
          <w:rFonts w:ascii="Arial" w:cs="Arial" w:eastAsia="Arial" w:hAnsi="Arial"/>
          <w:sz w:val="18"/>
          <w:szCs w:val="18"/>
          <w:color w:val="auto"/>
        </w:rPr>
        <w:t>complaint asserts violations of Section 14(a) of the Exchange Act, breaches of fiduciary duty, claims of unjust enrichment,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abuse of control, gross mismanagement, waste of corporate assets, and a claim for contribution. The </w:t>
      </w:r>
      <w:r>
        <w:rPr>
          <w:rFonts w:ascii="Arial" w:cs="Arial" w:eastAsia="Arial" w:hAnsi="Arial"/>
          <w:sz w:val="18"/>
          <w:szCs w:val="18"/>
          <w:i w:val="1"/>
          <w:iCs w:val="1"/>
          <w:color w:val="auto"/>
        </w:rPr>
        <w:t>Hollin</w:t>
      </w:r>
      <w:r>
        <w:rPr>
          <w:rFonts w:ascii="Arial" w:cs="Arial" w:eastAsia="Arial" w:hAnsi="Arial"/>
          <w:sz w:val="18"/>
          <w:szCs w:val="18"/>
          <w:color w:val="auto"/>
        </w:rPr>
        <w:t xml:space="preserve"> and </w:t>
      </w:r>
      <w:r>
        <w:rPr>
          <w:rFonts w:ascii="Arial" w:cs="Arial" w:eastAsia="Arial" w:hAnsi="Arial"/>
          <w:sz w:val="18"/>
          <w:szCs w:val="18"/>
          <w:i w:val="1"/>
          <w:iCs w:val="1"/>
          <w:color w:val="auto"/>
        </w:rPr>
        <w:t>Leon</w:t>
      </w:r>
      <w:r>
        <w:rPr>
          <w:rFonts w:ascii="Arial" w:cs="Arial" w:eastAsia="Arial" w:hAnsi="Arial"/>
          <w:sz w:val="18"/>
          <w:szCs w:val="18"/>
          <w:color w:val="auto"/>
        </w:rPr>
        <w:t xml:space="preserve"> complaints generally allege the same purported misconduct as alleged in the securities class actions. On November 25, 2024, the </w:t>
      </w:r>
      <w:r>
        <w:rPr>
          <w:rFonts w:ascii="Arial" w:cs="Arial" w:eastAsia="Arial" w:hAnsi="Arial"/>
          <w:sz w:val="18"/>
          <w:szCs w:val="18"/>
          <w:i w:val="1"/>
          <w:iCs w:val="1"/>
          <w:color w:val="auto"/>
        </w:rPr>
        <w:t>Hollin</w:t>
      </w:r>
      <w:r>
        <w:rPr>
          <w:rFonts w:ascii="Arial" w:cs="Arial" w:eastAsia="Arial" w:hAnsi="Arial"/>
          <w:sz w:val="18"/>
          <w:szCs w:val="18"/>
          <w:color w:val="auto"/>
        </w:rPr>
        <w:t xml:space="preserve"> and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Leon </w:t>
      </w:r>
      <w:r>
        <w:rPr>
          <w:rFonts w:ascii="Arial" w:cs="Arial" w:eastAsia="Arial" w:hAnsi="Arial"/>
          <w:sz w:val="18"/>
          <w:szCs w:val="18"/>
          <w:color w:val="auto"/>
        </w:rPr>
        <w:t>complaints were consolidated into a single action bearing the caption</w:t>
      </w:r>
      <w:r>
        <w:rPr>
          <w:rFonts w:ascii="Arial" w:cs="Arial" w:eastAsia="Arial" w:hAnsi="Arial"/>
          <w:sz w:val="18"/>
          <w:szCs w:val="18"/>
          <w:i w:val="1"/>
          <w:iCs w:val="1"/>
          <w:color w:val="auto"/>
        </w:rPr>
        <w:t xml:space="preserve"> In re American Airlines Group Inc. Stockholder Derivative Action</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derivative actions are currently stayed pending resolution of the securities class action. AAG believes both the securities class action and shareholder derivative lawsuit are without merit and intends to defend against them vigorously.</w:t>
      </w:r>
    </w:p>
    <w:p>
      <w:pPr>
        <w:spacing w:after="0" w:line="11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In addition to the specifically identified legal proceedings, American and its subsidiaries are also engaged in other legal</w:t>
      </w:r>
      <w:r>
        <w:rPr>
          <w:rFonts w:ascii="Arial" w:cs="Arial" w:eastAsia="Arial" w:hAnsi="Arial"/>
          <w:sz w:val="18"/>
          <w:szCs w:val="18"/>
          <w:i w:val="1"/>
          <w:iCs w:val="1"/>
          <w:color w:val="auto"/>
        </w:rPr>
        <w:t xml:space="preserve"> </w:t>
      </w:r>
      <w:r>
        <w:rPr>
          <w:rFonts w:ascii="Arial" w:cs="Arial" w:eastAsia="Arial" w:hAnsi="Arial"/>
          <w:sz w:val="18"/>
          <w:szCs w:val="18"/>
          <w:color w:val="auto"/>
        </w:rPr>
        <w:t>proceedings from time to time. Legal proceedings can be complex and take many months, or even years, to reach resolution, with the final outcome depending on a number of variables, some of which are not within American’s control. Therefore, although American will vigorously defend itself in each of the actions described above and such other legal proceedings, their ultimate resolution and potential financial and other impacts on American are uncertain but could be material.</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0" w:lineRule="exact"/>
        <w:rPr>
          <w:sz w:val="20"/>
          <w:szCs w:val="20"/>
          <w:color w:val="auto"/>
        </w:rPr>
      </w:pPr>
    </w:p>
    <w:p>
      <w:pPr>
        <w:jc w:val="both"/>
        <w:ind w:right="20" w:firstLine="243"/>
        <w:spacing w:after="0" w:line="268" w:lineRule="auto"/>
        <w:rPr>
          <w:sz w:val="20"/>
          <w:szCs w:val="20"/>
          <w:color w:val="auto"/>
        </w:rPr>
      </w:pPr>
      <w:r>
        <w:rPr>
          <w:rFonts w:ascii="Arial" w:cs="Arial" w:eastAsia="Arial" w:hAnsi="Arial"/>
          <w:sz w:val="18"/>
          <w:szCs w:val="18"/>
          <w:color w:val="auto"/>
        </w:rPr>
        <w:t>Part I, Item 2 of this report should be read in conjunction with Part II, Item 7 of AAG’s and American’s Annual Report on Form 10-K for the year ended December 31, 2024 (the 2024 Form 10-K). The information contained herein is not a comprehensive discussion and analysis of the financial condition and results of operations of AAG and American, but rather updates disclosures made in the 2024 Form 10-K.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and Macroeconomic Conditions</w:t>
      </w:r>
    </w:p>
    <w:p>
      <w:pPr>
        <w:spacing w:after="0" w:line="88"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color w:val="auto"/>
        </w:rPr>
        <w:t>The Trump Administration is in the process of expanding the scope of tariffs and significantly increasing the rates on goods imported into the U.S. In response, foreign governments have imposed, and are expected to impose, retaliatory measures against the U.S.</w:t>
      </w:r>
    </w:p>
    <w:p>
      <w:pPr>
        <w:spacing w:after="0" w:line="99"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These or additional changes in U.S. or international trade policies, along with continued uncertainty surrounding such policies, could lead to further weakened business conditions for the transportation industry, which may adversely impact our operations through increased supply chain challenges, commodity price volatility and a decline in discretionary spending and consumer confidence, among others. We continue to monitor the situation.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AAG’s First Quarter 2025 Results</w:t>
      </w:r>
    </w:p>
    <w:p>
      <w:pPr>
        <w:spacing w:after="0" w:line="88"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color w:val="auto"/>
        </w:rPr>
        <w:t>The selected financial data presented below is derived from AAG’s unaudited condensed consolidated financial statements included in Part I, Item 1A of this report and should be read in conjunction with those financial statements and the related notes thereto.</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jc w:val="center"/>
              <w:ind w:left="36"/>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0" w:type="dxa"/>
            <w:vAlign w:val="bottom"/>
            <w:gridSpan w:val="5"/>
            <w:vMerge w:val="continue"/>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jc w:val="right"/>
              <w:ind w:right="193"/>
              <w:spacing w:after="0" w:line="121" w:lineRule="exact"/>
              <w:rPr>
                <w:sz w:val="20"/>
                <w:szCs w:val="20"/>
                <w:color w:val="auto"/>
              </w:rPr>
            </w:pPr>
            <w:r>
              <w:rPr>
                <w:rFonts w:ascii="Arial" w:cs="Arial" w:eastAsia="Arial" w:hAnsi="Arial"/>
                <w:sz w:val="13"/>
                <w:szCs w:val="13"/>
                <w:b w:val="1"/>
                <w:bCs w:val="1"/>
                <w:color w:val="auto"/>
              </w:rPr>
              <w:t>Increase</w:t>
            </w:r>
          </w:p>
        </w:tc>
        <w:tc>
          <w:tcPr>
            <w:tcW w:w="1260" w:type="dxa"/>
            <w:vAlign w:val="bottom"/>
          </w:tcPr>
          <w:p>
            <w:pPr>
              <w:jc w:val="center"/>
              <w:ind w:left="36"/>
              <w:spacing w:after="0" w:line="121" w:lineRule="exact"/>
              <w:rPr>
                <w:sz w:val="20"/>
                <w:szCs w:val="20"/>
                <w:color w:val="auto"/>
              </w:rPr>
            </w:pPr>
            <w:r>
              <w:rPr>
                <w:rFonts w:ascii="Arial" w:cs="Arial" w:eastAsia="Arial" w:hAnsi="Arial"/>
                <w:sz w:val="13"/>
                <w:szCs w:val="13"/>
                <w:b w:val="1"/>
                <w:bCs w:val="1"/>
                <w:color w:val="auto"/>
              </w:rPr>
              <w:t>Increase</w:t>
            </w:r>
          </w:p>
        </w:tc>
        <w:tc>
          <w:tcPr>
            <w:tcW w:w="0" w:type="dxa"/>
            <w:vAlign w:val="bottom"/>
          </w:tcPr>
          <w:p>
            <w:pPr>
              <w:spacing w:after="0"/>
              <w:rPr>
                <w:sz w:val="1"/>
                <w:szCs w:val="1"/>
                <w:color w:val="auto"/>
              </w:rPr>
            </w:pPr>
          </w:p>
        </w:tc>
      </w:tr>
      <w:tr>
        <w:trPr>
          <w:trHeight w:val="197"/>
        </w:trPr>
        <w:tc>
          <w:tcPr>
            <w:tcW w:w="20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(Decrease)</w:t>
            </w:r>
          </w:p>
        </w:tc>
        <w:tc>
          <w:tcPr>
            <w:tcW w:w="1260" w:type="dxa"/>
            <w:vAlign w:val="bottom"/>
            <w:tcBorders>
              <w:bottom w:val="single" w:sz="8" w:color="auto"/>
            </w:tcBorders>
          </w:tcPr>
          <w:p>
            <w:pPr>
              <w:jc w:val="center"/>
              <w:ind w:left="36"/>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208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160" w:type="dxa"/>
            <w:vAlign w:val="bottom"/>
            <w:gridSpan w:val="7"/>
          </w:tcPr>
          <w:p>
            <w:pPr>
              <w:jc w:val="right"/>
              <w:ind w:right="153"/>
              <w:spacing w:after="0"/>
              <w:rPr>
                <w:sz w:val="20"/>
                <w:szCs w:val="20"/>
                <w:color w:val="auto"/>
              </w:rPr>
            </w:pPr>
            <w:r>
              <w:rPr>
                <w:rFonts w:ascii="Arial" w:cs="Arial" w:eastAsia="Arial" w:hAnsi="Arial"/>
                <w:sz w:val="14"/>
                <w:szCs w:val="14"/>
                <w:b w:val="1"/>
                <w:bCs w:val="1"/>
                <w:color w:val="auto"/>
              </w:rPr>
              <w:t>(In millions, except percentage changes)</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Passenger revenue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11,391</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60" w:type="dxa"/>
            <w:vAlign w:val="bottom"/>
            <w:shd w:val="clear" w:color="auto" w:fill="CCEEFF"/>
          </w:tcPr>
          <w:p>
            <w:pPr>
              <w:jc w:val="center"/>
              <w:ind w:left="36"/>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0"/>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Cargo revenue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260" w:type="dxa"/>
            <w:vAlign w:val="bottom"/>
          </w:tcPr>
          <w:p>
            <w:pPr>
              <w:jc w:val="center"/>
              <w:ind w:left="36"/>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operating revenue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60" w:type="dxa"/>
            <w:vAlign w:val="bottom"/>
            <w:shd w:val="clear" w:color="auto" w:fill="CCEEFF"/>
          </w:tcPr>
          <w:p>
            <w:pPr>
              <w:jc w:val="center"/>
              <w:ind w:left="36"/>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Total operating revenues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12,551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w:t>
            </w:r>
          </w:p>
        </w:tc>
        <w:tc>
          <w:tcPr>
            <w:tcW w:w="1260" w:type="dxa"/>
            <w:vAlign w:val="bottom"/>
          </w:tcPr>
          <w:p>
            <w:pPr>
              <w:jc w:val="center"/>
              <w:ind w:left="36"/>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Aircraft fuel and related taxes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260" w:type="dxa"/>
            <w:vAlign w:val="bottom"/>
            <w:shd w:val="clear" w:color="auto" w:fill="CCEEFF"/>
          </w:tcPr>
          <w:p>
            <w:pPr>
              <w:jc w:val="center"/>
              <w:ind w:left="36"/>
              <w:spacing w:after="0"/>
              <w:rPr>
                <w:sz w:val="20"/>
                <w:szCs w:val="20"/>
                <w:color w:val="auto"/>
              </w:rPr>
            </w:pPr>
            <w:r>
              <w:rPr>
                <w:rFonts w:ascii="Arial" w:cs="Arial" w:eastAsia="Arial" w:hAnsi="Arial"/>
                <w:sz w:val="18"/>
                <w:szCs w:val="18"/>
                <w:color w:val="auto"/>
                <w:w w:val="97"/>
              </w:rPr>
              <w:t>(13.2)</w:t>
            </w:r>
          </w:p>
        </w:tc>
        <w:tc>
          <w:tcPr>
            <w:tcW w:w="0" w:type="dxa"/>
            <w:vAlign w:val="bottom"/>
          </w:tcPr>
          <w:p>
            <w:pPr>
              <w:spacing w:after="0"/>
              <w:rPr>
                <w:sz w:val="1"/>
                <w:szCs w:val="1"/>
                <w:color w:val="auto"/>
              </w:rPr>
            </w:pPr>
          </w:p>
        </w:tc>
      </w:tr>
      <w:tr>
        <w:trPr>
          <w:trHeight w:val="230"/>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Salaries, wages and benefits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355</w:t>
            </w:r>
          </w:p>
        </w:tc>
        <w:tc>
          <w:tcPr>
            <w:tcW w:w="1260" w:type="dxa"/>
            <w:vAlign w:val="bottom"/>
          </w:tcPr>
          <w:p>
            <w:pPr>
              <w:jc w:val="center"/>
              <w:ind w:left="36"/>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0"/>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260" w:type="dxa"/>
            <w:vAlign w:val="bottom"/>
            <w:shd w:val="clear" w:color="auto" w:fill="CCEEFF"/>
          </w:tcPr>
          <w:p>
            <w:pPr>
              <w:jc w:val="center"/>
              <w:ind w:left="36"/>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Operating income (loss)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(277)</w:t>
            </w:r>
          </w:p>
        </w:tc>
        <w:tc>
          <w:tcPr>
            <w:tcW w:w="1260" w:type="dxa"/>
            <w:vAlign w:val="bottom"/>
          </w:tcPr>
          <w:p>
            <w:pPr>
              <w:jc w:val="center"/>
              <w:ind w:left="16"/>
              <w:spacing w:after="0" w:line="230" w:lineRule="exact"/>
              <w:rPr>
                <w:sz w:val="20"/>
                <w:szCs w:val="20"/>
                <w:color w:val="auto"/>
              </w:rPr>
            </w:pPr>
            <w:r>
              <w:rPr>
                <w:rFonts w:ascii="Arial" w:cs="Arial" w:eastAsia="Arial" w:hAnsi="Arial"/>
                <w:sz w:val="26"/>
                <w:szCs w:val="26"/>
                <w:color w:val="auto"/>
                <w:vertAlign w:val="subscript"/>
              </w:rPr>
              <w:t>nm</w:t>
            </w: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230"/>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Pre-tax loss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260" w:type="dxa"/>
            <w:vAlign w:val="bottom"/>
            <w:shd w:val="clear" w:color="auto" w:fill="CCEEFF"/>
          </w:tcPr>
          <w:p>
            <w:pPr>
              <w:jc w:val="center"/>
              <w:ind w:left="36"/>
              <w:spacing w:after="0"/>
              <w:rPr>
                <w:sz w:val="20"/>
                <w:szCs w:val="20"/>
                <w:color w:val="auto"/>
              </w:rPr>
            </w:pPr>
            <w:r>
              <w:rPr>
                <w:rFonts w:ascii="Arial" w:cs="Arial" w:eastAsia="Arial" w:hAnsi="Arial"/>
                <w:sz w:val="18"/>
                <w:szCs w:val="18"/>
                <w:color w:val="auto"/>
                <w:w w:val="96"/>
              </w:rPr>
              <w:t>56.9</w:t>
            </w:r>
          </w:p>
        </w:tc>
        <w:tc>
          <w:tcPr>
            <w:tcW w:w="0" w:type="dxa"/>
            <w:vAlign w:val="bottom"/>
          </w:tcPr>
          <w:p>
            <w:pPr>
              <w:spacing w:after="0"/>
              <w:rPr>
                <w:sz w:val="1"/>
                <w:szCs w:val="1"/>
                <w:color w:val="auto"/>
              </w:rPr>
            </w:pPr>
          </w:p>
        </w:tc>
      </w:tr>
      <w:tr>
        <w:trPr>
          <w:trHeight w:val="230"/>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Income tax benefit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w:t>
            </w:r>
          </w:p>
        </w:tc>
        <w:tc>
          <w:tcPr>
            <w:tcW w:w="1260" w:type="dxa"/>
            <w:vAlign w:val="bottom"/>
          </w:tcPr>
          <w:p>
            <w:pPr>
              <w:jc w:val="center"/>
              <w:ind w:left="36"/>
              <w:spacing w:after="0"/>
              <w:rPr>
                <w:sz w:val="20"/>
                <w:szCs w:val="20"/>
                <w:color w:val="auto"/>
              </w:rPr>
            </w:pPr>
            <w:r>
              <w:rPr>
                <w:rFonts w:ascii="Arial" w:cs="Arial" w:eastAsia="Arial" w:hAnsi="Arial"/>
                <w:sz w:val="18"/>
                <w:szCs w:val="18"/>
                <w:color w:val="auto"/>
                <w:w w:val="96"/>
              </w:rPr>
              <w:t>73.2</w:t>
            </w:r>
          </w:p>
        </w:tc>
        <w:tc>
          <w:tcPr>
            <w:tcW w:w="0" w:type="dxa"/>
            <w:vAlign w:val="bottom"/>
          </w:tcPr>
          <w:p>
            <w:pPr>
              <w:spacing w:after="0"/>
              <w:rPr>
                <w:sz w:val="1"/>
                <w:szCs w:val="1"/>
                <w:color w:val="auto"/>
              </w:rPr>
            </w:pPr>
          </w:p>
        </w:tc>
      </w:tr>
      <w:tr>
        <w:trPr>
          <w:trHeight w:val="230"/>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60" w:type="dxa"/>
            <w:vAlign w:val="bottom"/>
            <w:shd w:val="clear" w:color="auto" w:fill="CCEEFF"/>
          </w:tcPr>
          <w:p>
            <w:pPr>
              <w:jc w:val="center"/>
              <w:ind w:left="36"/>
              <w:spacing w:after="0"/>
              <w:rPr>
                <w:sz w:val="20"/>
                <w:szCs w:val="20"/>
                <w:color w:val="auto"/>
              </w:rPr>
            </w:pPr>
            <w:r>
              <w:rPr>
                <w:rFonts w:ascii="Arial" w:cs="Arial" w:eastAsia="Arial" w:hAnsi="Arial"/>
                <w:sz w:val="18"/>
                <w:szCs w:val="18"/>
                <w:color w:val="auto"/>
                <w:w w:val="96"/>
              </w:rPr>
              <w:t>51.6</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Pre-tax loss – GAAP</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260" w:type="dxa"/>
            <w:vAlign w:val="bottom"/>
            <w:shd w:val="clear" w:color="auto" w:fill="CCEEFF"/>
          </w:tcPr>
          <w:p>
            <w:pPr>
              <w:jc w:val="center"/>
              <w:ind w:left="36"/>
              <w:spacing w:after="0"/>
              <w:rPr>
                <w:sz w:val="20"/>
                <w:szCs w:val="20"/>
                <w:color w:val="auto"/>
              </w:rPr>
            </w:pPr>
            <w:r>
              <w:rPr>
                <w:rFonts w:ascii="Arial" w:cs="Arial" w:eastAsia="Arial" w:hAnsi="Arial"/>
                <w:sz w:val="18"/>
                <w:szCs w:val="18"/>
                <w:color w:val="auto"/>
                <w:w w:val="96"/>
              </w:rPr>
              <w:t>56.9</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gridSpan w:val="2"/>
          </w:tcPr>
          <w:p>
            <w:pPr>
              <w:ind w:left="180"/>
              <w:spacing w:after="0" w:line="230" w:lineRule="exact"/>
              <w:rPr>
                <w:sz w:val="20"/>
                <w:szCs w:val="20"/>
                <w:color w:val="auto"/>
              </w:rPr>
            </w:pPr>
            <w:r>
              <w:rPr>
                <w:rFonts w:ascii="Arial" w:cs="Arial" w:eastAsia="Arial" w:hAnsi="Arial"/>
                <w:sz w:val="18"/>
                <w:szCs w:val="18"/>
                <w:color w:val="auto"/>
              </w:rPr>
              <w:t xml:space="preserve">Adjusted for: pre-tax net special items </w:t>
            </w:r>
            <w:r>
              <w:rPr>
                <w:rFonts w:ascii="Arial" w:cs="Arial" w:eastAsia="Arial" w:hAnsi="Arial"/>
                <w:sz w:val="23"/>
                <w:szCs w:val="23"/>
                <w:color w:val="auto"/>
                <w:vertAlign w:val="superscript"/>
              </w:rPr>
              <w:t>(1)</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60" w:type="dxa"/>
            <w:vAlign w:val="bottom"/>
            <w:tcBorders>
              <w:bottom w:val="single" w:sz="8" w:color="CCEEFF"/>
            </w:tcBorders>
          </w:tcPr>
          <w:p>
            <w:pPr>
              <w:jc w:val="center"/>
              <w:ind w:left="36"/>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8"/>
        </w:trPr>
        <w:tc>
          <w:tcPr>
            <w:tcW w:w="5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Pre-tax loss excluding net special items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260" w:type="dxa"/>
            <w:vAlign w:val="bottom"/>
            <w:tcBorders>
              <w:bottom w:val="single" w:sz="8" w:color="CCEEFF"/>
            </w:tcBorders>
            <w:shd w:val="clear" w:color="auto" w:fill="CCEEFF"/>
          </w:tcPr>
          <w:p>
            <w:pPr>
              <w:jc w:val="center"/>
              <w:ind w:left="36"/>
              <w:spacing w:after="0"/>
              <w:rPr>
                <w:sz w:val="20"/>
                <w:szCs w:val="20"/>
                <w:color w:val="auto"/>
              </w:rPr>
            </w:pPr>
            <w:r>
              <w:rPr>
                <w:rFonts w:ascii="Arial" w:cs="Arial" w:eastAsia="Arial" w:hAnsi="Arial"/>
                <w:sz w:val="18"/>
                <w:szCs w:val="18"/>
                <w:color w:val="auto"/>
                <w:w w:val="96"/>
              </w:rPr>
              <w:t>78.1</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80" w:type="dxa"/>
            <w:vAlign w:val="bottom"/>
            <w:tcBorders>
              <w:bottom w:val="single" w:sz="8" w:color="auto"/>
            </w:tcBorders>
          </w:tcPr>
          <w:p>
            <w:pPr>
              <w:spacing w:after="0"/>
              <w:rPr>
                <w:sz w:val="11"/>
                <w:szCs w:val="11"/>
                <w:color w:val="auto"/>
              </w:rPr>
            </w:pPr>
          </w:p>
        </w:tc>
        <w:tc>
          <w:tcPr>
            <w:tcW w:w="3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-2468245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-2468245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-2468245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56" w:lineRule="exact"/>
        <w:rPr>
          <w:sz w:val="20"/>
          <w:szCs w:val="20"/>
          <w:color w:val="auto"/>
        </w:rPr>
      </w:pPr>
    </w:p>
    <w:p>
      <w:pPr>
        <w:ind w:left="340" w:hanging="332"/>
        <w:spacing w:after="0" w:line="231" w:lineRule="auto"/>
        <w:tabs>
          <w:tab w:leader="none" w:pos="334"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“Reconciliation of GAAP to Non-GAAP Financial Measures”</w:t>
      </w:r>
      <w:r>
        <w:rPr>
          <w:rFonts w:ascii="Arial" w:cs="Arial" w:eastAsia="Arial" w:hAnsi="Arial"/>
          <w:sz w:val="18"/>
          <w:szCs w:val="18"/>
          <w:color w:val="auto"/>
        </w:rPr>
        <w:t xml:space="preserve"> below and Note 2 to AAG’s Condensed Consolidated Financial Statements in Part I, Item 1A for details on the components of net special items.</w:t>
      </w:r>
    </w:p>
    <w:p>
      <w:pPr>
        <w:spacing w:after="0" w:line="114"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Not meaningful or greater than 100% change.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Pre-Tax Loss and Net Loss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Pre-tax loss and net loss were $648 million and $473 million, respectively, in the first quarter of 2025. This compares to first quarter of 2024 pre-tax loss and net loss of $413 million and $312 million, respectively. Excluding the effects of pre-tax net special items, pre-tax loss was $530 million and $297 million in the first quarters of 2025 and 2024, respectively.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period-over-period increase in pre-tax loss on both a GAAP basis and excluding pre-tax net special items was principally driven by increases in operating expenses including salaries, wages and benefits, regional expenses and certain other operating expenses, offset in part by lower costs for aircraft fuel and related taxes.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the first quarter of 2025, we reported total operating revenues of $12.6 billion and passenger revenue of $11.4 billion, both of which slightly decreased as compared to the first quarter of 2024. Our passenger revenue in the first quarter of 2025 was impacted by softness in demand for domestic leisure air travel driven by economic uncertainty and the American Eagle Flight 5342 accident, offset by strong performance in international air travel, particularly in the Atlantic and Pacific regions. Atlantic and Pacific passenger revenue per available seat mile (PRASM) increased 10.5% and 4.9%, respectively, in the first quarter of 2025 as compared to the first quarter of 2024.</w:t>
      </w:r>
    </w:p>
    <w:p>
      <w:pPr>
        <w:spacing w:after="0" w:line="125"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Other operating revenue increased $46 million, or 5.0%, in the first quarter of 2025 from the first quarter of 2024, driven primarily by higher revenue associated with our loyalty program. During the three months ended March 31, 2025 and 2024, cash payments from co-branded credit card and other partners were $1.8 billion and $1.7 billion, respectively.</w:t>
      </w:r>
    </w:p>
    <w:p>
      <w:pPr>
        <w:spacing w:after="0" w:line="117"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Our total revenue per available seat mile (TRASM) was 17.95 cents in the first quarter of 2025, a 0.7% increase as compared to 17.83 cents in the first quarter of 2024.</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Fuel</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Aircraft fuel and related taxes was $2.6 billion in the first quarter of 2025, which was $393 million, or 13.2%, lower as compared to the first quarter of 2024. This was primarily due to a 13.3% decrease in the average price per gallon of aircraft fuel including related taxes to $2.48 in the first quarter of 2025 from $2.86 in the first quarter of 2024.</w:t>
      </w:r>
    </w:p>
    <w:p>
      <w:pPr>
        <w:spacing w:after="0" w:line="11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As of March 31, 2025, we did not have any fuel hedging contracts outstanding to hedge our fuel consumption. Our current policy is not to enter into transactions to hedge our fuel consumption, although we review this policy from time to time based on market conditions and other factors. As such, and assuming we do not enter into any future transactions to hedge our fuel consumption, we will continue to be fully exposed to fluctuations in fuel prices. See Part I, Item 1A. Risk Factors – </w:t>
      </w:r>
      <w:r>
        <w:rPr>
          <w:rFonts w:ascii="Arial" w:cs="Arial" w:eastAsia="Arial" w:hAnsi="Arial"/>
          <w:sz w:val="18"/>
          <w:szCs w:val="18"/>
          <w:i w:val="1"/>
          <w:iCs w:val="1"/>
          <w:color w:val="auto"/>
        </w:rPr>
        <w:t>“Our business is very dependent on the price and availability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aircraft fuel. Continued periods of high volatility in fuel costs, increased fuel prices or significant disruptions in the supply of aircraft fuel could have a significant negative impact on consumer demand, our operating results and liquidity” </w:t>
      </w:r>
      <w:r>
        <w:rPr>
          <w:rFonts w:ascii="Arial" w:cs="Arial" w:eastAsia="Arial" w:hAnsi="Arial"/>
          <w:sz w:val="18"/>
          <w:szCs w:val="18"/>
          <w:color w:val="auto"/>
        </w:rPr>
        <w:t>in our 2024 Form 10-K.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Costs</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remain committed to actively managing our cost structure, which we believe is necessary in an industry whose economic prospects are heavily dependent upon two variables we cannot control: general economic conditions and the price of fuel. We continue to focus on initiatives to reengineer our business through the use of digital solutions, process enhancements and procurement transformation and we intend to continue to invest in reengineering our business through the remainder of 2025 and beyond to build an even more efficient airline and continue to manage costs while delivering a better experience for our customers and team.</w:t>
      </w:r>
    </w:p>
    <w:p>
      <w:pPr>
        <w:spacing w:after="0" w:line="125"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Our 2025 first quarter total operating cost per available seat mile (CASM) was 18.34 cents, an increase of 2.9% from 17.82 cents in the first quarter of 2024. The increase in CASM was primarily driven by higher costs for salaries, wages and benefits, regional expenses and certain other operating expenses, offset in part by lower aircraft fuel costs.</w:t>
      </w:r>
    </w:p>
    <w:p>
      <w:pPr>
        <w:spacing w:after="0" w:line="11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Our 2025 first quarter CASM excluding net special items and fuel was 14.54 cents, an increase of 7.8% from 13.49 cents in the first quarter of 2024, which was primarily driven by higher costs for salaries, wages and benefits, regional expenses and certain other operating expenses.</w:t>
      </w:r>
    </w:p>
    <w:p>
      <w:pPr>
        <w:spacing w:after="0" w:line="117"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 xml:space="preserve">For a reconciliation of CASM to CASM excluding net special items and fuel, see </w:t>
      </w:r>
      <w:r>
        <w:rPr>
          <w:rFonts w:ascii="Arial" w:cs="Arial" w:eastAsia="Arial" w:hAnsi="Arial"/>
          <w:sz w:val="18"/>
          <w:szCs w:val="18"/>
          <w:i w:val="1"/>
          <w:iCs w:val="1"/>
          <w:color w:val="auto"/>
        </w:rPr>
        <w:t>“Reconciliation of GAAP to Non-GAAP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Measures” </w:t>
      </w:r>
      <w:r>
        <w:rPr>
          <w:rFonts w:ascii="Arial" w:cs="Arial" w:eastAsia="Arial" w:hAnsi="Arial"/>
          <w:sz w:val="18"/>
          <w:szCs w:val="18"/>
          <w:color w:val="auto"/>
        </w:rPr>
        <w:t>below.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Liquidity</w:t>
      </w:r>
    </w:p>
    <w:p>
      <w:pPr>
        <w:spacing w:after="0" w:line="88"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As of March 31, 2025, we had $10.8 billion in total available liquidity, consisting of $7.5 billion in unrestricted cash and short-term investments, and $3.3 billion in total undrawn capacity under revolving credit and other facilities.</w:t>
      </w:r>
    </w:p>
    <w:p>
      <w:pPr>
        <w:spacing w:after="0" w:line="99"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During the first three months of 2025, we completed the following financing transactions (see Note 5 to AAG’s Condensed Consolidated Financial Statements in Part I, Item 1A for further information on 2025 financing activities):</w:t>
      </w:r>
    </w:p>
    <w:p>
      <w:pPr>
        <w:sectPr>
          <w:pgSz w:w="11900" w:h="16838" w:orient="portrait"/>
          <w:cols w:equalWidth="0" w:num="1">
            <w:col w:w="11240"/>
          </w:cols>
          <w:pgMar w:left="320" w:top="121" w:right="339" w:bottom="1440" w:gutter="0" w:footer="0" w:header="0"/>
        </w:sect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60" w:hanging="328"/>
        <w:spacing w:after="0" w:line="28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amended the AAdvantage term loan credit and guaranty agreement to reduce the applicable interest rate margin and reduce the scheduled quarterly principal amortization amount;</w:t>
      </w:r>
    </w:p>
    <w:p>
      <w:pPr>
        <w:spacing w:after="0" w:line="98"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provided notice to the holders of our 6.50% convertible notes due 2025 (the Convertible Notes) that we will settle our Convertible Notes at their upcoming maturity in cash (including any conversions up to a price per share of AAG common stock of approximately $22.00);</w:t>
      </w:r>
    </w:p>
    <w:p>
      <w:pPr>
        <w:spacing w:after="0" w:line="116"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prepaid $308 million toward portions of the outstanding principal amounts of the 10.75% senior secured IP notes (the IP Notes) and the 10.75% senior secured LGA/DCA notes (LGA/DCA Notes);</w:t>
      </w:r>
    </w:p>
    <w:p>
      <w:pPr>
        <w:spacing w:after="0" w:line="9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prepaid $144 million of the outstanding principal amount of equipment notes issued under an enhanced equipment trust certificate (EETC); and</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issued $368 million of equipment loans and other notes payable in connection with the financing of certain aircraft.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American Eagle Flight 5342</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On January 29, 2025, American Eagle flight 5342 was involved in a fatal accident in Washington, D.C. The Bombardier CRJ 700 aircraft operated by PSA was en route to Washington, D.C. from Wichita, Kansas when it was involved in a midair collision near Ronald Reagan Washington National Airport. We estimate that the accident reduced total operating revenues by approximately $200 million in the first quarter of 2025, of which the impacted revenue is not covered by insurance. American has industry standard insurance coverage for this incident and is continuing to assess the full impact on its business resulting from the accident.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GAAP to Non-GAAP Financial Measures</w:t>
      </w:r>
    </w:p>
    <w:p>
      <w:pPr>
        <w:spacing w:after="0" w:line="8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sometimes use financial measures that are derived from the condensed consolidated financial statements but that are not presented in accordance with accounting principles generally accepted in the U.S. (GAAP) to understand and evaluate our current operating performance and to allow for period-to-period comparisons. We believe these non-GAAP financial measures may also provide useful information to investors and others. These non-GAAP measures may not be comparable to similarly titled non-GAAP measures of other companies, and should be considered in addition to, and not as a substitute for or superior to, any measure of performance, cash flow or liquidity prepared in accordance with GAAP. We are providing a reconciliation of reported non-GAAP financial measures to their comparable financial measures on a GAAP basis.</w:t>
      </w:r>
    </w:p>
    <w:p>
      <w:pPr>
        <w:spacing w:after="0" w:line="129"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following table presents the reconciliation of pre-tax loss (GAAP measure) to pre-tax loss excluding net special items (non-GAAP measure). Management uses this non-GAAP financial measure to evaluate our current operating performance and to allow for period-to-period comparisons. As net special items may vary from period-to-period in nature and amount, the adjustment to exclude net special items allows management an additional tool to understand our core operating performance.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8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3100" w:type="dxa"/>
            <w:vAlign w:val="bottom"/>
            <w:tcBorders>
              <w:bottom w:val="single" w:sz="8" w:color="auto"/>
            </w:tcBorders>
            <w:gridSpan w:val="4"/>
          </w:tcPr>
          <w:p>
            <w:pPr>
              <w:jc w:val="right"/>
              <w:ind w:right="116"/>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7"/>
                <w:szCs w:val="17"/>
                <w:color w:val="auto"/>
              </w:rPr>
            </w:pPr>
          </w:p>
        </w:tc>
      </w:tr>
      <w:tr>
        <w:trPr>
          <w:trHeight w:val="196"/>
        </w:trPr>
        <w:tc>
          <w:tcPr>
            <w:tcW w:w="208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2025</w:t>
            </w: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2024</w:t>
            </w:r>
          </w:p>
        </w:tc>
        <w:tc>
          <w:tcPr>
            <w:tcW w:w="580" w:type="dxa"/>
            <w:vAlign w:val="bottom"/>
            <w:tcBorders>
              <w:bottom w:val="single" w:sz="8" w:color="auto"/>
            </w:tcBorders>
          </w:tcPr>
          <w:p>
            <w:pPr>
              <w:spacing w:after="0"/>
              <w:rPr>
                <w:sz w:val="17"/>
                <w:szCs w:val="17"/>
                <w:color w:val="auto"/>
              </w:rPr>
            </w:pPr>
          </w:p>
        </w:tc>
      </w:tr>
      <w:tr>
        <w:trPr>
          <w:trHeight w:val="196"/>
        </w:trPr>
        <w:tc>
          <w:tcPr>
            <w:tcW w:w="208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900" w:type="dxa"/>
            <w:vAlign w:val="bottom"/>
            <w:gridSpan w:val="3"/>
          </w:tcPr>
          <w:p>
            <w:pPr>
              <w:jc w:val="right"/>
              <w:ind w:right="776"/>
              <w:spacing w:after="0"/>
              <w:rPr>
                <w:sz w:val="20"/>
                <w:szCs w:val="20"/>
                <w:color w:val="auto"/>
              </w:rPr>
            </w:pPr>
            <w:r>
              <w:rPr>
                <w:rFonts w:ascii="Arial" w:cs="Arial" w:eastAsia="Arial" w:hAnsi="Arial"/>
                <w:sz w:val="14"/>
                <w:szCs w:val="14"/>
                <w:b w:val="1"/>
                <w:bCs w:val="1"/>
                <w:color w:val="auto"/>
              </w:rPr>
              <w:t>(In millions)</w:t>
            </w:r>
          </w:p>
        </w:tc>
        <w:tc>
          <w:tcPr>
            <w:tcW w:w="580" w:type="dxa"/>
            <w:vAlign w:val="bottom"/>
          </w:tcPr>
          <w:p>
            <w:pPr>
              <w:spacing w:after="0"/>
              <w:rPr>
                <w:sz w:val="17"/>
                <w:szCs w:val="17"/>
                <w:color w:val="auto"/>
              </w:rPr>
            </w:pPr>
          </w:p>
        </w:tc>
      </w:tr>
      <w:tr>
        <w:trPr>
          <w:trHeight w:val="230"/>
        </w:trPr>
        <w:tc>
          <w:tcPr>
            <w:tcW w:w="75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Reconciliation of Pre-Tax Loss Excluding Net Special Items:</w:t>
            </w:r>
          </w:p>
        </w:tc>
        <w:tc>
          <w:tcPr>
            <w:tcW w:w="12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r>
      <w:tr>
        <w:trPr>
          <w:trHeight w:val="223"/>
        </w:trPr>
        <w:tc>
          <w:tcPr>
            <w:tcW w:w="7560" w:type="dxa"/>
            <w:vAlign w:val="bottom"/>
            <w:gridSpan w:val="2"/>
          </w:tcPr>
          <w:p>
            <w:pPr>
              <w:ind w:left="20"/>
              <w:spacing w:after="0"/>
              <w:rPr>
                <w:sz w:val="20"/>
                <w:szCs w:val="20"/>
                <w:color w:val="auto"/>
              </w:rPr>
            </w:pPr>
            <w:r>
              <w:rPr>
                <w:rFonts w:ascii="Arial" w:cs="Arial" w:eastAsia="Arial" w:hAnsi="Arial"/>
                <w:sz w:val="18"/>
                <w:szCs w:val="18"/>
                <w:color w:val="auto"/>
              </w:rPr>
              <w:t>Pre-tax loss – GAAP</w:t>
            </w:r>
          </w:p>
        </w:tc>
        <w:tc>
          <w:tcPr>
            <w:tcW w:w="1200" w:type="dxa"/>
            <w:vAlign w:val="bottom"/>
          </w:tcPr>
          <w:p>
            <w:pPr>
              <w:jc w:val="right"/>
              <w:ind w:right="999"/>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(648)</w:t>
            </w:r>
          </w:p>
        </w:tc>
        <w:tc>
          <w:tcPr>
            <w:tcW w:w="120" w:type="dxa"/>
            <w:vAlign w:val="bottom"/>
          </w:tcPr>
          <w:p>
            <w:pPr>
              <w:spacing w:after="0"/>
              <w:rPr>
                <w:sz w:val="19"/>
                <w:szCs w:val="19"/>
                <w:color w:val="auto"/>
              </w:rPr>
            </w:pPr>
          </w:p>
        </w:tc>
        <w:tc>
          <w:tcPr>
            <w:tcW w:w="1200" w:type="dxa"/>
            <w:vAlign w:val="bottom"/>
          </w:tcPr>
          <w:p>
            <w:pPr>
              <w:jc w:val="right"/>
              <w:ind w:right="996"/>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(413)</w:t>
            </w:r>
          </w:p>
        </w:tc>
      </w:tr>
      <w:tr>
        <w:trPr>
          <w:trHeight w:val="230"/>
        </w:trPr>
        <w:tc>
          <w:tcPr>
            <w:tcW w:w="75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Pre-tax net special items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1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29"/>
        </w:trPr>
        <w:tc>
          <w:tcPr>
            <w:tcW w:w="7560" w:type="dxa"/>
            <w:vAlign w:val="bottom"/>
            <w:gridSpan w:val="2"/>
          </w:tcPr>
          <w:p>
            <w:pPr>
              <w:ind w:left="360"/>
              <w:spacing w:after="0"/>
              <w:rPr>
                <w:sz w:val="20"/>
                <w:szCs w:val="20"/>
                <w:color w:val="auto"/>
              </w:rPr>
            </w:pPr>
            <w:r>
              <w:rPr>
                <w:rFonts w:ascii="Arial" w:cs="Arial" w:eastAsia="Arial" w:hAnsi="Arial"/>
                <w:sz w:val="18"/>
                <w:szCs w:val="18"/>
                <w:color w:val="auto"/>
              </w:rPr>
              <w:t>Mainline operating special items, net</w:t>
            </w:r>
          </w:p>
        </w:tc>
        <w:tc>
          <w:tcPr>
            <w:tcW w:w="1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7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Nonoperating special items, net</w:t>
            </w:r>
          </w:p>
        </w:tc>
        <w:tc>
          <w:tcPr>
            <w:tcW w:w="12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3"/>
        </w:trPr>
        <w:tc>
          <w:tcPr>
            <w:tcW w:w="75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pre-tax net special items</w:t>
            </w:r>
          </w:p>
        </w:tc>
        <w:tc>
          <w:tcPr>
            <w:tcW w:w="1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r>
      <w:tr>
        <w:trPr>
          <w:trHeight w:val="248"/>
        </w:trPr>
        <w:tc>
          <w:tcPr>
            <w:tcW w:w="7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Pre-tax loss excluding net special items</w:t>
            </w:r>
          </w:p>
        </w:tc>
        <w:tc>
          <w:tcPr>
            <w:tcW w:w="1200" w:type="dxa"/>
            <w:vAlign w:val="bottom"/>
            <w:tcBorders>
              <w:bottom w:val="single" w:sz="8" w:color="auto"/>
            </w:tcBorders>
            <w:shd w:val="clear" w:color="auto" w:fill="CCEEFF"/>
          </w:tcPr>
          <w:p>
            <w:pPr>
              <w:jc w:val="right"/>
              <w:ind w:right="99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2080" w:type="dxa"/>
            <w:vAlign w:val="bottom"/>
            <w:tcBorders>
              <w:bottom w:val="single" w:sz="8" w:color="auto"/>
            </w:tcBorders>
          </w:tcPr>
          <w:p>
            <w:pPr>
              <w:spacing w:after="0"/>
              <w:rPr>
                <w:sz w:val="13"/>
                <w:szCs w:val="13"/>
                <w:color w:val="auto"/>
              </w:rPr>
            </w:pPr>
          </w:p>
        </w:tc>
        <w:tc>
          <w:tcPr>
            <w:tcW w:w="54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8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-1336675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42" w:lineRule="exact"/>
        <w:rPr>
          <w:sz w:val="20"/>
          <w:szCs w:val="20"/>
          <w:color w:val="auto"/>
        </w:rPr>
      </w:pPr>
    </w:p>
    <w:p>
      <w:pPr>
        <w:jc w:val="center"/>
        <w:ind w:left="5520" w:right="600" w:hanging="5512"/>
        <w:spacing w:after="0" w:line="721" w:lineRule="auto"/>
        <w:tabs>
          <w:tab w:leader="none" w:pos="322"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See Note 2 to AAG’s Condensed Consolidated Financial Statements in Part I, Item 1A for further information on net special items.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-281940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Additionally, the table below presents the reconciliation of total operating costs (GAAP measure) to total operating costs excluding net special items and fuel (non-GAAP measure) and CASM to CASM excluding net special items and fuel. Management uses total operating costs excluding net special items and fuel and CASM excluding net special items and fuel to evaluate our current operating performance and for period-to-period comparisons. The price of fuel, over which we have no control, impacts the comparability of period-to-period financial performance. The adjustment to exclude net special items and fuel allows management an additional tool to understand and analyze our non-fuel costs and core operating performance. Amounts may not recalculate due to rounding.</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8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300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Three Months Ended March 31,</w:t>
            </w:r>
          </w:p>
        </w:tc>
        <w:tc>
          <w:tcPr>
            <w:tcW w:w="680" w:type="dxa"/>
            <w:vAlign w:val="bottom"/>
            <w:tcBorders>
              <w:bottom w:val="single" w:sz="8" w:color="auto"/>
            </w:tcBorders>
          </w:tcPr>
          <w:p>
            <w:pPr>
              <w:spacing w:after="0"/>
              <w:rPr>
                <w:sz w:val="17"/>
                <w:szCs w:val="17"/>
                <w:color w:val="auto"/>
              </w:rPr>
            </w:pPr>
          </w:p>
        </w:tc>
      </w:tr>
      <w:tr>
        <w:trPr>
          <w:trHeight w:val="196"/>
        </w:trPr>
        <w:tc>
          <w:tcPr>
            <w:tcW w:w="2080" w:type="dxa"/>
            <w:vAlign w:val="bottom"/>
            <w:tcBorders>
              <w:bottom w:val="single" w:sz="8" w:color="CCEEFF"/>
            </w:tcBorders>
          </w:tcPr>
          <w:p>
            <w:pPr>
              <w:spacing w:after="0"/>
              <w:rPr>
                <w:sz w:val="17"/>
                <w:szCs w:val="17"/>
                <w:color w:val="auto"/>
              </w:rPr>
            </w:pPr>
          </w:p>
        </w:tc>
        <w:tc>
          <w:tcPr>
            <w:tcW w:w="54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80" w:type="dxa"/>
            <w:vAlign w:val="bottom"/>
            <w:tcBorders>
              <w:bottom w:val="single" w:sz="8" w:color="auto"/>
            </w:tcBorders>
          </w:tcPr>
          <w:p>
            <w:pPr>
              <w:spacing w:after="0"/>
              <w:rPr>
                <w:sz w:val="17"/>
                <w:szCs w:val="17"/>
                <w:color w:val="auto"/>
              </w:rPr>
            </w:pPr>
          </w:p>
        </w:tc>
      </w:tr>
      <w:tr>
        <w:trPr>
          <w:trHeight w:val="211"/>
        </w:trPr>
        <w:tc>
          <w:tcPr>
            <w:tcW w:w="75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Reconciliation of CASM Excluding Net Special Items and Fuel:</w:t>
            </w: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195"/>
        </w:trPr>
        <w:tc>
          <w:tcPr>
            <w:tcW w:w="75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30"/>
        </w:trPr>
        <w:tc>
          <w:tcPr>
            <w:tcW w:w="7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expenses – GAAP</w:t>
            </w: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12,821</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12,563</w:t>
            </w:r>
          </w:p>
        </w:tc>
      </w:tr>
      <w:tr>
        <w:trPr>
          <w:trHeight w:val="230"/>
        </w:trPr>
        <w:tc>
          <w:tcPr>
            <w:tcW w:w="75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Operating net special items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9"/>
        </w:trPr>
        <w:tc>
          <w:tcPr>
            <w:tcW w:w="7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Mainline operating special items, net</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75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Aircraft fuel and related taxes</w:t>
            </w:r>
          </w:p>
        </w:tc>
        <w:tc>
          <w:tcPr>
            <w:tcW w:w="1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(2,587)</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(2,980)</w:t>
            </w:r>
          </w:p>
        </w:tc>
      </w:tr>
      <w:tr>
        <w:trPr>
          <w:trHeight w:val="248"/>
        </w:trPr>
        <w:tc>
          <w:tcPr>
            <w:tcW w:w="7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expenses, excluding net special items and fuel</w:t>
            </w:r>
          </w:p>
        </w:tc>
        <w:tc>
          <w:tcPr>
            <w:tcW w:w="112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10,164</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9,513</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8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0"/>
        </w:trPr>
        <w:tc>
          <w:tcPr>
            <w:tcW w:w="7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available seat miles (ASM)</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69,904</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70,516</w:t>
            </w:r>
          </w:p>
        </w:tc>
      </w:tr>
      <w:tr>
        <w:trPr>
          <w:trHeight w:val="202"/>
        </w:trPr>
        <w:tc>
          <w:tcPr>
            <w:tcW w:w="75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cents)</w:t>
            </w:r>
          </w:p>
        </w:tc>
        <w:tc>
          <w:tcPr>
            <w:tcW w:w="1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30"/>
        </w:trPr>
        <w:tc>
          <w:tcPr>
            <w:tcW w:w="7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CASM</w:t>
            </w:r>
          </w:p>
        </w:tc>
        <w:tc>
          <w:tcPr>
            <w:tcW w:w="1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w:t>
            </w:r>
          </w:p>
        </w:tc>
      </w:tr>
      <w:tr>
        <w:trPr>
          <w:trHeight w:val="230"/>
        </w:trPr>
        <w:tc>
          <w:tcPr>
            <w:tcW w:w="75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Operating net special items per ASM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9"/>
        </w:trPr>
        <w:tc>
          <w:tcPr>
            <w:tcW w:w="7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Mainline operating special items, net</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r>
      <w:tr>
        <w:trPr>
          <w:trHeight w:val="229"/>
        </w:trPr>
        <w:tc>
          <w:tcPr>
            <w:tcW w:w="75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Aircraft fuel and related taxes per ASM</w:t>
            </w:r>
          </w:p>
        </w:tc>
        <w:tc>
          <w:tcPr>
            <w:tcW w:w="1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r>
      <w:tr>
        <w:trPr>
          <w:trHeight w:val="248"/>
        </w:trPr>
        <w:tc>
          <w:tcPr>
            <w:tcW w:w="7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CASM, excluding net special items and fuel</w:t>
            </w:r>
          </w:p>
        </w:tc>
        <w:tc>
          <w:tcPr>
            <w:tcW w:w="1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2080" w:type="dxa"/>
            <w:vAlign w:val="bottom"/>
            <w:tcBorders>
              <w:bottom w:val="single" w:sz="8" w:color="auto"/>
            </w:tcBorders>
          </w:tcPr>
          <w:p>
            <w:pPr>
              <w:spacing w:after="0"/>
              <w:rPr>
                <w:sz w:val="11"/>
                <w:szCs w:val="11"/>
                <w:color w:val="auto"/>
              </w:rPr>
            </w:pPr>
          </w:p>
        </w:tc>
        <w:tc>
          <w:tcPr>
            <w:tcW w:w="54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-2365375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56" w:lineRule="exact"/>
        <w:rPr>
          <w:sz w:val="20"/>
          <w:szCs w:val="20"/>
          <w:color w:val="auto"/>
        </w:rPr>
      </w:pPr>
    </w:p>
    <w:p>
      <w:pPr>
        <w:jc w:val="center"/>
        <w:ind w:left="5520" w:right="600" w:hanging="5512"/>
        <w:spacing w:after="0" w:line="721" w:lineRule="auto"/>
        <w:tabs>
          <w:tab w:leader="none" w:pos="322" w:val="left"/>
        </w:tabs>
        <w:numPr>
          <w:ilvl w:val="0"/>
          <w:numId w:val="35"/>
        </w:numPr>
        <w:rPr>
          <w:rFonts w:ascii="Arial" w:cs="Arial" w:eastAsia="Arial" w:hAnsi="Arial"/>
          <w:sz w:val="23"/>
          <w:szCs w:val="23"/>
          <w:color w:val="auto"/>
          <w:vertAlign w:val="superscript"/>
        </w:rPr>
      </w:pPr>
      <w:r>
        <w:rPr>
          <w:rFonts w:ascii="Arial" w:cs="Arial" w:eastAsia="Arial" w:hAnsi="Arial"/>
          <w:sz w:val="18"/>
          <w:szCs w:val="18"/>
          <w:color w:val="auto"/>
        </w:rPr>
        <w:t>See Note 2 to AAG’s Condensed Consolidated Financial Statements in Part I, Item 1A for further information on net special items.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-281940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AAG’s Results of Operations</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Statistics</w:t>
      </w:r>
    </w:p>
    <w:p>
      <w:pPr>
        <w:spacing w:after="0" w:line="129" w:lineRule="exact"/>
        <w:rPr>
          <w:sz w:val="20"/>
          <w:szCs w:val="20"/>
          <w:color w:val="auto"/>
        </w:rPr>
      </w:pPr>
    </w:p>
    <w:p>
      <w:pPr>
        <w:ind w:right="20" w:firstLine="243"/>
        <w:spacing w:after="0" w:line="287" w:lineRule="auto"/>
        <w:rPr>
          <w:sz w:val="20"/>
          <w:szCs w:val="20"/>
          <w:color w:val="auto"/>
        </w:rPr>
      </w:pPr>
      <w:r>
        <w:rPr>
          <w:rFonts w:ascii="Arial" w:cs="Arial" w:eastAsia="Arial" w:hAnsi="Arial"/>
          <w:sz w:val="18"/>
          <w:szCs w:val="18"/>
          <w:color w:val="auto"/>
        </w:rPr>
        <w:t>The table below sets forth selected operating data for the three months ended March 31, 2025 and 2024. Amounts may not recalculate due to rounding.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220" w:type="dxa"/>
            <w:vAlign w:val="bottom"/>
          </w:tcPr>
          <w:p>
            <w:pPr>
              <w:spacing w:after="0"/>
              <w:rPr>
                <w:sz w:val="17"/>
                <w:szCs w:val="17"/>
                <w:color w:val="auto"/>
              </w:rPr>
            </w:pPr>
          </w:p>
        </w:tc>
        <w:tc>
          <w:tcPr>
            <w:tcW w:w="2640" w:type="dxa"/>
            <w:vAlign w:val="bottom"/>
            <w:tcBorders>
              <w:bottom w:val="single" w:sz="8" w:color="auto"/>
            </w:tcBorders>
            <w:gridSpan w:val="3"/>
          </w:tcPr>
          <w:p>
            <w:pPr>
              <w:jc w:val="right"/>
              <w:ind w:right="172"/>
              <w:spacing w:after="0"/>
              <w:rPr>
                <w:sz w:val="20"/>
                <w:szCs w:val="20"/>
                <w:color w:val="auto"/>
              </w:rPr>
            </w:pPr>
            <w:r>
              <w:rPr>
                <w:rFonts w:ascii="Arial" w:cs="Arial" w:eastAsia="Arial" w:hAnsi="Arial"/>
                <w:sz w:val="14"/>
                <w:szCs w:val="14"/>
                <w:b w:val="1"/>
                <w:bCs w:val="1"/>
                <w:color w:val="auto"/>
              </w:rPr>
              <w:t>Three Months Ended March 31,</w:t>
            </w:r>
          </w:p>
        </w:tc>
        <w:tc>
          <w:tcPr>
            <w:tcW w:w="12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Increase</w:t>
            </w:r>
          </w:p>
        </w:tc>
      </w:tr>
      <w:tr>
        <w:trPr>
          <w:trHeight w:val="197"/>
        </w:trPr>
        <w:tc>
          <w:tcPr>
            <w:tcW w:w="722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r>
      <w:tr>
        <w:trPr>
          <w:trHeight w:val="223"/>
        </w:trPr>
        <w:tc>
          <w:tcPr>
            <w:tcW w:w="7220" w:type="dxa"/>
            <w:vAlign w:val="bottom"/>
            <w:shd w:val="clear" w:color="auto" w:fill="CCEEFF"/>
          </w:tcPr>
          <w:p>
            <w:pPr>
              <w:ind w:left="180"/>
              <w:spacing w:after="0" w:line="223" w:lineRule="exact"/>
              <w:rPr>
                <w:sz w:val="20"/>
                <w:szCs w:val="20"/>
                <w:color w:val="auto"/>
              </w:rPr>
            </w:pPr>
            <w:r>
              <w:rPr>
                <w:rFonts w:ascii="Arial" w:cs="Arial" w:eastAsia="Arial" w:hAnsi="Arial"/>
                <w:sz w:val="18"/>
                <w:szCs w:val="18"/>
                <w:color w:val="auto"/>
              </w:rPr>
              <w:t xml:space="preserve">Revenue passenger miles (millions) </w:t>
            </w:r>
            <w:r>
              <w:rPr>
                <w:rFonts w:ascii="Arial" w:cs="Arial" w:eastAsia="Arial" w:hAnsi="Arial"/>
                <w:sz w:val="23"/>
                <w:szCs w:val="23"/>
                <w:color w:val="auto"/>
                <w:vertAlign w:val="superscript"/>
              </w:rPr>
              <w:t>(a)</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56,356</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57,473</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(1.9)%</w:t>
            </w:r>
          </w:p>
        </w:tc>
      </w:tr>
      <w:tr>
        <w:trPr>
          <w:trHeight w:val="229"/>
        </w:trPr>
        <w:tc>
          <w:tcPr>
            <w:tcW w:w="722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Available seat miles (millions) </w:t>
            </w:r>
            <w:r>
              <w:rPr>
                <w:rFonts w:ascii="Arial" w:cs="Arial" w:eastAsia="Arial" w:hAnsi="Arial"/>
                <w:sz w:val="23"/>
                <w:szCs w:val="23"/>
                <w:color w:val="auto"/>
                <w:vertAlign w:val="superscript"/>
              </w:rPr>
              <w:t>(b)</w:t>
            </w:r>
          </w:p>
        </w:tc>
        <w:tc>
          <w:tcPr>
            <w:tcW w:w="1260" w:type="dxa"/>
            <w:vAlign w:val="bottom"/>
          </w:tcPr>
          <w:p>
            <w:pPr>
              <w:jc w:val="right"/>
              <w:spacing w:after="0"/>
              <w:rPr>
                <w:sz w:val="20"/>
                <w:szCs w:val="20"/>
                <w:color w:val="auto"/>
              </w:rPr>
            </w:pPr>
            <w:r>
              <w:rPr>
                <w:rFonts w:ascii="Arial" w:cs="Arial" w:eastAsia="Arial" w:hAnsi="Arial"/>
                <w:sz w:val="18"/>
                <w:szCs w:val="18"/>
                <w:color w:val="auto"/>
              </w:rPr>
              <w:t>69,904</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70,516</w:t>
            </w:r>
          </w:p>
        </w:tc>
        <w:tc>
          <w:tcPr>
            <w:tcW w:w="1380" w:type="dxa"/>
            <w:vAlign w:val="bottom"/>
            <w:gridSpan w:val="2"/>
          </w:tcPr>
          <w:p>
            <w:pPr>
              <w:jc w:val="center"/>
              <w:ind w:left="30"/>
              <w:spacing w:after="0"/>
              <w:rPr>
                <w:sz w:val="20"/>
                <w:szCs w:val="20"/>
                <w:color w:val="auto"/>
              </w:rPr>
            </w:pPr>
            <w:r>
              <w:rPr>
                <w:rFonts w:ascii="Arial" w:cs="Arial" w:eastAsia="Arial" w:hAnsi="Arial"/>
                <w:sz w:val="18"/>
                <w:szCs w:val="18"/>
                <w:color w:val="auto"/>
              </w:rPr>
              <w:t>(0.9)%</w:t>
            </w:r>
          </w:p>
        </w:tc>
      </w:tr>
      <w:tr>
        <w:trPr>
          <w:trHeight w:val="230"/>
        </w:trPr>
        <w:tc>
          <w:tcPr>
            <w:tcW w:w="722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Passenger load factor (percent) </w:t>
            </w:r>
            <w:r>
              <w:rPr>
                <w:rFonts w:ascii="Arial" w:cs="Arial" w:eastAsia="Arial" w:hAnsi="Arial"/>
                <w:sz w:val="23"/>
                <w:szCs w:val="23"/>
                <w:color w:val="auto"/>
                <w:vertAlign w:val="superscript"/>
              </w:rPr>
              <w:t>(c)</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(0.9)pts</w:t>
            </w:r>
          </w:p>
        </w:tc>
      </w:tr>
      <w:tr>
        <w:trPr>
          <w:trHeight w:val="229"/>
        </w:trPr>
        <w:tc>
          <w:tcPr>
            <w:tcW w:w="722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Yield (cents) </w:t>
            </w:r>
            <w:r>
              <w:rPr>
                <w:rFonts w:ascii="Arial" w:cs="Arial" w:eastAsia="Arial" w:hAnsi="Arial"/>
                <w:sz w:val="23"/>
                <w:szCs w:val="23"/>
                <w:color w:val="auto"/>
                <w:vertAlign w:val="superscript"/>
              </w:rPr>
              <w:t>(d)</w:t>
            </w:r>
          </w:p>
        </w:tc>
        <w:tc>
          <w:tcPr>
            <w:tcW w:w="1260" w:type="dxa"/>
            <w:vAlign w:val="bottom"/>
          </w:tcPr>
          <w:p>
            <w:pPr>
              <w:jc w:val="right"/>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19.94</w:t>
            </w:r>
          </w:p>
        </w:tc>
        <w:tc>
          <w:tcPr>
            <w:tcW w:w="1380" w:type="dxa"/>
            <w:vAlign w:val="bottom"/>
            <w:gridSpan w:val="2"/>
          </w:tcPr>
          <w:p>
            <w:pPr>
              <w:jc w:val="center"/>
              <w:ind w:left="30"/>
              <w:spacing w:after="0"/>
              <w:rPr>
                <w:sz w:val="20"/>
                <w:szCs w:val="20"/>
                <w:color w:val="auto"/>
              </w:rPr>
            </w:pPr>
            <w:r>
              <w:rPr>
                <w:rFonts w:ascii="Arial" w:cs="Arial" w:eastAsia="Arial" w:hAnsi="Arial"/>
                <w:sz w:val="18"/>
                <w:szCs w:val="18"/>
                <w:color w:val="auto"/>
              </w:rPr>
              <w:t>1.4%</w:t>
            </w:r>
          </w:p>
        </w:tc>
      </w:tr>
      <w:tr>
        <w:trPr>
          <w:trHeight w:val="230"/>
        </w:trPr>
        <w:tc>
          <w:tcPr>
            <w:tcW w:w="722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Passenger revenue per available seat mile (cents) </w:t>
            </w:r>
            <w:r>
              <w:rPr>
                <w:rFonts w:ascii="Arial" w:cs="Arial" w:eastAsia="Arial" w:hAnsi="Arial"/>
                <w:sz w:val="23"/>
                <w:szCs w:val="23"/>
                <w:color w:val="auto"/>
                <w:vertAlign w:val="superscript"/>
              </w:rPr>
              <w:t>(e)</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13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0.3%</w:t>
            </w:r>
          </w:p>
        </w:tc>
      </w:tr>
      <w:tr>
        <w:trPr>
          <w:trHeight w:val="229"/>
        </w:trPr>
        <w:tc>
          <w:tcPr>
            <w:tcW w:w="722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Total revenue per available seat mile (cents) </w:t>
            </w:r>
            <w:r>
              <w:rPr>
                <w:rFonts w:ascii="Arial" w:cs="Arial" w:eastAsia="Arial" w:hAnsi="Arial"/>
                <w:sz w:val="23"/>
                <w:szCs w:val="23"/>
                <w:color w:val="auto"/>
                <w:vertAlign w:val="superscript"/>
              </w:rPr>
              <w:t>(f)</w:t>
            </w:r>
          </w:p>
        </w:tc>
        <w:tc>
          <w:tcPr>
            <w:tcW w:w="1260" w:type="dxa"/>
            <w:vAlign w:val="bottom"/>
          </w:tcPr>
          <w:p>
            <w:pPr>
              <w:jc w:val="right"/>
              <w:spacing w:after="0"/>
              <w:rPr>
                <w:sz w:val="20"/>
                <w:szCs w:val="20"/>
                <w:color w:val="auto"/>
              </w:rPr>
            </w:pPr>
            <w:r>
              <w:rPr>
                <w:rFonts w:ascii="Arial" w:cs="Arial" w:eastAsia="Arial" w:hAnsi="Arial"/>
                <w:sz w:val="18"/>
                <w:szCs w:val="18"/>
                <w:color w:val="auto"/>
              </w:rPr>
              <w:t>17.95</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17.83</w:t>
            </w:r>
          </w:p>
        </w:tc>
        <w:tc>
          <w:tcPr>
            <w:tcW w:w="1380" w:type="dxa"/>
            <w:vAlign w:val="bottom"/>
            <w:gridSpan w:val="2"/>
          </w:tcPr>
          <w:p>
            <w:pPr>
              <w:jc w:val="center"/>
              <w:ind w:left="30"/>
              <w:spacing w:after="0"/>
              <w:rPr>
                <w:sz w:val="20"/>
                <w:szCs w:val="20"/>
                <w:color w:val="auto"/>
              </w:rPr>
            </w:pPr>
            <w:r>
              <w:rPr>
                <w:rFonts w:ascii="Arial" w:cs="Arial" w:eastAsia="Arial" w:hAnsi="Arial"/>
                <w:sz w:val="18"/>
                <w:szCs w:val="18"/>
                <w:color w:val="auto"/>
              </w:rPr>
              <w:t>0.7%</w:t>
            </w:r>
          </w:p>
        </w:tc>
      </w:tr>
      <w:tr>
        <w:trPr>
          <w:trHeight w:val="229"/>
        </w:trPr>
        <w:tc>
          <w:tcPr>
            <w:tcW w:w="7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Fuel consumption (gallons in millions)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13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0.1%</w:t>
            </w:r>
          </w:p>
        </w:tc>
      </w:tr>
      <w:tr>
        <w:trPr>
          <w:trHeight w:val="230"/>
        </w:trPr>
        <w:tc>
          <w:tcPr>
            <w:tcW w:w="7220" w:type="dxa"/>
            <w:vAlign w:val="bottom"/>
          </w:tcPr>
          <w:p>
            <w:pPr>
              <w:ind w:left="180"/>
              <w:spacing w:after="0"/>
              <w:rPr>
                <w:sz w:val="20"/>
                <w:szCs w:val="20"/>
                <w:color w:val="auto"/>
              </w:rPr>
            </w:pPr>
            <w:r>
              <w:rPr>
                <w:rFonts w:ascii="Arial" w:cs="Arial" w:eastAsia="Arial" w:hAnsi="Arial"/>
                <w:sz w:val="18"/>
                <w:szCs w:val="18"/>
                <w:color w:val="auto"/>
              </w:rPr>
              <w:t>Average aircraft fuel price including related taxes (dollars per gallon)</w:t>
            </w:r>
          </w:p>
        </w:tc>
        <w:tc>
          <w:tcPr>
            <w:tcW w:w="1260" w:type="dxa"/>
            <w:vAlign w:val="bottom"/>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2.86</w:t>
            </w:r>
          </w:p>
        </w:tc>
        <w:tc>
          <w:tcPr>
            <w:tcW w:w="1380" w:type="dxa"/>
            <w:vAlign w:val="bottom"/>
            <w:gridSpan w:val="2"/>
          </w:tcPr>
          <w:p>
            <w:pPr>
              <w:jc w:val="center"/>
              <w:ind w:left="30"/>
              <w:spacing w:after="0"/>
              <w:rPr>
                <w:sz w:val="20"/>
                <w:szCs w:val="20"/>
                <w:color w:val="auto"/>
              </w:rPr>
            </w:pPr>
            <w:r>
              <w:rPr>
                <w:rFonts w:ascii="Arial" w:cs="Arial" w:eastAsia="Arial" w:hAnsi="Arial"/>
                <w:sz w:val="18"/>
                <w:szCs w:val="18"/>
                <w:color w:val="auto"/>
                <w:w w:val="98"/>
              </w:rPr>
              <w:t>(13.3)%</w:t>
            </w:r>
          </w:p>
        </w:tc>
      </w:tr>
      <w:tr>
        <w:trPr>
          <w:trHeight w:val="229"/>
        </w:trPr>
        <w:tc>
          <w:tcPr>
            <w:tcW w:w="722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Total operating cost per available seat mile (cents) </w:t>
            </w:r>
            <w:r>
              <w:rPr>
                <w:rFonts w:ascii="Arial" w:cs="Arial" w:eastAsia="Arial" w:hAnsi="Arial"/>
                <w:sz w:val="23"/>
                <w:szCs w:val="23"/>
                <w:color w:val="auto"/>
                <w:vertAlign w:val="superscript"/>
              </w:rPr>
              <w:t>(g)</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13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2.9%</w:t>
            </w:r>
          </w:p>
        </w:tc>
      </w:tr>
      <w:tr>
        <w:trPr>
          <w:trHeight w:val="229"/>
        </w:trPr>
        <w:tc>
          <w:tcPr>
            <w:tcW w:w="722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Aircraft at end of period </w:t>
            </w:r>
            <w:r>
              <w:rPr>
                <w:rFonts w:ascii="Arial" w:cs="Arial" w:eastAsia="Arial" w:hAnsi="Arial"/>
                <w:sz w:val="23"/>
                <w:szCs w:val="23"/>
                <w:color w:val="auto"/>
                <w:vertAlign w:val="superscript"/>
              </w:rPr>
              <w:t>(h)</w:t>
            </w:r>
          </w:p>
        </w:tc>
        <w:tc>
          <w:tcPr>
            <w:tcW w:w="1260" w:type="dxa"/>
            <w:vAlign w:val="bottom"/>
          </w:tcPr>
          <w:p>
            <w:pPr>
              <w:jc w:val="right"/>
              <w:spacing w:after="0"/>
              <w:rPr>
                <w:sz w:val="20"/>
                <w:szCs w:val="20"/>
                <w:color w:val="auto"/>
              </w:rPr>
            </w:pPr>
            <w:r>
              <w:rPr>
                <w:rFonts w:ascii="Arial" w:cs="Arial" w:eastAsia="Arial" w:hAnsi="Arial"/>
                <w:sz w:val="18"/>
                <w:szCs w:val="18"/>
                <w:color w:val="auto"/>
              </w:rPr>
              <w:t>1,552</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1,517</w:t>
            </w:r>
          </w:p>
        </w:tc>
        <w:tc>
          <w:tcPr>
            <w:tcW w:w="1380" w:type="dxa"/>
            <w:vAlign w:val="bottom"/>
            <w:gridSpan w:val="2"/>
          </w:tcPr>
          <w:p>
            <w:pPr>
              <w:jc w:val="center"/>
              <w:ind w:left="30"/>
              <w:spacing w:after="0"/>
              <w:rPr>
                <w:sz w:val="20"/>
                <w:szCs w:val="20"/>
                <w:color w:val="auto"/>
              </w:rPr>
            </w:pPr>
            <w:r>
              <w:rPr>
                <w:rFonts w:ascii="Arial" w:cs="Arial" w:eastAsia="Arial" w:hAnsi="Arial"/>
                <w:sz w:val="18"/>
                <w:szCs w:val="18"/>
                <w:color w:val="auto"/>
              </w:rPr>
              <w:t>2.3%</w:t>
            </w:r>
          </w:p>
        </w:tc>
      </w:tr>
      <w:tr>
        <w:trPr>
          <w:trHeight w:val="230"/>
        </w:trPr>
        <w:tc>
          <w:tcPr>
            <w:tcW w:w="7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Full-time equivalent employees at end of period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133,100</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132,800</w:t>
            </w:r>
          </w:p>
        </w:tc>
        <w:tc>
          <w:tcPr>
            <w:tcW w:w="13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112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19" w:lineRule="exact"/>
        <w:rPr>
          <w:sz w:val="20"/>
          <w:szCs w:val="20"/>
          <w:color w:val="auto"/>
        </w:rPr>
      </w:pPr>
    </w:p>
    <w:p>
      <w:pPr>
        <w:ind w:left="320" w:hanging="312"/>
        <w:spacing w:after="0"/>
        <w:tabs>
          <w:tab w:leader="none" w:pos="320" w:val="left"/>
        </w:tabs>
        <w:numPr>
          <w:ilvl w:val="0"/>
          <w:numId w:val="36"/>
        </w:numPr>
        <w:rPr>
          <w:rFonts w:ascii="Arial" w:cs="Arial" w:eastAsia="Arial" w:hAnsi="Arial"/>
          <w:sz w:val="23"/>
          <w:szCs w:val="23"/>
          <w:color w:val="auto"/>
          <w:vertAlign w:val="superscript"/>
        </w:rPr>
      </w:pPr>
      <w:r>
        <w:rPr>
          <w:rFonts w:ascii="Arial" w:cs="Arial" w:eastAsia="Arial" w:hAnsi="Arial"/>
          <w:sz w:val="18"/>
          <w:szCs w:val="18"/>
          <w:color w:val="auto"/>
        </w:rPr>
        <w:t>Revenue passenger mile (RPM) – A basic measure of sales volume. One RPM represents one passenger flown one mile.</w:t>
      </w:r>
    </w:p>
    <w:p>
      <w:pPr>
        <w:spacing w:after="0" w:line="113"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6"/>
        </w:numPr>
        <w:rPr>
          <w:rFonts w:ascii="Arial" w:cs="Arial" w:eastAsia="Arial" w:hAnsi="Arial"/>
          <w:sz w:val="23"/>
          <w:szCs w:val="23"/>
          <w:color w:val="auto"/>
          <w:vertAlign w:val="superscript"/>
        </w:rPr>
      </w:pPr>
      <w:r>
        <w:rPr>
          <w:rFonts w:ascii="Arial" w:cs="Arial" w:eastAsia="Arial" w:hAnsi="Arial"/>
          <w:sz w:val="18"/>
          <w:szCs w:val="18"/>
          <w:color w:val="auto"/>
        </w:rPr>
        <w:t>Available seat mile (ASM) – A basic measure of production. One ASM represents one seat flown one mile.</w:t>
      </w:r>
    </w:p>
    <w:p>
      <w:pPr>
        <w:spacing w:after="0" w:line="113"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6"/>
        </w:numPr>
        <w:rPr>
          <w:rFonts w:ascii="Arial" w:cs="Arial" w:eastAsia="Arial" w:hAnsi="Arial"/>
          <w:sz w:val="23"/>
          <w:szCs w:val="23"/>
          <w:color w:val="auto"/>
          <w:vertAlign w:val="superscript"/>
        </w:rPr>
      </w:pPr>
      <w:r>
        <w:rPr>
          <w:rFonts w:ascii="Arial" w:cs="Arial" w:eastAsia="Arial" w:hAnsi="Arial"/>
          <w:sz w:val="18"/>
          <w:szCs w:val="18"/>
          <w:color w:val="auto"/>
        </w:rPr>
        <w:t>Passenger load factor – The percentage of available seats that are filled with revenue passengers.</w:t>
      </w:r>
    </w:p>
    <w:p>
      <w:pPr>
        <w:spacing w:after="0" w:line="113"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6"/>
        </w:numPr>
        <w:rPr>
          <w:rFonts w:ascii="Arial" w:cs="Arial" w:eastAsia="Arial" w:hAnsi="Arial"/>
          <w:sz w:val="23"/>
          <w:szCs w:val="23"/>
          <w:color w:val="auto"/>
          <w:vertAlign w:val="superscript"/>
        </w:rPr>
      </w:pPr>
      <w:r>
        <w:rPr>
          <w:rFonts w:ascii="Arial" w:cs="Arial" w:eastAsia="Arial" w:hAnsi="Arial"/>
          <w:sz w:val="18"/>
          <w:szCs w:val="18"/>
          <w:color w:val="auto"/>
        </w:rPr>
        <w:t>Yield – A measure of airline revenue derived by dividing passenger revenue by RPMs.</w:t>
      </w:r>
    </w:p>
    <w:p>
      <w:pPr>
        <w:spacing w:after="0" w:line="113"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6"/>
        </w:numPr>
        <w:rPr>
          <w:rFonts w:ascii="Arial" w:cs="Arial" w:eastAsia="Arial" w:hAnsi="Arial"/>
          <w:sz w:val="23"/>
          <w:szCs w:val="23"/>
          <w:color w:val="auto"/>
          <w:vertAlign w:val="superscript"/>
        </w:rPr>
      </w:pPr>
      <w:r>
        <w:rPr>
          <w:rFonts w:ascii="Arial" w:cs="Arial" w:eastAsia="Arial" w:hAnsi="Arial"/>
          <w:sz w:val="18"/>
          <w:szCs w:val="18"/>
          <w:color w:val="auto"/>
        </w:rPr>
        <w:t>Passenger revenue per available seat mile (PRASM) – Passenger revenue divided by ASMs.</w:t>
      </w:r>
    </w:p>
    <w:p>
      <w:pPr>
        <w:spacing w:after="0" w:line="113"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6"/>
        </w:numPr>
        <w:rPr>
          <w:rFonts w:ascii="Arial" w:cs="Arial" w:eastAsia="Arial" w:hAnsi="Arial"/>
          <w:sz w:val="23"/>
          <w:szCs w:val="23"/>
          <w:color w:val="auto"/>
          <w:vertAlign w:val="superscript"/>
        </w:rPr>
      </w:pPr>
      <w:r>
        <w:rPr>
          <w:rFonts w:ascii="Arial" w:cs="Arial" w:eastAsia="Arial" w:hAnsi="Arial"/>
          <w:sz w:val="18"/>
          <w:szCs w:val="18"/>
          <w:color w:val="auto"/>
        </w:rPr>
        <w:t>Total revenue per available seat mile (TRASM) – Total revenues divided by ASMs.</w:t>
      </w:r>
    </w:p>
    <w:p>
      <w:pPr>
        <w:spacing w:after="0" w:line="113"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6"/>
        </w:numPr>
        <w:rPr>
          <w:rFonts w:ascii="Arial" w:cs="Arial" w:eastAsia="Arial" w:hAnsi="Arial"/>
          <w:sz w:val="23"/>
          <w:szCs w:val="23"/>
          <w:color w:val="auto"/>
          <w:vertAlign w:val="superscript"/>
        </w:rPr>
      </w:pPr>
      <w:r>
        <w:rPr>
          <w:rFonts w:ascii="Arial" w:cs="Arial" w:eastAsia="Arial" w:hAnsi="Arial"/>
          <w:sz w:val="18"/>
          <w:szCs w:val="18"/>
          <w:color w:val="auto"/>
        </w:rPr>
        <w:t>Total operating cost per available seat mile (CASM) – Total operating expenses divided by ASMs.</w:t>
      </w:r>
    </w:p>
    <w:p>
      <w:pPr>
        <w:spacing w:after="0" w:line="139" w:lineRule="exact"/>
        <w:rPr>
          <w:rFonts w:ascii="Arial" w:cs="Arial" w:eastAsia="Arial" w:hAnsi="Arial"/>
          <w:sz w:val="23"/>
          <w:szCs w:val="23"/>
          <w:color w:val="auto"/>
          <w:vertAlign w:val="superscript"/>
        </w:rPr>
      </w:pPr>
    </w:p>
    <w:p>
      <w:pPr>
        <w:jc w:val="both"/>
        <w:ind w:left="340" w:hanging="332"/>
        <w:spacing w:after="0" w:line="237" w:lineRule="auto"/>
        <w:tabs>
          <w:tab w:leader="none" w:pos="334" w:val="left"/>
        </w:tabs>
        <w:numPr>
          <w:ilvl w:val="0"/>
          <w:numId w:val="36"/>
        </w:numPr>
        <w:rPr>
          <w:rFonts w:ascii="Arial" w:cs="Arial" w:eastAsia="Arial" w:hAnsi="Arial"/>
          <w:sz w:val="23"/>
          <w:szCs w:val="23"/>
          <w:color w:val="auto"/>
          <w:vertAlign w:val="superscript"/>
        </w:rPr>
      </w:pPr>
      <w:r>
        <w:rPr>
          <w:rFonts w:ascii="Arial" w:cs="Arial" w:eastAsia="Arial" w:hAnsi="Arial"/>
          <w:sz w:val="18"/>
          <w:szCs w:val="18"/>
          <w:color w:val="auto"/>
        </w:rPr>
        <w:t>Includes aircraft owned and leased by American as well as aircraft operated by third-party regional carriers under capacity purchase agreements. Excluded from the aircraft count above are six regional aircraft in temporary storage as of March 31, 2025 as follows: four Bombardier CRJ 900 and two Embraer 145.</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2025 Compared to Three Months Ended March 31, 2024</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4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500" w:type="dxa"/>
            <w:vAlign w:val="bottom"/>
          </w:tcPr>
          <w:p>
            <w:pPr>
              <w:jc w:val="center"/>
              <w:ind w:left="19"/>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54"/>
        </w:trPr>
        <w:tc>
          <w:tcPr>
            <w:tcW w:w="534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500" w:type="dxa"/>
            <w:vAlign w:val="bottom"/>
            <w:vMerge w:val="restart"/>
          </w:tcPr>
          <w:p>
            <w:pPr>
              <w:jc w:val="center"/>
              <w:ind w:left="39"/>
              <w:spacing w:after="0" w:line="108" w:lineRule="exact"/>
              <w:rPr>
                <w:sz w:val="20"/>
                <w:szCs w:val="20"/>
                <w:color w:val="auto"/>
              </w:rPr>
            </w:pPr>
            <w:r>
              <w:rPr>
                <w:rFonts w:ascii="Arial" w:cs="Arial" w:eastAsia="Arial" w:hAnsi="Arial"/>
                <w:sz w:val="12"/>
                <w:szCs w:val="12"/>
                <w:b w:val="1"/>
                <w:bCs w:val="1"/>
                <w:color w:val="auto"/>
              </w:rPr>
              <w:t>Increase</w:t>
            </w:r>
          </w:p>
        </w:tc>
        <w:tc>
          <w:tcPr>
            <w:tcW w:w="0" w:type="dxa"/>
            <w:vAlign w:val="bottom"/>
          </w:tcPr>
          <w:p>
            <w:pPr>
              <w:spacing w:after="0"/>
              <w:rPr>
                <w:sz w:val="1"/>
                <w:szCs w:val="1"/>
                <w:color w:val="auto"/>
              </w:rPr>
            </w:pPr>
          </w:p>
        </w:tc>
      </w:tr>
      <w:tr>
        <w:trPr>
          <w:trHeight w:val="34"/>
        </w:trPr>
        <w:tc>
          <w:tcPr>
            <w:tcW w:w="5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vMerge w:val="restart"/>
          </w:tcPr>
          <w:p>
            <w:pPr>
              <w:jc w:val="right"/>
              <w:ind w:right="456"/>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2"/>
                <w:szCs w:val="2"/>
                <w:color w:val="auto"/>
              </w:rPr>
            </w:pPr>
          </w:p>
        </w:tc>
        <w:tc>
          <w:tcPr>
            <w:tcW w:w="14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Increase (Decrease)</w:t>
            </w:r>
          </w:p>
        </w:tc>
        <w:tc>
          <w:tcPr>
            <w:tcW w:w="15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1500" w:type="dxa"/>
            <w:vAlign w:val="bottom"/>
            <w:tcBorders>
              <w:bottom w:val="single" w:sz="8" w:color="auto"/>
            </w:tcBorders>
          </w:tcPr>
          <w:p>
            <w:pPr>
              <w:jc w:val="center"/>
              <w:ind w:left="39"/>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0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millions, except percentage changes)</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11,458</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500" w:type="dxa"/>
            <w:vAlign w:val="bottom"/>
            <w:shd w:val="clear" w:color="auto" w:fill="CCEEFF"/>
          </w:tcPr>
          <w:p>
            <w:pPr>
              <w:jc w:val="right"/>
              <w:ind w:right="439"/>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9"/>
        </w:trPr>
        <w:tc>
          <w:tcPr>
            <w:tcW w:w="5340" w:type="dxa"/>
            <w:vAlign w:val="bottom"/>
          </w:tcPr>
          <w:p>
            <w:pPr>
              <w:ind w:left="20"/>
              <w:spacing w:after="0"/>
              <w:rPr>
                <w:sz w:val="20"/>
                <w:szCs w:val="20"/>
                <w:color w:val="auto"/>
              </w:rPr>
            </w:pPr>
            <w:r>
              <w:rPr>
                <w:rFonts w:ascii="Arial" w:cs="Arial" w:eastAsia="Arial" w:hAnsi="Arial"/>
                <w:sz w:val="18"/>
                <w:szCs w:val="18"/>
                <w:color w:val="auto"/>
              </w:rPr>
              <w:t>Cargo</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1500" w:type="dxa"/>
            <w:vAlign w:val="bottom"/>
          </w:tcPr>
          <w:p>
            <w:pPr>
              <w:jc w:val="right"/>
              <w:ind w:right="499"/>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50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3"/>
        </w:trPr>
        <w:tc>
          <w:tcPr>
            <w:tcW w:w="5340" w:type="dxa"/>
            <w:vAlign w:val="bottom"/>
          </w:tcPr>
          <w:p>
            <w:pPr>
              <w:ind w:left="140"/>
              <w:spacing w:after="0"/>
              <w:rPr>
                <w:sz w:val="20"/>
                <w:szCs w:val="20"/>
                <w:color w:val="auto"/>
              </w:rPr>
            </w:pPr>
            <w:r>
              <w:rPr>
                <w:rFonts w:ascii="Arial" w:cs="Arial" w:eastAsia="Arial" w:hAnsi="Arial"/>
                <w:sz w:val="18"/>
                <w:szCs w:val="18"/>
                <w:color w:val="auto"/>
              </w:rPr>
              <w:t>Total operating revenues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12,570</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7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500" w:type="dxa"/>
            <w:vAlign w:val="bottom"/>
          </w:tcPr>
          <w:p>
            <w:pPr>
              <w:jc w:val="right"/>
              <w:ind w:right="439"/>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
        </w:trPr>
        <w:tc>
          <w:tcPr>
            <w:tcW w:w="5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-762635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-762635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-762635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This table presents our passenger revenue and the period-over-period change in certain operating statistics: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gridSpan w:val="4"/>
          </w:tcPr>
          <w:p>
            <w:pPr>
              <w:ind w:left="20"/>
              <w:spacing w:after="0"/>
              <w:rPr>
                <w:sz w:val="20"/>
                <w:szCs w:val="20"/>
                <w:color w:val="auto"/>
              </w:rPr>
            </w:pPr>
            <w:r>
              <w:rPr>
                <w:rFonts w:ascii="Arial" w:cs="Arial" w:eastAsia="Arial" w:hAnsi="Arial"/>
                <w:sz w:val="14"/>
                <w:szCs w:val="14"/>
                <w:b w:val="1"/>
                <w:bCs w:val="1"/>
                <w:color w:val="auto"/>
              </w:rPr>
              <w:t>Increase (Decrease)</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7"/>
          </w:tcPr>
          <w:p>
            <w:pPr>
              <w:ind w:left="240"/>
              <w:spacing w:after="0"/>
              <w:rPr>
                <w:sz w:val="20"/>
                <w:szCs w:val="20"/>
                <w:color w:val="auto"/>
              </w:rPr>
            </w:pPr>
            <w:r>
              <w:rPr>
                <w:rFonts w:ascii="Arial" w:cs="Arial" w:eastAsia="Arial" w:hAnsi="Arial"/>
                <w:sz w:val="14"/>
                <w:szCs w:val="14"/>
                <w:b w:val="1"/>
                <w:bCs w:val="1"/>
                <w:color w:val="auto"/>
              </w:rPr>
              <w:t>vs. Three Months Ended March 31, 2024</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Three Months Ended</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RPMs</w:t>
            </w:r>
          </w:p>
        </w:tc>
        <w:tc>
          <w:tcPr>
            <w:tcW w:w="100" w:type="dxa"/>
            <w:vAlign w:val="bottom"/>
            <w:vMerge w:val="restart"/>
          </w:tcPr>
          <w:p>
            <w:pPr>
              <w:spacing w:after="0"/>
              <w:rPr>
                <w:sz w:val="12"/>
                <w:szCs w:val="12"/>
                <w:color w:val="auto"/>
              </w:rPr>
            </w:pPr>
          </w:p>
        </w:tc>
        <w:tc>
          <w:tcPr>
            <w:tcW w:w="90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ASMs</w:t>
            </w:r>
          </w:p>
        </w:tc>
        <w:tc>
          <w:tcPr>
            <w:tcW w:w="100" w:type="dxa"/>
            <w:vAlign w:val="bottom"/>
          </w:tcPr>
          <w:p>
            <w:pPr>
              <w:spacing w:after="0"/>
              <w:rPr>
                <w:sz w:val="12"/>
                <w:szCs w:val="12"/>
                <w:color w:val="auto"/>
              </w:rPr>
            </w:pPr>
          </w:p>
        </w:tc>
        <w:tc>
          <w:tcPr>
            <w:tcW w:w="1280" w:type="dxa"/>
            <w:vAlign w:val="bottom"/>
            <w:gridSpan w:val="3"/>
          </w:tcPr>
          <w:p>
            <w:pPr>
              <w:jc w:val="center"/>
              <w:ind w:right="260"/>
              <w:spacing w:after="0" w:line="142" w:lineRule="exact"/>
              <w:rPr>
                <w:sz w:val="20"/>
                <w:szCs w:val="20"/>
                <w:color w:val="auto"/>
              </w:rPr>
            </w:pPr>
            <w:r>
              <w:rPr>
                <w:rFonts w:ascii="Arial" w:cs="Arial" w:eastAsia="Arial" w:hAnsi="Arial"/>
                <w:sz w:val="14"/>
                <w:szCs w:val="14"/>
                <w:b w:val="1"/>
                <w:bCs w:val="1"/>
                <w:color w:val="auto"/>
              </w:rPr>
              <w:t>Load</w:t>
            </w:r>
          </w:p>
        </w:tc>
        <w:tc>
          <w:tcPr>
            <w:tcW w:w="100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Passenger</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PRASM</w:t>
            </w:r>
          </w:p>
        </w:tc>
        <w:tc>
          <w:tcPr>
            <w:tcW w:w="0" w:type="dxa"/>
            <w:vAlign w:val="bottom"/>
          </w:tcPr>
          <w:p>
            <w:pPr>
              <w:spacing w:after="0"/>
              <w:rPr>
                <w:sz w:val="1"/>
                <w:szCs w:val="1"/>
                <w:color w:val="auto"/>
              </w:rPr>
            </w:pPr>
          </w:p>
        </w:tc>
      </w:tr>
      <w:tr>
        <w:trPr>
          <w:trHeight w:val="189"/>
        </w:trPr>
        <w:tc>
          <w:tcPr>
            <w:tcW w:w="4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March 31, 2025</w:t>
            </w:r>
          </w:p>
        </w:tc>
        <w:tc>
          <w:tcPr>
            <w:tcW w:w="10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Factor</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rPr>
              <w:t>Yield</w:t>
            </w:r>
          </w:p>
        </w:tc>
        <w:tc>
          <w:tcPr>
            <w:tcW w:w="10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11,391</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center"/>
              <w:ind w:right="260"/>
              <w:spacing w:after="0"/>
              <w:rPr>
                <w:sz w:val="20"/>
                <w:szCs w:val="20"/>
                <w:color w:val="auto"/>
              </w:rPr>
            </w:pPr>
            <w:r>
              <w:rPr>
                <w:rFonts w:ascii="Arial" w:cs="Arial" w:eastAsia="Arial" w:hAnsi="Arial"/>
                <w:sz w:val="18"/>
                <w:szCs w:val="18"/>
                <w:color w:val="auto"/>
              </w:rPr>
              <w:t>(0.9)pts</w:t>
            </w:r>
          </w:p>
        </w:tc>
        <w:tc>
          <w:tcPr>
            <w:tcW w:w="900" w:type="dxa"/>
            <w:vAlign w:val="bottom"/>
            <w:shd w:val="clear" w:color="auto" w:fill="CCEEFF"/>
          </w:tcPr>
          <w:p>
            <w:pPr>
              <w:jc w:val="center"/>
              <w:ind w:right="82"/>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Passenger revenue slightly decreased in the first quarter of 2025 from the first quarter of 2024. Our passenger revenue in the first quarter of 2025 was impacted by softness in demand for domestic leisure air travel driven by economic uncertainty and the American Eagle Flight 5342 accident, offset by strong performance in international air travel, particularly in the Atlantic and Pacific regions. Atlantic and Pacific PRASM increased 10.5% and 4.9%, respectively, in the first quarter of 2025 as compared to the first quarter of 2024.</w:t>
      </w:r>
    </w:p>
    <w:p>
      <w:pPr>
        <w:spacing w:after="0" w:line="122"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Other operating revenue increased $46 million, or 5.0%, in the first quarter of 2025 from the first quarter of 2024, driven primarily by higher revenue associated with our loyalty program. During the three months ended March 31, 2025 and 2024, cash payments from co-branded credit card and other partners were $1.8 billion and $1.7 billion, respectively.</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March 31,</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80" w:type="dxa"/>
            <w:vAlign w:val="bottom"/>
          </w:tcPr>
          <w:p>
            <w:pPr>
              <w:jc w:val="center"/>
              <w:ind w:left="1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54"/>
        </w:trPr>
        <w:tc>
          <w:tcPr>
            <w:tcW w:w="54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vMerge w:val="restart"/>
          </w:tcPr>
          <w:p>
            <w:pPr>
              <w:jc w:val="right"/>
              <w:ind w:right="313"/>
              <w:spacing w:after="0" w:line="113" w:lineRule="exact"/>
              <w:rPr>
                <w:sz w:val="20"/>
                <w:szCs w:val="20"/>
                <w:color w:val="auto"/>
              </w:rPr>
            </w:pPr>
            <w:r>
              <w:rPr>
                <w:rFonts w:ascii="Arial" w:cs="Arial" w:eastAsia="Arial" w:hAnsi="Arial"/>
                <w:sz w:val="13"/>
                <w:szCs w:val="13"/>
                <w:b w:val="1"/>
                <w:bCs w:val="1"/>
                <w:color w:val="auto"/>
              </w:rPr>
              <w:t>Increase</w:t>
            </w:r>
          </w:p>
        </w:tc>
        <w:tc>
          <w:tcPr>
            <w:tcW w:w="1480" w:type="dxa"/>
            <w:vAlign w:val="bottom"/>
            <w:vMerge w:val="restart"/>
          </w:tcPr>
          <w:p>
            <w:pPr>
              <w:jc w:val="center"/>
              <w:ind w:left="14"/>
              <w:spacing w:after="0" w:line="113" w:lineRule="exact"/>
              <w:rPr>
                <w:sz w:val="20"/>
                <w:szCs w:val="20"/>
                <w:color w:val="auto"/>
              </w:rPr>
            </w:pPr>
            <w:r>
              <w:rPr>
                <w:rFonts w:ascii="Arial" w:cs="Arial" w:eastAsia="Arial" w:hAnsi="Arial"/>
                <w:sz w:val="13"/>
                <w:szCs w:val="13"/>
                <w:b w:val="1"/>
                <w:bCs w:val="1"/>
                <w:color w:val="auto"/>
              </w:rPr>
              <w:t>Increase</w:t>
            </w:r>
          </w:p>
        </w:tc>
        <w:tc>
          <w:tcPr>
            <w:tcW w:w="0" w:type="dxa"/>
            <w:vAlign w:val="bottom"/>
          </w:tcPr>
          <w:p>
            <w:pPr>
              <w:spacing w:after="0"/>
              <w:rPr>
                <w:sz w:val="1"/>
                <w:szCs w:val="1"/>
                <w:color w:val="auto"/>
              </w:rPr>
            </w:pPr>
          </w:p>
        </w:tc>
      </w:tr>
      <w:tr>
        <w:trPr>
          <w:trHeight w:val="38"/>
        </w:trPr>
        <w:tc>
          <w:tcPr>
            <w:tcW w:w="5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14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5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(Decrease)</w:t>
            </w:r>
          </w:p>
        </w:tc>
        <w:tc>
          <w:tcPr>
            <w:tcW w:w="1480" w:type="dxa"/>
            <w:vAlign w:val="bottom"/>
            <w:tcBorders>
              <w:bottom w:val="single" w:sz="8" w:color="auto"/>
            </w:tcBorders>
          </w:tcPr>
          <w:p>
            <w:pPr>
              <w:jc w:val="center"/>
              <w:ind w:left="1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millions, except percentage changes)</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Aircraft fuel and related taxes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48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7"/>
              </w:rPr>
              <w:t>(13.2)</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Salaries, wages and benefits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355</w:t>
            </w:r>
          </w:p>
        </w:tc>
        <w:tc>
          <w:tcPr>
            <w:tcW w:w="1480" w:type="dxa"/>
            <w:vAlign w:val="bottom"/>
          </w:tcPr>
          <w:p>
            <w:pPr>
              <w:jc w:val="center"/>
              <w:ind w:left="14"/>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Regional expenses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48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6"/>
              </w:rPr>
              <w:t>12.5</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Maintenance, materials and repairs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w:t>
            </w:r>
          </w:p>
        </w:tc>
        <w:tc>
          <w:tcPr>
            <w:tcW w:w="1480" w:type="dxa"/>
            <w:vAlign w:val="bottom"/>
          </w:tcPr>
          <w:p>
            <w:pPr>
              <w:jc w:val="center"/>
              <w:ind w:left="14"/>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rent and landing fees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8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Aircraft rent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w:t>
            </w:r>
          </w:p>
        </w:tc>
        <w:tc>
          <w:tcPr>
            <w:tcW w:w="1480" w:type="dxa"/>
            <w:vAlign w:val="bottom"/>
          </w:tcPr>
          <w:p>
            <w:pPr>
              <w:jc w:val="center"/>
              <w:ind w:left="14"/>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expenses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48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6"/>
              </w:rPr>
              <w:t>10.1</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480" w:type="dxa"/>
            <w:vAlign w:val="bottom"/>
          </w:tcPr>
          <w:p>
            <w:pPr>
              <w:jc w:val="center"/>
              <w:ind w:left="14"/>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Mainline operating special items, net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0"/>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480" w:type="dxa"/>
            <w:vAlign w:val="bottom"/>
            <w:tcBorders>
              <w:bottom w:val="single" w:sz="8" w:color="CCEEFF"/>
            </w:tcBorders>
          </w:tcPr>
          <w:p>
            <w:pPr>
              <w:jc w:val="center"/>
              <w:ind w:left="14"/>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8"/>
        </w:trPr>
        <w:tc>
          <w:tcPr>
            <w:tcW w:w="5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480" w:type="dxa"/>
            <w:vAlign w:val="bottom"/>
            <w:tcBorders>
              <w:bottom w:val="single" w:sz="8" w:color="CCEEFF"/>
            </w:tcBorders>
            <w:shd w:val="clear" w:color="auto" w:fill="CCEEFF"/>
          </w:tcPr>
          <w:p>
            <w:pPr>
              <w:jc w:val="center"/>
              <w:ind w:left="14"/>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-1782445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-1782445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-1782445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Aircraft fuel and related taxes decreased $393 million, or 13.2%, in the first quarter of 2025 from the first quarter of 2024, primarily due to a 13.3% decrease in the average price per gallon of aircraft fuel including related taxes to $2.48 in the first quarter of 2025 from $2.86 in the first quarter of 2024.</w:t>
      </w:r>
    </w:p>
    <w:p>
      <w:pPr>
        <w:spacing w:after="0" w:line="11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Salaries, wages and benefits increased $ 355 million, or 9.2%, in the first quarter of 2025 from the first quarter of 2024, primarily due to contractual wage rate increases and higher costs for benefit-related items associated with newly ratified and extended labor agreements reached in 2024, as well as annual contractual wage rate increases in our other labor agreements.</w:t>
      </w:r>
    </w:p>
    <w:p>
      <w:pPr>
        <w:sectPr>
          <w:pgSz w:w="11900" w:h="16838" w:orient="portrait"/>
          <w:cols w:equalWidth="0" w:num="1">
            <w:col w:w="11240"/>
          </w:cols>
          <w:pgMar w:left="320" w:top="122" w:right="3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Regional expenses increased $150 million, or 12.5%, in the first quarter of 2025 from the first quarter of 2024, primarily due to an increase in regional flight operations as regional capacity, as measured by ASMs, increased 15.1% in the first quarter of 2025 from the first quarter of 2024. In addition, higher maintenance, materials and repair costs driven by an increase in the volume of engine overhauls and airframe heavy checks also contributed to the increase in regional expenses.</w:t>
      </w:r>
    </w:p>
    <w:p>
      <w:pPr>
        <w:spacing w:after="0" w:line="122"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color w:val="auto"/>
        </w:rPr>
        <w:t>Aircraft rent decreased $31 million, or 9.4%, in the first quarter of 2025 from the first quarter of 2024, primarily due to decreased rental payments associated with aircraft lease extensions.</w:t>
      </w:r>
    </w:p>
    <w:p>
      <w:pPr>
        <w:spacing w:after="0" w:line="99"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Selling expenses increased $42 million, or 10.1%, in the first quarter of 2025 from the first quarter of 2024, primarily due to an increase in commissions expense, driven by higher costs resulting from renegotiated agency contracts, as well as an increase in advertising expense.</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Operating Special Items, Net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8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3000" w:type="dxa"/>
            <w:vAlign w:val="bottom"/>
            <w:tcBorders>
              <w:bottom w:val="single" w:sz="8" w:color="auto"/>
            </w:tcBorders>
            <w:gridSpan w:val="4"/>
          </w:tcPr>
          <w:p>
            <w:pPr>
              <w:jc w:val="right"/>
              <w:ind w:right="116"/>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Borders>
              <w:bottom w:val="single" w:sz="8" w:color="auto"/>
            </w:tcBorders>
          </w:tcPr>
          <w:p>
            <w:pPr>
              <w:spacing w:after="0"/>
              <w:rPr>
                <w:sz w:val="17"/>
                <w:szCs w:val="17"/>
                <w:color w:val="auto"/>
              </w:rPr>
            </w:pPr>
          </w:p>
        </w:tc>
      </w:tr>
      <w:tr>
        <w:trPr>
          <w:trHeight w:val="196"/>
        </w:trPr>
        <w:tc>
          <w:tcPr>
            <w:tcW w:w="208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2025</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2024</w:t>
            </w:r>
          </w:p>
        </w:tc>
        <w:tc>
          <w:tcPr>
            <w:tcW w:w="480" w:type="dxa"/>
            <w:vAlign w:val="bottom"/>
            <w:tcBorders>
              <w:bottom w:val="single" w:sz="8" w:color="auto"/>
            </w:tcBorders>
          </w:tcPr>
          <w:p>
            <w:pPr>
              <w:spacing w:after="0"/>
              <w:rPr>
                <w:sz w:val="17"/>
                <w:szCs w:val="17"/>
                <w:color w:val="auto"/>
              </w:rPr>
            </w:pPr>
          </w:p>
        </w:tc>
      </w:tr>
      <w:tr>
        <w:trPr>
          <w:trHeight w:val="196"/>
        </w:trPr>
        <w:tc>
          <w:tcPr>
            <w:tcW w:w="208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40" w:type="dxa"/>
            <w:vAlign w:val="bottom"/>
            <w:gridSpan w:val="3"/>
          </w:tcPr>
          <w:p>
            <w:pPr>
              <w:jc w:val="right"/>
              <w:ind w:right="776"/>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17"/>
                <w:szCs w:val="17"/>
                <w:color w:val="auto"/>
              </w:rPr>
            </w:pPr>
          </w:p>
        </w:tc>
      </w:tr>
      <w:tr>
        <w:trPr>
          <w:trHeight w:val="231"/>
        </w:trPr>
        <w:tc>
          <w:tcPr>
            <w:tcW w:w="7760" w:type="dxa"/>
            <w:vAlign w:val="bottom"/>
            <w:gridSpan w:val="2"/>
            <w:shd w:val="clear" w:color="auto" w:fill="CCEEFF"/>
          </w:tcPr>
          <w:p>
            <w:pPr>
              <w:ind w:left="20"/>
              <w:spacing w:after="0" w:line="231" w:lineRule="exact"/>
              <w:rPr>
                <w:sz w:val="20"/>
                <w:szCs w:val="20"/>
                <w:color w:val="auto"/>
              </w:rPr>
            </w:pPr>
            <w:r>
              <w:rPr>
                <w:rFonts w:ascii="Arial" w:cs="Arial" w:eastAsia="Arial" w:hAnsi="Arial"/>
                <w:sz w:val="18"/>
                <w:szCs w:val="18"/>
                <w:color w:val="auto"/>
              </w:rPr>
              <w:t xml:space="preserve">Labor contract expenses </w:t>
            </w:r>
            <w:r>
              <w:rPr>
                <w:rFonts w:ascii="Arial" w:cs="Arial" w:eastAsia="Arial" w:hAnsi="Arial"/>
                <w:sz w:val="23"/>
                <w:szCs w:val="23"/>
                <w:color w:val="auto"/>
                <w:vertAlign w:val="superscript"/>
              </w:rPr>
              <w:t>(1)</w:t>
            </w:r>
          </w:p>
        </w:tc>
        <w:tc>
          <w:tcPr>
            <w:tcW w:w="1160" w:type="dxa"/>
            <w:vAlign w:val="bottom"/>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29"/>
        </w:trPr>
        <w:tc>
          <w:tcPr>
            <w:tcW w:w="7760" w:type="dxa"/>
            <w:vAlign w:val="bottom"/>
            <w:gridSpan w:val="2"/>
          </w:tcPr>
          <w:p>
            <w:pPr>
              <w:ind w:left="20"/>
              <w:spacing w:after="0"/>
              <w:rPr>
                <w:sz w:val="20"/>
                <w:szCs w:val="20"/>
                <w:color w:val="auto"/>
              </w:rPr>
            </w:pPr>
            <w:r>
              <w:rPr>
                <w:rFonts w:ascii="Arial" w:cs="Arial" w:eastAsia="Arial" w:hAnsi="Arial"/>
                <w:sz w:val="18"/>
                <w:szCs w:val="18"/>
                <w:color w:val="auto"/>
              </w:rPr>
              <w:t>Litigation reserve adjustments</w:t>
            </w:r>
          </w:p>
        </w:tc>
        <w:tc>
          <w:tcPr>
            <w:tcW w:w="1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Severance expenses</w:t>
            </w:r>
          </w:p>
        </w:tc>
        <w:tc>
          <w:tcPr>
            <w:tcW w:w="11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77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operating special items, net</w:t>
            </w:r>
          </w:p>
        </w:tc>
        <w:tc>
          <w:tcPr>
            <w:tcW w:w="1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7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Mainline operating special items, net</w:t>
            </w:r>
          </w:p>
        </w:tc>
        <w:tc>
          <w:tcPr>
            <w:tcW w:w="116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56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r>
        <w:trPr>
          <w:trHeight w:val="123"/>
        </w:trPr>
        <w:tc>
          <w:tcPr>
            <w:tcW w:w="2080" w:type="dxa"/>
            <w:vAlign w:val="bottom"/>
            <w:tcBorders>
              <w:bottom w:val="single" w:sz="8" w:color="auto"/>
            </w:tcBorders>
          </w:tcPr>
          <w:p>
            <w:pPr>
              <w:spacing w:after="0"/>
              <w:rPr>
                <w:sz w:val="10"/>
                <w:szCs w:val="10"/>
                <w:color w:val="auto"/>
              </w:rPr>
            </w:pPr>
          </w:p>
        </w:tc>
        <w:tc>
          <w:tcPr>
            <w:tcW w:w="56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80" w:type="dxa"/>
            <w:vAlign w:val="bottom"/>
          </w:tcPr>
          <w:p>
            <w:pPr>
              <w:spacing w:after="0"/>
              <w:rPr>
                <w:sz w:val="10"/>
                <w:szCs w:val="10"/>
                <w:color w:val="auto"/>
              </w:rPr>
            </w:pPr>
          </w:p>
        </w:tc>
      </w:tr>
    </w:tbl>
    <w:p>
      <w:pPr>
        <w:spacing w:after="0" w:line="62" w:lineRule="exact"/>
        <w:rPr>
          <w:sz w:val="20"/>
          <w:szCs w:val="20"/>
          <w:color w:val="auto"/>
        </w:rPr>
      </w:pPr>
    </w:p>
    <w:p>
      <w:pPr>
        <w:jc w:val="both"/>
        <w:ind w:left="340" w:hanging="332"/>
        <w:spacing w:after="0" w:line="237" w:lineRule="auto"/>
        <w:tabs>
          <w:tab w:leader="none" w:pos="334" w:val="left"/>
        </w:tabs>
        <w:numPr>
          <w:ilvl w:val="0"/>
          <w:numId w:val="37"/>
        </w:numPr>
        <w:rPr>
          <w:rFonts w:ascii="Arial" w:cs="Arial" w:eastAsia="Arial" w:hAnsi="Arial"/>
          <w:sz w:val="23"/>
          <w:szCs w:val="23"/>
          <w:color w:val="auto"/>
          <w:vertAlign w:val="superscript"/>
        </w:rPr>
      </w:pPr>
      <w:r>
        <w:rPr>
          <w:rFonts w:ascii="Arial" w:cs="Arial" w:eastAsia="Arial" w:hAnsi="Arial"/>
          <w:sz w:val="18"/>
          <w:szCs w:val="18"/>
          <w:color w:val="auto"/>
        </w:rPr>
        <w:t>Labor contract expenses for the three months ended March 31, 2025 included a one-time charge for adjustments to vacation accruals resulting from pay rate increases effective January 1, 2025, related to the ratification of the contract extension in the fourth quarter of 2024 with our mainline maintenance and fleet service team members.</w:t>
      </w:r>
    </w:p>
    <w:p>
      <w:pPr>
        <w:spacing w:after="0" w:line="140" w:lineRule="exact"/>
        <w:rPr>
          <w:rFonts w:ascii="Arial" w:cs="Arial" w:eastAsia="Arial" w:hAnsi="Arial"/>
          <w:sz w:val="23"/>
          <w:szCs w:val="23"/>
          <w:color w:val="auto"/>
          <w:vertAlign w:val="superscript"/>
        </w:rPr>
      </w:pPr>
    </w:p>
    <w:p>
      <w:pPr>
        <w:ind w:left="340"/>
        <w:spacing w:after="0" w:line="287" w:lineRule="auto"/>
        <w:rPr>
          <w:rFonts w:ascii="Arial" w:cs="Arial" w:eastAsia="Arial" w:hAnsi="Arial"/>
          <w:sz w:val="23"/>
          <w:szCs w:val="23"/>
          <w:color w:val="auto"/>
          <w:vertAlign w:val="superscript"/>
        </w:rPr>
      </w:pPr>
      <w:r>
        <w:rPr>
          <w:rFonts w:ascii="Arial" w:cs="Arial" w:eastAsia="Arial" w:hAnsi="Arial"/>
          <w:sz w:val="18"/>
          <w:szCs w:val="18"/>
          <w:color w:val="auto"/>
        </w:rPr>
        <w:t>Labor contract expenses for the three months ended March 31, 2024 included one-time charges resulting from the ratification of a new collective bargaining agreement with our mainline passenger service team members, including a one-time signing bonus.</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Nonoperating Results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40" w:type="dxa"/>
            <w:vAlign w:val="bottom"/>
          </w:tcPr>
          <w:p>
            <w:pPr>
              <w:spacing w:after="0"/>
              <w:rPr>
                <w:sz w:val="17"/>
                <w:szCs w:val="17"/>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316"/>
              <w:spacing w:after="0"/>
              <w:rPr>
                <w:sz w:val="20"/>
                <w:szCs w:val="20"/>
                <w:color w:val="auto"/>
              </w:rPr>
            </w:pPr>
            <w:r>
              <w:rPr>
                <w:rFonts w:ascii="Arial" w:cs="Arial" w:eastAsia="Arial" w:hAnsi="Arial"/>
                <w:sz w:val="14"/>
                <w:szCs w:val="14"/>
                <w:b w:val="1"/>
                <w:bCs w:val="1"/>
                <w:color w:val="auto"/>
              </w:rPr>
              <w:t>Increase</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Percent Increase</w:t>
            </w:r>
          </w:p>
        </w:tc>
      </w:tr>
      <w:tr>
        <w:trPr>
          <w:trHeight w:val="197"/>
        </w:trPr>
        <w:tc>
          <w:tcPr>
            <w:tcW w:w="524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(Decrease)</w:t>
            </w:r>
          </w:p>
        </w:tc>
        <w:tc>
          <w:tcPr>
            <w:tcW w:w="1480" w:type="dxa"/>
            <w:vAlign w:val="bottom"/>
            <w:tcBorders>
              <w:bottom w:val="single" w:sz="8" w:color="auto"/>
            </w:tcBorders>
          </w:tcPr>
          <w:p>
            <w:pPr>
              <w:jc w:val="center"/>
              <w:ind w:left="16"/>
              <w:spacing w:after="0"/>
              <w:rPr>
                <w:sz w:val="20"/>
                <w:szCs w:val="20"/>
                <w:color w:val="auto"/>
              </w:rPr>
            </w:pPr>
            <w:r>
              <w:rPr>
                <w:rFonts w:ascii="Arial" w:cs="Arial" w:eastAsia="Arial" w:hAnsi="Arial"/>
                <w:sz w:val="14"/>
                <w:szCs w:val="14"/>
                <w:b w:val="1"/>
                <w:bCs w:val="1"/>
                <w:color w:val="auto"/>
              </w:rPr>
              <w:t>(Decrease)</w:t>
            </w:r>
          </w:p>
        </w:tc>
      </w:tr>
      <w:tr>
        <w:trPr>
          <w:trHeight w:val="195"/>
        </w:trPr>
        <w:tc>
          <w:tcPr>
            <w:tcW w:w="5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5"/>
          </w:tcPr>
          <w:p>
            <w:pPr>
              <w:jc w:val="right"/>
              <w:ind w:right="36"/>
              <w:spacing w:after="0"/>
              <w:rPr>
                <w:sz w:val="20"/>
                <w:szCs w:val="20"/>
                <w:color w:val="auto"/>
              </w:rPr>
            </w:pPr>
            <w:r>
              <w:rPr>
                <w:rFonts w:ascii="Arial" w:cs="Arial" w:eastAsia="Arial" w:hAnsi="Arial"/>
                <w:sz w:val="14"/>
                <w:szCs w:val="14"/>
                <w:b w:val="1"/>
                <w:bCs w:val="1"/>
                <w:color w:val="auto"/>
              </w:rPr>
              <w:t>(In millions, except percentage changes)</w:t>
            </w:r>
          </w:p>
        </w:tc>
        <w:tc>
          <w:tcPr>
            <w:tcW w:w="1480" w:type="dxa"/>
            <w:vAlign w:val="bottom"/>
          </w:tcPr>
          <w:p>
            <w:pPr>
              <w:spacing w:after="0"/>
              <w:rPr>
                <w:sz w:val="16"/>
                <w:szCs w:val="16"/>
                <w:color w:val="auto"/>
              </w:rPr>
            </w:pPr>
          </w:p>
        </w:tc>
      </w:tr>
      <w:tr>
        <w:trPr>
          <w:trHeight w:val="231"/>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80" w:type="dxa"/>
            <w:vAlign w:val="bottom"/>
            <w:shd w:val="clear" w:color="auto" w:fill="CCEEFF"/>
          </w:tcPr>
          <w:p>
            <w:pPr>
              <w:jc w:val="center"/>
              <w:ind w:left="16"/>
              <w:spacing w:after="0"/>
              <w:rPr>
                <w:sz w:val="20"/>
                <w:szCs w:val="20"/>
                <w:color w:val="auto"/>
              </w:rPr>
            </w:pPr>
            <w:r>
              <w:rPr>
                <w:rFonts w:ascii="Arial" w:cs="Arial" w:eastAsia="Arial" w:hAnsi="Arial"/>
                <w:sz w:val="18"/>
                <w:szCs w:val="18"/>
                <w:color w:val="auto"/>
                <w:w w:val="97"/>
              </w:rPr>
              <w:t>(20.2)</w:t>
            </w: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(428)</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5"/>
              </w:rPr>
              <w:t>(497)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w:t>
            </w:r>
          </w:p>
        </w:tc>
        <w:tc>
          <w:tcPr>
            <w:tcW w:w="1480" w:type="dxa"/>
            <w:vAlign w:val="bottom"/>
          </w:tcPr>
          <w:p>
            <w:pPr>
              <w:jc w:val="center"/>
              <w:ind w:left="16"/>
              <w:spacing w:after="0"/>
              <w:rPr>
                <w:sz w:val="20"/>
                <w:szCs w:val="20"/>
                <w:color w:val="auto"/>
              </w:rPr>
            </w:pPr>
            <w:r>
              <w:rPr>
                <w:rFonts w:ascii="Arial" w:cs="Arial" w:eastAsia="Arial" w:hAnsi="Arial"/>
                <w:sz w:val="18"/>
                <w:szCs w:val="18"/>
                <w:color w:val="auto"/>
                <w:w w:val="97"/>
              </w:rPr>
              <w:t>(13.8)</w:t>
            </w: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9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80" w:type="dxa"/>
            <w:vAlign w:val="bottom"/>
            <w:shd w:val="clear" w:color="auto" w:fill="CCEEFF"/>
          </w:tcPr>
          <w:p>
            <w:pPr>
              <w:jc w:val="center"/>
              <w:ind w:left="16"/>
              <w:spacing w:after="0"/>
              <w:rPr>
                <w:sz w:val="20"/>
                <w:szCs w:val="20"/>
                <w:color w:val="auto"/>
              </w:rPr>
            </w:pPr>
            <w:r>
              <w:rPr>
                <w:rFonts w:ascii="Arial" w:cs="Arial" w:eastAsia="Arial" w:hAnsi="Arial"/>
                <w:sz w:val="18"/>
                <w:szCs w:val="18"/>
                <w:color w:val="auto"/>
              </w:rPr>
              <w:t>7.7</w:t>
            </w:r>
          </w:p>
        </w:tc>
      </w:tr>
      <w:tr>
        <w:trPr>
          <w:trHeight w:val="223"/>
        </w:trPr>
        <w:tc>
          <w:tcPr>
            <w:tcW w:w="5240" w:type="dxa"/>
            <w:vAlign w:val="bottom"/>
          </w:tcPr>
          <w:p>
            <w:pPr>
              <w:ind w:left="140"/>
              <w:spacing w:after="0"/>
              <w:rPr>
                <w:sz w:val="20"/>
                <w:szCs w:val="20"/>
                <w:color w:val="auto"/>
              </w:rPr>
            </w:pPr>
            <w:r>
              <w:rPr>
                <w:rFonts w:ascii="Arial" w:cs="Arial" w:eastAsia="Arial" w:hAnsi="Arial"/>
                <w:sz w:val="18"/>
                <w:szCs w:val="18"/>
                <w:color w:val="auto"/>
              </w:rPr>
              <w:t>Total nonoperating expense, net</w:t>
            </w: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right"/>
              <w:ind w:right="79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(420)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480" w:type="dxa"/>
            <w:vAlign w:val="bottom"/>
          </w:tcPr>
          <w:p>
            <w:pPr>
              <w:jc w:val="center"/>
              <w:ind w:left="16"/>
              <w:spacing w:after="0"/>
              <w:rPr>
                <w:sz w:val="20"/>
                <w:szCs w:val="20"/>
                <w:color w:val="auto"/>
              </w:rPr>
            </w:pPr>
            <w:r>
              <w:rPr>
                <w:rFonts w:ascii="Arial" w:cs="Arial" w:eastAsia="Arial" w:hAnsi="Arial"/>
                <w:sz w:val="18"/>
                <w:szCs w:val="18"/>
                <w:color w:val="auto"/>
                <w:w w:val="97"/>
              </w:rPr>
              <w:t>(10.0)</w:t>
            </w:r>
          </w:p>
        </w:tc>
      </w:tr>
      <w:tr>
        <w:trPr>
          <w:trHeight w:val="20"/>
        </w:trPr>
        <w:tc>
          <w:tcPr>
            <w:tcW w:w="5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-762000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-762000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-762000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Interest income decreased $24 million, or 20.2%, in the first quarter of 2025 from the first quarter of 2024, primarily due to lower interest rates as well as a decrease in the balance of short-term investments subsequent to the first quarter of 2024. Interest expense, net decreased $69 million, or 13.8%, in the first quarter of 2025 from the first quarter of 2024, primarily due to lower outstanding debt subsequent to the first quarter of 2024, as we continue our efforts to strengthen the balance sheet, and lower interest rates on our variable-rate debt instruments.</w:t>
      </w:r>
    </w:p>
    <w:p>
      <w:pPr>
        <w:spacing w:after="0" w:line="122"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 the first quarter of 2025, other nonoperating expense, net primarily included $48 million of net special charges for mark-to-market net unrealized losses associated with certain equity investments and debt refinancings and extinguishments, as well as $11 million of foreign currency losses, offset in part by $11 million of non-service related pension and other postretirement benefit plan income.</w:t>
      </w:r>
    </w:p>
    <w:p>
      <w:pPr>
        <w:spacing w:after="0" w:line="11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 the first quarter of 2024, other nonoperating expense, net primarily included a $46 million special charge for mark-to-market net unrealized losses associated with certain equity investments and $7 million of foreign currency losses, offset in part by $24 million of non-service related pension and other postretirement benefit plan income.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88"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In the first quarter of 2025, we recorded an income tax benefit of $175 million. Substantially all of our loss before income taxes is attributable to the United States.</w:t>
      </w:r>
    </w:p>
    <w:p>
      <w:pPr>
        <w:spacing w:after="0" w:line="9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Note 6 to AAG’s Condensed Consolidated Financial Statements in Part I, Item 1A for additional information on income taxes.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American’s Results of Operations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2025 Compared to Three Months Ended March 31, 2024</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6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March 31,</w:t>
            </w:r>
          </w:p>
        </w:tc>
        <w:tc>
          <w:tcPr>
            <w:tcW w:w="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40" w:type="dxa"/>
            <w:vAlign w:val="bottom"/>
          </w:tcPr>
          <w:p>
            <w:pPr>
              <w:jc w:val="right"/>
              <w:ind w:right="376"/>
              <w:spacing w:after="0"/>
              <w:rPr>
                <w:sz w:val="20"/>
                <w:szCs w:val="20"/>
                <w:color w:val="auto"/>
              </w:rPr>
            </w:pPr>
            <w:r>
              <w:rPr>
                <w:rFonts w:ascii="Arial" w:cs="Arial" w:eastAsia="Arial" w:hAnsi="Arial"/>
                <w:sz w:val="14"/>
                <w:szCs w:val="14"/>
                <w:b w:val="1"/>
                <w:bCs w:val="1"/>
                <w:color w:val="auto"/>
              </w:rPr>
              <w:t>Percent</w:t>
            </w:r>
          </w:p>
        </w:tc>
      </w:tr>
      <w:tr>
        <w:trPr>
          <w:trHeight w:val="197"/>
        </w:trPr>
        <w:tc>
          <w:tcPr>
            <w:tcW w:w="526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Increase (Decrease)</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Increase (Decrease)</w:t>
            </w:r>
          </w:p>
        </w:tc>
      </w:tr>
      <w:tr>
        <w:trPr>
          <w:trHeight w:val="195"/>
        </w:trPr>
        <w:tc>
          <w:tcPr>
            <w:tcW w:w="5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millions, except percentage changes)</w:t>
            </w:r>
          </w:p>
        </w:tc>
        <w:tc>
          <w:tcPr>
            <w:tcW w:w="1540" w:type="dxa"/>
            <w:vAlign w:val="bottom"/>
          </w:tcPr>
          <w:p>
            <w:pPr>
              <w:spacing w:after="0"/>
              <w:rPr>
                <w:sz w:val="16"/>
                <w:szCs w:val="16"/>
                <w:color w:val="auto"/>
              </w:rPr>
            </w:pPr>
          </w:p>
        </w:tc>
      </w:tr>
      <w:tr>
        <w:trPr>
          <w:trHeight w:val="231"/>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11,391</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11,458</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540" w:type="dxa"/>
            <w:vAlign w:val="bottom"/>
            <w:shd w:val="clear" w:color="auto" w:fill="CCEEFF"/>
          </w:tcPr>
          <w:p>
            <w:pPr>
              <w:jc w:val="right"/>
              <w:ind w:right="456"/>
              <w:spacing w:after="0"/>
              <w:rPr>
                <w:sz w:val="20"/>
                <w:szCs w:val="20"/>
                <w:color w:val="auto"/>
              </w:rPr>
            </w:pPr>
            <w:r>
              <w:rPr>
                <w:rFonts w:ascii="Arial" w:cs="Arial" w:eastAsia="Arial" w:hAnsi="Arial"/>
                <w:sz w:val="18"/>
                <w:szCs w:val="18"/>
                <w:color w:val="auto"/>
              </w:rPr>
              <w:t>(0.6)</w:t>
            </w: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Cargo</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1540" w:type="dxa"/>
            <w:vAlign w:val="bottom"/>
          </w:tcPr>
          <w:p>
            <w:pPr>
              <w:jc w:val="right"/>
              <w:ind w:right="516"/>
              <w:spacing w:after="0"/>
              <w:rPr>
                <w:sz w:val="20"/>
                <w:szCs w:val="20"/>
                <w:color w:val="auto"/>
              </w:rPr>
            </w:pPr>
            <w:r>
              <w:rPr>
                <w:rFonts w:ascii="Arial" w:cs="Arial" w:eastAsia="Arial" w:hAnsi="Arial"/>
                <w:sz w:val="18"/>
                <w:szCs w:val="18"/>
                <w:color w:val="auto"/>
              </w:rPr>
              <w:t>1.1</w:t>
            </w: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540" w:type="dxa"/>
            <w:vAlign w:val="bottom"/>
            <w:shd w:val="clear" w:color="auto" w:fill="CCEEFF"/>
          </w:tcPr>
          <w:p>
            <w:pPr>
              <w:jc w:val="right"/>
              <w:ind w:right="516"/>
              <w:spacing w:after="0"/>
              <w:rPr>
                <w:sz w:val="20"/>
                <w:szCs w:val="20"/>
                <w:color w:val="auto"/>
              </w:rPr>
            </w:pPr>
            <w:r>
              <w:rPr>
                <w:rFonts w:ascii="Arial" w:cs="Arial" w:eastAsia="Arial" w:hAnsi="Arial"/>
                <w:sz w:val="18"/>
                <w:szCs w:val="18"/>
                <w:color w:val="auto"/>
              </w:rPr>
              <w:t>4.9</w:t>
            </w:r>
          </w:p>
        </w:tc>
      </w:tr>
      <w:tr>
        <w:trPr>
          <w:trHeight w:val="223"/>
        </w:trPr>
        <w:tc>
          <w:tcPr>
            <w:tcW w:w="5260" w:type="dxa"/>
            <w:vAlign w:val="bottom"/>
          </w:tcPr>
          <w:p>
            <w:pPr>
              <w:ind w:left="140"/>
              <w:spacing w:after="0"/>
              <w:rPr>
                <w:sz w:val="20"/>
                <w:szCs w:val="20"/>
                <w:color w:val="auto"/>
              </w:rPr>
            </w:pPr>
            <w:r>
              <w:rPr>
                <w:rFonts w:ascii="Arial" w:cs="Arial" w:eastAsia="Arial" w:hAnsi="Arial"/>
                <w:sz w:val="18"/>
                <w:szCs w:val="18"/>
                <w:color w:val="auto"/>
              </w:rPr>
              <w:t>Total operating revenues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12,569</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39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540" w:type="dxa"/>
            <w:vAlign w:val="bottom"/>
          </w:tcPr>
          <w:p>
            <w:pPr>
              <w:jc w:val="right"/>
              <w:ind w:right="456"/>
              <w:spacing w:after="0"/>
              <w:rPr>
                <w:sz w:val="20"/>
                <w:szCs w:val="20"/>
                <w:color w:val="auto"/>
              </w:rPr>
            </w:pPr>
            <w:r>
              <w:rPr>
                <w:rFonts w:ascii="Arial" w:cs="Arial" w:eastAsia="Arial" w:hAnsi="Arial"/>
                <w:sz w:val="18"/>
                <w:szCs w:val="18"/>
                <w:color w:val="auto"/>
              </w:rPr>
              <w:t>(0.2)</w:t>
            </w:r>
          </w:p>
        </w:tc>
      </w:tr>
      <w:tr>
        <w:trPr>
          <w:trHeight w:val="20"/>
        </w:trPr>
        <w:tc>
          <w:tcPr>
            <w:tcW w:w="5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-762000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-762000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-762000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Passenger revenue slightly decreased in the first quarter of 2025 from the first quarter of 2024. American’s passenger revenue in the first quarter of 2025 was impacted by softness in demand for domestic leisure air travel driven by economic uncertainty and the American Eagle Flight 5342 accident, offset by strong performance in international air travel, particularly in the Atlantic and Pacific regions.</w:t>
      </w:r>
    </w:p>
    <w:p>
      <w:pPr>
        <w:spacing w:after="0" w:line="11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Other operating revenue increased $45 million, or 4.9%, in the first quarter of 2025 from the first quarter of 2024, driven primarily by higher revenue associated with American’s loyalty program. During the three months ended March 31, 2025 and 2024, cash payments from co-branded credit card and other partners were $1.8 billion and $1.7 billion, respectively.</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March 31,</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40" w:type="dxa"/>
            <w:vAlign w:val="bottom"/>
          </w:tcPr>
          <w:p>
            <w:pPr>
              <w:jc w:val="center"/>
              <w:ind w:left="15"/>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54"/>
        </w:trPr>
        <w:tc>
          <w:tcPr>
            <w:tcW w:w="52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80" w:type="dxa"/>
            <w:vAlign w:val="bottom"/>
            <w:vMerge w:val="restart"/>
          </w:tcPr>
          <w:p>
            <w:pPr>
              <w:jc w:val="right"/>
              <w:ind w:right="334"/>
              <w:spacing w:after="0" w:line="108" w:lineRule="exact"/>
              <w:rPr>
                <w:sz w:val="20"/>
                <w:szCs w:val="20"/>
                <w:color w:val="auto"/>
              </w:rPr>
            </w:pPr>
            <w:r>
              <w:rPr>
                <w:rFonts w:ascii="Arial" w:cs="Arial" w:eastAsia="Arial" w:hAnsi="Arial"/>
                <w:sz w:val="12"/>
                <w:szCs w:val="12"/>
                <w:b w:val="1"/>
                <w:bCs w:val="1"/>
                <w:color w:val="auto"/>
              </w:rPr>
              <w:t>Increase</w:t>
            </w:r>
          </w:p>
        </w:tc>
        <w:tc>
          <w:tcPr>
            <w:tcW w:w="1540" w:type="dxa"/>
            <w:vAlign w:val="bottom"/>
            <w:vMerge w:val="restart"/>
          </w:tcPr>
          <w:p>
            <w:pPr>
              <w:jc w:val="center"/>
              <w:ind w:left="35"/>
              <w:spacing w:after="0" w:line="108" w:lineRule="exact"/>
              <w:rPr>
                <w:sz w:val="20"/>
                <w:szCs w:val="20"/>
                <w:color w:val="auto"/>
              </w:rPr>
            </w:pPr>
            <w:r>
              <w:rPr>
                <w:rFonts w:ascii="Arial" w:cs="Arial" w:eastAsia="Arial" w:hAnsi="Arial"/>
                <w:sz w:val="12"/>
                <w:szCs w:val="12"/>
                <w:b w:val="1"/>
                <w:bCs w:val="1"/>
                <w:color w:val="auto"/>
              </w:rPr>
              <w:t>Increase</w:t>
            </w:r>
          </w:p>
        </w:tc>
        <w:tc>
          <w:tcPr>
            <w:tcW w:w="0" w:type="dxa"/>
            <w:vAlign w:val="bottom"/>
          </w:tcPr>
          <w:p>
            <w:pPr>
              <w:spacing w:after="0"/>
              <w:rPr>
                <w:sz w:val="1"/>
                <w:szCs w:val="1"/>
                <w:color w:val="auto"/>
              </w:rPr>
            </w:pPr>
          </w:p>
        </w:tc>
      </w:tr>
      <w:tr>
        <w:trPr>
          <w:trHeight w:val="34"/>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vMerge w:val="continue"/>
          </w:tcPr>
          <w:p>
            <w:pPr>
              <w:spacing w:after="0"/>
              <w:rPr>
                <w:sz w:val="2"/>
                <w:szCs w:val="2"/>
                <w:color w:val="auto"/>
              </w:rPr>
            </w:pPr>
          </w:p>
        </w:tc>
        <w:tc>
          <w:tcPr>
            <w:tcW w:w="15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(Decrease)</w:t>
            </w:r>
          </w:p>
        </w:tc>
        <w:tc>
          <w:tcPr>
            <w:tcW w:w="1540" w:type="dxa"/>
            <w:vAlign w:val="bottom"/>
            <w:tcBorders>
              <w:bottom w:val="single" w:sz="8" w:color="auto"/>
            </w:tcBorders>
          </w:tcPr>
          <w:p>
            <w:pPr>
              <w:jc w:val="center"/>
              <w:ind w:left="35"/>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millions, except percentage changes)</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Aircraft fuel and related taxes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540" w:type="dxa"/>
            <w:vAlign w:val="bottom"/>
            <w:shd w:val="clear" w:color="auto" w:fill="CCEEFF"/>
          </w:tcPr>
          <w:p>
            <w:pPr>
              <w:jc w:val="center"/>
              <w:ind w:left="15"/>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Salaries, wages and benefits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4,220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355</w:t>
            </w:r>
          </w:p>
        </w:tc>
        <w:tc>
          <w:tcPr>
            <w:tcW w:w="1540" w:type="dxa"/>
            <w:vAlign w:val="bottom"/>
          </w:tcPr>
          <w:p>
            <w:pPr>
              <w:jc w:val="center"/>
              <w:ind w:left="15"/>
              <w:spacing w:after="0"/>
              <w:rPr>
                <w:sz w:val="20"/>
                <w:szCs w:val="20"/>
                <w:color w:val="auto"/>
              </w:rPr>
            </w:pPr>
            <w:r>
              <w:rPr>
                <w:rFonts w:ascii="Arial" w:cs="Arial" w:eastAsia="Arial" w:hAnsi="Arial"/>
                <w:sz w:val="18"/>
                <w:szCs w:val="18"/>
                <w:color w:val="auto"/>
                <w:w w:val="95"/>
              </w:rPr>
              <w:t>9.2</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Regional expenses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540" w:type="dxa"/>
            <w:vAlign w:val="bottom"/>
            <w:shd w:val="clear" w:color="auto" w:fill="CCEEFF"/>
          </w:tcPr>
          <w:p>
            <w:pPr>
              <w:jc w:val="center"/>
              <w:ind w:left="15"/>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Maintenance, materials and repairs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w:t>
            </w:r>
          </w:p>
        </w:tc>
        <w:tc>
          <w:tcPr>
            <w:tcW w:w="1540" w:type="dxa"/>
            <w:vAlign w:val="bottom"/>
          </w:tcPr>
          <w:p>
            <w:pPr>
              <w:jc w:val="center"/>
              <w:ind w:left="15"/>
              <w:spacing w:after="0"/>
              <w:rPr>
                <w:sz w:val="20"/>
                <w:szCs w:val="20"/>
                <w:color w:val="auto"/>
              </w:rPr>
            </w:pPr>
            <w:r>
              <w:rPr>
                <w:rFonts w:ascii="Arial" w:cs="Arial" w:eastAsia="Arial" w:hAnsi="Arial"/>
                <w:sz w:val="18"/>
                <w:szCs w:val="18"/>
                <w:color w:val="auto"/>
                <w:w w:val="95"/>
              </w:rPr>
              <w:t>4.2</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rent and landing fees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540" w:type="dxa"/>
            <w:vAlign w:val="bottom"/>
            <w:shd w:val="clear" w:color="auto" w:fill="CCEEFF"/>
          </w:tcPr>
          <w:p>
            <w:pPr>
              <w:jc w:val="center"/>
              <w:ind w:left="15"/>
              <w:spacing w:after="0"/>
              <w:rPr>
                <w:sz w:val="20"/>
                <w:szCs w:val="20"/>
                <w:color w:val="auto"/>
              </w:rPr>
            </w:pPr>
            <w:r>
              <w:rPr>
                <w:rFonts w:ascii="Arial" w:cs="Arial" w:eastAsia="Arial" w:hAnsi="Arial"/>
                <w:sz w:val="18"/>
                <w:szCs w:val="18"/>
                <w:color w:val="auto"/>
                <w:w w:val="95"/>
              </w:rPr>
              <w:t>0.9</w:t>
            </w: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Aircraft rent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w:t>
            </w:r>
          </w:p>
        </w:tc>
        <w:tc>
          <w:tcPr>
            <w:tcW w:w="1540" w:type="dxa"/>
            <w:vAlign w:val="bottom"/>
          </w:tcPr>
          <w:p>
            <w:pPr>
              <w:jc w:val="center"/>
              <w:ind w:left="15"/>
              <w:spacing w:after="0"/>
              <w:rPr>
                <w:sz w:val="20"/>
                <w:szCs w:val="20"/>
                <w:color w:val="auto"/>
              </w:rPr>
            </w:pPr>
            <w:r>
              <w:rPr>
                <w:rFonts w:ascii="Arial" w:cs="Arial" w:eastAsia="Arial" w:hAnsi="Arial"/>
                <w:sz w:val="18"/>
                <w:szCs w:val="18"/>
                <w:color w:val="auto"/>
                <w:w w:val="97"/>
              </w:rPr>
              <w:t>(9.4)</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expenses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540" w:type="dxa"/>
            <w:vAlign w:val="bottom"/>
            <w:shd w:val="clear" w:color="auto" w:fill="CCEEFF"/>
          </w:tcPr>
          <w:p>
            <w:pPr>
              <w:jc w:val="center"/>
              <w:ind w:left="15"/>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540" w:type="dxa"/>
            <w:vAlign w:val="bottom"/>
          </w:tcPr>
          <w:p>
            <w:pPr>
              <w:jc w:val="center"/>
              <w:ind w:left="15"/>
              <w:spacing w:after="0"/>
              <w:rPr>
                <w:sz w:val="20"/>
                <w:szCs w:val="20"/>
                <w:color w:val="auto"/>
              </w:rPr>
            </w:pPr>
            <w:r>
              <w:rPr>
                <w:rFonts w:ascii="Arial" w:cs="Arial" w:eastAsia="Arial" w:hAnsi="Arial"/>
                <w:sz w:val="18"/>
                <w:szCs w:val="18"/>
                <w:color w:val="auto"/>
                <w:w w:val="97"/>
              </w:rPr>
              <w:t>(0.2)</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Mainline operating special items, net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center"/>
              <w:ind w:left="15"/>
              <w:spacing w:after="0"/>
              <w:rPr>
                <w:sz w:val="20"/>
                <w:szCs w:val="20"/>
                <w:color w:val="auto"/>
              </w:rPr>
            </w:pPr>
            <w:r>
              <w:rPr>
                <w:rFonts w:ascii="Arial" w:cs="Arial" w:eastAsia="Arial" w:hAnsi="Arial"/>
                <w:sz w:val="18"/>
                <w:szCs w:val="18"/>
                <w:color w:val="auto"/>
                <w:w w:val="95"/>
              </w:rPr>
              <w:t>0.6</w:t>
            </w: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540" w:type="dxa"/>
            <w:vAlign w:val="bottom"/>
            <w:tcBorders>
              <w:bottom w:val="single" w:sz="8" w:color="CCEEFF"/>
            </w:tcBorders>
          </w:tcPr>
          <w:p>
            <w:pPr>
              <w:jc w:val="center"/>
              <w:ind w:left="15"/>
              <w:spacing w:after="0"/>
              <w:rPr>
                <w:sz w:val="20"/>
                <w:szCs w:val="20"/>
                <w:color w:val="auto"/>
              </w:rPr>
            </w:pPr>
            <w:r>
              <w:rPr>
                <w:rFonts w:ascii="Arial" w:cs="Arial" w:eastAsia="Arial" w:hAnsi="Arial"/>
                <w:sz w:val="18"/>
                <w:szCs w:val="18"/>
                <w:color w:val="auto"/>
                <w:w w:val="95"/>
              </w:rPr>
              <w:t>6.0</w:t>
            </w:r>
          </w:p>
        </w:tc>
        <w:tc>
          <w:tcPr>
            <w:tcW w:w="0" w:type="dxa"/>
            <w:vAlign w:val="bottom"/>
          </w:tcPr>
          <w:p>
            <w:pPr>
              <w:spacing w:after="0"/>
              <w:rPr>
                <w:sz w:val="1"/>
                <w:szCs w:val="1"/>
                <w:color w:val="auto"/>
              </w:rPr>
            </w:pPr>
          </w:p>
        </w:tc>
      </w:tr>
      <w:tr>
        <w:trPr>
          <w:trHeight w:val="248"/>
        </w:trPr>
        <w:tc>
          <w:tcPr>
            <w:tcW w:w="5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540" w:type="dxa"/>
            <w:vAlign w:val="bottom"/>
            <w:tcBorders>
              <w:bottom w:val="single" w:sz="8" w:color="CCEEFF"/>
            </w:tcBorders>
            <w:shd w:val="clear" w:color="auto" w:fill="CCEEFF"/>
          </w:tcPr>
          <w:p>
            <w:pPr>
              <w:jc w:val="center"/>
              <w:ind w:left="15"/>
              <w:spacing w:after="0"/>
              <w:rPr>
                <w:sz w:val="20"/>
                <w:szCs w:val="20"/>
                <w:color w:val="auto"/>
              </w:rPr>
            </w:pPr>
            <w:r>
              <w:rPr>
                <w:rFonts w:ascii="Arial" w:cs="Arial" w:eastAsia="Arial" w:hAnsi="Arial"/>
                <w:sz w:val="18"/>
                <w:szCs w:val="18"/>
                <w:color w:val="auto"/>
                <w:w w:val="95"/>
              </w:rPr>
              <w:t>2.1</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-1782445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-1782445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-1782445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Aircraft fuel and related taxes decreased $393 million, or 13.2%, in the first quarter of 2025 from the first quarter of 2024, primarily due to a 13.3% decrease in the average price per gallon of aircraft fuel including related taxes to $2.48 in the first quarter of 2025 from $2.86 in the first quarter of 2024.</w:t>
      </w:r>
    </w:p>
    <w:p>
      <w:pPr>
        <w:spacing w:after="0" w:line="11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Salaries, wages and benefits increased $ 355 million, or 9.2%, in the first quarter of 2025 from the first quarter of 2024, primarily due to contractual wage rate increases and higher costs for benefit-related items associated with newly ratified and extended labor agreements reached in 2024, as well as annual contractual wage rate increases in American’s other labor agreements.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firstLine="243"/>
        <w:spacing w:after="0" w:line="287" w:lineRule="auto"/>
        <w:rPr>
          <w:sz w:val="20"/>
          <w:szCs w:val="20"/>
          <w:color w:val="auto"/>
        </w:rPr>
      </w:pPr>
      <w:r>
        <w:rPr>
          <w:rFonts w:ascii="Arial" w:cs="Arial" w:eastAsia="Arial" w:hAnsi="Arial"/>
          <w:sz w:val="18"/>
          <w:szCs w:val="18"/>
          <w:color w:val="auto"/>
        </w:rPr>
        <w:t>Regional expenses increased $152 million, or 12.7%, in the first quarter of 2025 from the first quarter of 2024, primarily due to an increase in regional flight operations and costs at American’s regional carriers.</w:t>
      </w:r>
    </w:p>
    <w:p>
      <w:pPr>
        <w:spacing w:after="0" w:line="99" w:lineRule="exact"/>
        <w:rPr>
          <w:sz w:val="20"/>
          <w:szCs w:val="20"/>
          <w:color w:val="auto"/>
        </w:rPr>
      </w:pPr>
    </w:p>
    <w:p>
      <w:pPr>
        <w:ind w:right="20" w:firstLine="243"/>
        <w:spacing w:after="0" w:line="287" w:lineRule="auto"/>
        <w:rPr>
          <w:sz w:val="20"/>
          <w:szCs w:val="20"/>
          <w:color w:val="auto"/>
        </w:rPr>
      </w:pPr>
      <w:r>
        <w:rPr>
          <w:rFonts w:ascii="Arial" w:cs="Arial" w:eastAsia="Arial" w:hAnsi="Arial"/>
          <w:sz w:val="18"/>
          <w:szCs w:val="18"/>
          <w:color w:val="auto"/>
        </w:rPr>
        <w:t>Aircraft rent decreased $31 million, or 9.4%, in the first quarter of 2025 from the first quarter of 2024, primarily due to decreased rental payments associated with aircraft lease extensions.</w:t>
      </w:r>
    </w:p>
    <w:p>
      <w:pPr>
        <w:spacing w:after="0" w:line="99" w:lineRule="exact"/>
        <w:rPr>
          <w:sz w:val="20"/>
          <w:szCs w:val="20"/>
          <w:color w:val="auto"/>
        </w:rPr>
      </w:pPr>
    </w:p>
    <w:p>
      <w:pPr>
        <w:ind w:firstLine="243"/>
        <w:spacing w:after="0" w:line="287" w:lineRule="auto"/>
        <w:rPr>
          <w:sz w:val="20"/>
          <w:szCs w:val="20"/>
          <w:color w:val="auto"/>
        </w:rPr>
      </w:pPr>
      <w:r>
        <w:rPr>
          <w:rFonts w:ascii="Arial" w:cs="Arial" w:eastAsia="Arial" w:hAnsi="Arial"/>
          <w:sz w:val="18"/>
          <w:szCs w:val="18"/>
          <w:color w:val="auto"/>
        </w:rPr>
        <w:t>Selling expenses increased $42 million, or 10.1%, in the first quarter of 2025 from the first quarter of 2024, primarily due to an increase in commissions expense, driven by higher costs resulting from renegotiated agency contracts, as well as an increase in advertising expense.</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Operating Special Items, Net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8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3000" w:type="dxa"/>
            <w:vAlign w:val="bottom"/>
            <w:tcBorders>
              <w:bottom w:val="single" w:sz="8" w:color="auto"/>
            </w:tcBorders>
            <w:gridSpan w:val="4"/>
          </w:tcPr>
          <w:p>
            <w:pPr>
              <w:jc w:val="right"/>
              <w:ind w:right="116"/>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Borders>
              <w:bottom w:val="single" w:sz="8" w:color="auto"/>
            </w:tcBorders>
          </w:tcPr>
          <w:p>
            <w:pPr>
              <w:spacing w:after="0"/>
              <w:rPr>
                <w:sz w:val="17"/>
                <w:szCs w:val="17"/>
                <w:color w:val="auto"/>
              </w:rPr>
            </w:pPr>
          </w:p>
        </w:tc>
      </w:tr>
      <w:tr>
        <w:trPr>
          <w:trHeight w:val="196"/>
        </w:trPr>
        <w:tc>
          <w:tcPr>
            <w:tcW w:w="208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2025</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2024</w:t>
            </w:r>
          </w:p>
        </w:tc>
        <w:tc>
          <w:tcPr>
            <w:tcW w:w="480" w:type="dxa"/>
            <w:vAlign w:val="bottom"/>
            <w:tcBorders>
              <w:bottom w:val="single" w:sz="8" w:color="auto"/>
            </w:tcBorders>
          </w:tcPr>
          <w:p>
            <w:pPr>
              <w:spacing w:after="0"/>
              <w:rPr>
                <w:sz w:val="17"/>
                <w:szCs w:val="17"/>
                <w:color w:val="auto"/>
              </w:rPr>
            </w:pPr>
          </w:p>
        </w:tc>
      </w:tr>
      <w:tr>
        <w:trPr>
          <w:trHeight w:val="196"/>
        </w:trPr>
        <w:tc>
          <w:tcPr>
            <w:tcW w:w="208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40" w:type="dxa"/>
            <w:vAlign w:val="bottom"/>
            <w:gridSpan w:val="3"/>
          </w:tcPr>
          <w:p>
            <w:pPr>
              <w:jc w:val="right"/>
              <w:ind w:right="776"/>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17"/>
                <w:szCs w:val="17"/>
                <w:color w:val="auto"/>
              </w:rPr>
            </w:pPr>
          </w:p>
        </w:tc>
      </w:tr>
      <w:tr>
        <w:trPr>
          <w:trHeight w:val="231"/>
        </w:trPr>
        <w:tc>
          <w:tcPr>
            <w:tcW w:w="7760" w:type="dxa"/>
            <w:vAlign w:val="bottom"/>
            <w:gridSpan w:val="2"/>
            <w:shd w:val="clear" w:color="auto" w:fill="CCEEFF"/>
          </w:tcPr>
          <w:p>
            <w:pPr>
              <w:ind w:left="20"/>
              <w:spacing w:after="0" w:line="231" w:lineRule="exact"/>
              <w:rPr>
                <w:sz w:val="20"/>
                <w:szCs w:val="20"/>
                <w:color w:val="auto"/>
              </w:rPr>
            </w:pPr>
            <w:r>
              <w:rPr>
                <w:rFonts w:ascii="Arial" w:cs="Arial" w:eastAsia="Arial" w:hAnsi="Arial"/>
                <w:sz w:val="18"/>
                <w:szCs w:val="18"/>
                <w:color w:val="auto"/>
              </w:rPr>
              <w:t xml:space="preserve">Labor contract expenses </w:t>
            </w:r>
            <w:r>
              <w:rPr>
                <w:rFonts w:ascii="Arial" w:cs="Arial" w:eastAsia="Arial" w:hAnsi="Arial"/>
                <w:sz w:val="23"/>
                <w:szCs w:val="23"/>
                <w:color w:val="auto"/>
                <w:vertAlign w:val="superscript"/>
              </w:rPr>
              <w:t>(1)</w:t>
            </w:r>
          </w:p>
        </w:tc>
        <w:tc>
          <w:tcPr>
            <w:tcW w:w="1160" w:type="dxa"/>
            <w:vAlign w:val="bottom"/>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29"/>
        </w:trPr>
        <w:tc>
          <w:tcPr>
            <w:tcW w:w="7760" w:type="dxa"/>
            <w:vAlign w:val="bottom"/>
            <w:gridSpan w:val="2"/>
          </w:tcPr>
          <w:p>
            <w:pPr>
              <w:ind w:left="20"/>
              <w:spacing w:after="0"/>
              <w:rPr>
                <w:sz w:val="20"/>
                <w:szCs w:val="20"/>
                <w:color w:val="auto"/>
              </w:rPr>
            </w:pPr>
            <w:r>
              <w:rPr>
                <w:rFonts w:ascii="Arial" w:cs="Arial" w:eastAsia="Arial" w:hAnsi="Arial"/>
                <w:sz w:val="18"/>
                <w:szCs w:val="18"/>
                <w:color w:val="auto"/>
              </w:rPr>
              <w:t>Litigation reserve adjustments</w:t>
            </w:r>
          </w:p>
        </w:tc>
        <w:tc>
          <w:tcPr>
            <w:tcW w:w="1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Severance expenses</w:t>
            </w:r>
          </w:p>
        </w:tc>
        <w:tc>
          <w:tcPr>
            <w:tcW w:w="11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77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operating special items, net</w:t>
            </w:r>
          </w:p>
        </w:tc>
        <w:tc>
          <w:tcPr>
            <w:tcW w:w="1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7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Mainline operating special items, net</w:t>
            </w:r>
          </w:p>
        </w:tc>
        <w:tc>
          <w:tcPr>
            <w:tcW w:w="116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56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2080" w:type="dxa"/>
            <w:vAlign w:val="bottom"/>
            <w:tcBorders>
              <w:bottom w:val="single" w:sz="8" w:color="auto"/>
            </w:tcBorders>
          </w:tcPr>
          <w:p>
            <w:pPr>
              <w:spacing w:after="0"/>
              <w:rPr>
                <w:sz w:val="9"/>
                <w:szCs w:val="9"/>
                <w:color w:val="auto"/>
              </w:rPr>
            </w:pPr>
          </w:p>
        </w:tc>
        <w:tc>
          <w:tcPr>
            <w:tcW w:w="56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80" w:type="dxa"/>
            <w:vAlign w:val="bottom"/>
          </w:tcPr>
          <w:p>
            <w:pPr>
              <w:spacing w:after="0"/>
              <w:rPr>
                <w:sz w:val="9"/>
                <w:szCs w:val="9"/>
                <w:color w:val="auto"/>
              </w:rPr>
            </w:pPr>
          </w:p>
        </w:tc>
      </w:tr>
    </w:tbl>
    <w:p>
      <w:pPr>
        <w:spacing w:after="0" w:line="76" w:lineRule="exact"/>
        <w:rPr>
          <w:sz w:val="20"/>
          <w:szCs w:val="20"/>
          <w:color w:val="auto"/>
        </w:rPr>
      </w:pPr>
    </w:p>
    <w:p>
      <w:pPr>
        <w:jc w:val="both"/>
        <w:ind w:left="340" w:hanging="332"/>
        <w:spacing w:after="0" w:line="237" w:lineRule="auto"/>
        <w:tabs>
          <w:tab w:leader="none" w:pos="334" w:val="left"/>
        </w:tabs>
        <w:numPr>
          <w:ilvl w:val="0"/>
          <w:numId w:val="38"/>
        </w:numPr>
        <w:rPr>
          <w:rFonts w:ascii="Arial" w:cs="Arial" w:eastAsia="Arial" w:hAnsi="Arial"/>
          <w:sz w:val="23"/>
          <w:szCs w:val="23"/>
          <w:color w:val="auto"/>
          <w:vertAlign w:val="superscript"/>
        </w:rPr>
      </w:pPr>
      <w:r>
        <w:rPr>
          <w:rFonts w:ascii="Arial" w:cs="Arial" w:eastAsia="Arial" w:hAnsi="Arial"/>
          <w:sz w:val="18"/>
          <w:szCs w:val="18"/>
          <w:color w:val="auto"/>
        </w:rPr>
        <w:t>Labor contract expenses for the three months ended March 31, 2025 included a one-time charge for adjustments to vacation accruals resulting from pay rate increases effective January 1, 2025, related to the ratification of the contract extension in the fourth quarter of 2024 with American’s mainline maintenance and fleet service team members.</w:t>
      </w:r>
    </w:p>
    <w:p>
      <w:pPr>
        <w:spacing w:after="0" w:line="140" w:lineRule="exact"/>
        <w:rPr>
          <w:rFonts w:ascii="Arial" w:cs="Arial" w:eastAsia="Arial" w:hAnsi="Arial"/>
          <w:sz w:val="23"/>
          <w:szCs w:val="23"/>
          <w:color w:val="auto"/>
          <w:vertAlign w:val="superscript"/>
        </w:rPr>
      </w:pPr>
    </w:p>
    <w:p>
      <w:pPr>
        <w:ind w:left="340"/>
        <w:spacing w:after="0" w:line="287" w:lineRule="auto"/>
        <w:rPr>
          <w:rFonts w:ascii="Arial" w:cs="Arial" w:eastAsia="Arial" w:hAnsi="Arial"/>
          <w:sz w:val="23"/>
          <w:szCs w:val="23"/>
          <w:color w:val="auto"/>
          <w:vertAlign w:val="superscript"/>
        </w:rPr>
      </w:pPr>
      <w:r>
        <w:rPr>
          <w:rFonts w:ascii="Arial" w:cs="Arial" w:eastAsia="Arial" w:hAnsi="Arial"/>
          <w:sz w:val="18"/>
          <w:szCs w:val="18"/>
          <w:color w:val="auto"/>
        </w:rPr>
        <w:t>Labor contract expenses for the three months ended March 31, 2024 included one-time charges resulting from the ratification of a new collective bargaining agreement with American’s mainline passenger service team members, including a one-time signing bonus.</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Nonoperating Results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20" w:type="dxa"/>
            <w:vAlign w:val="bottom"/>
          </w:tcPr>
          <w:p>
            <w:pPr>
              <w:spacing w:after="0"/>
              <w:rPr>
                <w:sz w:val="17"/>
                <w:szCs w:val="17"/>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296"/>
              <w:spacing w:after="0"/>
              <w:rPr>
                <w:sz w:val="20"/>
                <w:szCs w:val="20"/>
                <w:color w:val="auto"/>
              </w:rPr>
            </w:pPr>
            <w:r>
              <w:rPr>
                <w:rFonts w:ascii="Arial" w:cs="Arial" w:eastAsia="Arial" w:hAnsi="Arial"/>
                <w:sz w:val="14"/>
                <w:szCs w:val="14"/>
                <w:b w:val="1"/>
                <w:bCs w:val="1"/>
                <w:color w:val="auto"/>
              </w:rPr>
              <w:t>Increase</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Percent Increase</w:t>
            </w:r>
          </w:p>
        </w:tc>
      </w:tr>
      <w:tr>
        <w:trPr>
          <w:trHeight w:val="197"/>
        </w:trPr>
        <w:tc>
          <w:tcPr>
            <w:tcW w:w="522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(Decrease)</w:t>
            </w:r>
          </w:p>
        </w:tc>
        <w:tc>
          <w:tcPr>
            <w:tcW w:w="1500" w:type="dxa"/>
            <w:vAlign w:val="bottom"/>
            <w:tcBorders>
              <w:bottom w:val="single" w:sz="8" w:color="auto"/>
            </w:tcBorders>
          </w:tcPr>
          <w:p>
            <w:pPr>
              <w:jc w:val="center"/>
              <w:ind w:left="36"/>
              <w:spacing w:after="0"/>
              <w:rPr>
                <w:sz w:val="20"/>
                <w:szCs w:val="20"/>
                <w:color w:val="auto"/>
              </w:rPr>
            </w:pPr>
            <w:r>
              <w:rPr>
                <w:rFonts w:ascii="Arial" w:cs="Arial" w:eastAsia="Arial" w:hAnsi="Arial"/>
                <w:sz w:val="14"/>
                <w:szCs w:val="14"/>
                <w:b w:val="1"/>
                <w:bCs w:val="1"/>
                <w:color w:val="auto"/>
              </w:rPr>
              <w:t>(Decrease)</w:t>
            </w:r>
          </w:p>
        </w:tc>
      </w:tr>
      <w:tr>
        <w:trPr>
          <w:trHeight w:val="195"/>
        </w:trPr>
        <w:tc>
          <w:tcPr>
            <w:tcW w:w="5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gridSpan w:val="5"/>
          </w:tcPr>
          <w:p>
            <w:pPr>
              <w:jc w:val="right"/>
              <w:ind w:right="36"/>
              <w:spacing w:after="0"/>
              <w:rPr>
                <w:sz w:val="20"/>
                <w:szCs w:val="20"/>
                <w:color w:val="auto"/>
              </w:rPr>
            </w:pPr>
            <w:r>
              <w:rPr>
                <w:rFonts w:ascii="Arial" w:cs="Arial" w:eastAsia="Arial" w:hAnsi="Arial"/>
                <w:sz w:val="14"/>
                <w:szCs w:val="14"/>
                <w:b w:val="1"/>
                <w:bCs w:val="1"/>
                <w:color w:val="auto"/>
              </w:rPr>
              <w:t>(In millions, except percentage changes)</w:t>
            </w:r>
          </w:p>
        </w:tc>
        <w:tc>
          <w:tcPr>
            <w:tcW w:w="1500" w:type="dxa"/>
            <w:vAlign w:val="bottom"/>
          </w:tcPr>
          <w:p>
            <w:pPr>
              <w:spacing w:after="0"/>
              <w:rPr>
                <w:sz w:val="16"/>
                <w:szCs w:val="16"/>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500" w:type="dxa"/>
            <w:vAlign w:val="bottom"/>
            <w:shd w:val="clear" w:color="auto" w:fill="CCEEFF"/>
          </w:tcPr>
          <w:p>
            <w:pPr>
              <w:jc w:val="center"/>
              <w:ind w:left="16"/>
              <w:spacing w:after="0"/>
              <w:rPr>
                <w:sz w:val="20"/>
                <w:szCs w:val="20"/>
                <w:color w:val="auto"/>
              </w:rPr>
            </w:pPr>
            <w:r>
              <w:rPr>
                <w:rFonts w:ascii="Arial" w:cs="Arial" w:eastAsia="Arial" w:hAnsi="Arial"/>
                <w:sz w:val="18"/>
                <w:szCs w:val="18"/>
                <w:color w:val="auto"/>
                <w:w w:val="97"/>
              </w:rPr>
              <w:t>(9.7)</w:t>
            </w:r>
          </w:p>
        </w:tc>
      </w:tr>
      <w:tr>
        <w:trPr>
          <w:trHeight w:val="270"/>
        </w:trPr>
        <w:tc>
          <w:tcPr>
            <w:tcW w:w="52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9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5"/>
              </w:rPr>
              <w:t>(520)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w:t>
            </w:r>
          </w:p>
        </w:tc>
        <w:tc>
          <w:tcPr>
            <w:tcW w:w="1500" w:type="dxa"/>
            <w:vAlign w:val="bottom"/>
          </w:tcPr>
          <w:p>
            <w:pPr>
              <w:jc w:val="center"/>
              <w:ind w:left="16"/>
              <w:spacing w:after="0"/>
              <w:rPr>
                <w:sz w:val="20"/>
                <w:szCs w:val="20"/>
                <w:color w:val="auto"/>
              </w:rPr>
            </w:pPr>
            <w:r>
              <w:rPr>
                <w:rFonts w:ascii="Arial" w:cs="Arial" w:eastAsia="Arial" w:hAnsi="Arial"/>
                <w:sz w:val="18"/>
                <w:szCs w:val="18"/>
                <w:color w:val="auto"/>
              </w:rPr>
              <w:t>(13.0)</w:t>
            </w: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9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500" w:type="dxa"/>
            <w:vAlign w:val="bottom"/>
            <w:shd w:val="clear" w:color="auto" w:fill="CCEEFF"/>
          </w:tcPr>
          <w:p>
            <w:pPr>
              <w:jc w:val="center"/>
              <w:ind w:left="16"/>
              <w:spacing w:after="0"/>
              <w:rPr>
                <w:sz w:val="20"/>
                <w:szCs w:val="20"/>
                <w:color w:val="auto"/>
              </w:rPr>
            </w:pPr>
            <w:r>
              <w:rPr>
                <w:rFonts w:ascii="Arial" w:cs="Arial" w:eastAsia="Arial" w:hAnsi="Arial"/>
                <w:sz w:val="18"/>
                <w:szCs w:val="18"/>
                <w:color w:val="auto"/>
                <w:w w:val="95"/>
              </w:rPr>
              <w:t>7.1</w:t>
            </w:r>
          </w:p>
        </w:tc>
      </w:tr>
      <w:tr>
        <w:trPr>
          <w:trHeight w:val="223"/>
        </w:trPr>
        <w:tc>
          <w:tcPr>
            <w:tcW w:w="5220" w:type="dxa"/>
            <w:vAlign w:val="bottom"/>
          </w:tcPr>
          <w:p>
            <w:pPr>
              <w:ind w:left="140"/>
              <w:spacing w:after="0"/>
              <w:rPr>
                <w:sz w:val="20"/>
                <w:szCs w:val="20"/>
                <w:color w:val="auto"/>
              </w:rPr>
            </w:pPr>
            <w:r>
              <w:rPr>
                <w:rFonts w:ascii="Arial" w:cs="Arial" w:eastAsia="Arial" w:hAnsi="Arial"/>
                <w:sz w:val="18"/>
                <w:szCs w:val="18"/>
                <w:color w:val="auto"/>
              </w:rPr>
              <w:t>Total nonoperating expense, net</w:t>
            </w:r>
          </w:p>
        </w:tc>
        <w:tc>
          <w:tcPr>
            <w:tcW w:w="940" w:type="dxa"/>
            <w:vAlign w:val="bottom"/>
            <w:tcBorders>
              <w:bottom w:val="single" w:sz="8" w:color="auto"/>
            </w:tcBorders>
          </w:tcPr>
          <w:p>
            <w:pPr>
              <w:jc w:val="right"/>
              <w:ind w:right="73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81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(299)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500" w:type="dxa"/>
            <w:vAlign w:val="bottom"/>
          </w:tcPr>
          <w:p>
            <w:pPr>
              <w:jc w:val="center"/>
              <w:ind w:left="16"/>
              <w:spacing w:after="0"/>
              <w:rPr>
                <w:sz w:val="20"/>
                <w:szCs w:val="20"/>
                <w:color w:val="auto"/>
              </w:rPr>
            </w:pPr>
            <w:r>
              <w:rPr>
                <w:rFonts w:ascii="Arial" w:cs="Arial" w:eastAsia="Arial" w:hAnsi="Arial"/>
                <w:sz w:val="18"/>
                <w:szCs w:val="18"/>
                <w:color w:val="auto"/>
              </w:rPr>
              <w:t>(13.1)</w:t>
            </w:r>
          </w:p>
        </w:tc>
      </w:tr>
      <w:tr>
        <w:trPr>
          <w:trHeight w:val="20"/>
        </w:trPr>
        <w:tc>
          <w:tcPr>
            <w:tcW w:w="5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-788035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-788035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-788035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Interest income decreased $26 million, or 9.7%, in the first quarter of 2025 from the first quarter of 2024, primarily due to lower interest rates as well as a decrease in the balance of short-term investments subsequent to the first quarter of 2024. Interest expense, net decreased $68 million, or 13.0%, in the first quarter of 2025 from the first quarter of 2024, primarily due to lower outstanding debt subsequent to the first quarter of 2024, as American continues its efforts to strengthen the balance sheet, and lower interest rates on its variable-rate debt instruments.</w:t>
      </w:r>
    </w:p>
    <w:p>
      <w:pPr>
        <w:spacing w:after="0" w:line="125"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 the first quarter of 2025, other nonoperating expense, net primarily included $48 million of net special charges for mark-to-market net unrealized losses associated with certain equity investments and debt refinancings and extinguishments, as well as $11 million of foreign currency losses, offset in part by $11 million of non-service related pension and other postretirement benefit plan income.</w:t>
      </w:r>
    </w:p>
    <w:p>
      <w:pPr>
        <w:spacing w:after="0" w:line="11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 the first quarter of 2024, other nonoperating expense, net primarily included a $46 million special charge for mark-to-market net unrealized losses associated with certain equity investments and $7 million of foreign currency losses, offset in part by $24 million of non-service related pension and other postretirement benefit plan income.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American is a member of AAG’s consolidated federal and certain state income tax returns.</w:t>
      </w:r>
    </w:p>
    <w:p>
      <w:pPr>
        <w:spacing w:after="0" w:line="171"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In the first quarter of 2025, American recorded an income tax benefit of $144 million. Substantially all of American’s loss before income taxes is attributable to the United States.</w:t>
      </w:r>
    </w:p>
    <w:p>
      <w:pPr>
        <w:spacing w:after="0" w:line="9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Note 5 to American’s Condensed Consolidated Financial Statements in Part I, Item 1B for additional information on income taxes.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At March 31, 2025, AAG had $10.8 billion in total available liquidity and $647 million in restricted cash and short-term investments.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Additional detail regarding our available liquidity is provided in the table below (in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AAG</w:t>
            </w:r>
          </w:p>
        </w:tc>
        <w:tc>
          <w:tcPr>
            <w:tcW w:w="1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4"/>
          </w:tcPr>
          <w:p>
            <w:pPr>
              <w:jc w:val="right"/>
              <w:ind w:right="1334"/>
              <w:spacing w:after="0"/>
              <w:rPr>
                <w:sz w:val="20"/>
                <w:szCs w:val="20"/>
                <w:color w:val="auto"/>
              </w:rPr>
            </w:pPr>
            <w:r>
              <w:rPr>
                <w:rFonts w:ascii="Arial" w:cs="Arial" w:eastAsia="Arial" w:hAnsi="Arial"/>
                <w:sz w:val="14"/>
                <w:szCs w:val="14"/>
                <w:b w:val="1"/>
                <w:bCs w:val="1"/>
                <w:color w:val="auto"/>
              </w:rPr>
              <w:t>American</w:t>
            </w:r>
          </w:p>
        </w:tc>
      </w:tr>
      <w:tr>
        <w:trPr>
          <w:trHeight w:val="196"/>
        </w:trPr>
        <w:tc>
          <w:tcPr>
            <w:tcW w:w="4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2025</w:t>
            </w:r>
          </w:p>
        </w:tc>
        <w:tc>
          <w:tcPr>
            <w:tcW w:w="160" w:type="dxa"/>
            <w:vAlign w:val="bottom"/>
          </w:tcPr>
          <w:p>
            <w:pPr>
              <w:spacing w:after="0"/>
              <w:rPr>
                <w:sz w:val="17"/>
                <w:szCs w:val="17"/>
                <w:color w:val="auto"/>
              </w:rPr>
            </w:pPr>
          </w:p>
        </w:tc>
        <w:tc>
          <w:tcPr>
            <w:tcW w:w="16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2024</w:t>
            </w:r>
          </w:p>
        </w:tc>
        <w:tc>
          <w:tcPr>
            <w:tcW w:w="240" w:type="dxa"/>
            <w:vAlign w:val="bottom"/>
          </w:tcPr>
          <w:p>
            <w:pPr>
              <w:spacing w:after="0"/>
              <w:rPr>
                <w:sz w:val="17"/>
                <w:szCs w:val="17"/>
                <w:color w:val="auto"/>
              </w:rPr>
            </w:pPr>
          </w:p>
        </w:tc>
        <w:tc>
          <w:tcPr>
            <w:tcW w:w="15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2025</w:t>
            </w:r>
          </w:p>
        </w:tc>
        <w:tc>
          <w:tcPr>
            <w:tcW w:w="160" w:type="dxa"/>
            <w:vAlign w:val="bottom"/>
          </w:tcPr>
          <w:p>
            <w:pPr>
              <w:spacing w:after="0"/>
              <w:rPr>
                <w:sz w:val="17"/>
                <w:szCs w:val="17"/>
                <w:color w:val="auto"/>
              </w:rPr>
            </w:pPr>
          </w:p>
        </w:tc>
        <w:tc>
          <w:tcPr>
            <w:tcW w:w="1540" w:type="dxa"/>
            <w:vAlign w:val="bottom"/>
          </w:tcPr>
          <w:p>
            <w:pPr>
              <w:jc w:val="right"/>
              <w:ind w:right="114"/>
              <w:spacing w:after="0"/>
              <w:rPr>
                <w:sz w:val="20"/>
                <w:szCs w:val="20"/>
                <w:color w:val="auto"/>
              </w:rPr>
            </w:pPr>
            <w:r>
              <w:rPr>
                <w:rFonts w:ascii="Arial" w:cs="Arial" w:eastAsia="Arial" w:hAnsi="Arial"/>
                <w:sz w:val="14"/>
                <w:szCs w:val="14"/>
                <w:b w:val="1"/>
                <w:bCs w:val="1"/>
                <w:color w:val="auto"/>
              </w:rPr>
              <w:t>December 31, 2024</w:t>
            </w:r>
          </w:p>
        </w:tc>
      </w:tr>
      <w:tr>
        <w:trPr>
          <w:trHeight w:val="224"/>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w:t>
            </w: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6,631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6,180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6,629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6,177</w:t>
            </w: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Undrawn facilities</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3,289</w:t>
            </w:r>
          </w:p>
        </w:tc>
      </w:tr>
      <w:tr>
        <w:trPr>
          <w:trHeight w:val="223"/>
        </w:trPr>
        <w:tc>
          <w:tcPr>
            <w:tcW w:w="4120" w:type="dxa"/>
            <w:vAlign w:val="bottom"/>
          </w:tcPr>
          <w:p>
            <w:pPr>
              <w:ind w:left="240"/>
              <w:spacing w:after="0"/>
              <w:rPr>
                <w:sz w:val="20"/>
                <w:szCs w:val="20"/>
                <w:color w:val="auto"/>
              </w:rPr>
            </w:pPr>
            <w:r>
              <w:rPr>
                <w:rFonts w:ascii="Arial" w:cs="Arial" w:eastAsia="Arial" w:hAnsi="Arial"/>
                <w:sz w:val="18"/>
                <w:szCs w:val="18"/>
                <w:color w:val="auto"/>
              </w:rPr>
              <w:t>Total available liquidity</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10,261</w:t>
            </w:r>
          </w:p>
        </w:tc>
      </w:tr>
      <w:tr>
        <w:trPr>
          <w:trHeight w:val="21"/>
        </w:trPr>
        <w:tc>
          <w:tcPr>
            <w:tcW w:w="4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the ordinary course of our business, we or our affiliates may, at any time and from time to time, seek to prepay, retire or repurchase our outstanding debt through cash purchases and/or exchanges for equity or debt, in open-market purchases, privately negotiated transactions or otherwise. Such repurchases, prepayments, retirements or exchanges, if any, will be conducted on such terms and at such prices as we may determine, and will depend on prevailing market conditions, our liquidity requirements, legal and contractual restrictions and other factors. The amounts involved may be material.</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8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Our debt agreements contain customary terms and conditions as well as various affirmative, negative and financial covenants that, among other things, may restrict our ability and that of our subsidiaries to incur additional indebtedness, pay dividends or repurchase stock. Our debt agreements also contain customary change of control provisions, which may require us to repay or redeem such indebtedness upon certain events constituting a change of control under the relevant agreement, in certain cases at a premium. Additionally, certain of our debt financing agreements (including our secured notes, term loans, revolving credit facilities and spare engine EETCs) contain loan to value (LTV) or collateral coverage ratio covenants and certain agreements require us to appraise the related collateral annually or semiannually. Pursuant to such agreements, if the applicable LTV or collateral coverage ratio exceeds or falls below a specified threshold, as the case may be, we will be required, as applicable, to pledge additional qualifying collateral (which in some cases may include cash or investment securities), withhold additional cash in certain accounts, or pay down such financing, in whole or in part, or the interest rate for the relevant financing will be increased. Additionally, a significant portion of our debt financing agreements contain covenants requiring us to maintain an aggregate of at least $2.0 billion of unrestricted cash and cash equivalents and amounts available to be drawn under revolving credit facilities, and our 5.50% senior secured notes due 2026, 5.75% senior secured notes due 2029 and AAdvantage Term Loan Facility (collectively, the AAdvantage Financing) contain a peak debt service coverage ratio, pursuant to which failure to comply with a certain threshold may result in early repayment, in whole or in part, of the AAdvantage Financing. As of the most recent applicable measurement dates, we were in compliance with each of the foregoing covenants.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AAG</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Activities</w:t>
      </w:r>
    </w:p>
    <w:p>
      <w:pPr>
        <w:spacing w:after="0" w:line="88"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color w:val="auto"/>
        </w:rPr>
        <w:t>Our net cash provided by operating activities was $2.5 billion and $2.2 billion for the first quarter of 2025 and 2024, respectively, a $276 million period-over-period increase driven by net working capital changes, offset in part by lower profitability in the first quarter of 2025.</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Investing Activities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net cash used in investing activities was $1.2 billion and $1.5 billion for the first quarter of 2025 and 2024, respectively.</w:t>
      </w:r>
    </w:p>
    <w:p>
      <w:pPr>
        <w:spacing w:after="0" w:line="171"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Our principal investing activities in the first quarter of 2025 included $824 million of capital expenditures, which primarily related to the purchase of seven Boeing 737 MAX aircraft, two Embraer 175 aircraft, two Bombardier CRJ 900 aircraft, one Airbus A321neo aircraft and four aircraft engines. Additionally, we had $457 million in net purchases of short-term investments.</w:t>
      </w:r>
    </w:p>
    <w:p>
      <w:pPr>
        <w:spacing w:after="0" w:line="11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Our principal investing activities in the first quarter of 2024 included $824 million of capital expenditures, which primarily related to the purchase of six Embraer 175 aircraft, two Airbus A321neo aircraft, four spare engines and aircraft purchase deposits. Additionally, we had $702 million in net purchases of short-term investments.</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Financing Activities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net cash used in financing activities was $1.2 billion and $642 million for the first quarter of 2025 and 2024, respectively.</w:t>
      </w:r>
    </w:p>
    <w:p>
      <w:pPr>
        <w:spacing w:after="0" w:line="17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principal financing activities in the first quarter of 2025 primarily included $1.4 billion in debt and finance lease repayments, consisting of $910 million in scheduled repayments, $308 million of early repayments toward portions of the outstanding principal amounts of the IP Notes and LGA/DCA Notes and $ 144 million of early repayments for the outstanding principal amount of equipment notes issued under an EETC. These cash outflows were offset in part by $325 million of proceeds from the issuance of long-term debt, primarily from the issuance of equipment loans and other notes payable in connection with the financing of certain aircraft.</w:t>
      </w:r>
    </w:p>
    <w:p>
      <w:pPr>
        <w:spacing w:after="0" w:line="125"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Our principal financing activities in the first quarter of 2024 included $873 million in scheduled repayments of debt and finance lease obligations. These cash outflows were offset in part by $248 million borrowed in connection with the financing of certain aircraft.</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American</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Activities</w:t>
      </w:r>
    </w:p>
    <w:p>
      <w:pPr>
        <w:spacing w:after="0" w:line="88"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American’s net cash provided by operating activities was $2.3 billion and $2.2 billion for the first quarter of 2025 and 2024, respectively, a $193 million period-over-period increase driven by net working capital changes, offset in part by lower profitability in the first quarter of 2025.</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Investing Activities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American’s net cash used in investing activities was $1.2 billion and $1.5 billion for the first quarter of 2025 and 2024, respectively.</w:t>
      </w:r>
    </w:p>
    <w:p>
      <w:pPr>
        <w:spacing w:after="0" w:line="171"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American’s principal investing activities in the first quarter of 2025 included $805 million of capital expenditures, which primarily related to the purchase of seven Boeing 737 MAX aircraft, two Embraer 175 aircraft, two Bombardier CRJ 900 aircraft, one Airbus A321neo aircraft and four aircraft engines. Additionally, American had $457 million in net purchases of short-term investments.</w:t>
      </w:r>
    </w:p>
    <w:p>
      <w:pPr>
        <w:spacing w:after="0" w:line="11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American’s principal investing activities in the first quarter of 2024 included $815 million of capital expenditures, which primarily related to the purchase of six Embraer 175 aircraft, two Airbus A321neo aircraft, four spare engines and aircraft purchase deposits. Additionally, American had $700 million in net purchases of short-term investments.</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Financing Activities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American’s net cash used in financing activities was $1.1 billion and $629 million for the first quarter of 2025 and 2024,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American’s principal financing activities in the first quarter of 2025 primarily included $1.4 billion in debt and finance lease repayments, consisting of $909 million in scheduled repayments, $ 308 million of early repayments toward portions of the outstanding principal amounts of the IP Notes and LGA/DCA Notes and $144 million of early repayments for the outstanding principal amount of equipment notes issued under an EETC. These cash outflows were offset in part by $325 million of proceeds from the issuance of long-term debt, primarily from the issuance of equipment loans and other notes payable in connection with the financing of certain aircraft.</w:t>
      </w:r>
    </w:p>
    <w:p>
      <w:pPr>
        <w:spacing w:after="0" w:line="125"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American’s principal financing activities in the first quarter of 2024 included $870 million in scheduled repayments of debt and finance lease obligations. These cash outflows were offset in part by $248 million borrowed in connection with the financing of certain aircraft.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Significant Indebtedness</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As of March 31, 2025, AAG had $29.2 billion in long-term debt, including current maturities of $4.6 billion. As of March 31, 2025, American had $24.4 billion in long-term debt, including current maturities of $ 3.6 billion. All material changes in our significant indebtedness since our 2024 Form 10-K are discussed in Note 5 to AAG’s Condensed Consolidated Financial Statements in Part I, Item 1A and Note 4 to American’s Condensed Consolidated Financial Statements in Part I, Item 1B.</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Aircraft and Engine Purchase Commitments</w:t>
      </w:r>
    </w:p>
    <w:p>
      <w:pPr>
        <w:spacing w:after="0" w:line="8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xml:space="preserve">As of March 31, 2025, we had definitive purchase agreements for the acquisition of the following new aircraft </w:t>
      </w:r>
      <w:r>
        <w:rPr>
          <w:rFonts w:ascii="Arial" w:cs="Arial" w:eastAsia="Arial" w:hAnsi="Arial"/>
          <w:sz w:val="23"/>
          <w:szCs w:val="23"/>
          <w:color w:val="auto"/>
          <w:vertAlign w:val="superscript"/>
        </w:rPr>
        <w:t>(1)</w:t>
      </w:r>
      <w:r>
        <w:rPr>
          <w:rFonts w:ascii="Arial" w:cs="Arial" w:eastAsia="Arial" w:hAnsi="Arial"/>
          <w:sz w:val="18"/>
          <w:szCs w:val="18"/>
          <w:color w:val="auto"/>
        </w:rPr>
        <w: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Remainder</w:t>
            </w:r>
          </w:p>
        </w:tc>
        <w:tc>
          <w:tcPr>
            <w:tcW w:w="118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4"/>
                <w:szCs w:val="14"/>
                <w:color w:val="auto"/>
              </w:rPr>
            </w:pPr>
          </w:p>
        </w:tc>
        <w:tc>
          <w:tcPr>
            <w:tcW w:w="11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2027</w:t>
            </w:r>
          </w:p>
        </w:tc>
        <w:tc>
          <w:tcPr>
            <w:tcW w:w="100" w:type="dxa"/>
            <w:vAlign w:val="bottom"/>
          </w:tcPr>
          <w:p>
            <w:pPr>
              <w:spacing w:after="0"/>
              <w:rPr>
                <w:sz w:val="14"/>
                <w:szCs w:val="14"/>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2028 and</w:t>
            </w:r>
          </w:p>
        </w:tc>
        <w:tc>
          <w:tcPr>
            <w:tcW w:w="120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of 2025</w:t>
            </w: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Thereafter</w:t>
            </w: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8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b w:val="1"/>
                <w:bCs w:val="1"/>
                <w:color w:val="auto"/>
                <w:w w:val="98"/>
              </w:rPr>
              <w:t>Airbus</w:t>
            </w:r>
          </w:p>
        </w:tc>
        <w:tc>
          <w:tcPr>
            <w:tcW w:w="422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120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00" w:type="dxa"/>
            <w:vAlign w:val="bottom"/>
            <w:gridSpan w:val="4"/>
          </w:tcPr>
          <w:p>
            <w:pPr>
              <w:spacing w:after="0"/>
              <w:rPr>
                <w:sz w:val="20"/>
                <w:szCs w:val="20"/>
                <w:color w:val="auto"/>
              </w:rPr>
            </w:pPr>
            <w:r>
              <w:rPr>
                <w:rFonts w:ascii="Arial" w:cs="Arial" w:eastAsia="Arial" w:hAnsi="Arial"/>
                <w:sz w:val="18"/>
                <w:szCs w:val="18"/>
                <w:color w:val="auto"/>
              </w:rPr>
              <w:t>A320neo Family</w:t>
            </w: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98"/>
              </w:rPr>
              <w:t>Boeing</w:t>
            </w:r>
          </w:p>
        </w:tc>
        <w:tc>
          <w:tcPr>
            <w:tcW w:w="4180" w:type="dxa"/>
            <w:vAlign w:val="bottom"/>
            <w:tcBorders>
              <w:bottom w:val="single" w:sz="8" w:color="CCEEFF"/>
            </w:tcBorders>
            <w:gridSpan w:val="2"/>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gridSpan w:val="4"/>
          </w:tcPr>
          <w:p>
            <w:pPr>
              <w:spacing w:after="0"/>
              <w:rPr>
                <w:sz w:val="20"/>
                <w:szCs w:val="20"/>
                <w:color w:val="auto"/>
              </w:rPr>
            </w:pPr>
            <w:r>
              <w:rPr>
                <w:rFonts w:ascii="Arial" w:cs="Arial" w:eastAsia="Arial" w:hAnsi="Arial"/>
                <w:sz w:val="18"/>
                <w:szCs w:val="18"/>
                <w:color w:val="auto"/>
              </w:rPr>
              <w:t>737 MAX Family</w:t>
            </w: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787 Family</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00" w:type="dxa"/>
            <w:vAlign w:val="bottom"/>
            <w:gridSpan w:val="4"/>
          </w:tcPr>
          <w:p>
            <w:pPr>
              <w:spacing w:after="0" w:line="189" w:lineRule="exact"/>
              <w:rPr>
                <w:sz w:val="20"/>
                <w:szCs w:val="20"/>
                <w:color w:val="auto"/>
              </w:rPr>
            </w:pPr>
            <w:r>
              <w:rPr>
                <w:rFonts w:ascii="Arial" w:cs="Arial" w:eastAsia="Arial" w:hAnsi="Arial"/>
                <w:sz w:val="18"/>
                <w:szCs w:val="18"/>
                <w:b w:val="1"/>
                <w:bCs w:val="1"/>
                <w:color w:val="auto"/>
              </w:rPr>
              <w:t>Embraer</w:t>
            </w: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175</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6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800" w:type="dxa"/>
            <w:vAlign w:val="bottom"/>
            <w:gridSpan w:val="4"/>
          </w:tcPr>
          <w:p>
            <w:pPr>
              <w:ind w:left="120"/>
              <w:spacing w:after="0"/>
              <w:rPr>
                <w:sz w:val="20"/>
                <w:szCs w:val="20"/>
                <w:color w:val="auto"/>
              </w:rPr>
            </w:pPr>
            <w:r>
              <w:rPr>
                <w:rFonts w:ascii="Arial" w:cs="Arial" w:eastAsia="Arial" w:hAnsi="Arial"/>
                <w:sz w:val="18"/>
                <w:szCs w:val="18"/>
                <w:color w:val="auto"/>
              </w:rPr>
              <w:t>Total</w:t>
            </w:r>
          </w:p>
        </w:tc>
        <w:tc>
          <w:tcPr>
            <w:tcW w:w="12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131127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22" w:lineRule="exact"/>
        <w:rPr>
          <w:sz w:val="20"/>
          <w:szCs w:val="20"/>
          <w:color w:val="auto"/>
        </w:rPr>
      </w:pPr>
    </w:p>
    <w:p>
      <w:pPr>
        <w:jc w:val="both"/>
        <w:ind w:left="340" w:hanging="332"/>
        <w:spacing w:after="0" w:line="245" w:lineRule="auto"/>
        <w:tabs>
          <w:tab w:leader="none" w:pos="334" w:val="left"/>
        </w:tabs>
        <w:numPr>
          <w:ilvl w:val="0"/>
          <w:numId w:val="39"/>
        </w:numPr>
        <w:rPr>
          <w:rFonts w:ascii="Arial" w:cs="Arial" w:eastAsia="Arial" w:hAnsi="Arial"/>
          <w:sz w:val="23"/>
          <w:szCs w:val="23"/>
          <w:color w:val="auto"/>
          <w:vertAlign w:val="superscript"/>
        </w:rPr>
      </w:pPr>
      <w:r>
        <w:rPr>
          <w:rFonts w:ascii="Arial" w:cs="Arial" w:eastAsia="Arial" w:hAnsi="Arial"/>
          <w:sz w:val="18"/>
          <w:szCs w:val="18"/>
          <w:color w:val="auto"/>
        </w:rPr>
        <w:t xml:space="preserve">Delivery schedule represents our best estimate as of the date of this report as described in footnote (d) to the </w:t>
      </w:r>
      <w:r>
        <w:rPr>
          <w:rFonts w:ascii="Arial" w:cs="Arial" w:eastAsia="Arial" w:hAnsi="Arial"/>
          <w:sz w:val="18"/>
          <w:szCs w:val="18"/>
          <w:i w:val="1"/>
          <w:iCs w:val="1"/>
          <w:color w:val="auto"/>
        </w:rPr>
        <w:t>“Contractual Obligations”</w:t>
      </w:r>
      <w:r>
        <w:rPr>
          <w:rFonts w:ascii="Arial" w:cs="Arial" w:eastAsia="Arial" w:hAnsi="Arial"/>
          <w:sz w:val="18"/>
          <w:szCs w:val="18"/>
          <w:color w:val="auto"/>
        </w:rPr>
        <w:t xml:space="preserve"> table below. Actual delivery dates are subject to change, which could be material, based on various potential factors including production delays by the manufacturer and regulatory concerns. See Part I, Item 1A. Risk Factors – </w:t>
      </w:r>
      <w:r>
        <w:rPr>
          <w:rFonts w:ascii="Arial" w:cs="Arial" w:eastAsia="Arial" w:hAnsi="Arial"/>
          <w:sz w:val="18"/>
          <w:szCs w:val="18"/>
          <w:i w:val="1"/>
          <w:iCs w:val="1"/>
          <w:color w:val="auto"/>
        </w:rPr>
        <w:t>“We depend on a limited number of suppliers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aircraft, aircraft engines and parts. Delays in scheduled aircraft deliveries, unexpected grounding of aircraft or aircraft engines whether by regulators or by us, or other loss of anticipated fleet capacity, and failure of new aircraft to receive regulatory approval, be produced or otherwise perform as and when expected, adversely impacts our business, results of operations and financial condition” </w:t>
      </w:r>
      <w:r>
        <w:rPr>
          <w:rFonts w:ascii="Arial" w:cs="Arial" w:eastAsia="Arial" w:hAnsi="Arial"/>
          <w:sz w:val="18"/>
          <w:szCs w:val="18"/>
          <w:color w:val="auto"/>
        </w:rPr>
        <w:t>in our 2024</w:t>
      </w:r>
      <w:r>
        <w:rPr>
          <w:rFonts w:ascii="Arial" w:cs="Arial" w:eastAsia="Arial" w:hAnsi="Arial"/>
          <w:sz w:val="18"/>
          <w:szCs w:val="18"/>
          <w:i w:val="1"/>
          <w:iCs w:val="1"/>
          <w:color w:val="auto"/>
        </w:rPr>
        <w:t xml:space="preserve"> </w:t>
      </w:r>
      <w:r>
        <w:rPr>
          <w:rFonts w:ascii="Arial" w:cs="Arial" w:eastAsia="Arial" w:hAnsi="Arial"/>
          <w:sz w:val="18"/>
          <w:szCs w:val="18"/>
          <w:color w:val="auto"/>
        </w:rPr>
        <w:t>Form 10-K.</w:t>
      </w:r>
    </w:p>
    <w:p>
      <w:pPr>
        <w:spacing w:after="0" w:line="136"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 xml:space="preserve">In addition, we have committed to purchase 10 used Bombardier CRJ 900 aircraft which are scheduled to be delivered from the second quarter of 2025 through 2026. We also have agreements for 47 spare engines to be delivered in the second quarter of 2025 and beyond. The </w:t>
      </w:r>
      <w:r>
        <w:rPr>
          <w:rFonts w:ascii="Arial" w:cs="Arial" w:eastAsia="Arial" w:hAnsi="Arial"/>
          <w:sz w:val="18"/>
          <w:szCs w:val="18"/>
          <w:i w:val="1"/>
          <w:iCs w:val="1"/>
          <w:color w:val="auto"/>
        </w:rPr>
        <w:t xml:space="preserve">“Contractual Obligations” </w:t>
      </w:r>
      <w:r>
        <w:rPr>
          <w:rFonts w:ascii="Arial" w:cs="Arial" w:eastAsia="Arial" w:hAnsi="Arial"/>
          <w:sz w:val="18"/>
          <w:szCs w:val="18"/>
          <w:color w:val="auto"/>
        </w:rPr>
        <w:t>table below reflects these commitments.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intend to finance future aircraft deliveries and option exercises using long-term debt.</w:t>
      </w:r>
    </w:p>
    <w:p>
      <w:pPr>
        <w:spacing w:after="0" w:line="25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Off-Balance Sheet Arrangements</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An off-balance sheet arrangement is any transaction, agreement or other contractual arrangement involving an unconsolidated entity under which a company has (1) made guarantees, (2) a retained or a contingent interest in transferred assets, (3) an obligation under derivative instruments classified as equity or (4) any obligation arising out of a material variable interest in an unconsolidated entity that provides financing, liquidity, market risk or credit risk support to us, or that engages in leasing, hedging or research and development arrangements with us.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There have been no material changes in our off-balance sheet arrangements as discussed in our 2024 Form 10-K.</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following table provides details of our estimated material cash requirements from contractual obligations as of March 31, 2025 (in millions). The table does not include commitments that are contingent on events or other factors that are uncertain or unknown at this time and is subject to other conventions as set forth in the applicable accompanying footnotes.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8"/>
          </w:tcPr>
          <w:p>
            <w:pPr>
              <w:ind w:left="460"/>
              <w:spacing w:after="0"/>
              <w:rPr>
                <w:sz w:val="20"/>
                <w:szCs w:val="20"/>
                <w:color w:val="auto"/>
              </w:rPr>
            </w:pPr>
            <w:r>
              <w:rPr>
                <w:rFonts w:ascii="Arial" w:cs="Arial" w:eastAsia="Arial" w:hAnsi="Arial"/>
                <w:sz w:val="14"/>
                <w:szCs w:val="14"/>
                <w:b w:val="1"/>
                <w:bCs w:val="1"/>
                <w:color w:val="auto"/>
              </w:rPr>
              <w:t>Payments Due by Period</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Remainder</w:t>
            </w:r>
          </w:p>
        </w:tc>
        <w:tc>
          <w:tcPr>
            <w:tcW w:w="200" w:type="dxa"/>
            <w:vAlign w:val="bottom"/>
          </w:tcPr>
          <w:p>
            <w:pPr>
              <w:spacing w:after="0"/>
              <w:rPr>
                <w:sz w:val="12"/>
                <w:szCs w:val="12"/>
                <w:color w:val="auto"/>
              </w:rPr>
            </w:pPr>
          </w:p>
        </w:tc>
        <w:tc>
          <w:tcPr>
            <w:tcW w:w="70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2027</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2028</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2029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2030 and</w:t>
            </w:r>
          </w:p>
        </w:tc>
        <w:tc>
          <w:tcPr>
            <w:tcW w:w="220" w:type="dxa"/>
            <w:vAlign w:val="bottom"/>
          </w:tcPr>
          <w:p>
            <w:pPr>
              <w:spacing w:after="0"/>
              <w:rPr>
                <w:sz w:val="12"/>
                <w:szCs w:val="12"/>
                <w:color w:val="auto"/>
              </w:rPr>
            </w:pPr>
          </w:p>
        </w:tc>
        <w:tc>
          <w:tcPr>
            <w:tcW w:w="74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of 2025</w:t>
            </w: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Thereafter</w:t>
            </w: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American</w:t>
            </w: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Principal amount </w:t>
            </w:r>
            <w:r>
              <w:rPr>
                <w:rFonts w:ascii="Arial" w:cs="Arial" w:eastAsia="Arial" w:hAnsi="Arial"/>
                <w:sz w:val="23"/>
                <w:szCs w:val="23"/>
                <w:color w:val="auto"/>
                <w:vertAlign w:val="superscript"/>
              </w:rPr>
              <w:t>(a), (c)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24,439</w:t>
            </w:r>
          </w:p>
        </w:tc>
        <w:tc>
          <w:tcPr>
            <w:tcW w:w="0" w:type="dxa"/>
            <w:vAlign w:val="bottom"/>
          </w:tcPr>
          <w:p>
            <w:pPr>
              <w:spacing w:after="0"/>
              <w:rPr>
                <w:sz w:val="1"/>
                <w:szCs w:val="1"/>
                <w:color w:val="auto"/>
              </w:rPr>
            </w:pPr>
          </w:p>
        </w:tc>
      </w:tr>
      <w:tr>
        <w:trPr>
          <w:trHeight w:val="229"/>
        </w:trPr>
        <w:tc>
          <w:tcPr>
            <w:tcW w:w="404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23"/>
                <w:szCs w:val="23"/>
                <w:color w:val="auto"/>
                <w:vertAlign w:val="superscript"/>
              </w:rPr>
              <w:t>(b), (c)</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1,140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4,356</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obligations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Aircraft and engine purchase commitments </w:t>
            </w:r>
            <w:r>
              <w:rPr>
                <w:rFonts w:ascii="Arial" w:cs="Arial" w:eastAsia="Arial" w:hAnsi="Arial"/>
                <w:sz w:val="23"/>
                <w:szCs w:val="23"/>
                <w:color w:val="auto"/>
                <w:vertAlign w:val="superscript"/>
              </w:rPr>
              <w:t>(d)</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1,543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3,569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4,075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25,452</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commitments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10,025</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Regional capacity purchase agreements </w:t>
            </w:r>
            <w:r>
              <w:rPr>
                <w:rFonts w:ascii="Arial" w:cs="Arial" w:eastAsia="Arial" w:hAnsi="Arial"/>
                <w:sz w:val="23"/>
                <w:szCs w:val="23"/>
                <w:color w:val="auto"/>
                <w:vertAlign w:val="superscript"/>
              </w:rPr>
              <w:t>(e)</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1,063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5,565</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Minimum pension obligations </w:t>
            </w:r>
            <w:r>
              <w:rPr>
                <w:rFonts w:ascii="Arial" w:cs="Arial" w:eastAsia="Arial" w:hAnsi="Arial"/>
                <w:sz w:val="23"/>
                <w:szCs w:val="23"/>
                <w:color w:val="auto"/>
                <w:vertAlign w:val="superscript"/>
              </w:rPr>
              <w:t>(f)</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176"/>
        </w:trPr>
        <w:tc>
          <w:tcPr>
            <w:tcW w:w="4040" w:type="dxa"/>
            <w:vAlign w:val="bottom"/>
          </w:tcPr>
          <w:p>
            <w:pPr>
              <w:ind w:left="20"/>
              <w:spacing w:after="0" w:line="176" w:lineRule="exact"/>
              <w:rPr>
                <w:sz w:val="20"/>
                <w:szCs w:val="20"/>
                <w:color w:val="auto"/>
              </w:rPr>
            </w:pPr>
            <w:r>
              <w:rPr>
                <w:rFonts w:ascii="Arial" w:cs="Arial" w:eastAsia="Arial" w:hAnsi="Arial"/>
                <w:sz w:val="18"/>
                <w:szCs w:val="18"/>
                <w:color w:val="auto"/>
              </w:rPr>
              <w:t>Retiree medical and other postretirement benefits</w:t>
            </w:r>
          </w:p>
        </w:tc>
        <w:tc>
          <w:tcPr>
            <w:tcW w:w="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68"/>
        </w:trPr>
        <w:tc>
          <w:tcPr>
            <w:tcW w:w="4040" w:type="dxa"/>
            <w:vAlign w:val="bottom"/>
            <w:vMerge w:val="restart"/>
          </w:tcPr>
          <w:p>
            <w:pPr>
              <w:ind w:left="180"/>
              <w:spacing w:after="0"/>
              <w:rPr>
                <w:sz w:val="20"/>
                <w:szCs w:val="20"/>
                <w:color w:val="auto"/>
              </w:rPr>
            </w:pPr>
            <w:r>
              <w:rPr>
                <w:rFonts w:ascii="Arial" w:cs="Arial" w:eastAsia="Arial" w:hAnsi="Arial"/>
                <w:sz w:val="12"/>
                <w:szCs w:val="12"/>
                <w:color w:val="auto"/>
              </w:rPr>
              <w:t>(f)</w:t>
            </w:r>
          </w:p>
        </w:tc>
        <w:tc>
          <w:tcPr>
            <w:tcW w:w="12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40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purchase obligations </w:t>
            </w:r>
            <w:r>
              <w:rPr>
                <w:rFonts w:ascii="Arial" w:cs="Arial" w:eastAsia="Arial" w:hAnsi="Arial"/>
                <w:sz w:val="23"/>
                <w:szCs w:val="23"/>
                <w:color w:val="auto"/>
                <w:vertAlign w:val="superscript"/>
              </w:rPr>
              <w:t>(g)</w:t>
            </w: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11,921</w:t>
            </w:r>
          </w:p>
        </w:tc>
        <w:tc>
          <w:tcPr>
            <w:tcW w:w="0" w:type="dxa"/>
            <w:vAlign w:val="bottom"/>
          </w:tcPr>
          <w:p>
            <w:pPr>
              <w:spacing w:after="0"/>
              <w:rPr>
                <w:sz w:val="1"/>
                <w:szCs w:val="1"/>
                <w:color w:val="auto"/>
              </w:rPr>
            </w:pPr>
          </w:p>
        </w:tc>
      </w:tr>
      <w:tr>
        <w:trPr>
          <w:trHeight w:val="223"/>
        </w:trPr>
        <w:tc>
          <w:tcPr>
            <w:tcW w:w="4040" w:type="dxa"/>
            <w:vAlign w:val="bottom"/>
          </w:tcPr>
          <w:p>
            <w:pPr>
              <w:ind w:left="140"/>
              <w:spacing w:after="0"/>
              <w:rPr>
                <w:sz w:val="20"/>
                <w:szCs w:val="20"/>
                <w:color w:val="auto"/>
              </w:rPr>
            </w:pPr>
            <w:r>
              <w:rPr>
                <w:rFonts w:ascii="Arial" w:cs="Arial" w:eastAsia="Arial" w:hAnsi="Arial"/>
                <w:sz w:val="18"/>
                <w:szCs w:val="18"/>
                <w:color w:val="auto"/>
              </w:rPr>
              <w:t>Total American Contractual Obligations</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10,562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13,788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13,449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15,065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21,253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84,401</w:t>
            </w:r>
          </w:p>
        </w:tc>
        <w:tc>
          <w:tcPr>
            <w:tcW w:w="0" w:type="dxa"/>
            <w:vAlign w:val="bottom"/>
          </w:tcPr>
          <w:p>
            <w:pPr>
              <w:spacing w:after="0"/>
              <w:rPr>
                <w:sz w:val="1"/>
                <w:szCs w:val="1"/>
                <w:color w:val="auto"/>
              </w:rPr>
            </w:pPr>
          </w:p>
        </w:tc>
      </w:tr>
      <w:tr>
        <w:trPr>
          <w:trHeight w:val="257"/>
        </w:trPr>
        <w:tc>
          <w:tcPr>
            <w:tcW w:w="4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i w:val="1"/>
                <w:iCs w:val="1"/>
                <w:color w:val="auto"/>
              </w:rPr>
              <w:t>AAG Parent and Other AAG Subsidiaries</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Principal amount </w:t>
            </w:r>
            <w:r>
              <w:rPr>
                <w:rFonts w:ascii="Arial" w:cs="Arial" w:eastAsia="Arial" w:hAnsi="Arial"/>
                <w:sz w:val="23"/>
                <w:szCs w:val="23"/>
                <w:color w:val="auto"/>
                <w:vertAlign w:val="superscript"/>
              </w:rPr>
              <w:t>(a)</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4,746</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23"/>
                <w:szCs w:val="23"/>
                <w:color w:val="auto"/>
                <w:vertAlign w:val="superscript"/>
              </w:rPr>
              <w:t>(b)</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Finance lease obligations</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commitments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Minimum pension obligations </w:t>
            </w:r>
            <w:r>
              <w:rPr>
                <w:rFonts w:ascii="Arial" w:cs="Arial" w:eastAsia="Arial" w:hAnsi="Arial"/>
                <w:sz w:val="23"/>
                <w:szCs w:val="23"/>
                <w:color w:val="auto"/>
                <w:vertAlign w:val="superscript"/>
              </w:rPr>
              <w:t>(f)</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purchase obligations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3"/>
        </w:trPr>
        <w:tc>
          <w:tcPr>
            <w:tcW w:w="4040" w:type="dxa"/>
            <w:vAlign w:val="bottom"/>
          </w:tcPr>
          <w:p>
            <w:pPr>
              <w:ind w:left="140"/>
              <w:spacing w:after="0"/>
              <w:rPr>
                <w:sz w:val="20"/>
                <w:szCs w:val="20"/>
                <w:color w:val="auto"/>
              </w:rPr>
            </w:pPr>
            <w:r>
              <w:rPr>
                <w:rFonts w:ascii="Arial" w:cs="Arial" w:eastAsia="Arial" w:hAnsi="Arial"/>
                <w:sz w:val="18"/>
                <w:szCs w:val="18"/>
                <w:color w:val="auto"/>
              </w:rPr>
              <w:t>Total AAG Contractual Obligations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11,678</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13,988</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13,672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15,283</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10,502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25,259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90,382</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1127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31" w:lineRule="exact"/>
        <w:rPr>
          <w:sz w:val="20"/>
          <w:szCs w:val="20"/>
          <w:color w:val="auto"/>
        </w:rPr>
      </w:pPr>
    </w:p>
    <w:p>
      <w:pPr>
        <w:jc w:val="both"/>
        <w:ind w:left="340" w:hanging="332"/>
        <w:spacing w:after="0" w:line="237" w:lineRule="auto"/>
        <w:tabs>
          <w:tab w:leader="none" w:pos="334" w:val="left"/>
        </w:tabs>
        <w:numPr>
          <w:ilvl w:val="0"/>
          <w:numId w:val="40"/>
        </w:numPr>
        <w:rPr>
          <w:rFonts w:ascii="Arial" w:cs="Arial" w:eastAsia="Arial" w:hAnsi="Arial"/>
          <w:sz w:val="23"/>
          <w:szCs w:val="23"/>
          <w:color w:val="auto"/>
          <w:vertAlign w:val="superscript"/>
        </w:rPr>
      </w:pPr>
      <w:r>
        <w:rPr>
          <w:rFonts w:ascii="Arial" w:cs="Arial" w:eastAsia="Arial" w:hAnsi="Arial"/>
          <w:sz w:val="18"/>
          <w:szCs w:val="18"/>
          <w:color w:val="auto"/>
        </w:rPr>
        <w:t>Amounts represent contractual amounts due. Excludes $324 million and $4 million of unamortized debt discount, premium and issuance costs as of March 31, 2025 for American and AAG Parent, respectively. For additional information, see Note 5 and Note 4 to AAG’s and American’s Condensed Consolidated Financial Statements in Part I, Items 1A and 1B, respectively.</w:t>
      </w:r>
    </w:p>
    <w:p>
      <w:pPr>
        <w:spacing w:after="0" w:line="114"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40"/>
        </w:numPr>
        <w:rPr>
          <w:rFonts w:ascii="Arial" w:cs="Arial" w:eastAsia="Arial" w:hAnsi="Arial"/>
          <w:sz w:val="23"/>
          <w:szCs w:val="23"/>
          <w:color w:val="auto"/>
          <w:vertAlign w:val="superscript"/>
        </w:rPr>
      </w:pPr>
      <w:r>
        <w:rPr>
          <w:rFonts w:ascii="Arial" w:cs="Arial" w:eastAsia="Arial" w:hAnsi="Arial"/>
          <w:sz w:val="18"/>
          <w:szCs w:val="18"/>
          <w:color w:val="auto"/>
        </w:rPr>
        <w:t>For variable-rate debt, future interest obligations are estimated using the current forward rates at March 31, 2025.</w:t>
      </w:r>
    </w:p>
    <w:p>
      <w:pPr>
        <w:spacing w:after="0" w:line="139" w:lineRule="exact"/>
        <w:rPr>
          <w:rFonts w:ascii="Arial" w:cs="Arial" w:eastAsia="Arial" w:hAnsi="Arial"/>
          <w:sz w:val="23"/>
          <w:szCs w:val="23"/>
          <w:color w:val="auto"/>
          <w:vertAlign w:val="superscript"/>
        </w:rPr>
      </w:pPr>
    </w:p>
    <w:p>
      <w:pPr>
        <w:ind w:left="340" w:hanging="332"/>
        <w:spacing w:after="0" w:line="231" w:lineRule="auto"/>
        <w:tabs>
          <w:tab w:leader="none" w:pos="328" w:val="left"/>
        </w:tabs>
        <w:numPr>
          <w:ilvl w:val="0"/>
          <w:numId w:val="40"/>
        </w:numPr>
        <w:rPr>
          <w:rFonts w:ascii="Arial" w:cs="Arial" w:eastAsia="Arial" w:hAnsi="Arial"/>
          <w:sz w:val="23"/>
          <w:szCs w:val="23"/>
          <w:color w:val="auto"/>
          <w:vertAlign w:val="superscript"/>
        </w:rPr>
      </w:pPr>
      <w:r>
        <w:rPr>
          <w:rFonts w:ascii="Arial" w:cs="Arial" w:eastAsia="Arial" w:hAnsi="Arial"/>
          <w:sz w:val="18"/>
          <w:szCs w:val="18"/>
          <w:color w:val="auto"/>
        </w:rPr>
        <w:t>Includes $6.9 billion of future principal payments and $802 million of future interest payments as of March 31, 2025, related to EETCs associated with mortgage financings of certain aircraft and spare engines.</w:t>
      </w:r>
    </w:p>
    <w:p>
      <w:pPr>
        <w:spacing w:after="0" w:line="140" w:lineRule="exact"/>
        <w:rPr>
          <w:rFonts w:ascii="Arial" w:cs="Arial" w:eastAsia="Arial" w:hAnsi="Arial"/>
          <w:sz w:val="23"/>
          <w:szCs w:val="23"/>
          <w:color w:val="auto"/>
          <w:vertAlign w:val="superscript"/>
        </w:rPr>
      </w:pPr>
    </w:p>
    <w:p>
      <w:pPr>
        <w:jc w:val="both"/>
        <w:ind w:left="340" w:hanging="332"/>
        <w:spacing w:after="0" w:line="245" w:lineRule="auto"/>
        <w:tabs>
          <w:tab w:leader="none" w:pos="334" w:val="left"/>
        </w:tabs>
        <w:numPr>
          <w:ilvl w:val="0"/>
          <w:numId w:val="40"/>
        </w:numPr>
        <w:rPr>
          <w:rFonts w:ascii="Arial" w:cs="Arial" w:eastAsia="Arial" w:hAnsi="Arial"/>
          <w:sz w:val="23"/>
          <w:szCs w:val="23"/>
          <w:color w:val="auto"/>
          <w:vertAlign w:val="superscript"/>
        </w:rPr>
      </w:pPr>
      <w:r>
        <w:rPr>
          <w:rFonts w:ascii="Arial" w:cs="Arial" w:eastAsia="Arial" w:hAnsi="Arial"/>
          <w:sz w:val="18"/>
          <w:szCs w:val="18"/>
          <w:color w:val="auto"/>
        </w:rPr>
        <w:t>See “</w:t>
      </w:r>
      <w:r>
        <w:rPr>
          <w:rFonts w:ascii="Arial" w:cs="Arial" w:eastAsia="Arial" w:hAnsi="Arial"/>
          <w:sz w:val="18"/>
          <w:szCs w:val="18"/>
          <w:i w:val="1"/>
          <w:iCs w:val="1"/>
          <w:color w:val="auto"/>
        </w:rPr>
        <w:t>Aircraft and Engine Purchase Commitments”</w:t>
      </w:r>
      <w:r>
        <w:rPr>
          <w:rFonts w:ascii="Arial" w:cs="Arial" w:eastAsia="Arial" w:hAnsi="Arial"/>
          <w:sz w:val="18"/>
          <w:szCs w:val="18"/>
          <w:color w:val="auto"/>
        </w:rPr>
        <w:t xml:space="preserve"> above for additional information about the firm commitments for the acquisition of aircraft and engines, including the anticipated aircraft delivery schedule. Due to uncertainty surrounding the timing of delivery of certain aircraft, the amounts in the table represent our most current estimate based on contractual delivery schedules adjusted for updates and revisions to such schedules communicated to management by the applicable equipment manufacturer and certain management assumptions. However, the actual delivery schedule may differ, potentially materially, based on various potential factors including production delays by the manufacturer and regulatory concerns. Additionally, the amounts in the table exclude five Boeing 787 Family aircraft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40"/>
        <w:spacing w:after="0" w:line="287" w:lineRule="auto"/>
        <w:rPr>
          <w:sz w:val="20"/>
          <w:szCs w:val="20"/>
          <w:color w:val="auto"/>
        </w:rPr>
      </w:pPr>
      <w:r>
        <w:rPr>
          <w:rFonts w:ascii="Arial" w:cs="Arial" w:eastAsia="Arial" w:hAnsi="Arial"/>
          <w:sz w:val="18"/>
          <w:szCs w:val="18"/>
          <w:color w:val="auto"/>
        </w:rPr>
        <w:t>scheduled to be delivered in 2025, for which we have obtained committed lease financing. This financing is reflected in the operating lease commitments line above.</w:t>
      </w:r>
    </w:p>
    <w:p>
      <w:pPr>
        <w:spacing w:after="0" w:line="99" w:lineRule="exact"/>
        <w:rPr>
          <w:sz w:val="20"/>
          <w:szCs w:val="20"/>
          <w:color w:val="auto"/>
        </w:rPr>
      </w:pPr>
    </w:p>
    <w:p>
      <w:pPr>
        <w:jc w:val="both"/>
        <w:ind w:left="340" w:hanging="332"/>
        <w:spacing w:after="0" w:line="237" w:lineRule="auto"/>
        <w:tabs>
          <w:tab w:leader="none" w:pos="334" w:val="left"/>
        </w:tabs>
        <w:numPr>
          <w:ilvl w:val="0"/>
          <w:numId w:val="41"/>
        </w:numPr>
        <w:rPr>
          <w:rFonts w:ascii="Arial" w:cs="Arial" w:eastAsia="Arial" w:hAnsi="Arial"/>
          <w:sz w:val="23"/>
          <w:szCs w:val="23"/>
          <w:color w:val="auto"/>
          <w:vertAlign w:val="superscript"/>
        </w:rPr>
      </w:pPr>
      <w:r>
        <w:rPr>
          <w:rFonts w:ascii="Arial" w:cs="Arial" w:eastAsia="Arial" w:hAnsi="Arial"/>
          <w:sz w:val="18"/>
          <w:szCs w:val="18"/>
          <w:color w:val="auto"/>
        </w:rPr>
        <w:t>These commitments are estimates of costs based on assumed minimum levels of flying under the capacity purchase agreements and American’s actual payments could differ materially. Rental payments under operating leases for certain aircraft flown under these capacity purchase agreements are reflected in the operating lease commitments line above.</w:t>
      </w:r>
    </w:p>
    <w:p>
      <w:pPr>
        <w:spacing w:after="0" w:line="140" w:lineRule="exact"/>
        <w:rPr>
          <w:rFonts w:ascii="Arial" w:cs="Arial" w:eastAsia="Arial" w:hAnsi="Arial"/>
          <w:sz w:val="23"/>
          <w:szCs w:val="23"/>
          <w:color w:val="auto"/>
          <w:vertAlign w:val="superscript"/>
        </w:rPr>
      </w:pPr>
    </w:p>
    <w:p>
      <w:pPr>
        <w:jc w:val="both"/>
        <w:ind w:left="340" w:hanging="332"/>
        <w:spacing w:after="0" w:line="237" w:lineRule="auto"/>
        <w:tabs>
          <w:tab w:leader="none" w:pos="329" w:val="left"/>
        </w:tabs>
        <w:numPr>
          <w:ilvl w:val="0"/>
          <w:numId w:val="41"/>
        </w:numPr>
        <w:rPr>
          <w:rFonts w:ascii="Arial" w:cs="Arial" w:eastAsia="Arial" w:hAnsi="Arial"/>
          <w:sz w:val="23"/>
          <w:szCs w:val="23"/>
          <w:color w:val="auto"/>
          <w:vertAlign w:val="superscript"/>
        </w:rPr>
      </w:pPr>
      <w:r>
        <w:rPr>
          <w:rFonts w:ascii="Arial" w:cs="Arial" w:eastAsia="Arial" w:hAnsi="Arial"/>
          <w:sz w:val="18"/>
          <w:szCs w:val="18"/>
          <w:color w:val="auto"/>
        </w:rPr>
        <w:t>Represents minimum pension contributions and expected contributions to our retiree medical and other postretirement plans based on actuarially determined estimates as of December 31, 2024 and is based on estimated payments through 2034. During the first three months of 2025, we made required contributions of $222 million to our defined benefit pension plans.</w:t>
      </w:r>
    </w:p>
    <w:p>
      <w:pPr>
        <w:spacing w:after="0" w:line="140" w:lineRule="exact"/>
        <w:rPr>
          <w:rFonts w:ascii="Arial" w:cs="Arial" w:eastAsia="Arial" w:hAnsi="Arial"/>
          <w:sz w:val="23"/>
          <w:szCs w:val="23"/>
          <w:color w:val="auto"/>
          <w:vertAlign w:val="superscript"/>
        </w:rPr>
      </w:pPr>
    </w:p>
    <w:p>
      <w:pPr>
        <w:jc w:val="both"/>
        <w:ind w:left="340" w:hanging="332"/>
        <w:spacing w:after="0" w:line="237" w:lineRule="auto"/>
        <w:tabs>
          <w:tab w:leader="none" w:pos="334" w:val="left"/>
        </w:tabs>
        <w:numPr>
          <w:ilvl w:val="0"/>
          <w:numId w:val="41"/>
        </w:numPr>
        <w:rPr>
          <w:rFonts w:ascii="Arial" w:cs="Arial" w:eastAsia="Arial" w:hAnsi="Arial"/>
          <w:sz w:val="23"/>
          <w:szCs w:val="23"/>
          <w:color w:val="auto"/>
          <w:vertAlign w:val="superscript"/>
        </w:rPr>
      </w:pPr>
      <w:r>
        <w:rPr>
          <w:rFonts w:ascii="Arial" w:cs="Arial" w:eastAsia="Arial" w:hAnsi="Arial"/>
          <w:sz w:val="18"/>
          <w:szCs w:val="18"/>
          <w:color w:val="auto"/>
        </w:rPr>
        <w:t>Includes purchase commitments for aircraft fuel, flight equipment maintenance and information technology support and excludes obligations under certain fuel offtake agreements or other agreements for which the timing of the related expenditure is uncertain, or which are subject to material contingencies, such as the construction of a production facility.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Raising Activity and Other Possible Actions</w:t>
      </w:r>
    </w:p>
    <w:p>
      <w:pPr>
        <w:spacing w:after="0" w:line="90"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 xml:space="preserve">In light of our significant financial commitments related to, among other things, the servicing and amortization of existing debt and equipment leasing arrangements and new flight equipment, we and our subsidiaries will regularly consider, and enter into negotiations related to, capital raising and liability management activity, which may include the entry into leasing transactions and future issuances of, and transactions designed to manage the timing and amount of, secured or unsecured debt obligations or additional equity or equity-linked securities in public or private offerings or otherwise. The cash available from operations (if any) and these sources, however, may not be sufficient to cover our cash obligations because economic factors may reduce the amount of cash generated by operations or increase costs. For instance, an economic downturn or general global instability caused by governmental actions, military actions, terrorism, disease outbreaks, natural disasters or other causes could reduce the demand for air travel, which would reduce the amount of cash generated by operations. See Part I, Item 1A. Risk Factors – </w:t>
      </w:r>
      <w:r>
        <w:rPr>
          <w:rFonts w:ascii="Arial" w:cs="Arial" w:eastAsia="Arial" w:hAnsi="Arial"/>
          <w:sz w:val="18"/>
          <w:szCs w:val="18"/>
          <w:i w:val="1"/>
          <w:iCs w:val="1"/>
          <w:color w:val="auto"/>
        </w:rPr>
        <w:t>“Downturns in economic conditions could adversely affect our business”</w:t>
      </w:r>
      <w:r>
        <w:rPr>
          <w:rFonts w:ascii="Arial" w:cs="Arial" w:eastAsia="Arial" w:hAnsi="Arial"/>
          <w:sz w:val="18"/>
          <w:szCs w:val="18"/>
          <w:color w:val="auto"/>
        </w:rPr>
        <w:t xml:space="preserve"> in our 2024 Form 10-K for additional discussion. An increase in costs, either due to an increase in borrowing costs caused by a reduction in credit ratings or a general increase in interest rates, due to an increase in the cost of fuel, maintenance, aircraft, aircraft engines or parts, or due to an increase in tariffs, could decrease the amount of cash available to cover cash contractual obligations. Moreover, certain of our financing arrangements contain significant minimum cash balance or similar liquidity requirements. As a result, we cannot use all of our available cash to fund operations, capital expenditures and cash obligations without violating these requirements.</w:t>
      </w:r>
    </w:p>
    <w:p>
      <w:pPr>
        <w:spacing w:after="0" w:line="131"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In the past, we have from time to time refinanced, redeemed or repurchased our debt and taken other steps to reduce or otherwise manage the aggregate amount and cost of our debt, lease and other obligations or otherwise improve our balance sheet. Going forward, depending on market conditions, our cash position and other considerations, we may continue to take such actions, and the amounts involved may be material.</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0"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 xml:space="preserve">For information regarding our critical accounting policies and estimates, see Part II, Item 7. Management’s Discussion and Analysis of Financial Condition and Results of Operations – </w:t>
      </w:r>
      <w:r>
        <w:rPr>
          <w:rFonts w:ascii="Arial" w:cs="Arial" w:eastAsia="Arial" w:hAnsi="Arial"/>
          <w:sz w:val="18"/>
          <w:szCs w:val="18"/>
          <w:i w:val="1"/>
          <w:iCs w:val="1"/>
          <w:color w:val="auto"/>
        </w:rPr>
        <w:t>“Critical Accounting Policies and Estimates”</w:t>
      </w:r>
      <w:r>
        <w:rPr>
          <w:rFonts w:ascii="Arial" w:cs="Arial" w:eastAsia="Arial" w:hAnsi="Arial"/>
          <w:sz w:val="18"/>
          <w:szCs w:val="18"/>
          <w:color w:val="auto"/>
        </w:rPr>
        <w:t xml:space="preserve"> in our 2024 Form 10-K.</w:t>
      </w:r>
    </w:p>
    <w:p>
      <w:pPr>
        <w:spacing w:after="0" w:line="180" w:lineRule="exact"/>
        <w:rPr>
          <w:sz w:val="20"/>
          <w:szCs w:val="20"/>
          <w:color w:val="auto"/>
        </w:rPr>
      </w:pPr>
    </w:p>
    <w:p>
      <w:pPr>
        <w:ind w:right="4240"/>
        <w:spacing w:after="0" w:line="344" w:lineRule="auto"/>
        <w:rPr>
          <w:sz w:val="20"/>
          <w:szCs w:val="20"/>
          <w:color w:val="auto"/>
        </w:rPr>
      </w:pPr>
      <w:r>
        <w:rPr>
          <w:rFonts w:ascii="Arial" w:cs="Arial" w:eastAsia="Arial" w:hAnsi="Arial"/>
          <w:sz w:val="18"/>
          <w:szCs w:val="18"/>
          <w:b w:val="1"/>
          <w:bCs w:val="1"/>
          <w:color w:val="auto"/>
        </w:rPr>
        <w:t>ITEM 3. QUANTITATIVE AND QUALITATIVE DISCLOSURES ABOUT MARKET RISK AAG’s and American’s Market Risk Sensitive Instruments and Positions</w:t>
      </w:r>
    </w:p>
    <w:p>
      <w:pPr>
        <w:spacing w:after="0" w:line="1"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color w:val="auto"/>
        </w:rPr>
        <w:t>Our primary market risk exposures include the price of aircraft fuel, foreign currency exchange rates and interest rate risk. Our exposure to these market risks has not changed materially from our exposure discussed in our 2024 Form 10-K except as updated below.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Aircraft Fuel</w:t>
      </w:r>
    </w:p>
    <w:p>
      <w:pPr>
        <w:spacing w:after="0" w:line="16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As of March 31, 2025, we did not have any fuel hedging contracts outstanding to hedge our fuel consumption. Our current policy is not to enter into transactions to hedge our fuel consumption, although we review this policy from time to time based on market conditions and other factors. As such, and assuming we do not enter into any future transactions to</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hedge our fuel consumption, we will continue to be fully exposed to fluctuations in fuel prices. Based on our 2025 forecasted fuel consumption, we estimate that a one cent per gallon increase in the price of aircraft fuel would increase our 2025 annual fuel expense by approximately $45 million. See Part I, Item 1A. Risk Factors – </w:t>
      </w:r>
      <w:r>
        <w:rPr>
          <w:rFonts w:ascii="Arial" w:cs="Arial" w:eastAsia="Arial" w:hAnsi="Arial"/>
          <w:sz w:val="18"/>
          <w:szCs w:val="18"/>
          <w:i w:val="1"/>
          <w:iCs w:val="1"/>
          <w:color w:val="auto"/>
        </w:rPr>
        <w:t>“Our business is very dependent on the price and availability of aircraft fuel.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Continued periods of high volatility in fuel costs, increased fuel prices or significant disruptions in the supply of aircraft fuel could have a significant negative impact on consumer demand, our operating results and liquidity” </w:t>
      </w:r>
      <w:r>
        <w:rPr>
          <w:rFonts w:ascii="Arial" w:cs="Arial" w:eastAsia="Arial" w:hAnsi="Arial"/>
          <w:sz w:val="18"/>
          <w:szCs w:val="18"/>
          <w:color w:val="auto"/>
        </w:rPr>
        <w:t>in our 2024 Form 10-K</w:t>
      </w:r>
      <w:r>
        <w:rPr>
          <w:rFonts w:ascii="Arial" w:cs="Arial" w:eastAsia="Arial" w:hAnsi="Arial"/>
          <w:sz w:val="18"/>
          <w:szCs w:val="18"/>
          <w:i w:val="1"/>
          <w:iCs w:val="1"/>
          <w:color w:val="auto"/>
        </w:rPr>
        <w: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We are exposed to the effect of foreign exchange rate fluctuations on the U.S. dollar value of foreign currency-denominated transactions. Our largest exposure comes from the Euro, Canadian dollar, British pound sterling and various Latin American currencies (primarily the Brazilian real). We do not currently have a foreign currency hedge program.</w:t>
      </w:r>
    </w:p>
    <w:p>
      <w:pPr>
        <w:spacing w:after="0" w:line="11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Generally, fluctuations in foreign currencies, including devaluations, cannot be predicted by us and can significantly affect the value of our assets located outside the United States. These conditions, devaluations or imposition of more stringent repatriation restrictions, may materially adversely affect our business, results of operations and financial condition. See Part I, Item 1A. Risk Factors – </w:t>
      </w:r>
      <w:r>
        <w:rPr>
          <w:rFonts w:ascii="Arial" w:cs="Arial" w:eastAsia="Arial" w:hAnsi="Arial"/>
          <w:sz w:val="18"/>
          <w:szCs w:val="18"/>
          <w:i w:val="1"/>
          <w:iCs w:val="1"/>
          <w:color w:val="auto"/>
        </w:rPr>
        <w:t>“We operate 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global business with international operations that are subject to economic and political instability and have been, and in the future may continue to be, adversely affected by numerous events, circumstances or government actions beyond our control” </w:t>
      </w:r>
      <w:r>
        <w:rPr>
          <w:rFonts w:ascii="Arial" w:cs="Arial" w:eastAsia="Arial" w:hAnsi="Arial"/>
          <w:sz w:val="18"/>
          <w:szCs w:val="18"/>
          <w:color w:val="auto"/>
        </w:rPr>
        <w:t>in our 2024 Form 10-K for</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discussion of this and other currency risks.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earnings and cash flow are affected by changes in interest rates due to the impact those changes have on our interest expense from variable-rate debt instruments and our interest income from short-term, interest-bearing investments. If annual interest rates increase 100 basis points, based on our March 31, 2025 variable-rate debt and short-term investments balances, annual interest expense on variable rate debt would increase by approximately $100 million and annual interest income on short-term investments would increase by approximately $70 million.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9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term “disclosure controls and procedures” is defined in Rules 13a-15(e) and 15d-15(e) of the Securities Exchange Act of 1934, as amended (the Exchange Act). This term refers to the controls and procedures of a company that are designed to ensure that information required to be disclosed by a company in the reports that it files under the Exchange Act is recorded, processed, summarized and reported within the time periods specified by the SEC’s rules and forms, and is accumulated and communicated to the company’s management, including the principal executive and principal financial officers, or persons performing similar functions, as appropriate to allow timely decisions regarding required disclosure. An evaluation of the effectiveness of AAG’s and American’s disclosure controls and procedures as of March 31, 2025 was performed under the supervision and with the participation of AAG’s and American’s management, including AAG’s and American’s principal executive officer, the Chief Executive Officer (CEO), and principal financial officer, the Chief Financial Officer (CFO). Based on that evaluation, AAG’s and American’s management, including AAG’s and American’s CEO and CFO, concluded that AAG’s and American’s disclosure controls and procedures were effective as of March 31, 2025 at the reasonable assurance level.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0"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During the quarter ended March 31, 2025, there have been no changes in AAG’s or American’s internal control over financial reporting that have materially affected, or are reasonably likely to materially affect, AAG’s and American’s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the Effectiveness of Controls</w:t>
      </w:r>
    </w:p>
    <w:p>
      <w:pPr>
        <w:spacing w:after="0" w:line="9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believe that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Our disclosure controls and procedures are designed to provide reasonable assurance of achieving their objectives, and, as noted above, the CEO and CFO of AAG and American believe that our disclosure controls and procedures were effective at the reasonable assurance level as of March 31, 2025.</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0"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See Note 12 to each of AAG and American’s Condensed Consolidated Financial Statements in Part I, Item 1A and Part I, Item 1B, respectively, for information on legal proceedings.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There have been no material changes in our risk factors as previously disclosed in Part I, Item 1A in our 2024 Form 10-K. The risks in our 2024 Form 10-K are not the only risks facing AAG and American. Additional risks and uncertainties not currently known to us, or that we currently deem to be immaterial, could also materially adversely affect our business, financial condition or future results.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Securities Trading Plans of Directors and Executive Officers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On January 27, 2025, Devon E. May, Executive Vice President and Chief Financial Officer, adopted a Rule 10b5-1 trading agreement that is intended to satisfy the affirmative defense of Rule 10b5-1(c) for the sale of up to 170,000 shares of AAG’s common stock until April 30, 2026.</w:t>
      </w:r>
    </w:p>
    <w:p>
      <w:pPr>
        <w:spacing w:after="0" w:line="11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Other than noted above, during the quarter ended March 31, 2025, none of our directors or executive officers adopted or terminated any contract, instruction or written plan for the purchase or sale of AAG securities that was intended to satisfy the affirmative defense conditions of Rule 10b5-1(c) or any “non-Rule 10b5-1 trading arrangement.”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Exhibits required to be filed by Item 601 of Regulation S-K: Where the amount of securities authorized to be issued under any of our long-term debt agreements does not exceed 10% of our assets, pursuant to paragraph (b)(4) of Item 601 of Regulation S-K, in lieu of filing such as an exhibit, we hereby agree to furnish to the Commission upon request a copy of any agreement with respect to such long-term debt.</w:t>
      </w:r>
    </w:p>
    <w:p>
      <w:pPr>
        <w:spacing w:after="0" w:line="154"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2980" w:type="dxa"/>
            <w:vAlign w:val="bottom"/>
          </w:tcPr>
          <w:p>
            <w:pPr>
              <w:jc w:val="center"/>
              <w:ind w:right="2348"/>
              <w:spacing w:after="0"/>
              <w:rPr>
                <w:sz w:val="20"/>
                <w:szCs w:val="20"/>
                <w:color w:val="auto"/>
              </w:rPr>
            </w:pPr>
            <w:r>
              <w:rPr>
                <w:rFonts w:ascii="Arial" w:cs="Arial" w:eastAsia="Arial" w:hAnsi="Arial"/>
                <w:sz w:val="14"/>
                <w:szCs w:val="14"/>
                <w:b w:val="1"/>
                <w:bCs w:val="1"/>
                <w:color w:val="auto"/>
              </w:rPr>
              <w:t>Exhibit</w:t>
            </w:r>
          </w:p>
        </w:tc>
        <w:tc>
          <w:tcPr>
            <w:tcW w:w="3220" w:type="dxa"/>
            <w:vAlign w:val="bottom"/>
            <w:vMerge w:val="restart"/>
          </w:tcPr>
          <w:p>
            <w:pPr>
              <w:ind w:left="2440"/>
              <w:spacing w:after="0"/>
              <w:rPr>
                <w:sz w:val="20"/>
                <w:szCs w:val="20"/>
                <w:color w:val="auto"/>
              </w:rPr>
            </w:pPr>
            <w:r>
              <w:rPr>
                <w:rFonts w:ascii="Arial" w:cs="Arial" w:eastAsia="Arial" w:hAnsi="Arial"/>
                <w:sz w:val="14"/>
                <w:szCs w:val="14"/>
                <w:b w:val="1"/>
                <w:bCs w:val="1"/>
                <w:u w:val="single" w:color="auto"/>
                <w:color w:val="auto"/>
                <w:w w:val="98"/>
              </w:rPr>
              <w:t>Description</w:t>
            </w:r>
          </w:p>
        </w:tc>
        <w:tc>
          <w:tcPr>
            <w:tcW w:w="0" w:type="dxa"/>
            <w:vAlign w:val="bottom"/>
          </w:tcPr>
          <w:p>
            <w:pPr>
              <w:spacing w:after="0"/>
              <w:rPr>
                <w:sz w:val="1"/>
                <w:szCs w:val="1"/>
                <w:color w:val="auto"/>
              </w:rPr>
            </w:pPr>
          </w:p>
        </w:tc>
      </w:tr>
      <w:tr>
        <w:trPr>
          <w:trHeight w:val="196"/>
        </w:trPr>
        <w:tc>
          <w:tcPr>
            <w:tcW w:w="2980" w:type="dxa"/>
            <w:vAlign w:val="bottom"/>
          </w:tcPr>
          <w:p>
            <w:pPr>
              <w:jc w:val="center"/>
              <w:ind w:right="2348"/>
              <w:spacing w:after="0"/>
              <w:rPr>
                <w:sz w:val="20"/>
                <w:szCs w:val="20"/>
                <w:color w:val="auto"/>
              </w:rPr>
            </w:pPr>
            <w:r>
              <w:rPr>
                <w:rFonts w:ascii="Arial" w:cs="Arial" w:eastAsia="Arial" w:hAnsi="Arial"/>
                <w:sz w:val="14"/>
                <w:szCs w:val="14"/>
                <w:b w:val="1"/>
                <w:bCs w:val="1"/>
                <w:u w:val="single" w:color="auto"/>
                <w:color w:val="auto"/>
              </w:rPr>
              <w:t>Number</w:t>
            </w:r>
          </w:p>
        </w:tc>
        <w:tc>
          <w:tcPr>
            <w:tcW w:w="3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jc w:val="both"/>
        <w:ind w:left="760" w:right="200" w:hanging="741"/>
        <w:spacing w:after="0" w:line="247" w:lineRule="auto"/>
        <w:tabs>
          <w:tab w:leader="none" w:pos="740" w:val="left"/>
        </w:tabs>
        <w:rPr>
          <w:rFonts w:ascii="Arial" w:cs="Arial" w:eastAsia="Arial" w:hAnsi="Arial"/>
          <w:sz w:val="18"/>
          <w:szCs w:val="18"/>
          <w:u w:val="single" w:color="auto"/>
          <w:color w:val="0000FF"/>
        </w:rPr>
      </w:pPr>
      <w:r>
        <w:rPr>
          <w:rFonts w:ascii="Arial" w:cs="Arial" w:eastAsia="Arial" w:hAnsi="Arial"/>
          <w:sz w:val="18"/>
          <w:szCs w:val="18"/>
          <w:color w:val="auto"/>
        </w:rPr>
        <w:t>10.1</w:t>
      </w:r>
      <w:r>
        <w:rPr>
          <w:sz w:val="20"/>
          <w:szCs w:val="20"/>
          <w:color w:val="auto"/>
        </w:rPr>
        <w:tab/>
      </w:r>
      <w:hyperlink r:id="rId110">
        <w:r>
          <w:rPr>
            <w:rFonts w:ascii="Arial" w:cs="Arial" w:eastAsia="Arial" w:hAnsi="Arial"/>
            <w:sz w:val="18"/>
            <w:szCs w:val="18"/>
            <w:u w:val="single" w:color="auto"/>
            <w:color w:val="0000FF"/>
          </w:rPr>
          <w:t>Second Amendment to Term Loan Credit and Guaranty Agreement, dated as of March 24, 2025, among American Airlines, Inc.,</w:t>
        </w:r>
      </w:hyperlink>
      <w:r>
        <w:rPr>
          <w:rFonts w:ascii="Arial" w:cs="Arial" w:eastAsia="Arial" w:hAnsi="Arial"/>
          <w:sz w:val="18"/>
          <w:szCs w:val="18"/>
          <w:u w:val="single" w:color="auto"/>
          <w:color w:val="0000FF"/>
        </w:rPr>
        <w:t xml:space="preserve"> </w:t>
      </w:r>
      <w:hyperlink r:id="rId110">
        <w:r>
          <w:rPr>
            <w:rFonts w:ascii="Arial" w:cs="Arial" w:eastAsia="Arial" w:hAnsi="Arial"/>
            <w:sz w:val="18"/>
            <w:szCs w:val="18"/>
            <w:u w:val="single" w:color="auto"/>
            <w:color w:val="0000FF"/>
          </w:rPr>
          <w:t>AAdvantage Loyalty IP Ltd., Barclays Bank PLC, as administrative agent, and Barclays Bank PLC, as Designated 2025</w:t>
        </w:r>
      </w:hyperlink>
      <w:r>
        <w:rPr>
          <w:rFonts w:ascii="Arial" w:cs="Arial" w:eastAsia="Arial" w:hAnsi="Arial"/>
          <w:sz w:val="18"/>
          <w:szCs w:val="18"/>
          <w:u w:val="single" w:color="auto"/>
          <w:color w:val="0000FF"/>
        </w:rPr>
        <w:t xml:space="preserve"> </w:t>
      </w:r>
      <w:hyperlink r:id="rId110">
        <w:r>
          <w:rPr>
            <w:rFonts w:ascii="Arial" w:cs="Arial" w:eastAsia="Arial" w:hAnsi="Arial"/>
            <w:sz w:val="18"/>
            <w:szCs w:val="18"/>
            <w:u w:val="single" w:color="auto"/>
            <w:color w:val="0000FF"/>
          </w:rPr>
          <w:t>Replacement Term Lender (incorporated by reference as Exhibit 10.1 to AAG’s Current Report on Form 8-K filed on March 28,</w:t>
        </w:r>
      </w:hyperlink>
      <w:r>
        <w:rPr>
          <w:rFonts w:ascii="Arial" w:cs="Arial" w:eastAsia="Arial" w:hAnsi="Arial"/>
          <w:sz w:val="18"/>
          <w:szCs w:val="18"/>
          <w:u w:val="single" w:color="auto"/>
          <w:color w:val="0000FF"/>
        </w:rPr>
        <w:t xml:space="preserve"> </w:t>
      </w:r>
      <w:hyperlink r:id="rId110">
        <w:r>
          <w:rPr>
            <w:rFonts w:ascii="Arial" w:cs="Arial" w:eastAsia="Arial" w:hAnsi="Arial"/>
            <w:sz w:val="18"/>
            <w:szCs w:val="18"/>
            <w:u w:val="single" w:color="auto"/>
            <w:color w:val="0000FF"/>
          </w:rPr>
          <w:t>2025 (Commission File No. 1-8400)).</w:t>
        </w:r>
      </w:hyperlink>
    </w:p>
    <w:p>
      <w:pPr>
        <w:spacing w:after="0" w:line="12" w:lineRule="exact"/>
        <w:rPr>
          <w:rFonts w:ascii="Arial" w:cs="Arial" w:eastAsia="Arial" w:hAnsi="Arial"/>
          <w:sz w:val="18"/>
          <w:szCs w:val="18"/>
          <w:u w:val="single" w:color="auto"/>
          <w:color w:val="0000FF"/>
        </w:rPr>
      </w:pPr>
    </w:p>
    <w:p>
      <w:pPr>
        <w:jc w:val="both"/>
        <w:ind w:left="760" w:right="200" w:hanging="741"/>
        <w:spacing w:after="0" w:line="266" w:lineRule="auto"/>
        <w:tabs>
          <w:tab w:leader="none" w:pos="7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u w:val="single" w:color="auto"/>
          <w:color w:val="0000FF"/>
        </w:rPr>
        <w:t>Supplemental Agreement No. 22, dated as of January 3, 2025, to Purchase Agreement No. 3219 dated as of October 15, 2008, by and between American Airlines, Inc. and The Boeing Company.*</w:t>
      </w:r>
    </w:p>
    <w:p>
      <w:pPr>
        <w:jc w:val="both"/>
        <w:ind w:left="760" w:right="200" w:hanging="741"/>
        <w:spacing w:after="0" w:line="266" w:lineRule="auto"/>
        <w:tabs>
          <w:tab w:leader="none" w:pos="7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u w:val="single" w:color="auto"/>
          <w:color w:val="0000FF"/>
        </w:rPr>
        <w:t>Supplemental Agreement No. 34, dated as of March 19, 2025, to Purchase Agreement No. 03735 dated as of February 1, 2013, by and between American Airlines, Inc. and The Boeing Company.*</w:t>
      </w:r>
    </w:p>
    <w:p>
      <w:pPr>
        <w:ind w:left="20"/>
        <w:spacing w:after="0"/>
        <w:tabs>
          <w:tab w:leader="none" w:pos="7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u w:val="single" w:color="auto"/>
          <w:color w:val="0000FF"/>
        </w:rPr>
        <w:t>Certification of AAG Chief Executive Officer pursuant to Rule 13a-14(a).</w:t>
      </w:r>
    </w:p>
    <w:p>
      <w:pPr>
        <w:spacing w:after="0" w:line="50" w:lineRule="exact"/>
        <w:rPr>
          <w:rFonts w:ascii="Arial" w:cs="Arial" w:eastAsia="Arial" w:hAnsi="Arial"/>
          <w:sz w:val="18"/>
          <w:szCs w:val="18"/>
          <w:u w:val="single" w:color="auto"/>
          <w:color w:val="0000FF"/>
        </w:rPr>
      </w:pPr>
    </w:p>
    <w:p>
      <w:pPr>
        <w:ind w:left="20"/>
        <w:spacing w:after="0"/>
        <w:tabs>
          <w:tab w:leader="none" w:pos="7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u w:val="single" w:color="auto"/>
          <w:color w:val="0000FF"/>
        </w:rPr>
        <w:t>Certification of AAG Chief Financial Officer pursuant to Rule 13a-14(a).</w:t>
      </w:r>
    </w:p>
    <w:p>
      <w:pPr>
        <w:spacing w:after="0" w:line="50" w:lineRule="exact"/>
        <w:rPr>
          <w:rFonts w:ascii="Arial" w:cs="Arial" w:eastAsia="Arial" w:hAnsi="Arial"/>
          <w:sz w:val="18"/>
          <w:szCs w:val="18"/>
          <w:u w:val="single" w:color="auto"/>
          <w:color w:val="0000FF"/>
        </w:rPr>
      </w:pPr>
    </w:p>
    <w:p>
      <w:pPr>
        <w:ind w:left="20"/>
        <w:spacing w:after="0"/>
        <w:tabs>
          <w:tab w:leader="none" w:pos="74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8"/>
          <w:szCs w:val="18"/>
          <w:u w:val="single" w:color="auto"/>
          <w:color w:val="0000FF"/>
        </w:rPr>
        <w:t>Certification of American Chief Executive Officer pursuant to Rule 13a-14(a).</w:t>
      </w:r>
    </w:p>
    <w:p>
      <w:pPr>
        <w:spacing w:after="0" w:line="50" w:lineRule="exact"/>
        <w:rPr>
          <w:rFonts w:ascii="Arial" w:cs="Arial" w:eastAsia="Arial" w:hAnsi="Arial"/>
          <w:sz w:val="18"/>
          <w:szCs w:val="18"/>
          <w:u w:val="single" w:color="auto"/>
          <w:color w:val="0000FF"/>
        </w:rPr>
      </w:pPr>
    </w:p>
    <w:p>
      <w:pPr>
        <w:ind w:left="20"/>
        <w:spacing w:after="0"/>
        <w:tabs>
          <w:tab w:leader="none" w:pos="74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8"/>
          <w:szCs w:val="18"/>
          <w:u w:val="single" w:color="auto"/>
          <w:color w:val="0000FF"/>
        </w:rPr>
        <w:t>Certification of American Chief Financial Officer pursuant to Rule 13a-14(a).</w:t>
      </w:r>
    </w:p>
    <w:p>
      <w:pPr>
        <w:spacing w:after="0" w:line="50" w:lineRule="exact"/>
        <w:rPr>
          <w:rFonts w:ascii="Arial" w:cs="Arial" w:eastAsia="Arial" w:hAnsi="Arial"/>
          <w:sz w:val="18"/>
          <w:szCs w:val="18"/>
          <w:u w:val="single" w:color="auto"/>
          <w:color w:val="0000FF"/>
        </w:rPr>
      </w:pPr>
    </w:p>
    <w:p>
      <w:pPr>
        <w:jc w:val="both"/>
        <w:ind w:left="760" w:right="200" w:hanging="741"/>
        <w:spacing w:after="0" w:line="266" w:lineRule="auto"/>
        <w:tabs>
          <w:tab w:leader="none" w:pos="7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u w:val="single" w:color="auto"/>
          <w:color w:val="0000FF"/>
        </w:rPr>
        <w:t>AAG Certification pursuant to Rule 13a-14(b) and section 906 of the Sarbanes-Oxley Act of 2002 (subsections (a) and (b) of section 1350, chapter 63 of title 18, United States Code).</w:t>
      </w:r>
    </w:p>
    <w:p>
      <w:pPr>
        <w:jc w:val="both"/>
        <w:ind w:left="760" w:right="200" w:hanging="741"/>
        <w:spacing w:after="0" w:line="266" w:lineRule="auto"/>
        <w:tabs>
          <w:tab w:leader="none" w:pos="7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u w:val="single" w:color="auto"/>
          <w:color w:val="0000FF"/>
        </w:rPr>
        <w:t>American Certification pursuant to Rule 13a-14(b) and section 906 of the Sarbanes-Oxley Act of 2002 (subsections (a) and (b) of section 1350, chapter 63 of title 18, United States Code).</w:t>
      </w:r>
    </w:p>
    <w:p>
      <w:pPr>
        <w:jc w:val="both"/>
        <w:ind w:left="760" w:right="200" w:hanging="741"/>
        <w:spacing w:after="0" w:line="266" w:lineRule="auto"/>
        <w:tabs>
          <w:tab w:leader="none" w:pos="740" w:val="left"/>
        </w:tabs>
        <w:rPr>
          <w:sz w:val="20"/>
          <w:szCs w:val="20"/>
          <w:color w:val="auto"/>
        </w:rPr>
      </w:pPr>
      <w:r>
        <w:rPr>
          <w:rFonts w:ascii="Arial" w:cs="Arial" w:eastAsia="Arial" w:hAnsi="Arial"/>
          <w:sz w:val="18"/>
          <w:szCs w:val="18"/>
          <w:color w:val="auto"/>
        </w:rPr>
        <w:t>101.1</w:t>
        <w:tab/>
        <w:t>Interactive data files pursuant to Rule 405 of Regulation S-T, formatted in Inline XBRL (eXtensible Business Reporting Language).</w:t>
      </w:r>
    </w:p>
    <w:p>
      <w:pPr>
        <w:ind w:left="20"/>
        <w:spacing w:after="0"/>
        <w:tabs>
          <w:tab w:leader="none" w:pos="740" w:val="left"/>
        </w:tabs>
        <w:rPr>
          <w:sz w:val="20"/>
          <w:szCs w:val="20"/>
          <w:color w:val="auto"/>
        </w:rPr>
      </w:pPr>
      <w:r>
        <w:rPr>
          <w:rFonts w:ascii="Arial" w:cs="Arial" w:eastAsia="Arial" w:hAnsi="Arial"/>
          <w:sz w:val="18"/>
          <w:szCs w:val="18"/>
          <w:color w:val="auto"/>
        </w:rPr>
        <w:t>104.1</w:t>
        <w:tab/>
        <w:t>Cover page interactive data file (formatted in Inline XBRL and contained in Exhibit 101.1).</w:t>
      </w:r>
    </w:p>
    <w:p>
      <w:pPr>
        <w:spacing w:after="0" w:line="293" w:lineRule="exact"/>
        <w:rPr>
          <w:rFonts w:ascii="Arial" w:cs="Arial" w:eastAsia="Arial" w:hAnsi="Arial"/>
          <w:sz w:val="18"/>
          <w:szCs w:val="18"/>
          <w:u w:val="single" w:color="auto"/>
          <w:color w:val="0000FF"/>
        </w:rPr>
      </w:pPr>
    </w:p>
    <w:p>
      <w:pPr>
        <w:ind w:left="5520" w:right="3480" w:hanging="5512"/>
        <w:spacing w:after="0" w:line="866" w:lineRule="auto"/>
        <w:tabs>
          <w:tab w:leader="none" w:pos="124" w:val="left"/>
        </w:tabs>
        <w:numPr>
          <w:ilvl w:val="0"/>
          <w:numId w:val="42"/>
        </w:numPr>
        <w:rPr>
          <w:rFonts w:ascii="Arial" w:cs="Arial" w:eastAsia="Arial" w:hAnsi="Arial"/>
          <w:sz w:val="18"/>
          <w:szCs w:val="18"/>
          <w:color w:val="auto"/>
        </w:rPr>
      </w:pPr>
      <w:r>
        <w:rPr>
          <w:rFonts w:ascii="Arial" w:cs="Arial" w:eastAsia="Arial" w:hAnsi="Arial"/>
          <w:sz w:val="18"/>
          <w:szCs w:val="18"/>
          <w:color w:val="auto"/>
        </w:rPr>
        <w:t>Portions of this exhibit have been omitted in accordance with Item 601(b)(10) of Regulation S-K. 51</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-288290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17" w:lineRule="exact"/>
        <w:rPr>
          <w:sz w:val="20"/>
          <w:szCs w:val="20"/>
          <w:color w:val="auto"/>
        </w:rPr>
      </w:pPr>
    </w:p>
    <w:p>
      <w:pPr>
        <w:ind w:firstLine="243"/>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98"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American Airlines Group Inc.</w:t>
      </w:r>
    </w:p>
    <w:p>
      <w:pPr>
        <w:spacing w:after="0" w:line="293" w:lineRule="exact"/>
        <w:rPr>
          <w:sz w:val="20"/>
          <w:szCs w:val="20"/>
          <w:color w:val="auto"/>
        </w:rPr>
      </w:pPr>
    </w:p>
    <w:p>
      <w:pPr>
        <w:ind w:left="20"/>
        <w:spacing w:after="0"/>
        <w:tabs>
          <w:tab w:leader="none" w:pos="4740" w:val="left"/>
          <w:tab w:leader="none" w:pos="5440" w:val="left"/>
        </w:tabs>
        <w:rPr>
          <w:sz w:val="20"/>
          <w:szCs w:val="20"/>
          <w:color w:val="auto"/>
        </w:rPr>
      </w:pPr>
      <w:r>
        <w:rPr>
          <w:rFonts w:ascii="Arial" w:cs="Arial" w:eastAsia="Arial" w:hAnsi="Arial"/>
          <w:sz w:val="18"/>
          <w:szCs w:val="18"/>
          <w:color w:val="auto"/>
        </w:rPr>
        <w:t>Date: April 24,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Devon 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17780</wp:posOffset>
            </wp:positionV>
            <wp:extent cx="34886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1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Devon E. May</w:t>
      </w:r>
    </w:p>
    <w:p>
      <w:pPr>
        <w:spacing w:after="0" w:line="3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Executive Vice President and Chief Financial Officer</w:t>
      </w:r>
    </w:p>
    <w:p>
      <w:pPr>
        <w:spacing w:after="0" w:line="50"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(Duly Authorized Officer and Principal Financial Officer)</w:t>
      </w:r>
    </w:p>
    <w:p>
      <w:pPr>
        <w:spacing w:after="0" w:line="347" w:lineRule="exact"/>
        <w:rPr>
          <w:sz w:val="20"/>
          <w:szCs w:val="20"/>
          <w:color w:val="auto"/>
        </w:rPr>
      </w:pPr>
    </w:p>
    <w:p>
      <w:pPr>
        <w:ind w:firstLine="243"/>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85"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American Airlines, Inc.</w:t>
      </w:r>
    </w:p>
    <w:p>
      <w:pPr>
        <w:spacing w:after="0" w:line="293" w:lineRule="exact"/>
        <w:rPr>
          <w:sz w:val="20"/>
          <w:szCs w:val="20"/>
          <w:color w:val="auto"/>
        </w:rPr>
      </w:pPr>
    </w:p>
    <w:p>
      <w:pPr>
        <w:ind w:left="20"/>
        <w:spacing w:after="0"/>
        <w:tabs>
          <w:tab w:leader="none" w:pos="4740" w:val="left"/>
          <w:tab w:leader="none" w:pos="5440" w:val="left"/>
        </w:tabs>
        <w:rPr>
          <w:sz w:val="20"/>
          <w:szCs w:val="20"/>
          <w:color w:val="auto"/>
        </w:rPr>
      </w:pPr>
      <w:r>
        <w:rPr>
          <w:rFonts w:ascii="Arial" w:cs="Arial" w:eastAsia="Arial" w:hAnsi="Arial"/>
          <w:sz w:val="18"/>
          <w:szCs w:val="18"/>
          <w:color w:val="auto"/>
        </w:rPr>
        <w:t>Date: April 24,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Devon 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17780</wp:posOffset>
            </wp:positionV>
            <wp:extent cx="34886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1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Devon E. May</w:t>
      </w:r>
    </w:p>
    <w:p>
      <w:pPr>
        <w:spacing w:after="0" w:line="3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Executive Vice President and Chief Financial Officer</w:t>
      </w:r>
    </w:p>
    <w:p>
      <w:pPr>
        <w:spacing w:after="0" w:line="50"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(Duly Authorized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22" w:right="339" w:bottom="1440" w:gutter="0" w:footer="0" w:header="0"/>
        </w:sectPr>
      </w:pPr>
    </w:p>
    <w:bookmarkStart w:id="54" w:name="page55"/>
    <w:bookmarkEnd w:id="54"/>
    <w:p>
      <w:pPr>
        <w:ind w:left="10240"/>
        <w:spacing w:after="0"/>
        <w:rPr>
          <w:sz w:val="20"/>
          <w:szCs w:val="20"/>
          <w:color w:val="auto"/>
        </w:rPr>
      </w:pPr>
      <w:r>
        <w:rPr>
          <w:rFonts w:ascii="Arial" w:cs="Arial" w:eastAsia="Arial" w:hAnsi="Arial"/>
          <w:sz w:val="17"/>
          <w:szCs w:val="17"/>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40575" cy="2825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40575" cy="282575"/>
                    </a:xfrm>
                    <a:prstGeom prst="rect">
                      <a:avLst/>
                    </a:prstGeom>
                    <a:noFill/>
                  </pic:spPr>
                </pic:pic>
              </a:graphicData>
            </a:graphic>
          </wp:anchor>
        </w:drawing>
      </w:r>
    </w:p>
    <w:p>
      <w:pPr>
        <w:spacing w:after="0" w:line="82" w:lineRule="exact"/>
        <w:rPr>
          <w:sz w:val="20"/>
          <w:szCs w:val="20"/>
          <w:color w:val="auto"/>
        </w:rPr>
      </w:pPr>
    </w:p>
    <w:p>
      <w:pPr>
        <w:ind w:left="40" w:right="80"/>
        <w:spacing w:after="0" w:line="249" w:lineRule="auto"/>
        <w:rPr>
          <w:sz w:val="20"/>
          <w:szCs w:val="20"/>
          <w:color w:val="auto"/>
        </w:rPr>
      </w:pPr>
      <w:r>
        <w:rPr>
          <w:rFonts w:ascii="Arial" w:cs="Arial" w:eastAsia="Arial" w:hAnsi="Arial"/>
          <w:sz w:val="18"/>
          <w:szCs w:val="18"/>
          <w:b w:val="1"/>
          <w:bCs w:val="1"/>
          <w:color w:val="auto"/>
        </w:rPr>
        <w:t>Certain information contained in this document, marked by brackets, has been omitted because it is both (i) not material and (ii) is the type that the registrant treats as private or confidential.</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SUPPLEMENTAL AGREEMENT NO. 22</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Purchase Agreement No. 3219</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between</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BOEING COMPANY</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AMERICAN AIRLINES, INC.</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Relating to Boeing Model 787 Aircraft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firstLine="972"/>
        <w:spacing w:after="0" w:line="304" w:lineRule="auto"/>
        <w:rPr>
          <w:sz w:val="20"/>
          <w:szCs w:val="20"/>
          <w:color w:val="auto"/>
        </w:rPr>
      </w:pPr>
      <w:r>
        <w:rPr>
          <w:rFonts w:ascii="Times New Roman" w:cs="Times New Roman" w:eastAsia="Times New Roman" w:hAnsi="Times New Roman"/>
          <w:sz w:val="22"/>
          <w:szCs w:val="22"/>
          <w:color w:val="auto"/>
        </w:rPr>
        <w:t>THIS SUPPLEMENTAL AGREEMENT No. 22 (</w:t>
      </w:r>
      <w:r>
        <w:rPr>
          <w:rFonts w:ascii="Times New Roman" w:cs="Times New Roman" w:eastAsia="Times New Roman" w:hAnsi="Times New Roman"/>
          <w:sz w:val="22"/>
          <w:szCs w:val="22"/>
          <w:b w:val="1"/>
          <w:bCs w:val="1"/>
          <w:i w:val="1"/>
          <w:iCs w:val="1"/>
          <w:color w:val="auto"/>
        </w:rPr>
        <w:t>SA-22</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is made between THE BOEING COMPANY, a Delaware corporation with offices in Seattle, Washington (</w:t>
      </w:r>
      <w:r>
        <w:rPr>
          <w:rFonts w:ascii="Times New Roman" w:cs="Times New Roman" w:eastAsia="Times New Roman" w:hAnsi="Times New Roman"/>
          <w:sz w:val="22"/>
          <w:szCs w:val="22"/>
          <w:b w:val="1"/>
          <w:bCs w:val="1"/>
          <w:i w:val="1"/>
          <w:iCs w:val="1"/>
          <w:color w:val="auto"/>
        </w:rPr>
        <w:t>Boeing</w:t>
      </w:r>
      <w:r>
        <w:rPr>
          <w:rFonts w:ascii="Times New Roman" w:cs="Times New Roman" w:eastAsia="Times New Roman" w:hAnsi="Times New Roman"/>
          <w:sz w:val="22"/>
          <w:szCs w:val="22"/>
          <w:color w:val="auto"/>
        </w:rPr>
        <w:t>), and AMERICAN AIRLINES, INC, a Delaware corporation with offices in Fort Worth, Texas, together with its successors and permitted assigns (</w:t>
      </w:r>
      <w:r>
        <w:rPr>
          <w:rFonts w:ascii="Times New Roman" w:cs="Times New Roman" w:eastAsia="Times New Roman" w:hAnsi="Times New Roman"/>
          <w:sz w:val="22"/>
          <w:szCs w:val="22"/>
          <w:b w:val="1"/>
          <w:bCs w:val="1"/>
          <w:i w:val="1"/>
          <w:iCs w:val="1"/>
          <w:color w:val="auto"/>
        </w:rPr>
        <w:t>Customer</w:t>
      </w:r>
      <w:r>
        <w:rPr>
          <w:rFonts w:ascii="Times New Roman" w:cs="Times New Roman" w:eastAsia="Times New Roman" w:hAnsi="Times New Roman"/>
          <w:sz w:val="22"/>
          <w:szCs w:val="22"/>
          <w:color w:val="auto"/>
        </w:rPr>
        <w:t>);</w:t>
      </w:r>
    </w:p>
    <w:p>
      <w:pPr>
        <w:spacing w:after="0" w:line="165" w:lineRule="exact"/>
        <w:rPr>
          <w:sz w:val="20"/>
          <w:szCs w:val="20"/>
          <w:color w:val="auto"/>
        </w:rPr>
      </w:pPr>
    </w:p>
    <w:p>
      <w:pPr>
        <w:jc w:val="both"/>
        <w:ind w:firstLine="972"/>
        <w:spacing w:after="0" w:line="295" w:lineRule="auto"/>
        <w:rPr>
          <w:sz w:val="20"/>
          <w:szCs w:val="20"/>
          <w:color w:val="auto"/>
        </w:rPr>
      </w:pPr>
      <w:r>
        <w:rPr>
          <w:rFonts w:ascii="Times New Roman" w:cs="Times New Roman" w:eastAsia="Times New Roman" w:hAnsi="Times New Roman"/>
          <w:sz w:val="22"/>
          <w:szCs w:val="22"/>
          <w:color w:val="auto"/>
        </w:rPr>
        <w:t>WHEREAS, Boeing and Customer entered into Purchase Agreement No. 3219 dated October 15, 2008, relating to Boeing Model 787 aircraft, as amended and supplemented (</w:t>
      </w:r>
      <w:r>
        <w:rPr>
          <w:rFonts w:ascii="Times New Roman" w:cs="Times New Roman" w:eastAsia="Times New Roman" w:hAnsi="Times New Roman"/>
          <w:sz w:val="22"/>
          <w:szCs w:val="22"/>
          <w:b w:val="1"/>
          <w:bCs w:val="1"/>
          <w:i w:val="1"/>
          <w:iCs w:val="1"/>
          <w:color w:val="auto"/>
        </w:rPr>
        <w:t>Purchase Agreement</w:t>
      </w:r>
      <w:r>
        <w:rPr>
          <w:rFonts w:ascii="Times New Roman" w:cs="Times New Roman" w:eastAsia="Times New Roman" w:hAnsi="Times New Roman"/>
          <w:sz w:val="22"/>
          <w:szCs w:val="22"/>
          <w:color w:val="auto"/>
        </w:rPr>
        <w:t>) and capitalized terms used herein without definitions shall have the meanings specified in such Purchase Agreement;</w:t>
      </w:r>
    </w:p>
    <w:p>
      <w:pPr>
        <w:spacing w:after="0" w:line="174" w:lineRule="exact"/>
        <w:rPr>
          <w:sz w:val="20"/>
          <w:szCs w:val="20"/>
          <w:color w:val="auto"/>
        </w:rPr>
      </w:pPr>
    </w:p>
    <w:p>
      <w:pPr>
        <w:jc w:val="both"/>
        <w:ind w:right="20" w:firstLine="972"/>
        <w:spacing w:after="0" w:line="322" w:lineRule="auto"/>
        <w:rPr>
          <w:sz w:val="20"/>
          <w:szCs w:val="20"/>
          <w:color w:val="auto"/>
        </w:rPr>
      </w:pPr>
      <w:r>
        <w:rPr>
          <w:rFonts w:ascii="Times New Roman" w:cs="Times New Roman" w:eastAsia="Times New Roman" w:hAnsi="Times New Roman"/>
          <w:sz w:val="22"/>
          <w:szCs w:val="22"/>
          <w:color w:val="auto"/>
        </w:rPr>
        <w:t>WHEREAS, Letter Agreement No. AAL-PA-3219-LA-2500155 entitled “[****]” is being entered into to [****] as defined therein;</w:t>
      </w:r>
    </w:p>
    <w:p>
      <w:pPr>
        <w:spacing w:after="0" w:line="145"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NOW, THEREFORE, the parties agree that the Purchase Agreement is amended as set forth below and otherwise agree as follows: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tabs>
          <w:tab w:leader="none" w:pos="940" w:val="left"/>
          <w:tab w:leader="none" w:pos="1720" w:val="left"/>
        </w:tabs>
        <w:rPr>
          <w:sz w:val="20"/>
          <w:szCs w:val="20"/>
          <w:color w:val="auto"/>
        </w:rPr>
      </w:pPr>
      <w:r>
        <w:rPr>
          <w:rFonts w:ascii="Times New Roman" w:cs="Times New Roman" w:eastAsia="Times New Roman" w:hAnsi="Times New Roman"/>
          <w:sz w:val="22"/>
          <w:szCs w:val="22"/>
          <w:color w:val="auto"/>
        </w:rPr>
        <w:t>PA 3219</w:t>
        <w:tab/>
        <w:t>SA-22</w:t>
      </w:r>
      <w:r>
        <w:rPr>
          <w:sz w:val="20"/>
          <w:szCs w:val="20"/>
          <w:color w:val="auto"/>
        </w:rPr>
        <w:tab/>
      </w:r>
      <w:r>
        <w:rPr>
          <w:rFonts w:ascii="Times New Roman" w:cs="Times New Roman" w:eastAsia="Times New Roman" w:hAnsi="Times New Roman"/>
          <w:sz w:val="21"/>
          <w:szCs w:val="21"/>
          <w:color w:val="auto"/>
        </w:rPr>
        <w:t>Page 1</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BOEING AND AMERICAN PROPRIETARY</w:t>
      </w:r>
    </w:p>
    <w:p>
      <w:pPr>
        <w:sectPr>
          <w:pgSz w:w="11900" w:h="16838" w:orient="portrait"/>
          <w:cols w:equalWidth="0" w:num="1">
            <w:col w:w="11240"/>
          </w:cols>
          <w:pgMar w:left="320" w:top="134" w:right="339" w:bottom="1440" w:gutter="0" w:footer="0" w:header="0"/>
        </w:sectPr>
      </w:pPr>
    </w:p>
    <w:bookmarkStart w:id="55" w:name="page56"/>
    <w:bookmarkEnd w:id="55"/>
    <w:p>
      <w:pPr>
        <w:spacing w:after="0" w:line="32" w:lineRule="exact"/>
        <w:rPr>
          <w:sz w:val="20"/>
          <w:szCs w:val="20"/>
          <w:color w:val="auto"/>
        </w:rPr>
      </w:pPr>
    </w:p>
    <w:p>
      <w:pPr>
        <w:ind w:left="640" w:hanging="632"/>
        <w:spacing w:after="0"/>
        <w:tabs>
          <w:tab w:leader="none" w:pos="640" w:val="left"/>
        </w:tabs>
        <w:numPr>
          <w:ilvl w:val="0"/>
          <w:numId w:val="43"/>
        </w:numPr>
        <w:rPr>
          <w:rFonts w:ascii="Arial" w:cs="Arial" w:eastAsia="Arial" w:hAnsi="Arial"/>
          <w:sz w:val="22"/>
          <w:szCs w:val="22"/>
          <w:color w:val="auto"/>
        </w:rPr>
      </w:pPr>
      <w:r>
        <w:rPr>
          <w:rFonts w:ascii="Times New Roman" w:cs="Times New Roman" w:eastAsia="Times New Roman" w:hAnsi="Times New Roman"/>
          <w:sz w:val="22"/>
          <w:szCs w:val="22"/>
          <w:b w:val="1"/>
          <w:bCs w:val="1"/>
          <w:u w:val="single" w:color="auto"/>
          <w:color w:val="auto"/>
        </w:rPr>
        <w:t>Table of Contents</w:t>
      </w:r>
      <w:r>
        <w:rPr>
          <w:rFonts w:ascii="Times New Roman" w:cs="Times New Roman" w:eastAsia="Times New Roman" w:hAnsi="Times New Roman"/>
          <w:sz w:val="22"/>
          <w:szCs w:val="22"/>
          <w:b w:val="1"/>
          <w:bCs w:val="1"/>
          <w:color w:val="auto"/>
        </w:rPr>
        <w:t>.</w:t>
      </w:r>
    </w:p>
    <w:p>
      <w:pPr>
        <w:spacing w:after="0" w:line="169"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22"/>
          <w:szCs w:val="22"/>
          <w:color w:val="auto"/>
        </w:rPr>
        <w:t>The Table of Contents referencing SA-21 in the footer is deleted in its entirety and is replaced with the new Table of Contents (attached hereto) referencing SA-22 in the footer. Such new Table of Contents is hereby incorporated into the Purchase Agreement in replacement of its predecessor.</w:t>
      </w:r>
    </w:p>
    <w:p>
      <w:pPr>
        <w:spacing w:after="0" w:line="121" w:lineRule="exact"/>
        <w:rPr>
          <w:sz w:val="20"/>
          <w:szCs w:val="20"/>
          <w:color w:val="auto"/>
        </w:rPr>
      </w:pPr>
    </w:p>
    <w:p>
      <w:pPr>
        <w:ind w:left="640" w:hanging="632"/>
        <w:spacing w:after="0"/>
        <w:tabs>
          <w:tab w:leader="none" w:pos="640" w:val="left"/>
        </w:tabs>
        <w:numPr>
          <w:ilvl w:val="0"/>
          <w:numId w:val="44"/>
        </w:numPr>
        <w:rPr>
          <w:rFonts w:ascii="Arial" w:cs="Arial" w:eastAsia="Arial" w:hAnsi="Arial"/>
          <w:sz w:val="22"/>
          <w:szCs w:val="22"/>
          <w:color w:val="auto"/>
        </w:rPr>
      </w:pPr>
      <w:r>
        <w:rPr>
          <w:rFonts w:ascii="Times New Roman" w:cs="Times New Roman" w:eastAsia="Times New Roman" w:hAnsi="Times New Roman"/>
          <w:sz w:val="22"/>
          <w:szCs w:val="22"/>
          <w:b w:val="1"/>
          <w:bCs w:val="1"/>
          <w:u w:val="single" w:color="auto"/>
          <w:color w:val="auto"/>
        </w:rPr>
        <w:t>Letter Agreements</w:t>
      </w:r>
      <w:r>
        <w:rPr>
          <w:rFonts w:ascii="Times New Roman" w:cs="Times New Roman" w:eastAsia="Times New Roman" w:hAnsi="Times New Roman"/>
          <w:sz w:val="22"/>
          <w:szCs w:val="22"/>
          <w:b w:val="1"/>
          <w:bCs w:val="1"/>
          <w:color w:val="auto"/>
        </w:rPr>
        <w:t>.</w:t>
      </w:r>
    </w:p>
    <w:p>
      <w:pPr>
        <w:spacing w:after="0" w:line="223" w:lineRule="exact"/>
        <w:rPr>
          <w:sz w:val="20"/>
          <w:szCs w:val="20"/>
          <w:color w:val="auto"/>
        </w:rPr>
      </w:pPr>
    </w:p>
    <w:p>
      <w:pPr>
        <w:ind w:firstLine="378"/>
        <w:spacing w:after="0" w:line="309" w:lineRule="auto"/>
        <w:rPr>
          <w:sz w:val="20"/>
          <w:szCs w:val="20"/>
          <w:color w:val="auto"/>
        </w:rPr>
      </w:pPr>
      <w:r>
        <w:rPr>
          <w:rFonts w:ascii="Times New Roman" w:cs="Times New Roman" w:eastAsia="Times New Roman" w:hAnsi="Times New Roman"/>
          <w:sz w:val="22"/>
          <w:szCs w:val="22"/>
          <w:u w:val="single" w:color="auto"/>
          <w:color w:val="auto"/>
        </w:rPr>
        <w:t>Letter Agreement No. AAL-PA-3219-LA-2500155.</w:t>
      </w:r>
      <w:r>
        <w:rPr>
          <w:rFonts w:ascii="Times New Roman" w:cs="Times New Roman" w:eastAsia="Times New Roman" w:hAnsi="Times New Roman"/>
          <w:sz w:val="22"/>
          <w:szCs w:val="22"/>
          <w:color w:val="auto"/>
        </w:rPr>
        <w:t xml:space="preserve"> Letter Agreement No. AAL-PA-3219-LA-2500155 entitled “[****]” (attached hereto) referencing SA-22 in the footer is hereby incorporated into the Purchase Agreement.</w:t>
      </w:r>
    </w:p>
    <w:p>
      <w:pPr>
        <w:spacing w:after="0" w:line="249" w:lineRule="exact"/>
        <w:rPr>
          <w:sz w:val="20"/>
          <w:szCs w:val="20"/>
          <w:color w:val="auto"/>
        </w:rPr>
      </w:pPr>
    </w:p>
    <w:p>
      <w:pPr>
        <w:ind w:left="640" w:hanging="632"/>
        <w:spacing w:after="0"/>
        <w:tabs>
          <w:tab w:leader="none" w:pos="640" w:val="left"/>
        </w:tabs>
        <w:numPr>
          <w:ilvl w:val="0"/>
          <w:numId w:val="45"/>
        </w:numPr>
        <w:rPr>
          <w:rFonts w:ascii="Arial" w:cs="Arial" w:eastAsia="Arial" w:hAnsi="Arial"/>
          <w:sz w:val="22"/>
          <w:szCs w:val="22"/>
          <w:color w:val="auto"/>
        </w:rPr>
      </w:pPr>
      <w:r>
        <w:rPr>
          <w:rFonts w:ascii="Times New Roman" w:cs="Times New Roman" w:eastAsia="Times New Roman" w:hAnsi="Times New Roman"/>
          <w:sz w:val="22"/>
          <w:szCs w:val="22"/>
          <w:b w:val="1"/>
          <w:bCs w:val="1"/>
          <w:u w:val="single" w:color="auto"/>
          <w:color w:val="auto"/>
        </w:rPr>
        <w:t>Effect on Purchase Agreement</w:t>
      </w:r>
      <w:r>
        <w:rPr>
          <w:rFonts w:ascii="Times New Roman" w:cs="Times New Roman" w:eastAsia="Times New Roman" w:hAnsi="Times New Roman"/>
          <w:sz w:val="22"/>
          <w:szCs w:val="22"/>
          <w:b w:val="1"/>
          <w:bCs w:val="1"/>
          <w:color w:val="auto"/>
        </w:rPr>
        <w:t>.</w:t>
      </w:r>
    </w:p>
    <w:p>
      <w:pPr>
        <w:spacing w:after="0" w:line="115" w:lineRule="exact"/>
        <w:rPr>
          <w:sz w:val="20"/>
          <w:szCs w:val="20"/>
          <w:color w:val="auto"/>
        </w:rPr>
      </w:pPr>
    </w:p>
    <w:p>
      <w:pPr>
        <w:jc w:val="both"/>
        <w:ind w:firstLine="626"/>
        <w:spacing w:after="0" w:line="313" w:lineRule="auto"/>
        <w:rPr>
          <w:sz w:val="20"/>
          <w:szCs w:val="20"/>
          <w:color w:val="auto"/>
        </w:rPr>
      </w:pPr>
      <w:r>
        <w:rPr>
          <w:rFonts w:ascii="Times New Roman" w:cs="Times New Roman" w:eastAsia="Times New Roman" w:hAnsi="Times New Roman"/>
          <w:sz w:val="21"/>
          <w:szCs w:val="21"/>
          <w:color w:val="auto"/>
        </w:rPr>
        <w:t>Except as expressly set forth herein, all terms and provisions contained in the Purchase Agreement shall remain in full force and effect. This Agreement contains the entire agreement between the parties with respect to the subject matter hereof and supersedes all previous proposals, and agreements, understandings, commitments or representations whatsoever, oral or written, with respect to the subject matter hereof and may be changed only in writing signed by authorized representatives of the parties.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rest of this page is left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940" w:val="left"/>
          <w:tab w:leader="none" w:pos="1720" w:val="left"/>
        </w:tabs>
        <w:rPr>
          <w:sz w:val="20"/>
          <w:szCs w:val="20"/>
          <w:color w:val="auto"/>
        </w:rPr>
      </w:pPr>
      <w:r>
        <w:rPr>
          <w:rFonts w:ascii="Times New Roman" w:cs="Times New Roman" w:eastAsia="Times New Roman" w:hAnsi="Times New Roman"/>
          <w:sz w:val="22"/>
          <w:szCs w:val="22"/>
          <w:color w:val="auto"/>
        </w:rPr>
        <w:t>PA 3219</w:t>
        <w:tab/>
        <w:t>SA-22</w:t>
      </w:r>
      <w:r>
        <w:rPr>
          <w:sz w:val="20"/>
          <w:szCs w:val="20"/>
          <w:color w:val="auto"/>
        </w:rPr>
        <w:tab/>
      </w:r>
      <w:r>
        <w:rPr>
          <w:rFonts w:ascii="Times New Roman" w:cs="Times New Roman" w:eastAsia="Times New Roman" w:hAnsi="Times New Roman"/>
          <w:sz w:val="21"/>
          <w:szCs w:val="21"/>
          <w:color w:val="auto"/>
        </w:rPr>
        <w:t>Page 2</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BOEING AND AMERICAN PROPRIETARY</w:t>
      </w:r>
    </w:p>
    <w:p>
      <w:pPr>
        <w:sectPr>
          <w:pgSz w:w="11900" w:h="16838" w:orient="portrait"/>
          <w:cols w:equalWidth="0" w:num="1">
            <w:col w:w="11240"/>
          </w:cols>
          <w:pgMar w:left="320" w:top="1440" w:right="339" w:bottom="1440" w:gutter="0" w:footer="0" w:header="0"/>
        </w:sectPr>
      </w:pPr>
    </w:p>
    <w:bookmarkStart w:id="56" w:name="page57"/>
    <w:bookmarkEnd w:id="56"/>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color w:val="auto"/>
        </w:rPr>
        <w:t>AGREED AND ACCEPTED</w:t>
      </w:r>
    </w:p>
    <w:p>
      <w:pPr>
        <w:spacing w:after="0" w:line="29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January 3, 2025</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-160020</wp:posOffset>
            </wp:positionV>
            <wp:extent cx="325755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2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b w:val="1"/>
          <w:bCs w:val="1"/>
          <w:color w:val="auto"/>
        </w:rPr>
        <w:t>THE BOEING COMPANY</w:t>
      </w:r>
    </w:p>
    <w:p>
      <w:pPr>
        <w:spacing w:after="0" w:line="3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/s/ The Boeing Company</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-160020</wp:posOffset>
            </wp:positionV>
            <wp:extent cx="325755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26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The Boeing Company</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-160020</wp:posOffset>
            </wp:positionV>
            <wp:extent cx="325755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26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Attorney-in-Fact</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-160020</wp:posOffset>
            </wp:positionV>
            <wp:extent cx="325755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AMERICAN AIRLINES, INC.</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American Airlines,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-160020</wp:posOffset>
            </wp:positionV>
            <wp:extent cx="35318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American Airlines,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-160020</wp:posOffset>
            </wp:positionV>
            <wp:extent cx="35318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Senior Vice President and Treasurer</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-160020</wp:posOffset>
            </wp:positionV>
            <wp:extent cx="35318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20" w:space="720"/>
            <w:col w:w="439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tabs>
          <w:tab w:leader="none" w:pos="940" w:val="left"/>
          <w:tab w:leader="none" w:pos="1720" w:val="left"/>
        </w:tabs>
        <w:rPr>
          <w:sz w:val="20"/>
          <w:szCs w:val="20"/>
          <w:color w:val="auto"/>
        </w:rPr>
      </w:pPr>
      <w:r>
        <w:rPr>
          <w:rFonts w:ascii="Times New Roman" w:cs="Times New Roman" w:eastAsia="Times New Roman" w:hAnsi="Times New Roman"/>
          <w:sz w:val="22"/>
          <w:szCs w:val="22"/>
          <w:color w:val="auto"/>
        </w:rPr>
        <w:t>PA 3219</w:t>
        <w:tab/>
        <w:t>SA-22</w:t>
      </w:r>
      <w:r>
        <w:rPr>
          <w:sz w:val="20"/>
          <w:szCs w:val="20"/>
          <w:color w:val="auto"/>
        </w:rPr>
        <w:tab/>
      </w:r>
      <w:r>
        <w:rPr>
          <w:rFonts w:ascii="Times New Roman" w:cs="Times New Roman" w:eastAsia="Times New Roman" w:hAnsi="Times New Roman"/>
          <w:sz w:val="21"/>
          <w:szCs w:val="21"/>
          <w:color w:val="auto"/>
        </w:rPr>
        <w:t>Page 3</w:t>
      </w:r>
    </w:p>
    <w:p>
      <w:pPr>
        <w:spacing w:after="0" w:line="40" w:lineRule="exact"/>
        <w:rPr>
          <w:sz w:val="20"/>
          <w:szCs w:val="20"/>
          <w:color w:val="auto"/>
        </w:rPr>
      </w:pPr>
    </w:p>
    <w:p>
      <w:pPr>
        <w:jc w:val="right"/>
        <w:ind w:right="2379"/>
        <w:spacing w:after="0"/>
        <w:rPr>
          <w:sz w:val="20"/>
          <w:szCs w:val="20"/>
          <w:color w:val="auto"/>
        </w:rPr>
      </w:pPr>
      <w:r>
        <w:rPr>
          <w:rFonts w:ascii="Times New Roman" w:cs="Times New Roman" w:eastAsia="Times New Roman" w:hAnsi="Times New Roman"/>
          <w:sz w:val="22"/>
          <w:szCs w:val="22"/>
          <w:b w:val="1"/>
          <w:bCs w:val="1"/>
          <w:color w:val="auto"/>
        </w:rPr>
        <w:t>BOEING AND AMERICAN PROPRIETARY</w:t>
      </w:r>
    </w:p>
    <w:p>
      <w:pPr>
        <w:sectPr>
          <w:pgSz w:w="11900" w:h="16838" w:orient="portrait"/>
          <w:cols w:equalWidth="0" w:num="1">
            <w:col w:w="10139"/>
          </w:cols>
          <w:pgMar w:left="320" w:top="1440" w:right="1440" w:bottom="1440" w:gutter="0" w:footer="0" w:header="0"/>
          <w:type w:val="continuous"/>
        </w:sectPr>
      </w:pPr>
    </w:p>
    <w:bookmarkStart w:id="57" w:name="page58"/>
    <w:bookmarkEnd w:id="57"/>
    <w:tbl>
      <w:tblPr>
        <w:tblLayout w:type="fixed"/>
        <w:tblInd w:w="0" w:type="dxa"/>
        <w:tblCellMar>
          <w:top w:w="0" w:type="dxa"/>
          <w:left w:w="0" w:type="dxa"/>
          <w:bottom w:w="0" w:type="dxa"/>
          <w:right w:w="0" w:type="dxa"/>
        </w:tblCellMar>
      </w:tblPr>
      <w:tr>
        <w:trPr>
          <w:trHeight w:val="282"/>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0" w:type="dxa"/>
            <w:vAlign w:val="bottom"/>
            <w:gridSpan w:val="2"/>
          </w:tcPr>
          <w:p>
            <w:pPr>
              <w:ind w:left="1500"/>
              <w:spacing w:after="0"/>
              <w:rPr>
                <w:sz w:val="20"/>
                <w:szCs w:val="20"/>
                <w:color w:val="auto"/>
              </w:rPr>
            </w:pPr>
            <w:r>
              <w:rPr>
                <w:rFonts w:ascii="Times New Roman" w:cs="Times New Roman" w:eastAsia="Times New Roman" w:hAnsi="Times New Roman"/>
                <w:sz w:val="22"/>
                <w:szCs w:val="22"/>
                <w:color w:val="auto"/>
              </w:rPr>
              <w:t>TABLE OF CONTENTS</w:t>
            </w:r>
          </w:p>
        </w:tc>
      </w:tr>
      <w:tr>
        <w:trPr>
          <w:trHeight w:val="649"/>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ARTICLES</w:t>
            </w:r>
          </w:p>
        </w:tc>
        <w:tc>
          <w:tcPr>
            <w:tcW w:w="6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464"/>
        </w:trPr>
        <w:tc>
          <w:tcPr>
            <w:tcW w:w="440" w:type="dxa"/>
            <w:vAlign w:val="bottom"/>
            <w:gridSpan w:val="2"/>
          </w:tcPr>
          <w:p>
            <w:pPr>
              <w:spacing w:after="0"/>
              <w:rPr>
                <w:sz w:val="24"/>
                <w:szCs w:val="24"/>
                <w:color w:val="auto"/>
              </w:rPr>
            </w:pPr>
          </w:p>
        </w:tc>
        <w:tc>
          <w:tcPr>
            <w:tcW w:w="440" w:type="dxa"/>
            <w:vAlign w:val="bottom"/>
            <w:tcBorders>
              <w:top w:val="single" w:sz="8" w:color="auto"/>
            </w:tcBorders>
            <w:gridSpan w:val="2"/>
          </w:tcPr>
          <w:p>
            <w:pPr>
              <w:jc w:val="center"/>
              <w:ind w:left="172"/>
              <w:spacing w:after="0"/>
              <w:rPr>
                <w:sz w:val="20"/>
                <w:szCs w:val="20"/>
                <w:color w:val="auto"/>
              </w:rPr>
            </w:pPr>
            <w:r>
              <w:rPr>
                <w:rFonts w:ascii="Times New Roman" w:cs="Times New Roman" w:eastAsia="Times New Roman" w:hAnsi="Times New Roman"/>
                <w:sz w:val="22"/>
                <w:szCs w:val="22"/>
                <w:color w:val="auto"/>
                <w:w w:val="96"/>
              </w:rPr>
              <w:t>1.</w:t>
            </w:r>
          </w:p>
        </w:tc>
        <w:tc>
          <w:tcPr>
            <w:tcW w:w="2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Quantity, Model and Description</w:t>
            </w:r>
          </w:p>
        </w:tc>
      </w:tr>
      <w:tr>
        <w:trPr>
          <w:trHeight w:val="432"/>
        </w:trPr>
        <w:tc>
          <w:tcPr>
            <w:tcW w:w="880" w:type="dxa"/>
            <w:vAlign w:val="bottom"/>
            <w:gridSpan w:val="4"/>
          </w:tcPr>
          <w:p>
            <w:pPr>
              <w:jc w:val="center"/>
              <w:ind w:left="612"/>
              <w:spacing w:after="0"/>
              <w:rPr>
                <w:sz w:val="20"/>
                <w:szCs w:val="20"/>
                <w:color w:val="auto"/>
              </w:rPr>
            </w:pPr>
            <w:r>
              <w:rPr>
                <w:rFonts w:ascii="Times New Roman" w:cs="Times New Roman" w:eastAsia="Times New Roman" w:hAnsi="Times New Roman"/>
                <w:sz w:val="22"/>
                <w:szCs w:val="22"/>
                <w:color w:val="auto"/>
                <w:w w:val="96"/>
              </w:rPr>
              <w:t>2.</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Delivery Schedule</w:t>
            </w:r>
          </w:p>
        </w:tc>
      </w:tr>
      <w:tr>
        <w:trPr>
          <w:trHeight w:val="432"/>
        </w:trPr>
        <w:tc>
          <w:tcPr>
            <w:tcW w:w="880" w:type="dxa"/>
            <w:vAlign w:val="bottom"/>
            <w:gridSpan w:val="4"/>
          </w:tcPr>
          <w:p>
            <w:pPr>
              <w:jc w:val="center"/>
              <w:ind w:left="612"/>
              <w:spacing w:after="0"/>
              <w:rPr>
                <w:sz w:val="20"/>
                <w:szCs w:val="20"/>
                <w:color w:val="auto"/>
              </w:rPr>
            </w:pPr>
            <w:r>
              <w:rPr>
                <w:rFonts w:ascii="Times New Roman" w:cs="Times New Roman" w:eastAsia="Times New Roman" w:hAnsi="Times New Roman"/>
                <w:sz w:val="22"/>
                <w:szCs w:val="22"/>
                <w:color w:val="auto"/>
                <w:w w:val="96"/>
              </w:rPr>
              <w:t>3.</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Price</w:t>
            </w:r>
          </w:p>
        </w:tc>
      </w:tr>
      <w:tr>
        <w:trPr>
          <w:trHeight w:val="432"/>
        </w:trPr>
        <w:tc>
          <w:tcPr>
            <w:tcW w:w="880" w:type="dxa"/>
            <w:vAlign w:val="bottom"/>
            <w:gridSpan w:val="4"/>
          </w:tcPr>
          <w:p>
            <w:pPr>
              <w:jc w:val="center"/>
              <w:ind w:left="612"/>
              <w:spacing w:after="0"/>
              <w:rPr>
                <w:sz w:val="20"/>
                <w:szCs w:val="20"/>
                <w:color w:val="auto"/>
              </w:rPr>
            </w:pPr>
            <w:r>
              <w:rPr>
                <w:rFonts w:ascii="Times New Roman" w:cs="Times New Roman" w:eastAsia="Times New Roman" w:hAnsi="Times New Roman"/>
                <w:sz w:val="22"/>
                <w:szCs w:val="22"/>
                <w:color w:val="auto"/>
                <w:w w:val="96"/>
              </w:rPr>
              <w:t>4.</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Payment</w:t>
            </w:r>
          </w:p>
        </w:tc>
      </w:tr>
      <w:tr>
        <w:trPr>
          <w:trHeight w:val="432"/>
        </w:trPr>
        <w:tc>
          <w:tcPr>
            <w:tcW w:w="880" w:type="dxa"/>
            <w:vAlign w:val="bottom"/>
            <w:gridSpan w:val="4"/>
          </w:tcPr>
          <w:p>
            <w:pPr>
              <w:jc w:val="center"/>
              <w:ind w:left="612"/>
              <w:spacing w:after="0"/>
              <w:rPr>
                <w:sz w:val="20"/>
                <w:szCs w:val="20"/>
                <w:color w:val="auto"/>
              </w:rPr>
            </w:pPr>
            <w:r>
              <w:rPr>
                <w:rFonts w:ascii="Times New Roman" w:cs="Times New Roman" w:eastAsia="Times New Roman" w:hAnsi="Times New Roman"/>
                <w:sz w:val="22"/>
                <w:szCs w:val="22"/>
                <w:color w:val="auto"/>
                <w:w w:val="96"/>
              </w:rPr>
              <w:t>5.</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Miscellaneous</w:t>
            </w:r>
          </w:p>
        </w:tc>
      </w:tr>
      <w:tr>
        <w:trPr>
          <w:trHeight w:val="432"/>
        </w:trPr>
        <w:tc>
          <w:tcPr>
            <w:tcW w:w="880" w:type="dxa"/>
            <w:vAlign w:val="bottom"/>
            <w:gridSpan w:val="4"/>
          </w:tcPr>
          <w:p>
            <w:pPr>
              <w:jc w:val="center"/>
              <w:ind w:left="612"/>
              <w:spacing w:after="0"/>
              <w:rPr>
                <w:sz w:val="20"/>
                <w:szCs w:val="20"/>
                <w:color w:val="auto"/>
              </w:rPr>
            </w:pPr>
            <w:r>
              <w:rPr>
                <w:rFonts w:ascii="Times New Roman" w:cs="Times New Roman" w:eastAsia="Times New Roman" w:hAnsi="Times New Roman"/>
                <w:sz w:val="22"/>
                <w:szCs w:val="22"/>
                <w:color w:val="auto"/>
                <w:w w:val="96"/>
              </w:rPr>
              <w:t>6.</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Confidential Treatment</w:t>
            </w:r>
          </w:p>
        </w:tc>
      </w:tr>
      <w:tr>
        <w:trPr>
          <w:trHeight w:val="703"/>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gridSpan w:val="7"/>
          </w:tcPr>
          <w:p>
            <w:pPr>
              <w:ind w:left="20"/>
              <w:spacing w:after="0"/>
              <w:rPr>
                <w:sz w:val="20"/>
                <w:szCs w:val="20"/>
                <w:color w:val="auto"/>
              </w:rPr>
            </w:pPr>
            <w:r>
              <w:rPr>
                <w:rFonts w:ascii="Times New Roman" w:cs="Times New Roman" w:eastAsia="Times New Roman" w:hAnsi="Times New Roman"/>
                <w:sz w:val="22"/>
                <w:szCs w:val="22"/>
                <w:color w:val="auto"/>
              </w:rPr>
              <w:t>TABLE</w:t>
            </w:r>
          </w:p>
        </w:tc>
        <w:tc>
          <w:tcPr>
            <w:tcW w:w="6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465"/>
        </w:trPr>
        <w:tc>
          <w:tcPr>
            <w:tcW w:w="36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420" w:type="dxa"/>
            <w:vAlign w:val="bottom"/>
            <w:tcBorders>
              <w:top w:val="single" w:sz="8" w:color="auto"/>
            </w:tcBorders>
          </w:tcPr>
          <w:p>
            <w:pPr>
              <w:jc w:val="center"/>
              <w:ind w:left="155"/>
              <w:spacing w:after="0"/>
              <w:rPr>
                <w:sz w:val="20"/>
                <w:szCs w:val="20"/>
                <w:color w:val="auto"/>
              </w:rPr>
            </w:pPr>
            <w:r>
              <w:rPr>
                <w:rFonts w:ascii="Times New Roman" w:cs="Times New Roman" w:eastAsia="Times New Roman" w:hAnsi="Times New Roman"/>
                <w:sz w:val="22"/>
                <w:szCs w:val="22"/>
                <w:color w:val="auto"/>
                <w:strike w:val="1"/>
                <w:w w:val="96"/>
              </w:rPr>
              <w:t>1.</w:t>
            </w:r>
          </w:p>
        </w:tc>
        <w:tc>
          <w:tcPr>
            <w:tcW w:w="2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5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strike w:val="1"/>
                <w:w w:val="98"/>
              </w:rPr>
              <w:t>Aircraft Information Table – TRENT</w:t>
            </w:r>
          </w:p>
        </w:tc>
        <w:tc>
          <w:tcPr>
            <w:tcW w:w="3080" w:type="dxa"/>
            <w:vAlign w:val="bottom"/>
          </w:tcPr>
          <w:p>
            <w:pPr>
              <w:spacing w:after="0"/>
              <w:rPr>
                <w:sz w:val="20"/>
                <w:szCs w:val="20"/>
                <w:color w:val="auto"/>
              </w:rPr>
            </w:pPr>
            <w:r>
              <w:rPr>
                <w:rFonts w:ascii="Times New Roman" w:cs="Times New Roman" w:eastAsia="Times New Roman" w:hAnsi="Times New Roman"/>
                <w:sz w:val="22"/>
                <w:szCs w:val="22"/>
                <w:color w:val="auto"/>
              </w:rPr>
              <w:t>WITHDRAWN</w:t>
            </w:r>
          </w:p>
        </w:tc>
      </w:tr>
      <w:tr>
        <w:trPr>
          <w:trHeight w:val="413"/>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gridSpan w:val="6"/>
          </w:tcPr>
          <w:p>
            <w:pPr>
              <w:jc w:val="center"/>
              <w:ind w:right="926"/>
              <w:spacing w:after="0"/>
              <w:rPr>
                <w:sz w:val="20"/>
                <w:szCs w:val="20"/>
                <w:color w:val="auto"/>
              </w:rPr>
            </w:pPr>
            <w:r>
              <w:rPr>
                <w:rFonts w:ascii="Times New Roman" w:cs="Times New Roman" w:eastAsia="Times New Roman" w:hAnsi="Times New Roman"/>
                <w:sz w:val="20"/>
                <w:szCs w:val="20"/>
                <w:color w:val="auto"/>
                <w:w w:val="98"/>
              </w:rPr>
              <w:t>1(R7)</w:t>
            </w:r>
          </w:p>
        </w:tc>
        <w:tc>
          <w:tcPr>
            <w:tcW w:w="6600" w:type="dxa"/>
            <w:vAlign w:val="bottom"/>
            <w:gridSpan w:val="3"/>
          </w:tcPr>
          <w:p>
            <w:pPr>
              <w:ind w:left="260"/>
              <w:spacing w:after="0"/>
              <w:rPr>
                <w:sz w:val="20"/>
                <w:szCs w:val="20"/>
                <w:color w:val="auto"/>
              </w:rPr>
            </w:pPr>
            <w:r>
              <w:rPr>
                <w:rFonts w:ascii="Times New Roman" w:cs="Times New Roman" w:eastAsia="Times New Roman" w:hAnsi="Times New Roman"/>
                <w:sz w:val="20"/>
                <w:szCs w:val="20"/>
                <w:color w:val="auto"/>
              </w:rPr>
              <w:t>787-9 Aircraft Information Table – GENX</w:t>
            </w:r>
          </w:p>
        </w:tc>
      </w:tr>
      <w:tr>
        <w:trPr>
          <w:trHeight w:val="424"/>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gridSpan w:val="6"/>
          </w:tcPr>
          <w:p>
            <w:pPr>
              <w:jc w:val="center"/>
              <w:ind w:right="926"/>
              <w:spacing w:after="0"/>
              <w:rPr>
                <w:sz w:val="20"/>
                <w:szCs w:val="20"/>
                <w:color w:val="auto"/>
              </w:rPr>
            </w:pPr>
            <w:r>
              <w:rPr>
                <w:rFonts w:ascii="Times New Roman" w:cs="Times New Roman" w:eastAsia="Times New Roman" w:hAnsi="Times New Roman"/>
                <w:sz w:val="22"/>
                <w:szCs w:val="22"/>
                <w:color w:val="auto"/>
                <w:w w:val="97"/>
              </w:rPr>
              <w:t>2(R1)</w:t>
            </w:r>
          </w:p>
        </w:tc>
        <w:tc>
          <w:tcPr>
            <w:tcW w:w="660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787-8 Aircraft Information Table – GENX</w:t>
            </w:r>
          </w:p>
        </w:tc>
      </w:tr>
      <w:tr>
        <w:trPr>
          <w:trHeight w:val="297"/>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0" w:type="dxa"/>
            <w:vAlign w:val="bottom"/>
            <w:gridSpan w:val="3"/>
          </w:tcPr>
          <w:p>
            <w:pPr>
              <w:ind w:left="5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r>
              <w:rPr>
                <w:rFonts w:ascii="Times New Roman" w:cs="Times New Roman" w:eastAsia="Times New Roman" w:hAnsi="Times New Roman"/>
                <w:sz w:val="22"/>
                <w:szCs w:val="22"/>
                <w:color w:val="auto"/>
              </w:rPr>
              <w:t xml:space="preserve"> (12) 787-8 Aircraft)</w:t>
            </w:r>
          </w:p>
        </w:tc>
      </w:tr>
      <w:tr>
        <w:trPr>
          <w:trHeight w:val="432"/>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gridSpan w:val="6"/>
          </w:tcPr>
          <w:p>
            <w:pPr>
              <w:jc w:val="center"/>
              <w:ind w:right="926"/>
              <w:spacing w:after="0"/>
              <w:rPr>
                <w:sz w:val="20"/>
                <w:szCs w:val="20"/>
                <w:color w:val="auto"/>
              </w:rPr>
            </w:pPr>
            <w:r>
              <w:rPr>
                <w:rFonts w:ascii="Times New Roman" w:cs="Times New Roman" w:eastAsia="Times New Roman" w:hAnsi="Times New Roman"/>
                <w:sz w:val="22"/>
                <w:szCs w:val="22"/>
                <w:color w:val="auto"/>
                <w:w w:val="97"/>
              </w:rPr>
              <w:t>3(R1)</w:t>
            </w:r>
          </w:p>
        </w:tc>
        <w:tc>
          <w:tcPr>
            <w:tcW w:w="660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787-8 Aircraft Information Table – GENX</w:t>
            </w:r>
          </w:p>
        </w:tc>
      </w:tr>
      <w:tr>
        <w:trPr>
          <w:trHeight w:val="297"/>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0" w:type="dxa"/>
            <w:vAlign w:val="bottom"/>
            <w:gridSpan w:val="3"/>
          </w:tcPr>
          <w:p>
            <w:pPr>
              <w:ind w:left="580"/>
              <w:spacing w:after="0"/>
              <w:rPr>
                <w:sz w:val="20"/>
                <w:szCs w:val="20"/>
                <w:color w:val="auto"/>
              </w:rPr>
            </w:pPr>
            <w:r>
              <w:rPr>
                <w:rFonts w:ascii="Times New Roman" w:cs="Times New Roman" w:eastAsia="Times New Roman" w:hAnsi="Times New Roman"/>
                <w:sz w:val="22"/>
                <w:szCs w:val="22"/>
                <w:color w:val="auto"/>
                <w:w w:val="98"/>
              </w:rPr>
              <w:t>(</w:t>
            </w:r>
            <w:r>
              <w:rPr>
                <w:rFonts w:ascii="Times New Roman" w:cs="Times New Roman" w:eastAsia="Times New Roman" w:hAnsi="Times New Roman"/>
                <w:sz w:val="19"/>
                <w:szCs w:val="19"/>
                <w:color w:val="auto"/>
                <w:w w:val="98"/>
              </w:rPr>
              <w:t>[****]</w:t>
            </w:r>
            <w:r>
              <w:rPr>
                <w:rFonts w:ascii="Times New Roman" w:cs="Times New Roman" w:eastAsia="Times New Roman" w:hAnsi="Times New Roman"/>
                <w:sz w:val="22"/>
                <w:szCs w:val="22"/>
                <w:color w:val="auto"/>
                <w:w w:val="98"/>
              </w:rPr>
              <w:t xml:space="preserve"> Eight (8) 787-8 Aircraft, yielding Twenty (20) 787-8 Aircraft)</w:t>
            </w:r>
          </w:p>
        </w:tc>
      </w:tr>
      <w:tr>
        <w:trPr>
          <w:trHeight w:val="432"/>
        </w:trPr>
        <w:tc>
          <w:tcPr>
            <w:tcW w:w="880" w:type="dxa"/>
            <w:vAlign w:val="bottom"/>
            <w:gridSpan w:val="4"/>
          </w:tcPr>
          <w:p>
            <w:pPr>
              <w:jc w:val="center"/>
              <w:ind w:left="592"/>
              <w:spacing w:after="0"/>
              <w:rPr>
                <w:sz w:val="20"/>
                <w:szCs w:val="20"/>
                <w:color w:val="auto"/>
              </w:rPr>
            </w:pPr>
            <w:r>
              <w:rPr>
                <w:rFonts w:ascii="Times New Roman" w:cs="Times New Roman" w:eastAsia="Times New Roman" w:hAnsi="Times New Roman"/>
                <w:sz w:val="22"/>
                <w:szCs w:val="22"/>
                <w:color w:val="auto"/>
                <w:w w:val="90"/>
              </w:rPr>
              <w:t>4</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WITHDRAWN</w:t>
            </w:r>
          </w:p>
        </w:tc>
      </w:tr>
      <w:tr>
        <w:trPr>
          <w:trHeight w:val="413"/>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gridSpan w:val="6"/>
          </w:tcPr>
          <w:p>
            <w:pPr>
              <w:jc w:val="center"/>
              <w:ind w:right="926"/>
              <w:spacing w:after="0"/>
              <w:rPr>
                <w:sz w:val="20"/>
                <w:szCs w:val="20"/>
                <w:color w:val="auto"/>
              </w:rPr>
            </w:pPr>
            <w:r>
              <w:rPr>
                <w:rFonts w:ascii="Times New Roman" w:cs="Times New Roman" w:eastAsia="Times New Roman" w:hAnsi="Times New Roman"/>
                <w:sz w:val="20"/>
                <w:szCs w:val="20"/>
                <w:color w:val="auto"/>
                <w:w w:val="98"/>
              </w:rPr>
              <w:t>5(R5)</w:t>
            </w:r>
          </w:p>
        </w:tc>
        <w:tc>
          <w:tcPr>
            <w:tcW w:w="6600" w:type="dxa"/>
            <w:vAlign w:val="bottom"/>
            <w:gridSpan w:val="3"/>
          </w:tcPr>
          <w:p>
            <w:pPr>
              <w:ind w:left="260"/>
              <w:spacing w:after="0"/>
              <w:rPr>
                <w:sz w:val="20"/>
                <w:szCs w:val="20"/>
                <w:color w:val="auto"/>
              </w:rPr>
            </w:pPr>
            <w:r>
              <w:rPr>
                <w:rFonts w:ascii="Times New Roman" w:cs="Times New Roman" w:eastAsia="Times New Roman" w:hAnsi="Times New Roman"/>
                <w:sz w:val="20"/>
                <w:szCs w:val="20"/>
                <w:color w:val="auto"/>
              </w:rPr>
              <w:t>2018 787-9 [****] Aircraft Information Table – GENX</w:t>
            </w:r>
          </w:p>
        </w:tc>
      </w:tr>
      <w:tr>
        <w:trPr>
          <w:trHeight w:val="365"/>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gridSpan w:val="6"/>
          </w:tcPr>
          <w:p>
            <w:pPr>
              <w:jc w:val="right"/>
              <w:ind w:right="1166"/>
              <w:spacing w:after="0"/>
              <w:rPr>
                <w:sz w:val="20"/>
                <w:szCs w:val="20"/>
                <w:color w:val="auto"/>
              </w:rPr>
            </w:pPr>
            <w:r>
              <w:rPr>
                <w:rFonts w:ascii="Times New Roman" w:cs="Times New Roman" w:eastAsia="Times New Roman" w:hAnsi="Times New Roman"/>
                <w:sz w:val="20"/>
                <w:szCs w:val="20"/>
                <w:color w:val="auto"/>
              </w:rPr>
              <w:t>6R3</w:t>
            </w:r>
          </w:p>
        </w:tc>
        <w:tc>
          <w:tcPr>
            <w:tcW w:w="6600" w:type="dxa"/>
            <w:vAlign w:val="bottom"/>
            <w:gridSpan w:val="3"/>
          </w:tcPr>
          <w:p>
            <w:pPr>
              <w:ind w:left="260"/>
              <w:spacing w:after="0"/>
              <w:rPr>
                <w:sz w:val="20"/>
                <w:szCs w:val="20"/>
                <w:color w:val="auto"/>
              </w:rPr>
            </w:pPr>
            <w:r>
              <w:rPr>
                <w:rFonts w:ascii="Times New Roman" w:cs="Times New Roman" w:eastAsia="Times New Roman" w:hAnsi="Times New Roman"/>
                <w:sz w:val="20"/>
                <w:szCs w:val="20"/>
                <w:color w:val="auto"/>
              </w:rPr>
              <w:t>2018 787-8 [****] Aircraft Information Table-GENX</w:t>
            </w:r>
          </w:p>
        </w:tc>
      </w:tr>
      <w:tr>
        <w:trPr>
          <w:trHeight w:val="411"/>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gridSpan w:val="6"/>
          </w:tcPr>
          <w:p>
            <w:pPr>
              <w:jc w:val="center"/>
              <w:ind w:right="926"/>
              <w:spacing w:after="0"/>
              <w:rPr>
                <w:sz w:val="20"/>
                <w:szCs w:val="20"/>
                <w:color w:val="auto"/>
              </w:rPr>
            </w:pPr>
            <w:r>
              <w:rPr>
                <w:rFonts w:ascii="Times New Roman" w:cs="Times New Roman" w:eastAsia="Times New Roman" w:hAnsi="Times New Roman"/>
                <w:sz w:val="22"/>
                <w:szCs w:val="22"/>
                <w:color w:val="auto"/>
                <w:w w:val="97"/>
              </w:rPr>
              <w:t>7(R2)</w:t>
            </w:r>
          </w:p>
        </w:tc>
        <w:tc>
          <w:tcPr>
            <w:tcW w:w="6600" w:type="dxa"/>
            <w:vAlign w:val="bottom"/>
            <w:gridSpan w:val="3"/>
          </w:tcPr>
          <w:p>
            <w:pPr>
              <w:ind w:left="260"/>
              <w:spacing w:after="0"/>
              <w:rPr>
                <w:sz w:val="20"/>
                <w:szCs w:val="20"/>
                <w:color w:val="auto"/>
              </w:rPr>
            </w:pPr>
            <w:r>
              <w:rPr>
                <w:rFonts w:ascii="Times New Roman" w:cs="Times New Roman" w:eastAsia="Times New Roman" w:hAnsi="Times New Roman"/>
                <w:sz w:val="20"/>
                <w:szCs w:val="20"/>
                <w:color w:val="auto"/>
              </w:rPr>
              <w:t>2018 [****] 787-9 [****] Aircraft Information Table – GENX</w:t>
            </w:r>
          </w:p>
        </w:tc>
      </w:tr>
      <w:tr>
        <w:trPr>
          <w:trHeight w:val="690"/>
        </w:trPr>
        <w:tc>
          <w:tcPr>
            <w:tcW w:w="360" w:type="dxa"/>
            <w:vAlign w:val="bottom"/>
          </w:tcPr>
          <w:p>
            <w:pPr>
              <w:spacing w:after="0"/>
              <w:rPr>
                <w:sz w:val="24"/>
                <w:szCs w:val="24"/>
                <w:color w:val="auto"/>
              </w:rPr>
            </w:pPr>
          </w:p>
        </w:tc>
        <w:tc>
          <w:tcPr>
            <w:tcW w:w="1740" w:type="dxa"/>
            <w:vAlign w:val="bottom"/>
            <w:gridSpan w:val="8"/>
          </w:tcPr>
          <w:p>
            <w:pPr>
              <w:jc w:val="right"/>
              <w:ind w:right="826"/>
              <w:spacing w:after="0"/>
              <w:rPr>
                <w:sz w:val="20"/>
                <w:szCs w:val="20"/>
                <w:color w:val="auto"/>
              </w:rPr>
            </w:pPr>
            <w:r>
              <w:rPr>
                <w:rFonts w:ascii="Times New Roman" w:cs="Times New Roman" w:eastAsia="Times New Roman" w:hAnsi="Times New Roman"/>
                <w:sz w:val="22"/>
                <w:szCs w:val="22"/>
                <w:color w:val="auto"/>
                <w:w w:val="95"/>
              </w:rPr>
              <w:t>EXHIBIT</w:t>
            </w:r>
          </w:p>
        </w:tc>
        <w:tc>
          <w:tcPr>
            <w:tcW w:w="6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445"/>
        </w:trPr>
        <w:tc>
          <w:tcPr>
            <w:tcW w:w="3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9"/>
              </w:rPr>
              <w:t>A(R4).</w:t>
            </w:r>
          </w:p>
        </w:tc>
        <w:tc>
          <w:tcPr>
            <w:tcW w:w="880" w:type="dxa"/>
            <w:vAlign w:val="bottom"/>
            <w:gridSpan w:val="3"/>
          </w:tcPr>
          <w:p>
            <w:pPr>
              <w:spacing w:after="0"/>
              <w:rPr>
                <w:sz w:val="24"/>
                <w:szCs w:val="24"/>
                <w:color w:val="auto"/>
              </w:rPr>
            </w:pPr>
          </w:p>
        </w:tc>
        <w:tc>
          <w:tcPr>
            <w:tcW w:w="6600" w:type="dxa"/>
            <w:vAlign w:val="bottom"/>
            <w:gridSpan w:val="3"/>
          </w:tcPr>
          <w:p>
            <w:pPr>
              <w:ind w:left="260"/>
              <w:spacing w:after="0"/>
              <w:rPr>
                <w:sz w:val="20"/>
                <w:szCs w:val="20"/>
                <w:color w:val="auto"/>
              </w:rPr>
            </w:pPr>
            <w:r>
              <w:rPr>
                <w:rFonts w:ascii="Times New Roman" w:cs="Times New Roman" w:eastAsia="Times New Roman" w:hAnsi="Times New Roman"/>
                <w:sz w:val="20"/>
                <w:szCs w:val="20"/>
                <w:color w:val="auto"/>
              </w:rPr>
              <w:t>Aircraft Configuration for [****] Aircraft</w:t>
            </w:r>
          </w:p>
        </w:tc>
      </w:tr>
      <w:tr>
        <w:trPr>
          <w:trHeight w:val="424"/>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gridSpan w:val="6"/>
          </w:tcPr>
          <w:p>
            <w:pPr>
              <w:jc w:val="center"/>
              <w:ind w:right="926"/>
              <w:spacing w:after="0"/>
              <w:rPr>
                <w:sz w:val="20"/>
                <w:szCs w:val="20"/>
                <w:color w:val="auto"/>
              </w:rPr>
            </w:pPr>
            <w:r>
              <w:rPr>
                <w:rFonts w:ascii="Times New Roman" w:cs="Times New Roman" w:eastAsia="Times New Roman" w:hAnsi="Times New Roman"/>
                <w:sz w:val="22"/>
                <w:szCs w:val="22"/>
                <w:color w:val="auto"/>
                <w:w w:val="98"/>
              </w:rPr>
              <w:t>A2(R5)</w:t>
            </w:r>
          </w:p>
        </w:tc>
        <w:tc>
          <w:tcPr>
            <w:tcW w:w="660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 xml:space="preserve">Aircraft Configuration for </w:t>
            </w:r>
            <w:r>
              <w:rPr>
                <w:rFonts w:ascii="Times New Roman" w:cs="Times New Roman" w:eastAsia="Times New Roman" w:hAnsi="Times New Roman"/>
                <w:sz w:val="19"/>
                <w:szCs w:val="19"/>
                <w:color w:val="auto"/>
              </w:rPr>
              <w:t>[****]</w:t>
            </w:r>
            <w:r>
              <w:rPr>
                <w:rFonts w:ascii="Times New Roman" w:cs="Times New Roman" w:eastAsia="Times New Roman" w:hAnsi="Times New Roman"/>
                <w:sz w:val="22"/>
                <w:szCs w:val="22"/>
                <w:color w:val="auto"/>
              </w:rPr>
              <w:t xml:space="preserve"> Aircraft</w:t>
            </w:r>
          </w:p>
        </w:tc>
      </w:tr>
      <w:tr>
        <w:trPr>
          <w:trHeight w:val="432"/>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gridSpan w:val="6"/>
          </w:tcPr>
          <w:p>
            <w:pPr>
              <w:jc w:val="center"/>
              <w:ind w:right="906"/>
              <w:spacing w:after="0"/>
              <w:rPr>
                <w:sz w:val="20"/>
                <w:szCs w:val="20"/>
                <w:color w:val="auto"/>
              </w:rPr>
            </w:pPr>
            <w:r>
              <w:rPr>
                <w:rFonts w:ascii="Times New Roman" w:cs="Times New Roman" w:eastAsia="Times New Roman" w:hAnsi="Times New Roman"/>
                <w:sz w:val="22"/>
                <w:szCs w:val="22"/>
                <w:color w:val="auto"/>
                <w:w w:val="99"/>
              </w:rPr>
              <w:t>B(R1).</w:t>
            </w:r>
          </w:p>
        </w:tc>
        <w:tc>
          <w:tcPr>
            <w:tcW w:w="660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Aircraft Delivery Requirements and Responsibilities</w:t>
            </w:r>
          </w:p>
        </w:tc>
      </w:tr>
      <w:tr>
        <w:trPr>
          <w:trHeight w:val="432"/>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gridSpan w:val="6"/>
          </w:tcPr>
          <w:p>
            <w:pPr>
              <w:jc w:val="center"/>
              <w:ind w:right="906"/>
              <w:spacing w:after="0"/>
              <w:rPr>
                <w:sz w:val="20"/>
                <w:szCs w:val="20"/>
                <w:color w:val="auto"/>
              </w:rPr>
            </w:pPr>
            <w:r>
              <w:rPr>
                <w:rFonts w:ascii="Times New Roman" w:cs="Times New Roman" w:eastAsia="Times New Roman" w:hAnsi="Times New Roman"/>
                <w:sz w:val="22"/>
                <w:szCs w:val="22"/>
                <w:color w:val="auto"/>
                <w:w w:val="99"/>
              </w:rPr>
              <w:t>C(R1).</w:t>
            </w:r>
          </w:p>
        </w:tc>
        <w:tc>
          <w:tcPr>
            <w:tcW w:w="660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Defined Terms</w:t>
            </w:r>
          </w:p>
        </w:tc>
      </w:tr>
      <w:tr>
        <w:trPr>
          <w:trHeight w:val="704"/>
        </w:trPr>
        <w:tc>
          <w:tcPr>
            <w:tcW w:w="8700" w:type="dxa"/>
            <w:vAlign w:val="bottom"/>
            <w:gridSpan w:val="12"/>
          </w:tcPr>
          <w:p>
            <w:pPr>
              <w:jc w:val="center"/>
              <w:ind w:right="5892"/>
              <w:spacing w:after="0"/>
              <w:rPr>
                <w:sz w:val="20"/>
                <w:szCs w:val="20"/>
                <w:color w:val="auto"/>
              </w:rPr>
            </w:pPr>
            <w:r>
              <w:rPr>
                <w:rFonts w:ascii="Times New Roman" w:cs="Times New Roman" w:eastAsia="Times New Roman" w:hAnsi="Times New Roman"/>
                <w:sz w:val="22"/>
                <w:szCs w:val="22"/>
                <w:color w:val="auto"/>
                <w:w w:val="97"/>
              </w:rPr>
              <w:t>SUPPLEMENTAL EXHIBITS</w:t>
            </w:r>
          </w:p>
        </w:tc>
      </w:tr>
      <w:tr>
        <w:trPr>
          <w:trHeight w:val="464"/>
        </w:trPr>
        <w:tc>
          <w:tcPr>
            <w:tcW w:w="3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gridSpan w:val="5"/>
          </w:tcPr>
          <w:p>
            <w:pPr>
              <w:jc w:val="center"/>
              <w:ind w:right="206"/>
              <w:spacing w:after="0"/>
              <w:rPr>
                <w:sz w:val="20"/>
                <w:szCs w:val="20"/>
                <w:color w:val="auto"/>
              </w:rPr>
            </w:pPr>
            <w:r>
              <w:rPr>
                <w:rFonts w:ascii="Times New Roman" w:cs="Times New Roman" w:eastAsia="Times New Roman" w:hAnsi="Times New Roman"/>
                <w:sz w:val="22"/>
                <w:szCs w:val="22"/>
                <w:color w:val="auto"/>
                <w:w w:val="95"/>
              </w:rPr>
              <w:t>AE1.</w:t>
            </w:r>
          </w:p>
        </w:tc>
        <w:tc>
          <w:tcPr>
            <w:tcW w:w="600" w:type="dxa"/>
            <w:vAlign w:val="bottom"/>
            <w:tcBorders>
              <w:top w:val="single" w:sz="8" w:color="auto"/>
            </w:tcBorders>
          </w:tcPr>
          <w:p>
            <w:pPr>
              <w:spacing w:after="0"/>
              <w:rPr>
                <w:sz w:val="24"/>
                <w:szCs w:val="24"/>
                <w:color w:val="auto"/>
              </w:rPr>
            </w:pPr>
          </w:p>
        </w:tc>
        <w:tc>
          <w:tcPr>
            <w:tcW w:w="29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w:t>
            </w:r>
          </w:p>
        </w:tc>
        <w:tc>
          <w:tcPr>
            <w:tcW w:w="3080" w:type="dxa"/>
            <w:vAlign w:val="bottom"/>
          </w:tcPr>
          <w:p>
            <w:pPr>
              <w:spacing w:after="0"/>
              <w:rPr>
                <w:sz w:val="24"/>
                <w:szCs w:val="24"/>
                <w:color w:val="auto"/>
              </w:rPr>
            </w:pPr>
          </w:p>
        </w:tc>
      </w:tr>
      <w:tr>
        <w:trPr>
          <w:trHeight w:val="432"/>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gridSpan w:val="5"/>
          </w:tcPr>
          <w:p>
            <w:pPr>
              <w:jc w:val="center"/>
              <w:ind w:right="206"/>
              <w:spacing w:after="0"/>
              <w:rPr>
                <w:sz w:val="20"/>
                <w:szCs w:val="20"/>
                <w:color w:val="auto"/>
              </w:rPr>
            </w:pPr>
            <w:r>
              <w:rPr>
                <w:rFonts w:ascii="Times New Roman" w:cs="Times New Roman" w:eastAsia="Times New Roman" w:hAnsi="Times New Roman"/>
                <w:sz w:val="22"/>
                <w:szCs w:val="22"/>
                <w:color w:val="auto"/>
                <w:w w:val="98"/>
              </w:rPr>
              <w:t>BFE1(R1).</w:t>
            </w:r>
          </w:p>
        </w:tc>
        <w:tc>
          <w:tcPr>
            <w:tcW w:w="600" w:type="dxa"/>
            <w:vAlign w:val="bottom"/>
          </w:tcPr>
          <w:p>
            <w:pPr>
              <w:spacing w:after="0"/>
              <w:rPr>
                <w:sz w:val="24"/>
                <w:szCs w:val="24"/>
                <w:color w:val="auto"/>
              </w:rPr>
            </w:pPr>
          </w:p>
        </w:tc>
        <w:tc>
          <w:tcPr>
            <w:tcW w:w="6000" w:type="dxa"/>
            <w:vAlign w:val="bottom"/>
            <w:gridSpan w:val="2"/>
          </w:tcPr>
          <w:p>
            <w:pPr>
              <w:ind w:left="780"/>
              <w:spacing w:after="0"/>
              <w:rPr>
                <w:sz w:val="20"/>
                <w:szCs w:val="20"/>
                <w:color w:val="auto"/>
              </w:rPr>
            </w:pPr>
            <w:r>
              <w:rPr>
                <w:rFonts w:ascii="Times New Roman" w:cs="Times New Roman" w:eastAsia="Times New Roman" w:hAnsi="Times New Roman"/>
                <w:sz w:val="22"/>
                <w:szCs w:val="22"/>
                <w:color w:val="auto"/>
              </w:rPr>
              <w:t>Buyer Furnished Equipment Variables 787-9</w:t>
            </w:r>
          </w:p>
        </w:tc>
      </w:tr>
      <w:tr>
        <w:trPr>
          <w:trHeight w:val="432"/>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gridSpan w:val="5"/>
          </w:tcPr>
          <w:p>
            <w:pPr>
              <w:jc w:val="center"/>
              <w:ind w:right="206"/>
              <w:spacing w:after="0"/>
              <w:rPr>
                <w:sz w:val="20"/>
                <w:szCs w:val="20"/>
                <w:color w:val="auto"/>
              </w:rPr>
            </w:pPr>
            <w:r>
              <w:rPr>
                <w:rFonts w:ascii="Times New Roman" w:cs="Times New Roman" w:eastAsia="Times New Roman" w:hAnsi="Times New Roman"/>
                <w:sz w:val="22"/>
                <w:szCs w:val="22"/>
                <w:color w:val="auto"/>
                <w:w w:val="98"/>
              </w:rPr>
              <w:t>BFE2.</w:t>
            </w:r>
          </w:p>
        </w:tc>
        <w:tc>
          <w:tcPr>
            <w:tcW w:w="600" w:type="dxa"/>
            <w:vAlign w:val="bottom"/>
          </w:tcPr>
          <w:p>
            <w:pPr>
              <w:spacing w:after="0"/>
              <w:rPr>
                <w:sz w:val="24"/>
                <w:szCs w:val="24"/>
                <w:color w:val="auto"/>
              </w:rPr>
            </w:pPr>
          </w:p>
        </w:tc>
        <w:tc>
          <w:tcPr>
            <w:tcW w:w="6000" w:type="dxa"/>
            <w:vAlign w:val="bottom"/>
            <w:gridSpan w:val="2"/>
          </w:tcPr>
          <w:p>
            <w:pPr>
              <w:ind w:left="780"/>
              <w:spacing w:after="0"/>
              <w:rPr>
                <w:sz w:val="20"/>
                <w:szCs w:val="20"/>
                <w:color w:val="auto"/>
              </w:rPr>
            </w:pPr>
            <w:r>
              <w:rPr>
                <w:rFonts w:ascii="Times New Roman" w:cs="Times New Roman" w:eastAsia="Times New Roman" w:hAnsi="Times New Roman"/>
                <w:sz w:val="22"/>
                <w:szCs w:val="22"/>
                <w:color w:val="auto"/>
              </w:rPr>
              <w:t>Buyer Furnished Equipment Variables 787-8</w:t>
            </w:r>
          </w:p>
        </w:tc>
      </w:tr>
      <w:tr>
        <w:trPr>
          <w:trHeight w:val="432"/>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gridSpan w:val="4"/>
          </w:tcPr>
          <w:p>
            <w:pPr>
              <w:jc w:val="center"/>
              <w:ind w:right="486"/>
              <w:spacing w:after="0"/>
              <w:rPr>
                <w:sz w:val="20"/>
                <w:szCs w:val="20"/>
                <w:color w:val="auto"/>
              </w:rPr>
            </w:pPr>
            <w:r>
              <w:rPr>
                <w:rFonts w:ascii="Times New Roman" w:cs="Times New Roman" w:eastAsia="Times New Roman" w:hAnsi="Times New Roman"/>
                <w:sz w:val="22"/>
                <w:szCs w:val="22"/>
                <w:color w:val="auto"/>
                <w:w w:val="96"/>
              </w:rPr>
              <w:t>CS1.</w:t>
            </w:r>
          </w:p>
        </w:tc>
        <w:tc>
          <w:tcPr>
            <w:tcW w:w="600" w:type="dxa"/>
            <w:vAlign w:val="bottom"/>
          </w:tcPr>
          <w:p>
            <w:pPr>
              <w:spacing w:after="0"/>
              <w:rPr>
                <w:sz w:val="24"/>
                <w:szCs w:val="24"/>
                <w:color w:val="auto"/>
              </w:rPr>
            </w:pPr>
          </w:p>
        </w:tc>
        <w:tc>
          <w:tcPr>
            <w:tcW w:w="6000" w:type="dxa"/>
            <w:vAlign w:val="bottom"/>
            <w:gridSpan w:val="2"/>
          </w:tcPr>
          <w:p>
            <w:pPr>
              <w:ind w:left="780"/>
              <w:spacing w:after="0"/>
              <w:rPr>
                <w:sz w:val="20"/>
                <w:szCs w:val="20"/>
                <w:color w:val="auto"/>
              </w:rPr>
            </w:pPr>
            <w:r>
              <w:rPr>
                <w:rFonts w:ascii="Times New Roman" w:cs="Times New Roman" w:eastAsia="Times New Roman" w:hAnsi="Times New Roman"/>
                <w:sz w:val="22"/>
                <w:szCs w:val="22"/>
                <w:color w:val="auto"/>
              </w:rPr>
              <w:t>787 Customer Support Document</w:t>
            </w:r>
          </w:p>
        </w:tc>
      </w:tr>
      <w:tr>
        <w:trPr>
          <w:trHeight w:val="432"/>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gridSpan w:val="4"/>
          </w:tcPr>
          <w:p>
            <w:pPr>
              <w:jc w:val="center"/>
              <w:ind w:right="486"/>
              <w:spacing w:after="0"/>
              <w:rPr>
                <w:sz w:val="20"/>
                <w:szCs w:val="20"/>
                <w:color w:val="auto"/>
              </w:rPr>
            </w:pPr>
            <w:r>
              <w:rPr>
                <w:rFonts w:ascii="Times New Roman" w:cs="Times New Roman" w:eastAsia="Times New Roman" w:hAnsi="Times New Roman"/>
                <w:sz w:val="22"/>
                <w:szCs w:val="22"/>
                <w:color w:val="auto"/>
                <w:w w:val="96"/>
              </w:rPr>
              <w:t>EE1.</w:t>
            </w:r>
          </w:p>
        </w:tc>
        <w:tc>
          <w:tcPr>
            <w:tcW w:w="3520" w:type="dxa"/>
            <w:vAlign w:val="bottom"/>
            <w:gridSpan w:val="2"/>
          </w:tcPr>
          <w:p>
            <w:pPr>
              <w:ind w:left="1380"/>
              <w:spacing w:after="0"/>
              <w:rPr>
                <w:sz w:val="20"/>
                <w:szCs w:val="20"/>
                <w:color w:val="auto"/>
              </w:rPr>
            </w:pPr>
            <w:r>
              <w:rPr>
                <w:rFonts w:ascii="Times New Roman" w:cs="Times New Roman" w:eastAsia="Times New Roman" w:hAnsi="Times New Roman"/>
                <w:sz w:val="20"/>
                <w:szCs w:val="20"/>
                <w:color w:val="auto"/>
              </w:rPr>
              <w:t>[****]</w:t>
            </w:r>
          </w:p>
        </w:tc>
        <w:tc>
          <w:tcPr>
            <w:tcW w:w="3080" w:type="dxa"/>
            <w:vAlign w:val="bottom"/>
          </w:tcPr>
          <w:p>
            <w:pPr>
              <w:spacing w:after="0"/>
              <w:rPr>
                <w:sz w:val="24"/>
                <w:szCs w:val="24"/>
                <w:color w:val="auto"/>
              </w:rPr>
            </w:pPr>
          </w:p>
        </w:tc>
      </w:tr>
      <w:tr>
        <w:trPr>
          <w:trHeight w:val="432"/>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22"/>
                <w:szCs w:val="22"/>
                <w:color w:val="auto"/>
                <w:strike w:val="1"/>
              </w:rPr>
              <w:t>EE1</w:t>
            </w:r>
          </w:p>
        </w:tc>
        <w:tc>
          <w:tcPr>
            <w:tcW w:w="580" w:type="dxa"/>
            <w:vAlign w:val="bottom"/>
          </w:tcPr>
          <w:p>
            <w:pPr>
              <w:jc w:val="right"/>
              <w:ind w:right="486"/>
              <w:spacing w:after="0"/>
              <w:rPr>
                <w:sz w:val="20"/>
                <w:szCs w:val="20"/>
                <w:color w:val="auto"/>
              </w:rPr>
            </w:pPr>
            <w:r>
              <w:rPr>
                <w:rFonts w:ascii="Times New Roman" w:cs="Times New Roman" w:eastAsia="Times New Roman" w:hAnsi="Times New Roman"/>
                <w:sz w:val="11"/>
                <w:szCs w:val="11"/>
                <w:color w:val="auto"/>
                <w:w w:val="70"/>
              </w:rPr>
              <w:t>.</w:t>
            </w:r>
          </w:p>
        </w:tc>
        <w:tc>
          <w:tcPr>
            <w:tcW w:w="600" w:type="dxa"/>
            <w:vAlign w:val="bottom"/>
          </w:tcPr>
          <w:p>
            <w:pPr>
              <w:spacing w:after="0"/>
              <w:rPr>
                <w:sz w:val="24"/>
                <w:szCs w:val="24"/>
                <w:color w:val="auto"/>
              </w:rPr>
            </w:pPr>
          </w:p>
        </w:tc>
        <w:tc>
          <w:tcPr>
            <w:tcW w:w="6000" w:type="dxa"/>
            <w:vAlign w:val="bottom"/>
            <w:gridSpan w:val="2"/>
          </w:tcPr>
          <w:p>
            <w:pPr>
              <w:ind w:left="780"/>
              <w:spacing w:after="0"/>
              <w:rPr>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WITHDRAWN</w:t>
            </w:r>
          </w:p>
        </w:tc>
      </w:tr>
      <w:tr>
        <w:trPr>
          <w:trHeight w:val="432"/>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gridSpan w:val="4"/>
          </w:tcPr>
          <w:p>
            <w:pPr>
              <w:jc w:val="center"/>
              <w:ind w:right="486"/>
              <w:spacing w:after="0"/>
              <w:rPr>
                <w:sz w:val="20"/>
                <w:szCs w:val="20"/>
                <w:color w:val="auto"/>
              </w:rPr>
            </w:pPr>
            <w:r>
              <w:rPr>
                <w:rFonts w:ascii="Times New Roman" w:cs="Times New Roman" w:eastAsia="Times New Roman" w:hAnsi="Times New Roman"/>
                <w:sz w:val="22"/>
                <w:szCs w:val="22"/>
                <w:color w:val="auto"/>
                <w:w w:val="96"/>
              </w:rPr>
              <w:t>EE2.</w:t>
            </w:r>
          </w:p>
        </w:tc>
        <w:tc>
          <w:tcPr>
            <w:tcW w:w="3520" w:type="dxa"/>
            <w:vAlign w:val="bottom"/>
            <w:gridSpan w:val="2"/>
          </w:tcPr>
          <w:p>
            <w:pPr>
              <w:ind w:left="1380"/>
              <w:spacing w:after="0"/>
              <w:rPr>
                <w:sz w:val="20"/>
                <w:szCs w:val="20"/>
                <w:color w:val="auto"/>
              </w:rPr>
            </w:pPr>
            <w:r>
              <w:rPr>
                <w:rFonts w:ascii="Times New Roman" w:cs="Times New Roman" w:eastAsia="Times New Roman" w:hAnsi="Times New Roman"/>
                <w:sz w:val="20"/>
                <w:szCs w:val="20"/>
                <w:color w:val="auto"/>
              </w:rPr>
              <w:t>[****]</w:t>
            </w:r>
          </w:p>
        </w:tc>
        <w:tc>
          <w:tcPr>
            <w:tcW w:w="3080" w:type="dxa"/>
            <w:vAlign w:val="bottom"/>
          </w:tcPr>
          <w:p>
            <w:pPr>
              <w:spacing w:after="0"/>
              <w:rPr>
                <w:sz w:val="24"/>
                <w:szCs w:val="24"/>
                <w:color w:val="auto"/>
              </w:rPr>
            </w:pPr>
          </w:p>
        </w:tc>
      </w:tr>
      <w:tr>
        <w:trPr>
          <w:trHeight w:val="432"/>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gridSpan w:val="5"/>
          </w:tcPr>
          <w:p>
            <w:pPr>
              <w:jc w:val="center"/>
              <w:ind w:right="226"/>
              <w:spacing w:after="0"/>
              <w:rPr>
                <w:sz w:val="20"/>
                <w:szCs w:val="20"/>
                <w:color w:val="auto"/>
              </w:rPr>
            </w:pPr>
            <w:r>
              <w:rPr>
                <w:rFonts w:ascii="Times New Roman" w:cs="Times New Roman" w:eastAsia="Times New Roman" w:hAnsi="Times New Roman"/>
                <w:sz w:val="22"/>
                <w:szCs w:val="22"/>
                <w:color w:val="auto"/>
                <w:w w:val="99"/>
              </w:rPr>
              <w:t>SLP1.</w:t>
            </w:r>
          </w:p>
        </w:tc>
        <w:tc>
          <w:tcPr>
            <w:tcW w:w="600" w:type="dxa"/>
            <w:vAlign w:val="bottom"/>
          </w:tcPr>
          <w:p>
            <w:pPr>
              <w:spacing w:after="0"/>
              <w:rPr>
                <w:sz w:val="24"/>
                <w:szCs w:val="24"/>
                <w:color w:val="auto"/>
              </w:rPr>
            </w:pPr>
          </w:p>
        </w:tc>
        <w:tc>
          <w:tcPr>
            <w:tcW w:w="6000" w:type="dxa"/>
            <w:vAlign w:val="bottom"/>
            <w:gridSpan w:val="2"/>
          </w:tcPr>
          <w:p>
            <w:pPr>
              <w:ind w:left="780"/>
              <w:spacing w:after="0"/>
              <w:rPr>
                <w:sz w:val="20"/>
                <w:szCs w:val="20"/>
                <w:color w:val="auto"/>
              </w:rPr>
            </w:pPr>
            <w:r>
              <w:rPr>
                <w:rFonts w:ascii="Times New Roman" w:cs="Times New Roman" w:eastAsia="Times New Roman" w:hAnsi="Times New Roman"/>
                <w:sz w:val="22"/>
                <w:szCs w:val="22"/>
                <w:color w:val="auto"/>
              </w:rPr>
              <w:t>Service Life Policy Components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2539365</wp:posOffset>
            </wp:positionH>
            <wp:positionV relativeFrom="paragraph">
              <wp:posOffset>-632460</wp:posOffset>
            </wp:positionV>
            <wp:extent cx="3429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SA</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NUMBER</w:t>
      </w:r>
    </w:p>
    <w:p>
      <w:pPr>
        <w:spacing w:after="0" w:line="1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SA-3</w:t>
      </w:r>
    </w:p>
    <w:p>
      <w:pPr>
        <w:spacing w:after="0" w:line="17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SA-3</w:t>
      </w:r>
    </w:p>
    <w:p>
      <w:pPr>
        <w:spacing w:after="0" w:line="17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SA-3</w:t>
      </w:r>
    </w:p>
    <w:p>
      <w:pPr>
        <w:spacing w:after="0" w:line="17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SA-3</w:t>
      </w:r>
    </w:p>
    <w:p>
      <w:pPr>
        <w:spacing w:after="0" w:line="17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SA-3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SA-2</w:t>
      </w:r>
    </w:p>
    <w:p>
      <w:pPr>
        <w:spacing w:after="0" w:line="200" w:lineRule="exact"/>
        <w:rPr>
          <w:sz w:val="20"/>
          <w:szCs w:val="20"/>
          <w:color w:val="auto"/>
        </w:rPr>
      </w:pPr>
    </w:p>
    <w:p>
      <w:pPr>
        <w:spacing w:after="0" w:line="3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SA-5</w:t>
      </w:r>
    </w:p>
    <w:p>
      <w:pPr>
        <w:spacing w:after="0" w:line="200" w:lineRule="exact"/>
        <w:rPr>
          <w:sz w:val="20"/>
          <w:szCs w:val="20"/>
          <w:color w:val="auto"/>
        </w:rPr>
      </w:pPr>
    </w:p>
    <w:p>
      <w:pPr>
        <w:spacing w:after="0" w:line="2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SA-5</w:t>
      </w:r>
    </w:p>
    <w:p>
      <w:pPr>
        <w:spacing w:after="0" w:line="200" w:lineRule="exact"/>
        <w:rPr>
          <w:sz w:val="20"/>
          <w:szCs w:val="20"/>
          <w:color w:val="auto"/>
        </w:rPr>
      </w:pPr>
    </w:p>
    <w:p>
      <w:pPr>
        <w:spacing w:after="0" w:line="3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SA-6</w:t>
      </w:r>
    </w:p>
    <w:p>
      <w:pPr>
        <w:spacing w:after="0" w:line="1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SA-21</w:t>
      </w:r>
    </w:p>
    <w:p>
      <w:pPr>
        <w:spacing w:after="0" w:line="1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SA-18</w:t>
      </w:r>
    </w:p>
    <w:p>
      <w:pPr>
        <w:spacing w:after="0" w:line="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SA-19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SA-19</w:t>
      </w:r>
    </w:p>
    <w:p>
      <w:pPr>
        <w:spacing w:after="0" w:line="17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SA-12</w:t>
      </w:r>
    </w:p>
    <w:p>
      <w:pPr>
        <w:spacing w:after="0" w:line="17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SA-3</w:t>
      </w:r>
    </w:p>
    <w:p>
      <w:pPr>
        <w:spacing w:after="0" w:line="2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SA-3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SA-3</w:t>
      </w:r>
    </w:p>
    <w:p>
      <w:pPr>
        <w:spacing w:after="0" w:line="17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SA-3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SA-2</w:t>
      </w:r>
    </w:p>
    <w:p>
      <w:pPr>
        <w:spacing w:after="0" w:line="17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SA-4</w:t>
      </w:r>
    </w:p>
    <w:p>
      <w:pPr>
        <w:sectPr>
          <w:pgSz w:w="11900" w:h="16838" w:orient="portrait"/>
          <w:cols w:equalWidth="0" w:num="2">
            <w:col w:w="9080" w:space="720"/>
            <w:col w:w="920"/>
          </w:cols>
          <w:pgMar w:left="640" w:top="1273" w:right="539" w:bottom="97" w:gutter="0" w:footer="0" w:header="0"/>
        </w:sectPr>
      </w:pPr>
    </w:p>
    <w:bookmarkStart w:id="58" w:name="page59"/>
    <w:bookmarkEnd w:id="58"/>
    <w:p>
      <w:pPr>
        <w:jc w:val="right"/>
        <w:spacing w:after="0"/>
        <w:tabs>
          <w:tab w:leader="none" w:pos="540" w:val="left"/>
        </w:tabs>
        <w:rPr>
          <w:sz w:val="20"/>
          <w:szCs w:val="20"/>
          <w:color w:val="auto"/>
        </w:rPr>
      </w:pPr>
      <w:r>
        <w:rPr>
          <w:rFonts w:ascii="Times New Roman" w:cs="Times New Roman" w:eastAsia="Times New Roman" w:hAnsi="Times New Roman"/>
          <w:sz w:val="22"/>
          <w:szCs w:val="22"/>
          <w:color w:val="auto"/>
        </w:rPr>
        <w:t>P.A. No. 3219</w:t>
      </w:r>
      <w:r>
        <w:rPr>
          <w:sz w:val="20"/>
          <w:szCs w:val="20"/>
          <w:color w:val="auto"/>
        </w:rPr>
        <w:tab/>
      </w:r>
      <w:r>
        <w:rPr>
          <w:rFonts w:ascii="Times New Roman" w:cs="Times New Roman" w:eastAsia="Times New Roman" w:hAnsi="Times New Roman"/>
          <w:sz w:val="21"/>
          <w:szCs w:val="21"/>
          <w:color w:val="auto"/>
        </w:rPr>
        <w:t>SA-22</w:t>
      </w:r>
    </w:p>
    <w:p>
      <w:pPr>
        <w:spacing w:after="0" w:line="44" w:lineRule="exact"/>
        <w:rPr>
          <w:sz w:val="20"/>
          <w:szCs w:val="20"/>
          <w:color w:val="auto"/>
        </w:rPr>
      </w:pPr>
    </w:p>
    <w:p>
      <w:pPr>
        <w:spacing w:after="0"/>
        <w:tabs>
          <w:tab w:leader="none" w:pos="2000" w:val="left"/>
        </w:tabs>
        <w:rPr>
          <w:sz w:val="20"/>
          <w:szCs w:val="20"/>
          <w:color w:val="auto"/>
        </w:rPr>
      </w:pPr>
      <w:r>
        <w:rPr>
          <w:rFonts w:ascii="Times New Roman" w:cs="Times New Roman" w:eastAsia="Times New Roman" w:hAnsi="Times New Roman"/>
          <w:sz w:val="22"/>
          <w:szCs w:val="22"/>
          <w:color w:val="auto"/>
        </w:rPr>
        <w:t>Table of Contents</w:t>
      </w:r>
      <w:r>
        <w:rPr>
          <w:sz w:val="20"/>
          <w:szCs w:val="20"/>
          <w:color w:val="auto"/>
        </w:rPr>
        <w:tab/>
      </w:r>
      <w:r>
        <w:rPr>
          <w:rFonts w:ascii="Times New Roman" w:cs="Times New Roman" w:eastAsia="Times New Roman" w:hAnsi="Times New Roman"/>
          <w:sz w:val="21"/>
          <w:szCs w:val="21"/>
          <w:color w:val="auto"/>
        </w:rPr>
        <w:t>Page 1</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BOEING AND AMERICAN PROPRIETARY</w:t>
      </w:r>
    </w:p>
    <w:p>
      <w:pPr>
        <w:sectPr>
          <w:pgSz w:w="11900" w:h="16838" w:orient="portrait"/>
          <w:cols w:equalWidth="0" w:num="1">
            <w:col w:w="11240"/>
          </w:cols>
          <w:pgMar w:left="320" w:top="220" w:right="339" w:bottom="1440" w:gutter="0" w:footer="0" w:header="0"/>
        </w:sectPr>
      </w:pPr>
    </w:p>
    <w:bookmarkStart w:id="59" w:name="page60"/>
    <w:bookmarkEnd w:id="59"/>
    <w:p>
      <w:pPr>
        <w:ind w:left="4040"/>
        <w:spacing w:after="0"/>
        <w:rPr>
          <w:sz w:val="20"/>
          <w:szCs w:val="20"/>
          <w:color w:val="auto"/>
        </w:rPr>
      </w:pPr>
      <w:r>
        <w:rPr>
          <w:rFonts w:ascii="Times New Roman" w:cs="Times New Roman" w:eastAsia="Times New Roman" w:hAnsi="Times New Roman"/>
          <w:sz w:val="22"/>
          <w:szCs w:val="22"/>
          <w:color w:val="auto"/>
        </w:rPr>
        <w:t>TABLE OF CONTENTS,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140" w:type="dxa"/>
        <w:tblCellMar>
          <w:top w:w="0" w:type="dxa"/>
          <w:left w:w="0" w:type="dxa"/>
          <w:bottom w:w="0" w:type="dxa"/>
          <w:right w:w="0" w:type="dxa"/>
        </w:tblCellMar>
      </w:tblPr>
      <w:tr>
        <w:trPr>
          <w:trHeight w:val="253"/>
        </w:trPr>
        <w:tc>
          <w:tcPr>
            <w:tcW w:w="36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LETTER AGREEMENTS</w:t>
            </w:r>
          </w:p>
        </w:tc>
        <w:tc>
          <w:tcPr>
            <w:tcW w:w="2440" w:type="dxa"/>
            <w:vAlign w:val="bottom"/>
          </w:tcPr>
          <w:p>
            <w:pPr>
              <w:spacing w:after="0"/>
              <w:rPr>
                <w:sz w:val="22"/>
                <w:szCs w:val="22"/>
                <w:color w:val="auto"/>
              </w:rPr>
            </w:pPr>
          </w:p>
        </w:tc>
        <w:tc>
          <w:tcPr>
            <w:tcW w:w="1920" w:type="dxa"/>
            <w:vAlign w:val="bottom"/>
          </w:tcPr>
          <w:p>
            <w:pPr>
              <w:spacing w:after="0"/>
              <w:rPr>
                <w:sz w:val="22"/>
                <w:szCs w:val="22"/>
                <w:color w:val="auto"/>
              </w:rPr>
            </w:pPr>
          </w:p>
        </w:tc>
      </w:tr>
      <w:tr>
        <w:trPr>
          <w:trHeight w:val="762"/>
        </w:trPr>
        <w:tc>
          <w:tcPr>
            <w:tcW w:w="2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3219-01</w:t>
            </w:r>
          </w:p>
        </w:tc>
        <w:tc>
          <w:tcPr>
            <w:tcW w:w="1340" w:type="dxa"/>
            <w:vAlign w:val="bottom"/>
          </w:tcPr>
          <w:p>
            <w:pPr>
              <w:spacing w:after="0"/>
              <w:rPr>
                <w:sz w:val="24"/>
                <w:szCs w:val="24"/>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920" w:type="dxa"/>
            <w:vAlign w:val="bottom"/>
          </w:tcPr>
          <w:p>
            <w:pPr>
              <w:spacing w:after="0"/>
              <w:rPr>
                <w:sz w:val="24"/>
                <w:szCs w:val="24"/>
                <w:color w:val="auto"/>
              </w:rPr>
            </w:pPr>
          </w:p>
        </w:tc>
      </w:tr>
      <w:tr>
        <w:trPr>
          <w:trHeight w:val="432"/>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3219-02</w:t>
            </w:r>
          </w:p>
        </w:tc>
        <w:tc>
          <w:tcPr>
            <w:tcW w:w="1340" w:type="dxa"/>
            <w:vAlign w:val="bottom"/>
          </w:tcPr>
          <w:p>
            <w:pPr>
              <w:spacing w:after="0"/>
              <w:rPr>
                <w:sz w:val="24"/>
                <w:szCs w:val="24"/>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Special Terms – Seats and In-Flight Entertainment</w:t>
            </w:r>
          </w:p>
        </w:tc>
      </w:tr>
      <w:tr>
        <w:trPr>
          <w:trHeight w:val="432"/>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3219-04</w:t>
            </w:r>
          </w:p>
        </w:tc>
        <w:tc>
          <w:tcPr>
            <w:tcW w:w="1340" w:type="dxa"/>
            <w:vAlign w:val="bottom"/>
          </w:tcPr>
          <w:p>
            <w:pPr>
              <w:spacing w:after="0"/>
              <w:rPr>
                <w:sz w:val="24"/>
                <w:szCs w:val="24"/>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920" w:type="dxa"/>
            <w:vAlign w:val="bottom"/>
          </w:tcPr>
          <w:p>
            <w:pPr>
              <w:spacing w:after="0"/>
              <w:rPr>
                <w:sz w:val="24"/>
                <w:szCs w:val="24"/>
                <w:color w:val="auto"/>
              </w:rPr>
            </w:pPr>
          </w:p>
        </w:tc>
      </w:tr>
      <w:tr>
        <w:trPr>
          <w:trHeight w:val="432"/>
        </w:trPr>
        <w:tc>
          <w:tcPr>
            <w:tcW w:w="36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3219-05R1</w:t>
            </w:r>
          </w:p>
        </w:tc>
        <w:tc>
          <w:tcPr>
            <w:tcW w:w="43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Spare Parts Commitments</w:t>
            </w:r>
          </w:p>
        </w:tc>
      </w:tr>
      <w:tr>
        <w:trPr>
          <w:trHeight w:val="432"/>
        </w:trPr>
        <w:tc>
          <w:tcPr>
            <w:tcW w:w="36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3219-06R1</w:t>
            </w:r>
          </w:p>
        </w:tc>
        <w:tc>
          <w:tcPr>
            <w:tcW w:w="43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Spare Parts Initial Provisioning</w:t>
            </w:r>
          </w:p>
        </w:tc>
      </w:tr>
      <w:tr>
        <w:trPr>
          <w:trHeight w:val="432"/>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strike w:val="1"/>
              </w:rPr>
              <w:t>3219-08R2</w:t>
            </w:r>
          </w:p>
        </w:tc>
        <w:tc>
          <w:tcPr>
            <w:tcW w:w="1340" w:type="dxa"/>
            <w:vAlign w:val="bottom"/>
          </w:tcPr>
          <w:p>
            <w:pPr>
              <w:spacing w:after="0"/>
              <w:rPr>
                <w:sz w:val="24"/>
                <w:szCs w:val="24"/>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22"/>
                <w:szCs w:val="22"/>
                <w:color w:val="auto"/>
                <w:strike w:val="1"/>
                <w:w w:val="97"/>
              </w:rPr>
              <w:t>Open Configuration Matters</w:t>
            </w:r>
          </w:p>
        </w:tc>
        <w:tc>
          <w:tcPr>
            <w:tcW w:w="19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WITHDRAWN</w:t>
            </w:r>
          </w:p>
        </w:tc>
      </w:tr>
      <w:tr>
        <w:trPr>
          <w:trHeight w:val="420"/>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strike w:val="1"/>
              </w:rPr>
              <w:t>6-1162-AKP-071R1</w:t>
            </w:r>
          </w:p>
        </w:tc>
        <w:tc>
          <w:tcPr>
            <w:tcW w:w="1340" w:type="dxa"/>
            <w:vAlign w:val="bottom"/>
          </w:tcPr>
          <w:p>
            <w:pPr>
              <w:spacing w:after="0"/>
              <w:rPr>
                <w:sz w:val="24"/>
                <w:szCs w:val="24"/>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920" w:type="dxa"/>
            <w:vAlign w:val="bottom"/>
          </w:tcPr>
          <w:p>
            <w:pPr>
              <w:spacing w:after="0"/>
              <w:rPr>
                <w:sz w:val="24"/>
                <w:szCs w:val="24"/>
                <w:color w:val="auto"/>
              </w:rPr>
            </w:pPr>
          </w:p>
        </w:tc>
      </w:tr>
      <w:tr>
        <w:trPr>
          <w:trHeight w:val="282"/>
        </w:trPr>
        <w:tc>
          <w:tcPr>
            <w:tcW w:w="2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36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Terminated per AAL-PA-1977-LA-1105595</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2"/>
          <w:szCs w:val="22"/>
          <w:color w:val="auto"/>
        </w:rPr>
        <w:t>SA</w:t>
      </w:r>
    </w:p>
    <w:p>
      <w:pPr>
        <w:spacing w:after="0" w:line="4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1"/>
          <w:szCs w:val="21"/>
          <w:color w:val="auto"/>
        </w:rPr>
        <w:t>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SA-3</w:t>
      </w:r>
    </w:p>
    <w:p>
      <w:pPr>
        <w:spacing w:after="0" w:line="17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SA-3</w:t>
      </w:r>
    </w:p>
    <w:p>
      <w:pPr>
        <w:spacing w:after="0" w:line="2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SA-8</w:t>
      </w:r>
    </w:p>
    <w:p>
      <w:pPr>
        <w:spacing w:after="0" w:line="881" w:lineRule="exact"/>
        <w:rPr>
          <w:sz w:val="20"/>
          <w:szCs w:val="20"/>
          <w:color w:val="auto"/>
        </w:rPr>
      </w:pPr>
    </w:p>
    <w:p>
      <w:pPr>
        <w:sectPr>
          <w:pgSz w:w="11900" w:h="16838" w:orient="portrait"/>
          <w:cols w:equalWidth="0" w:num="2">
            <w:col w:w="9400" w:space="720"/>
            <w:col w:w="1120"/>
          </w:cols>
          <w:pgMar w:left="320" w:top="355" w:right="339" w:bottom="171" w:gutter="0" w:footer="0" w:header="0"/>
        </w:sectPr>
      </w:pPr>
    </w:p>
    <w:tbl>
      <w:tblPr>
        <w:tblLayout w:type="fixed"/>
        <w:tblInd w:w="140" w:type="dxa"/>
        <w:tblCellMar>
          <w:top w:w="0" w:type="dxa"/>
          <w:left w:w="0" w:type="dxa"/>
          <w:bottom w:w="0" w:type="dxa"/>
          <w:right w:w="0" w:type="dxa"/>
        </w:tblCellMar>
      </w:tblPr>
      <w:tr>
        <w:trPr>
          <w:trHeight w:val="24"/>
        </w:trPr>
        <w:tc>
          <w:tcPr>
            <w:tcW w:w="27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strike w:val="1"/>
              </w:rPr>
              <w:t>6-1162-AKP-072R2</w:t>
            </w:r>
          </w:p>
        </w:tc>
        <w:tc>
          <w:tcPr>
            <w:tcW w:w="5040" w:type="dxa"/>
            <w:vAlign w:val="bottom"/>
            <w:vMerge w:val="restart"/>
          </w:tcPr>
          <w:p>
            <w:pPr>
              <w:ind w:left="9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line="20" w:lineRule="exact"/>
              <w:rPr>
                <w:sz w:val="1"/>
                <w:szCs w:val="1"/>
                <w:color w:val="auto"/>
              </w:rPr>
            </w:pPr>
          </w:p>
        </w:tc>
      </w:tr>
      <w:tr>
        <w:trPr>
          <w:trHeight w:val="246"/>
        </w:trPr>
        <w:tc>
          <w:tcPr>
            <w:tcW w:w="2760" w:type="dxa"/>
            <w:vAlign w:val="bottom"/>
            <w:vMerge w:val="continue"/>
          </w:tcPr>
          <w:p>
            <w:pPr>
              <w:spacing w:after="0"/>
              <w:rPr>
                <w:sz w:val="21"/>
                <w:szCs w:val="21"/>
                <w:color w:val="auto"/>
              </w:rPr>
            </w:pPr>
          </w:p>
        </w:tc>
        <w:tc>
          <w:tcPr>
            <w:tcW w:w="5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760" w:type="dxa"/>
            <w:vAlign w:val="bottom"/>
          </w:tcPr>
          <w:p>
            <w:pPr>
              <w:spacing w:after="0"/>
              <w:rPr>
                <w:sz w:val="24"/>
                <w:szCs w:val="24"/>
                <w:color w:val="auto"/>
              </w:rPr>
            </w:pPr>
          </w:p>
        </w:tc>
        <w:tc>
          <w:tcPr>
            <w:tcW w:w="5040" w:type="dxa"/>
            <w:vAlign w:val="bottom"/>
          </w:tcPr>
          <w:p>
            <w:pPr>
              <w:ind w:left="1220"/>
              <w:spacing w:after="0"/>
              <w:rPr>
                <w:sz w:val="20"/>
                <w:szCs w:val="20"/>
                <w:color w:val="auto"/>
              </w:rPr>
            </w:pPr>
            <w:r>
              <w:rPr>
                <w:rFonts w:ascii="Times New Roman" w:cs="Times New Roman" w:eastAsia="Times New Roman" w:hAnsi="Times New Roman"/>
                <w:sz w:val="22"/>
                <w:szCs w:val="22"/>
                <w:color w:val="auto"/>
                <w:w w:val="96"/>
              </w:rPr>
              <w:t>Terminated per AAL-PA-1977-LA-1105595</w:t>
            </w:r>
          </w:p>
        </w:tc>
        <w:tc>
          <w:tcPr>
            <w:tcW w:w="0" w:type="dxa"/>
            <w:vAlign w:val="bottom"/>
          </w:tcPr>
          <w:p>
            <w:pPr>
              <w:spacing w:after="0"/>
              <w:rPr>
                <w:sz w:val="1"/>
                <w:szCs w:val="1"/>
                <w:color w:val="auto"/>
              </w:rPr>
            </w:pPr>
          </w:p>
        </w:tc>
      </w:tr>
      <w:tr>
        <w:trPr>
          <w:trHeight w:val="432"/>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rPr>
              <w:t>6-1162-AKP-073R1</w:t>
            </w:r>
          </w:p>
        </w:tc>
        <w:tc>
          <w:tcPr>
            <w:tcW w:w="504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Accident Claims and Litigation</w:t>
            </w:r>
          </w:p>
        </w:tc>
        <w:tc>
          <w:tcPr>
            <w:tcW w:w="0" w:type="dxa"/>
            <w:vAlign w:val="bottom"/>
          </w:tcPr>
          <w:p>
            <w:pPr>
              <w:spacing w:after="0"/>
              <w:rPr>
                <w:sz w:val="1"/>
                <w:szCs w:val="1"/>
                <w:color w:val="auto"/>
              </w:rPr>
            </w:pPr>
          </w:p>
        </w:tc>
      </w:tr>
      <w:tr>
        <w:trPr>
          <w:trHeight w:val="420"/>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strike w:val="1"/>
              </w:rPr>
              <w:t>6-1162-CLO-1031R1</w:t>
            </w:r>
          </w:p>
        </w:tc>
        <w:tc>
          <w:tcPr>
            <w:tcW w:w="5040" w:type="dxa"/>
            <w:vAlign w:val="bottom"/>
          </w:tcPr>
          <w:p>
            <w:pPr>
              <w:ind w:left="9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2"/>
        </w:trPr>
        <w:tc>
          <w:tcPr>
            <w:tcW w:w="2760" w:type="dxa"/>
            <w:vAlign w:val="bottom"/>
          </w:tcPr>
          <w:p>
            <w:pPr>
              <w:spacing w:after="0"/>
              <w:rPr>
                <w:sz w:val="24"/>
                <w:szCs w:val="24"/>
                <w:color w:val="auto"/>
              </w:rPr>
            </w:pPr>
          </w:p>
        </w:tc>
        <w:tc>
          <w:tcPr>
            <w:tcW w:w="504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WITHDRAWN</w:t>
            </w:r>
          </w:p>
        </w:tc>
        <w:tc>
          <w:tcPr>
            <w:tcW w:w="0" w:type="dxa"/>
            <w:vAlign w:val="bottom"/>
          </w:tcPr>
          <w:p>
            <w:pPr>
              <w:spacing w:after="0"/>
              <w:rPr>
                <w:sz w:val="1"/>
                <w:szCs w:val="1"/>
                <w:color w:val="auto"/>
              </w:rPr>
            </w:pPr>
          </w:p>
        </w:tc>
      </w:tr>
      <w:tr>
        <w:trPr>
          <w:trHeight w:val="447"/>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strike w:val="1"/>
              </w:rPr>
              <w:t>6-1162-CLO-1032R1</w:t>
            </w:r>
          </w:p>
        </w:tc>
        <w:tc>
          <w:tcPr>
            <w:tcW w:w="5040" w:type="dxa"/>
            <w:vAlign w:val="bottom"/>
          </w:tcPr>
          <w:p>
            <w:pPr>
              <w:ind w:left="9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2"/>
        </w:trPr>
        <w:tc>
          <w:tcPr>
            <w:tcW w:w="2760" w:type="dxa"/>
            <w:vAlign w:val="bottom"/>
          </w:tcPr>
          <w:p>
            <w:pPr>
              <w:spacing w:after="0"/>
              <w:rPr>
                <w:sz w:val="24"/>
                <w:szCs w:val="24"/>
                <w:color w:val="auto"/>
              </w:rPr>
            </w:pPr>
          </w:p>
        </w:tc>
        <w:tc>
          <w:tcPr>
            <w:tcW w:w="50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Terminated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SA-2</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SA-3</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SA-3</w:t>
      </w:r>
    </w:p>
    <w:p>
      <w:pPr>
        <w:spacing w:after="0" w:line="483" w:lineRule="exact"/>
        <w:rPr>
          <w:sz w:val="20"/>
          <w:szCs w:val="20"/>
          <w:color w:val="auto"/>
        </w:rPr>
      </w:pPr>
    </w:p>
    <w:p>
      <w:pPr>
        <w:sectPr>
          <w:pgSz w:w="11900" w:h="16838" w:orient="portrait"/>
          <w:cols w:equalWidth="0" w:num="2">
            <w:col w:w="9640" w:space="720"/>
            <w:col w:w="880"/>
          </w:cols>
          <w:pgMar w:left="320" w:top="355" w:right="339" w:bottom="171" w:gutter="0" w:footer="0" w:header="0"/>
          <w:type w:val="continuous"/>
        </w:sectPr>
      </w:pPr>
    </w:p>
    <w:tbl>
      <w:tblPr>
        <w:tblLayout w:type="fixed"/>
        <w:tblInd w:w="140" w:type="dxa"/>
        <w:tblCellMar>
          <w:top w:w="0" w:type="dxa"/>
          <w:left w:w="0" w:type="dxa"/>
          <w:bottom w:w="0" w:type="dxa"/>
          <w:right w:w="0" w:type="dxa"/>
        </w:tblCellMar>
      </w:tblPr>
      <w:tr>
        <w:trPr>
          <w:trHeight w:val="282"/>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6-1162-CLO-1039</w:t>
            </w:r>
          </w:p>
        </w:tc>
        <w:tc>
          <w:tcPr>
            <w:tcW w:w="12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6-1162-CLO-1042</w:t>
            </w:r>
          </w:p>
        </w:tc>
        <w:tc>
          <w:tcPr>
            <w:tcW w:w="12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6-1162-CLO-1043R1</w:t>
            </w:r>
          </w:p>
        </w:tc>
        <w:tc>
          <w:tcPr>
            <w:tcW w:w="5900" w:type="dxa"/>
            <w:vAlign w:val="bottom"/>
            <w:gridSpan w:val="5"/>
          </w:tcPr>
          <w:p>
            <w:pPr>
              <w:ind w:left="80"/>
              <w:spacing w:after="0"/>
              <w:rPr>
                <w:sz w:val="20"/>
                <w:szCs w:val="20"/>
                <w:color w:val="auto"/>
              </w:rPr>
            </w:pPr>
            <w:r>
              <w:rPr>
                <w:rFonts w:ascii="Times New Roman" w:cs="Times New Roman" w:eastAsia="Times New Roman" w:hAnsi="Times New Roman"/>
                <w:sz w:val="22"/>
                <w:szCs w:val="22"/>
                <w:color w:val="auto"/>
              </w:rPr>
              <w:t>787 Inspection Process</w:t>
            </w:r>
          </w:p>
        </w:tc>
        <w:tc>
          <w:tcPr>
            <w:tcW w:w="1240" w:type="dxa"/>
            <w:vAlign w:val="bottom"/>
          </w:tcPr>
          <w:p>
            <w:pPr>
              <w:jc w:val="center"/>
              <w:ind w:left="572"/>
              <w:spacing w:after="0"/>
              <w:rPr>
                <w:sz w:val="20"/>
                <w:szCs w:val="20"/>
                <w:color w:val="auto"/>
              </w:rPr>
            </w:pPr>
            <w:r>
              <w:rPr>
                <w:rFonts w:ascii="Times New Roman" w:cs="Times New Roman" w:eastAsia="Times New Roman" w:hAnsi="Times New Roman"/>
                <w:sz w:val="22"/>
                <w:szCs w:val="22"/>
                <w:color w:val="auto"/>
                <w:w w:val="94"/>
              </w:rPr>
              <w:t>SA-3</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6-1162-CLO-1045R1</w:t>
            </w:r>
          </w:p>
        </w:tc>
        <w:tc>
          <w:tcPr>
            <w:tcW w:w="12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40" w:type="dxa"/>
            <w:vAlign w:val="bottom"/>
          </w:tcPr>
          <w:p>
            <w:pPr>
              <w:jc w:val="center"/>
              <w:ind w:left="572"/>
              <w:spacing w:after="0"/>
              <w:rPr>
                <w:sz w:val="20"/>
                <w:szCs w:val="20"/>
                <w:color w:val="auto"/>
              </w:rPr>
            </w:pPr>
            <w:r>
              <w:rPr>
                <w:rFonts w:ascii="Times New Roman" w:cs="Times New Roman" w:eastAsia="Times New Roman" w:hAnsi="Times New Roman"/>
                <w:sz w:val="22"/>
                <w:szCs w:val="22"/>
                <w:color w:val="auto"/>
                <w:w w:val="94"/>
              </w:rPr>
              <w:t>SA-2</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strike w:val="1"/>
              </w:rPr>
              <w:t>6-1162-CLO-1046</w:t>
            </w:r>
          </w:p>
        </w:tc>
        <w:tc>
          <w:tcPr>
            <w:tcW w:w="5900" w:type="dxa"/>
            <w:vAlign w:val="bottom"/>
            <w:gridSpan w:val="5"/>
          </w:tcPr>
          <w:p>
            <w:pPr>
              <w:ind w:left="80"/>
              <w:spacing w:after="0"/>
              <w:rPr>
                <w:sz w:val="20"/>
                <w:szCs w:val="20"/>
                <w:color w:val="auto"/>
              </w:rPr>
            </w:pPr>
            <w:r>
              <w:rPr>
                <w:rFonts w:ascii="Times New Roman" w:cs="Times New Roman" w:eastAsia="Times New Roman" w:hAnsi="Times New Roman"/>
                <w:sz w:val="22"/>
                <w:szCs w:val="22"/>
                <w:color w:val="auto"/>
                <w:strike w:val="1"/>
              </w:rPr>
              <w:t>SA-eE, COTS Software and End User License Matters</w:t>
            </w:r>
          </w:p>
        </w:tc>
        <w:tc>
          <w:tcPr>
            <w:tcW w:w="1240" w:type="dxa"/>
            <w:vAlign w:val="bottom"/>
          </w:tcPr>
          <w:p>
            <w:pPr>
              <w:jc w:val="center"/>
              <w:ind w:left="572"/>
              <w:spacing w:after="0"/>
              <w:rPr>
                <w:sz w:val="20"/>
                <w:szCs w:val="20"/>
                <w:color w:val="auto"/>
              </w:rPr>
            </w:pPr>
            <w:r>
              <w:rPr>
                <w:rFonts w:ascii="Times New Roman" w:cs="Times New Roman" w:eastAsia="Times New Roman" w:hAnsi="Times New Roman"/>
                <w:sz w:val="22"/>
                <w:szCs w:val="22"/>
                <w:color w:val="auto"/>
                <w:w w:val="94"/>
              </w:rPr>
              <w:t>SA-3</w:t>
            </w:r>
          </w:p>
        </w:tc>
      </w:tr>
      <w:tr>
        <w:trPr>
          <w:trHeight w:val="351"/>
        </w:trPr>
        <w:tc>
          <w:tcPr>
            <w:tcW w:w="3580" w:type="dxa"/>
            <w:vAlign w:val="bottom"/>
          </w:tcPr>
          <w:p>
            <w:pPr>
              <w:spacing w:after="0"/>
              <w:rPr>
                <w:sz w:val="24"/>
                <w:szCs w:val="24"/>
                <w:color w:val="auto"/>
              </w:rPr>
            </w:pPr>
          </w:p>
        </w:tc>
        <w:tc>
          <w:tcPr>
            <w:tcW w:w="5900" w:type="dxa"/>
            <w:vAlign w:val="bottom"/>
            <w:gridSpan w:val="5"/>
          </w:tcPr>
          <w:p>
            <w:pPr>
              <w:ind w:left="80"/>
              <w:spacing w:after="0"/>
              <w:rPr>
                <w:sz w:val="20"/>
                <w:szCs w:val="20"/>
                <w:color w:val="auto"/>
              </w:rPr>
            </w:pPr>
            <w:r>
              <w:rPr>
                <w:rFonts w:ascii="Times New Roman" w:cs="Times New Roman" w:eastAsia="Times New Roman" w:hAnsi="Times New Roman"/>
                <w:sz w:val="22"/>
                <w:szCs w:val="22"/>
                <w:color w:val="auto"/>
              </w:rPr>
              <w:t>WITHDRAWN</w:t>
            </w:r>
          </w:p>
        </w:tc>
        <w:tc>
          <w:tcPr>
            <w:tcW w:w="1240" w:type="dxa"/>
            <w:vAlign w:val="bottom"/>
          </w:tcPr>
          <w:p>
            <w:pPr>
              <w:spacing w:after="0"/>
              <w:rPr>
                <w:sz w:val="24"/>
                <w:szCs w:val="24"/>
                <w:color w:val="auto"/>
              </w:rPr>
            </w:pP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6-1162-CLO-1047R4</w:t>
            </w:r>
          </w:p>
        </w:tc>
        <w:tc>
          <w:tcPr>
            <w:tcW w:w="12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40" w:type="dxa"/>
            <w:vAlign w:val="bottom"/>
          </w:tcPr>
          <w:p>
            <w:pPr>
              <w:jc w:val="center"/>
              <w:ind w:left="572"/>
              <w:spacing w:after="0"/>
              <w:rPr>
                <w:sz w:val="20"/>
                <w:szCs w:val="20"/>
                <w:color w:val="auto"/>
              </w:rPr>
            </w:pPr>
            <w:r>
              <w:rPr>
                <w:rFonts w:ascii="Times New Roman" w:cs="Times New Roman" w:eastAsia="Times New Roman" w:hAnsi="Times New Roman"/>
                <w:sz w:val="22"/>
                <w:szCs w:val="22"/>
                <w:color w:val="auto"/>
                <w:w w:val="97"/>
              </w:rPr>
              <w:t>SA-11</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strike w:val="1"/>
              </w:rPr>
              <w:t>6-1162-CLO-1048</w:t>
            </w:r>
          </w:p>
        </w:tc>
        <w:tc>
          <w:tcPr>
            <w:tcW w:w="1220" w:type="dxa"/>
            <w:vAlign w:val="bottom"/>
          </w:tcPr>
          <w:p>
            <w:pPr>
              <w:ind w:left="80"/>
              <w:spacing w:after="0"/>
              <w:rPr>
                <w:sz w:val="20"/>
                <w:szCs w:val="20"/>
                <w:color w:val="auto"/>
              </w:rPr>
            </w:pPr>
            <w:r>
              <w:rPr>
                <w:rFonts w:ascii="Times New Roman" w:cs="Times New Roman" w:eastAsia="Times New Roman" w:hAnsi="Times New Roman"/>
                <w:sz w:val="22"/>
                <w:szCs w:val="22"/>
                <w:color w:val="auto"/>
                <w:strike w:val="1"/>
                <w:w w:val="94"/>
              </w:rPr>
              <w:t>Final Matters</w:t>
            </w:r>
          </w:p>
        </w:tc>
        <w:tc>
          <w:tcPr>
            <w:tcW w:w="4680" w:type="dxa"/>
            <w:vAlign w:val="bottom"/>
            <w:gridSpan w:val="4"/>
          </w:tcPr>
          <w:p>
            <w:pPr>
              <w:ind w:left="220"/>
              <w:spacing w:after="0"/>
              <w:rPr>
                <w:sz w:val="20"/>
                <w:szCs w:val="20"/>
                <w:color w:val="auto"/>
              </w:rPr>
            </w:pPr>
            <w:r>
              <w:rPr>
                <w:rFonts w:ascii="Times New Roman" w:cs="Times New Roman" w:eastAsia="Times New Roman" w:hAnsi="Times New Roman"/>
                <w:sz w:val="22"/>
                <w:szCs w:val="22"/>
                <w:color w:val="auto"/>
              </w:rPr>
              <w:t>WITHDRAWN</w:t>
            </w:r>
          </w:p>
        </w:tc>
        <w:tc>
          <w:tcPr>
            <w:tcW w:w="1240" w:type="dxa"/>
            <w:vAlign w:val="bottom"/>
          </w:tcPr>
          <w:p>
            <w:pPr>
              <w:jc w:val="center"/>
              <w:ind w:left="572"/>
              <w:spacing w:after="0"/>
              <w:rPr>
                <w:sz w:val="20"/>
                <w:szCs w:val="20"/>
                <w:color w:val="auto"/>
              </w:rPr>
            </w:pPr>
            <w:r>
              <w:rPr>
                <w:rFonts w:ascii="Times New Roman" w:cs="Times New Roman" w:eastAsia="Times New Roman" w:hAnsi="Times New Roman"/>
                <w:sz w:val="22"/>
                <w:szCs w:val="22"/>
                <w:color w:val="auto"/>
                <w:w w:val="94"/>
              </w:rPr>
              <w:t>SA-2</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6-1162-CLO-1049R2</w:t>
            </w:r>
          </w:p>
        </w:tc>
        <w:tc>
          <w:tcPr>
            <w:tcW w:w="5900" w:type="dxa"/>
            <w:vAlign w:val="bottom"/>
            <w:gridSpan w:val="5"/>
          </w:tcPr>
          <w:p>
            <w:pPr>
              <w:ind w:left="80"/>
              <w:spacing w:after="0"/>
              <w:rPr>
                <w:sz w:val="20"/>
                <w:szCs w:val="20"/>
                <w:color w:val="auto"/>
              </w:rPr>
            </w:pPr>
            <w:r>
              <w:rPr>
                <w:rFonts w:ascii="Times New Roman" w:cs="Times New Roman" w:eastAsia="Times New Roman" w:hAnsi="Times New Roman"/>
                <w:sz w:val="22"/>
                <w:szCs w:val="22"/>
                <w:color w:val="auto"/>
              </w:rPr>
              <w:t>CS1 Matters</w:t>
            </w:r>
          </w:p>
        </w:tc>
        <w:tc>
          <w:tcPr>
            <w:tcW w:w="1240" w:type="dxa"/>
            <w:vAlign w:val="bottom"/>
          </w:tcPr>
          <w:p>
            <w:pPr>
              <w:jc w:val="center"/>
              <w:ind w:left="572"/>
              <w:spacing w:after="0"/>
              <w:rPr>
                <w:sz w:val="20"/>
                <w:szCs w:val="20"/>
                <w:color w:val="auto"/>
              </w:rPr>
            </w:pPr>
            <w:r>
              <w:rPr>
                <w:rFonts w:ascii="Times New Roman" w:cs="Times New Roman" w:eastAsia="Times New Roman" w:hAnsi="Times New Roman"/>
                <w:sz w:val="22"/>
                <w:szCs w:val="22"/>
                <w:color w:val="auto"/>
                <w:w w:val="94"/>
              </w:rPr>
              <w:t>SA-6</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6-1162-TRW-0664R2</w:t>
            </w:r>
          </w:p>
        </w:tc>
        <w:tc>
          <w:tcPr>
            <w:tcW w:w="59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Aircraft Purchase Rights and Substitution Rights</w:t>
            </w:r>
          </w:p>
        </w:tc>
        <w:tc>
          <w:tcPr>
            <w:tcW w:w="1240" w:type="dxa"/>
            <w:vAlign w:val="bottom"/>
          </w:tcPr>
          <w:p>
            <w:pPr>
              <w:jc w:val="center"/>
              <w:ind w:left="572"/>
              <w:spacing w:after="0"/>
              <w:rPr>
                <w:sz w:val="20"/>
                <w:szCs w:val="20"/>
                <w:color w:val="auto"/>
              </w:rPr>
            </w:pPr>
            <w:r>
              <w:rPr>
                <w:rFonts w:ascii="Times New Roman" w:cs="Times New Roman" w:eastAsia="Times New Roman" w:hAnsi="Times New Roman"/>
                <w:sz w:val="22"/>
                <w:szCs w:val="22"/>
                <w:color w:val="auto"/>
                <w:w w:val="97"/>
              </w:rPr>
              <w:t>SA-11</w:t>
            </w:r>
          </w:p>
        </w:tc>
      </w:tr>
      <w:tr>
        <w:trPr>
          <w:trHeight w:val="432"/>
        </w:trPr>
        <w:tc>
          <w:tcPr>
            <w:tcW w:w="3580" w:type="dxa"/>
            <w:vAlign w:val="bottom"/>
          </w:tcPr>
          <w:p>
            <w:pPr>
              <w:spacing w:after="0"/>
              <w:rPr>
                <w:sz w:val="24"/>
                <w:szCs w:val="24"/>
                <w:color w:val="auto"/>
              </w:rPr>
            </w:pPr>
          </w:p>
        </w:tc>
        <w:tc>
          <w:tcPr>
            <w:tcW w:w="3800" w:type="dxa"/>
            <w:vAlign w:val="bottom"/>
            <w:gridSpan w:val="4"/>
          </w:tcPr>
          <w:p>
            <w:pPr>
              <w:spacing w:after="0"/>
              <w:rPr>
                <w:sz w:val="20"/>
                <w:szCs w:val="20"/>
                <w:color w:val="auto"/>
              </w:rPr>
            </w:pPr>
            <w:r>
              <w:rPr>
                <w:rFonts w:ascii="Times New Roman" w:cs="Times New Roman" w:eastAsia="Times New Roman" w:hAnsi="Times New Roman"/>
                <w:sz w:val="22"/>
                <w:szCs w:val="22"/>
                <w:color w:val="auto"/>
                <w:strike w:val="1"/>
                <w:w w:val="97"/>
              </w:rPr>
              <w:t>Attachment A(R2) – MADP Exercise Dates</w:t>
            </w:r>
          </w:p>
        </w:tc>
        <w:tc>
          <w:tcPr>
            <w:tcW w:w="21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WITHDRAWN</w:t>
            </w:r>
          </w:p>
        </w:tc>
        <w:tc>
          <w:tcPr>
            <w:tcW w:w="1240" w:type="dxa"/>
            <w:vAlign w:val="bottom"/>
          </w:tcPr>
          <w:p>
            <w:pPr>
              <w:jc w:val="center"/>
              <w:ind w:left="572"/>
              <w:spacing w:after="0"/>
              <w:rPr>
                <w:sz w:val="20"/>
                <w:szCs w:val="20"/>
                <w:color w:val="auto"/>
              </w:rPr>
            </w:pPr>
            <w:r>
              <w:rPr>
                <w:rFonts w:ascii="Times New Roman" w:cs="Times New Roman" w:eastAsia="Times New Roman" w:hAnsi="Times New Roman"/>
                <w:sz w:val="22"/>
                <w:szCs w:val="22"/>
                <w:color w:val="auto"/>
                <w:w w:val="97"/>
              </w:rPr>
              <w:t>SA-11</w:t>
            </w:r>
          </w:p>
        </w:tc>
      </w:tr>
      <w:tr>
        <w:trPr>
          <w:trHeight w:val="432"/>
        </w:trPr>
        <w:tc>
          <w:tcPr>
            <w:tcW w:w="3580" w:type="dxa"/>
            <w:vAlign w:val="bottom"/>
          </w:tcPr>
          <w:p>
            <w:pPr>
              <w:spacing w:after="0"/>
              <w:rPr>
                <w:sz w:val="24"/>
                <w:szCs w:val="24"/>
                <w:color w:val="auto"/>
              </w:rPr>
            </w:pPr>
          </w:p>
        </w:tc>
        <w:tc>
          <w:tcPr>
            <w:tcW w:w="3760" w:type="dxa"/>
            <w:vAlign w:val="bottom"/>
            <w:gridSpan w:val="3"/>
          </w:tcPr>
          <w:p>
            <w:pPr>
              <w:spacing w:after="0"/>
              <w:rPr>
                <w:sz w:val="20"/>
                <w:szCs w:val="20"/>
                <w:color w:val="auto"/>
              </w:rPr>
            </w:pPr>
            <w:r>
              <w:rPr>
                <w:rFonts w:ascii="Times New Roman" w:cs="Times New Roman" w:eastAsia="Times New Roman" w:hAnsi="Times New Roman"/>
                <w:sz w:val="22"/>
                <w:szCs w:val="22"/>
                <w:color w:val="auto"/>
                <w:strike w:val="1"/>
                <w:w w:val="97"/>
              </w:rPr>
              <w:t>Attachment B(R2) – QADP Exercise Dates</w:t>
            </w:r>
          </w:p>
        </w:tc>
        <w:tc>
          <w:tcPr>
            <w:tcW w:w="214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WITHDRAWN</w:t>
            </w:r>
          </w:p>
        </w:tc>
        <w:tc>
          <w:tcPr>
            <w:tcW w:w="1240" w:type="dxa"/>
            <w:vAlign w:val="bottom"/>
          </w:tcPr>
          <w:p>
            <w:pPr>
              <w:jc w:val="center"/>
              <w:ind w:left="572"/>
              <w:spacing w:after="0"/>
              <w:rPr>
                <w:sz w:val="20"/>
                <w:szCs w:val="20"/>
                <w:color w:val="auto"/>
              </w:rPr>
            </w:pPr>
            <w:r>
              <w:rPr>
                <w:rFonts w:ascii="Times New Roman" w:cs="Times New Roman" w:eastAsia="Times New Roman" w:hAnsi="Times New Roman"/>
                <w:sz w:val="22"/>
                <w:szCs w:val="22"/>
                <w:color w:val="auto"/>
                <w:w w:val="97"/>
              </w:rPr>
              <w:t>SA-11</w:t>
            </w:r>
          </w:p>
        </w:tc>
      </w:tr>
      <w:tr>
        <w:trPr>
          <w:trHeight w:val="432"/>
        </w:trPr>
        <w:tc>
          <w:tcPr>
            <w:tcW w:w="3580" w:type="dxa"/>
            <w:vAlign w:val="bottom"/>
          </w:tcPr>
          <w:p>
            <w:pPr>
              <w:spacing w:after="0"/>
              <w:rPr>
                <w:sz w:val="24"/>
                <w:szCs w:val="24"/>
                <w:color w:val="auto"/>
              </w:rPr>
            </w:pPr>
          </w:p>
        </w:tc>
        <w:tc>
          <w:tcPr>
            <w:tcW w:w="5900" w:type="dxa"/>
            <w:vAlign w:val="bottom"/>
            <w:gridSpan w:val="5"/>
          </w:tcPr>
          <w:p>
            <w:pPr>
              <w:spacing w:after="0"/>
              <w:rPr>
                <w:sz w:val="20"/>
                <w:szCs w:val="20"/>
                <w:color w:val="auto"/>
              </w:rPr>
            </w:pPr>
            <w:r>
              <w:rPr>
                <w:rFonts w:ascii="Times New Roman" w:cs="Times New Roman" w:eastAsia="Times New Roman" w:hAnsi="Times New Roman"/>
                <w:sz w:val="22"/>
                <w:szCs w:val="22"/>
                <w:color w:val="auto"/>
                <w:strike w:val="1"/>
              </w:rPr>
              <w:t>Attachment C(R3) – MADP &amp; QADP Rights Aircraft:</w:t>
            </w:r>
          </w:p>
        </w:tc>
        <w:tc>
          <w:tcPr>
            <w:tcW w:w="1240" w:type="dxa"/>
            <w:vAlign w:val="bottom"/>
          </w:tcPr>
          <w:p>
            <w:pPr>
              <w:jc w:val="center"/>
              <w:ind w:left="572"/>
              <w:spacing w:after="0"/>
              <w:rPr>
                <w:sz w:val="20"/>
                <w:szCs w:val="20"/>
                <w:color w:val="auto"/>
              </w:rPr>
            </w:pPr>
            <w:r>
              <w:rPr>
                <w:rFonts w:ascii="Times New Roman" w:cs="Times New Roman" w:eastAsia="Times New Roman" w:hAnsi="Times New Roman"/>
                <w:sz w:val="22"/>
                <w:szCs w:val="22"/>
                <w:color w:val="auto"/>
                <w:w w:val="97"/>
              </w:rPr>
              <w:t>SA-11</w:t>
            </w:r>
          </w:p>
        </w:tc>
      </w:tr>
      <w:tr>
        <w:trPr>
          <w:trHeight w:val="324"/>
        </w:trPr>
        <w:tc>
          <w:tcPr>
            <w:tcW w:w="3580" w:type="dxa"/>
            <w:vAlign w:val="bottom"/>
          </w:tcPr>
          <w:p>
            <w:pPr>
              <w:spacing w:after="0"/>
              <w:rPr>
                <w:sz w:val="24"/>
                <w:szCs w:val="24"/>
                <w:color w:val="auto"/>
              </w:rPr>
            </w:pPr>
          </w:p>
        </w:tc>
        <w:tc>
          <w:tcPr>
            <w:tcW w:w="1980" w:type="dxa"/>
            <w:vAlign w:val="bottom"/>
            <w:gridSpan w:val="2"/>
          </w:tcPr>
          <w:p>
            <w:pPr>
              <w:spacing w:after="0"/>
              <w:rPr>
                <w:sz w:val="20"/>
                <w:szCs w:val="20"/>
                <w:color w:val="auto"/>
              </w:rPr>
            </w:pPr>
            <w:r>
              <w:rPr>
                <w:rFonts w:ascii="Times New Roman" w:cs="Times New Roman" w:eastAsia="Times New Roman" w:hAnsi="Times New Roman"/>
                <w:sz w:val="22"/>
                <w:szCs w:val="22"/>
                <w:color w:val="auto"/>
                <w:strike w:val="1"/>
                <w:w w:val="97"/>
              </w:rPr>
              <w:t>Description/Price Data</w:t>
            </w:r>
          </w:p>
        </w:tc>
        <w:tc>
          <w:tcPr>
            <w:tcW w:w="392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Attachment C(R4)</w:t>
            </w:r>
          </w:p>
        </w:tc>
        <w:tc>
          <w:tcPr>
            <w:tcW w:w="1240" w:type="dxa"/>
            <w:vAlign w:val="bottom"/>
          </w:tcPr>
          <w:p>
            <w:pPr>
              <w:spacing w:after="0"/>
              <w:rPr>
                <w:sz w:val="24"/>
                <w:szCs w:val="24"/>
                <w:color w:val="auto"/>
              </w:rPr>
            </w:pPr>
          </w:p>
        </w:tc>
      </w:tr>
      <w:tr>
        <w:trPr>
          <w:trHeight w:val="419"/>
        </w:trPr>
        <w:tc>
          <w:tcPr>
            <w:tcW w:w="3580" w:type="dxa"/>
            <w:vAlign w:val="bottom"/>
          </w:tcPr>
          <w:p>
            <w:pPr>
              <w:spacing w:after="0"/>
              <w:rPr>
                <w:sz w:val="24"/>
                <w:szCs w:val="24"/>
                <w:color w:val="auto"/>
              </w:rPr>
            </w:pPr>
          </w:p>
        </w:tc>
        <w:tc>
          <w:tcPr>
            <w:tcW w:w="59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Attachment D – Form of Purchase Agreement Supplement</w:t>
            </w:r>
          </w:p>
        </w:tc>
        <w:tc>
          <w:tcPr>
            <w:tcW w:w="1240" w:type="dxa"/>
            <w:vAlign w:val="bottom"/>
          </w:tcPr>
          <w:p>
            <w:pPr>
              <w:jc w:val="center"/>
              <w:ind w:left="572"/>
              <w:spacing w:after="0"/>
              <w:rPr>
                <w:sz w:val="20"/>
                <w:szCs w:val="20"/>
                <w:color w:val="auto"/>
              </w:rPr>
            </w:pPr>
            <w:r>
              <w:rPr>
                <w:rFonts w:ascii="Times New Roman" w:cs="Times New Roman" w:eastAsia="Times New Roman" w:hAnsi="Times New Roman"/>
                <w:sz w:val="22"/>
                <w:szCs w:val="22"/>
                <w:color w:val="auto"/>
                <w:w w:val="97"/>
              </w:rPr>
              <w:t>SA-11</w:t>
            </w: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tabs>
          <w:tab w:leader="none" w:pos="540" w:val="left"/>
        </w:tabs>
        <w:rPr>
          <w:sz w:val="20"/>
          <w:szCs w:val="20"/>
          <w:color w:val="auto"/>
        </w:rPr>
      </w:pPr>
      <w:r>
        <w:rPr>
          <w:rFonts w:ascii="Times New Roman" w:cs="Times New Roman" w:eastAsia="Times New Roman" w:hAnsi="Times New Roman"/>
          <w:sz w:val="22"/>
          <w:szCs w:val="22"/>
          <w:color w:val="auto"/>
        </w:rPr>
        <w:t>P.A. No. 3219</w:t>
      </w:r>
      <w:r>
        <w:rPr>
          <w:sz w:val="20"/>
          <w:szCs w:val="20"/>
          <w:color w:val="auto"/>
        </w:rPr>
        <w:tab/>
      </w:r>
      <w:r>
        <w:rPr>
          <w:rFonts w:ascii="Times New Roman" w:cs="Times New Roman" w:eastAsia="Times New Roman" w:hAnsi="Times New Roman"/>
          <w:sz w:val="21"/>
          <w:szCs w:val="21"/>
          <w:color w:val="auto"/>
        </w:rPr>
        <w:t>SA-22</w:t>
      </w:r>
    </w:p>
    <w:p>
      <w:pPr>
        <w:spacing w:after="0" w:line="44" w:lineRule="exact"/>
        <w:rPr>
          <w:sz w:val="20"/>
          <w:szCs w:val="20"/>
          <w:color w:val="auto"/>
        </w:rPr>
      </w:pPr>
    </w:p>
    <w:p>
      <w:pPr>
        <w:spacing w:after="0"/>
        <w:tabs>
          <w:tab w:leader="none" w:pos="2000" w:val="left"/>
        </w:tabs>
        <w:rPr>
          <w:sz w:val="20"/>
          <w:szCs w:val="20"/>
          <w:color w:val="auto"/>
        </w:rPr>
      </w:pPr>
      <w:r>
        <w:rPr>
          <w:rFonts w:ascii="Times New Roman" w:cs="Times New Roman" w:eastAsia="Times New Roman" w:hAnsi="Times New Roman"/>
          <w:sz w:val="22"/>
          <w:szCs w:val="22"/>
          <w:color w:val="auto"/>
        </w:rPr>
        <w:t>Table of Contents</w:t>
      </w:r>
      <w:r>
        <w:rPr>
          <w:sz w:val="20"/>
          <w:szCs w:val="20"/>
          <w:color w:val="auto"/>
        </w:rPr>
        <w:tab/>
      </w:r>
      <w:r>
        <w:rPr>
          <w:rFonts w:ascii="Times New Roman" w:cs="Times New Roman" w:eastAsia="Times New Roman" w:hAnsi="Times New Roman"/>
          <w:sz w:val="21"/>
          <w:szCs w:val="21"/>
          <w:color w:val="auto"/>
        </w:rPr>
        <w:t>Page 2</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BOEING AND AMERICAN PROPRIETARY</w:t>
      </w:r>
    </w:p>
    <w:p>
      <w:pPr>
        <w:sectPr>
          <w:pgSz w:w="11900" w:h="16838" w:orient="portrait"/>
          <w:cols w:equalWidth="0" w:num="1">
            <w:col w:w="11240"/>
          </w:cols>
          <w:pgMar w:left="320" w:top="355" w:right="339" w:bottom="171" w:gutter="0" w:footer="0" w:header="0"/>
          <w:type w:val="continuous"/>
        </w:sectPr>
      </w:pPr>
    </w:p>
    <w:bookmarkStart w:id="60" w:name="page61"/>
    <w:bookmarkEnd w:id="60"/>
    <w:p>
      <w:pPr>
        <w:jc w:val="center"/>
        <w:spacing w:after="0"/>
        <w:rPr>
          <w:sz w:val="20"/>
          <w:szCs w:val="20"/>
          <w:color w:val="auto"/>
        </w:rPr>
      </w:pPr>
      <w:r>
        <w:rPr>
          <w:rFonts w:ascii="Times New Roman" w:cs="Times New Roman" w:eastAsia="Times New Roman" w:hAnsi="Times New Roman"/>
          <w:sz w:val="22"/>
          <w:szCs w:val="22"/>
          <w:color w:val="auto"/>
        </w:rPr>
        <w:t>TABLE OF CONTENTS,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140" w:type="dxa"/>
        <w:tblCellMar>
          <w:top w:w="0" w:type="dxa"/>
          <w:left w:w="0" w:type="dxa"/>
          <w:bottom w:w="0" w:type="dxa"/>
          <w:right w:w="0" w:type="dxa"/>
        </w:tblCellMar>
      </w:tblPr>
      <w:tr>
        <w:trPr>
          <w:trHeight w:val="282"/>
        </w:trPr>
        <w:tc>
          <w:tcPr>
            <w:tcW w:w="1640" w:type="dxa"/>
            <w:vAlign w:val="bottom"/>
          </w:tcPr>
          <w:p>
            <w:pPr>
              <w:spacing w:after="0"/>
              <w:rPr>
                <w:sz w:val="24"/>
                <w:szCs w:val="24"/>
                <w:color w:val="auto"/>
              </w:rPr>
            </w:pPr>
          </w:p>
        </w:tc>
        <w:tc>
          <w:tcPr>
            <w:tcW w:w="8240" w:type="dxa"/>
            <w:vAlign w:val="bottom"/>
            <w:gridSpan w:val="2"/>
          </w:tcPr>
          <w:p>
            <w:pPr>
              <w:ind w:left="1420"/>
              <w:spacing w:after="0"/>
              <w:rPr>
                <w:sz w:val="20"/>
                <w:szCs w:val="20"/>
                <w:color w:val="auto"/>
              </w:rPr>
            </w:pPr>
            <w:r>
              <w:rPr>
                <w:rFonts w:ascii="Times New Roman" w:cs="Times New Roman" w:eastAsia="Times New Roman" w:hAnsi="Times New Roman"/>
                <w:sz w:val="22"/>
                <w:szCs w:val="22"/>
                <w:color w:val="auto"/>
              </w:rPr>
              <w:t>Attachment E – Letter Agreements To Be Included In Purchase Agreement</w:t>
            </w:r>
          </w:p>
        </w:tc>
        <w:tc>
          <w:tcPr>
            <w:tcW w:w="7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0"/>
              </w:rPr>
              <w:t>SA-6</w:t>
            </w:r>
          </w:p>
        </w:tc>
      </w:tr>
      <w:tr>
        <w:trPr>
          <w:trHeight w:val="297"/>
        </w:trPr>
        <w:tc>
          <w:tcPr>
            <w:tcW w:w="1640" w:type="dxa"/>
            <w:vAlign w:val="bottom"/>
          </w:tcPr>
          <w:p>
            <w:pPr>
              <w:spacing w:after="0"/>
              <w:rPr>
                <w:sz w:val="24"/>
                <w:szCs w:val="24"/>
                <w:color w:val="auto"/>
              </w:rPr>
            </w:pPr>
          </w:p>
        </w:tc>
        <w:tc>
          <w:tcPr>
            <w:tcW w:w="8240" w:type="dxa"/>
            <w:vAlign w:val="bottom"/>
            <w:gridSpan w:val="2"/>
          </w:tcPr>
          <w:p>
            <w:pPr>
              <w:ind w:left="1420"/>
              <w:spacing w:after="0"/>
              <w:rPr>
                <w:sz w:val="20"/>
                <w:szCs w:val="20"/>
                <w:color w:val="auto"/>
              </w:rPr>
            </w:pPr>
            <w:r>
              <w:rPr>
                <w:rFonts w:ascii="Times New Roman" w:cs="Times New Roman" w:eastAsia="Times New Roman" w:hAnsi="Times New Roman"/>
                <w:sz w:val="22"/>
                <w:szCs w:val="22"/>
                <w:color w:val="auto"/>
              </w:rPr>
              <w:t>Supplement</w:t>
            </w:r>
          </w:p>
        </w:tc>
        <w:tc>
          <w:tcPr>
            <w:tcW w:w="780" w:type="dxa"/>
            <w:vAlign w:val="bottom"/>
          </w:tcPr>
          <w:p>
            <w:pPr>
              <w:spacing w:after="0"/>
              <w:rPr>
                <w:sz w:val="24"/>
                <w:szCs w:val="24"/>
                <w:color w:val="auto"/>
              </w:rPr>
            </w:pPr>
          </w:p>
        </w:tc>
      </w:tr>
      <w:tr>
        <w:trPr>
          <w:trHeight w:val="43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strike w:val="1"/>
                <w:w w:val="95"/>
              </w:rPr>
              <w:t>6-1162-TRW-0665</w:t>
            </w:r>
          </w:p>
        </w:tc>
        <w:tc>
          <w:tcPr>
            <w:tcW w:w="4340" w:type="dxa"/>
            <w:vAlign w:val="bottom"/>
          </w:tcPr>
          <w:p>
            <w:pPr>
              <w:ind w:left="2020"/>
              <w:spacing w:after="0"/>
              <w:rPr>
                <w:sz w:val="20"/>
                <w:szCs w:val="20"/>
                <w:color w:val="auto"/>
              </w:rPr>
            </w:pPr>
            <w:r>
              <w:rPr>
                <w:rFonts w:ascii="Times New Roman" w:cs="Times New Roman" w:eastAsia="Times New Roman" w:hAnsi="Times New Roman"/>
                <w:sz w:val="22"/>
                <w:szCs w:val="22"/>
                <w:color w:val="auto"/>
                <w:strike w:val="1"/>
                <w:w w:val="96"/>
              </w:rPr>
              <w:t>Alternate Engine Selection</w:t>
            </w:r>
          </w:p>
        </w:tc>
        <w:tc>
          <w:tcPr>
            <w:tcW w:w="39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WITHDRAWN</w:t>
            </w:r>
          </w:p>
        </w:tc>
        <w:tc>
          <w:tcPr>
            <w:tcW w:w="7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0"/>
              </w:rPr>
              <w:t>SA-3</w:t>
            </w:r>
          </w:p>
        </w:tc>
      </w:tr>
      <w:tr>
        <w:trPr>
          <w:trHeight w:val="43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strike w:val="1"/>
                <w:w w:val="95"/>
              </w:rPr>
              <w:t>6-1162-TRW-0666</w:t>
            </w:r>
          </w:p>
        </w:tc>
        <w:tc>
          <w:tcPr>
            <w:tcW w:w="8240" w:type="dxa"/>
            <w:vAlign w:val="bottom"/>
            <w:gridSpan w:val="2"/>
          </w:tcPr>
          <w:p>
            <w:pPr>
              <w:ind w:left="2020"/>
              <w:spacing w:after="0"/>
              <w:rPr>
                <w:sz w:val="20"/>
                <w:szCs w:val="20"/>
                <w:color w:val="auto"/>
              </w:rPr>
            </w:pPr>
            <w:r>
              <w:rPr>
                <w:rFonts w:ascii="Times New Roman" w:cs="Times New Roman" w:eastAsia="Times New Roman" w:hAnsi="Times New Roman"/>
                <w:sz w:val="22"/>
                <w:szCs w:val="22"/>
                <w:color w:val="auto"/>
                <w:strike w:val="1"/>
              </w:rPr>
              <w:t>Trent1000-J Powered 787-9 Performance Retention Commitment</w:t>
            </w:r>
          </w:p>
        </w:tc>
        <w:tc>
          <w:tcPr>
            <w:tcW w:w="7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0"/>
              </w:rPr>
              <w:t>SA-3</w:t>
            </w:r>
          </w:p>
        </w:tc>
      </w:tr>
      <w:tr>
        <w:trPr>
          <w:trHeight w:val="299"/>
        </w:trPr>
        <w:tc>
          <w:tcPr>
            <w:tcW w:w="1640" w:type="dxa"/>
            <w:vAlign w:val="bottom"/>
          </w:tcPr>
          <w:p>
            <w:pPr>
              <w:spacing w:after="0"/>
              <w:rPr>
                <w:sz w:val="24"/>
                <w:szCs w:val="24"/>
                <w:color w:val="auto"/>
              </w:rPr>
            </w:pPr>
          </w:p>
        </w:tc>
        <w:tc>
          <w:tcPr>
            <w:tcW w:w="8240" w:type="dxa"/>
            <w:vAlign w:val="bottom"/>
            <w:gridSpan w:val="2"/>
          </w:tcPr>
          <w:p>
            <w:pPr>
              <w:ind w:left="2340"/>
              <w:spacing w:after="0"/>
              <w:rPr>
                <w:sz w:val="20"/>
                <w:szCs w:val="20"/>
                <w:color w:val="auto"/>
              </w:rPr>
            </w:pPr>
            <w:r>
              <w:rPr>
                <w:rFonts w:ascii="Arial" w:cs="Arial" w:eastAsia="Arial" w:hAnsi="Arial"/>
                <w:sz w:val="22"/>
                <w:szCs w:val="22"/>
                <w:color w:val="auto"/>
              </w:rPr>
              <w:t>WITHDRAWN</w:t>
            </w:r>
          </w:p>
        </w:tc>
        <w:tc>
          <w:tcPr>
            <w:tcW w:w="780" w:type="dxa"/>
            <w:vAlign w:val="bottom"/>
          </w:tcPr>
          <w:p>
            <w:pPr>
              <w:spacing w:after="0"/>
              <w:rPr>
                <w:sz w:val="24"/>
                <w:szCs w:val="24"/>
                <w:color w:val="auto"/>
              </w:rPr>
            </w:pPr>
          </w:p>
        </w:tc>
      </w:tr>
    </w:tbl>
    <w:p>
      <w:pPr>
        <w:spacing w:after="0" w:line="148" w:lineRule="exact"/>
        <w:rPr>
          <w:sz w:val="20"/>
          <w:szCs w:val="20"/>
          <w:color w:val="auto"/>
        </w:rPr>
      </w:pPr>
    </w:p>
    <w:p>
      <w:pPr>
        <w:sectPr>
          <w:pgSz w:w="11900" w:h="16838" w:orient="portrait"/>
          <w:cols w:equalWidth="0" w:num="1">
            <w:col w:w="11240"/>
          </w:cols>
          <w:pgMar w:left="320" w:top="355" w:right="339" w:bottom="1440" w:gutter="0" w:footer="0" w:header="0"/>
        </w:sectPr>
      </w:pPr>
    </w:p>
    <w:p>
      <w:pPr>
        <w:ind w:left="140"/>
        <w:spacing w:after="0"/>
        <w:rPr>
          <w:sz w:val="20"/>
          <w:szCs w:val="20"/>
          <w:color w:val="auto"/>
        </w:rPr>
      </w:pPr>
      <w:r>
        <w:rPr>
          <w:rFonts w:ascii="Times New Roman" w:cs="Times New Roman" w:eastAsia="Times New Roman" w:hAnsi="Times New Roman"/>
          <w:sz w:val="22"/>
          <w:szCs w:val="22"/>
          <w:color w:val="auto"/>
        </w:rPr>
        <w:t>6-1162-TRW-0667R3</w:t>
      </w:r>
    </w:p>
    <w:p>
      <w:pPr>
        <w:spacing w:after="0" w:line="1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6-1162-TRW-0668R1</w:t>
      </w:r>
    </w:p>
    <w:p>
      <w:pPr>
        <w:spacing w:after="0" w:line="200" w:lineRule="exact"/>
        <w:rPr>
          <w:sz w:val="20"/>
          <w:szCs w:val="20"/>
          <w:color w:val="auto"/>
        </w:rPr>
      </w:pPr>
    </w:p>
    <w:p>
      <w:pPr>
        <w:spacing w:after="0" w:line="27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6-1162-TRW-0670R1</w:t>
      </w:r>
    </w:p>
    <w:p>
      <w:pPr>
        <w:spacing w:after="0" w:line="1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strike w:val="1"/>
        </w:rPr>
        <w:t>6-1162-TRW-0671</w:t>
      </w:r>
    </w:p>
    <w:p>
      <w:pPr>
        <w:spacing w:after="0" w:line="200" w:lineRule="exact"/>
        <w:rPr>
          <w:sz w:val="20"/>
          <w:szCs w:val="20"/>
          <w:color w:val="auto"/>
        </w:rPr>
      </w:pPr>
    </w:p>
    <w:p>
      <w:pPr>
        <w:spacing w:after="0" w:line="35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6-1162-TRW-0672R1</w:t>
      </w:r>
    </w:p>
    <w:p>
      <w:pPr>
        <w:spacing w:after="0" w:line="1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6-1162-TRW-0673R1</w:t>
      </w:r>
    </w:p>
    <w:p>
      <w:pPr>
        <w:spacing w:after="0" w:line="179" w:lineRule="exact"/>
        <w:rPr>
          <w:sz w:val="20"/>
          <w:szCs w:val="20"/>
          <w:color w:val="auto"/>
        </w:rPr>
      </w:pPr>
    </w:p>
    <w:p>
      <w:pPr>
        <w:ind w:left="140" w:right="320"/>
        <w:spacing w:after="0" w:line="442" w:lineRule="auto"/>
        <w:rPr>
          <w:sz w:val="20"/>
          <w:szCs w:val="20"/>
          <w:color w:val="auto"/>
        </w:rPr>
      </w:pPr>
      <w:r>
        <w:rPr>
          <w:rFonts w:ascii="Times New Roman" w:cs="Times New Roman" w:eastAsia="Times New Roman" w:hAnsi="Times New Roman"/>
          <w:sz w:val="21"/>
          <w:szCs w:val="21"/>
          <w:color w:val="auto"/>
        </w:rPr>
        <w:t>6-1162-TRW-0674R5 AAL-PA-3219-LA-08836R2 AAL-PA-3219-LA-08837R1 AAL-PA-3219-LA-08838</w:t>
      </w:r>
    </w:p>
    <w:p>
      <w:pPr>
        <w:spacing w:after="0" w:line="3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AAL-LA-1106678</w:t>
      </w:r>
    </w:p>
    <w:p>
      <w:pPr>
        <w:spacing w:after="0" w:line="1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AAL-PA-3219-LA-1302236R</w:t>
      </w:r>
      <w:r>
        <w:rPr>
          <w:rFonts w:ascii="Times New Roman" w:cs="Times New Roman" w:eastAsia="Times New Roman" w:hAnsi="Times New Roman"/>
          <w:sz w:val="21"/>
          <w:szCs w:val="21"/>
          <w:color w:val="auto"/>
        </w:rPr>
        <w:t>2</w:t>
      </w:r>
    </w:p>
    <w:p>
      <w:pPr>
        <w:spacing w:after="0" w:line="19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AAL-PA-3219-LA-1604503R1</w:t>
      </w:r>
    </w:p>
    <w:p>
      <w:pPr>
        <w:spacing w:after="0" w:line="1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AAL-PA-03219-LA-1701988</w:t>
      </w:r>
    </w:p>
    <w:p>
      <w:pPr>
        <w:spacing w:after="0" w:line="18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AAL-PA-03219-LA-1804779R2</w:t>
      </w:r>
    </w:p>
    <w:p>
      <w:pPr>
        <w:spacing w:after="0" w:line="197" w:lineRule="exact"/>
        <w:rPr>
          <w:sz w:val="20"/>
          <w:szCs w:val="20"/>
          <w:color w:val="auto"/>
        </w:rPr>
      </w:pPr>
    </w:p>
    <w:p>
      <w:pPr>
        <w:ind w:left="140"/>
        <w:spacing w:after="0" w:line="442" w:lineRule="auto"/>
        <w:rPr>
          <w:sz w:val="20"/>
          <w:szCs w:val="20"/>
          <w:color w:val="auto"/>
        </w:rPr>
      </w:pPr>
      <w:r>
        <w:rPr>
          <w:rFonts w:ascii="Times New Roman" w:cs="Times New Roman" w:eastAsia="Times New Roman" w:hAnsi="Times New Roman"/>
          <w:sz w:val="21"/>
          <w:szCs w:val="21"/>
          <w:color w:val="auto"/>
        </w:rPr>
        <w:t>AAL-PA-03219-LA-1802262R1 AAL-PA-03219-LA-1802492</w:t>
      </w:r>
    </w:p>
    <w:p>
      <w:pPr>
        <w:spacing w:after="0" w:line="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AAL-PA-3219-LA-2001170</w:t>
      </w:r>
    </w:p>
    <w:p>
      <w:pPr>
        <w:spacing w:after="0" w:line="19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AAL-PA-3219-2101557R1</w:t>
      </w:r>
    </w:p>
    <w:p>
      <w:pPr>
        <w:spacing w:after="0" w:line="184" w:lineRule="exact"/>
        <w:rPr>
          <w:sz w:val="20"/>
          <w:szCs w:val="20"/>
          <w:color w:val="auto"/>
        </w:rPr>
      </w:pPr>
    </w:p>
    <w:p>
      <w:pPr>
        <w:ind w:left="140" w:right="720"/>
        <w:spacing w:after="0" w:line="483" w:lineRule="auto"/>
        <w:rPr>
          <w:sz w:val="20"/>
          <w:szCs w:val="20"/>
          <w:color w:val="auto"/>
        </w:rPr>
      </w:pPr>
      <w:r>
        <w:rPr>
          <w:rFonts w:ascii="Times New Roman" w:cs="Times New Roman" w:eastAsia="Times New Roman" w:hAnsi="Times New Roman"/>
          <w:sz w:val="21"/>
          <w:szCs w:val="21"/>
          <w:color w:val="auto"/>
        </w:rPr>
        <w:t>AAL-LA-2100530 AAL-PA-3219-2300600</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tabs>
          <w:tab w:leader="none" w:pos="2000" w:val="left"/>
        </w:tabs>
        <w:rPr>
          <w:sz w:val="20"/>
          <w:szCs w:val="20"/>
          <w:color w:val="auto"/>
        </w:rPr>
      </w:pPr>
      <w:r>
        <w:rPr>
          <w:rFonts w:ascii="Times New Roman" w:cs="Times New Roman" w:eastAsia="Times New Roman" w:hAnsi="Times New Roman"/>
          <w:sz w:val="22"/>
          <w:szCs w:val="22"/>
          <w:color w:val="auto"/>
        </w:rPr>
        <w:t>Table of Contents</w:t>
      </w:r>
      <w:r>
        <w:rPr>
          <w:sz w:val="20"/>
          <w:szCs w:val="20"/>
          <w:color w:val="auto"/>
        </w:rPr>
        <w:tab/>
      </w:r>
      <w:r>
        <w:rPr>
          <w:rFonts w:ascii="Times New Roman" w:cs="Times New Roman" w:eastAsia="Times New Roman" w:hAnsi="Times New Roman"/>
          <w:sz w:val="21"/>
          <w:szCs w:val="21"/>
          <w:color w:val="auto"/>
        </w:rPr>
        <w:t>Page 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300" w:type="dxa"/>
        <w:tblCellMar>
          <w:top w:w="0" w:type="dxa"/>
          <w:left w:w="0" w:type="dxa"/>
          <w:bottom w:w="0" w:type="dxa"/>
          <w:right w:w="0" w:type="dxa"/>
        </w:tblCellMar>
      </w:tblPr>
      <w:tr>
        <w:trPr>
          <w:trHeight w:val="282"/>
        </w:trPr>
        <w:tc>
          <w:tcPr>
            <w:tcW w:w="590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1160" w:type="dxa"/>
            <w:vAlign w:val="bottom"/>
          </w:tcPr>
          <w:p>
            <w:pPr>
              <w:jc w:val="center"/>
              <w:ind w:left="492"/>
              <w:spacing w:after="0"/>
              <w:rPr>
                <w:sz w:val="20"/>
                <w:szCs w:val="20"/>
                <w:color w:val="auto"/>
              </w:rPr>
            </w:pPr>
            <w:r>
              <w:rPr>
                <w:rFonts w:ascii="Times New Roman" w:cs="Times New Roman" w:eastAsia="Times New Roman" w:hAnsi="Times New Roman"/>
                <w:sz w:val="22"/>
                <w:szCs w:val="22"/>
                <w:color w:val="auto"/>
                <w:w w:val="97"/>
              </w:rPr>
              <w:t>SA-11</w:t>
            </w:r>
          </w:p>
        </w:tc>
      </w:tr>
      <w:tr>
        <w:trPr>
          <w:trHeight w:val="432"/>
        </w:trPr>
        <w:tc>
          <w:tcPr>
            <w:tcW w:w="5900" w:type="dxa"/>
            <w:vAlign w:val="bottom"/>
          </w:tcPr>
          <w:p>
            <w:pPr>
              <w:spacing w:after="0"/>
              <w:rPr>
                <w:sz w:val="20"/>
                <w:szCs w:val="20"/>
                <w:color w:val="auto"/>
              </w:rPr>
            </w:pPr>
            <w:r>
              <w:rPr>
                <w:rFonts w:ascii="Times New Roman" w:cs="Times New Roman" w:eastAsia="Times New Roman" w:hAnsi="Times New Roman"/>
                <w:sz w:val="22"/>
                <w:szCs w:val="22"/>
                <w:color w:val="auto"/>
              </w:rPr>
              <w:t>Special Matters Relating to COTS Software and End User License</w:t>
            </w:r>
          </w:p>
        </w:tc>
        <w:tc>
          <w:tcPr>
            <w:tcW w:w="1160" w:type="dxa"/>
            <w:vAlign w:val="bottom"/>
          </w:tcPr>
          <w:p>
            <w:pPr>
              <w:jc w:val="center"/>
              <w:ind w:left="492"/>
              <w:spacing w:after="0"/>
              <w:rPr>
                <w:sz w:val="20"/>
                <w:szCs w:val="20"/>
                <w:color w:val="auto"/>
              </w:rPr>
            </w:pPr>
            <w:r>
              <w:rPr>
                <w:rFonts w:ascii="Times New Roman" w:cs="Times New Roman" w:eastAsia="Times New Roman" w:hAnsi="Times New Roman"/>
                <w:sz w:val="22"/>
                <w:szCs w:val="22"/>
                <w:color w:val="auto"/>
                <w:w w:val="94"/>
              </w:rPr>
              <w:t>SA-3</w:t>
            </w:r>
          </w:p>
        </w:tc>
      </w:tr>
      <w:tr>
        <w:trPr>
          <w:trHeight w:val="297"/>
        </w:trPr>
        <w:tc>
          <w:tcPr>
            <w:tcW w:w="59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Agreements</w:t>
            </w:r>
          </w:p>
        </w:tc>
        <w:tc>
          <w:tcPr>
            <w:tcW w:w="1160" w:type="dxa"/>
            <w:vAlign w:val="bottom"/>
          </w:tcPr>
          <w:p>
            <w:pPr>
              <w:spacing w:after="0"/>
              <w:rPr>
                <w:sz w:val="24"/>
                <w:szCs w:val="24"/>
                <w:color w:val="auto"/>
              </w:rPr>
            </w:pPr>
          </w:p>
        </w:tc>
      </w:tr>
      <w:tr>
        <w:trPr>
          <w:trHeight w:val="432"/>
        </w:trPr>
        <w:tc>
          <w:tcPr>
            <w:tcW w:w="59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Miscellaneous Commitments for Model 787 Aircraft</w:t>
            </w:r>
          </w:p>
        </w:tc>
        <w:tc>
          <w:tcPr>
            <w:tcW w:w="1160" w:type="dxa"/>
            <w:vAlign w:val="bottom"/>
          </w:tcPr>
          <w:p>
            <w:pPr>
              <w:jc w:val="center"/>
              <w:ind w:left="492"/>
              <w:spacing w:after="0"/>
              <w:rPr>
                <w:sz w:val="20"/>
                <w:szCs w:val="20"/>
                <w:color w:val="auto"/>
              </w:rPr>
            </w:pPr>
            <w:r>
              <w:rPr>
                <w:rFonts w:ascii="Times New Roman" w:cs="Times New Roman" w:eastAsia="Times New Roman" w:hAnsi="Times New Roman"/>
                <w:sz w:val="22"/>
                <w:szCs w:val="22"/>
                <w:color w:val="auto"/>
                <w:w w:val="94"/>
              </w:rPr>
              <w:t>SA-3</w:t>
            </w:r>
          </w:p>
        </w:tc>
      </w:tr>
      <w:tr>
        <w:trPr>
          <w:trHeight w:val="432"/>
        </w:trPr>
        <w:tc>
          <w:tcPr>
            <w:tcW w:w="590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center"/>
              <w:ind w:left="492"/>
              <w:spacing w:after="0"/>
              <w:rPr>
                <w:sz w:val="20"/>
                <w:szCs w:val="20"/>
                <w:color w:val="auto"/>
              </w:rPr>
            </w:pPr>
            <w:r>
              <w:rPr>
                <w:rFonts w:ascii="Times New Roman" w:cs="Times New Roman" w:eastAsia="Times New Roman" w:hAnsi="Times New Roman"/>
                <w:sz w:val="22"/>
                <w:szCs w:val="22"/>
                <w:color w:val="auto"/>
                <w:w w:val="94"/>
              </w:rPr>
              <w:t>SA-3</w:t>
            </w:r>
          </w:p>
        </w:tc>
      </w:tr>
      <w:tr>
        <w:trPr>
          <w:trHeight w:val="378"/>
        </w:trPr>
        <w:tc>
          <w:tcPr>
            <w:tcW w:w="5900" w:type="dxa"/>
            <w:vAlign w:val="bottom"/>
          </w:tcPr>
          <w:p>
            <w:pPr>
              <w:spacing w:after="0"/>
              <w:rPr>
                <w:sz w:val="20"/>
                <w:szCs w:val="20"/>
                <w:color w:val="auto"/>
              </w:rPr>
            </w:pPr>
            <w:r>
              <w:rPr>
                <w:rFonts w:ascii="Times New Roman" w:cs="Times New Roman" w:eastAsia="Times New Roman" w:hAnsi="Times New Roman"/>
                <w:sz w:val="22"/>
                <w:szCs w:val="22"/>
                <w:color w:val="auto"/>
              </w:rPr>
              <w:t>WITHDRAWN</w:t>
            </w:r>
          </w:p>
        </w:tc>
        <w:tc>
          <w:tcPr>
            <w:tcW w:w="1160" w:type="dxa"/>
            <w:vAlign w:val="bottom"/>
          </w:tcPr>
          <w:p>
            <w:pPr>
              <w:spacing w:after="0"/>
              <w:rPr>
                <w:sz w:val="24"/>
                <w:szCs w:val="24"/>
                <w:color w:val="auto"/>
              </w:rPr>
            </w:pPr>
          </w:p>
        </w:tc>
      </w:tr>
      <w:tr>
        <w:trPr>
          <w:trHeight w:val="432"/>
        </w:trPr>
        <w:tc>
          <w:tcPr>
            <w:tcW w:w="590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1160" w:type="dxa"/>
            <w:vAlign w:val="bottom"/>
          </w:tcPr>
          <w:p>
            <w:pPr>
              <w:jc w:val="center"/>
              <w:ind w:left="492"/>
              <w:spacing w:after="0"/>
              <w:rPr>
                <w:sz w:val="20"/>
                <w:szCs w:val="20"/>
                <w:color w:val="auto"/>
              </w:rPr>
            </w:pPr>
            <w:r>
              <w:rPr>
                <w:rFonts w:ascii="Times New Roman" w:cs="Times New Roman" w:eastAsia="Times New Roman" w:hAnsi="Times New Roman"/>
                <w:sz w:val="22"/>
                <w:szCs w:val="22"/>
                <w:color w:val="auto"/>
                <w:w w:val="94"/>
              </w:rPr>
              <w:t>SA-3</w:t>
            </w:r>
          </w:p>
        </w:tc>
      </w:tr>
      <w:tr>
        <w:trPr>
          <w:trHeight w:val="432"/>
        </w:trPr>
        <w:tc>
          <w:tcPr>
            <w:tcW w:w="5900" w:type="dxa"/>
            <w:vAlign w:val="bottom"/>
          </w:tcPr>
          <w:p>
            <w:pPr>
              <w:spacing w:after="0"/>
              <w:rPr>
                <w:sz w:val="20"/>
                <w:szCs w:val="20"/>
                <w:color w:val="auto"/>
              </w:rPr>
            </w:pPr>
            <w:r>
              <w:rPr>
                <w:rFonts w:ascii="Times New Roman" w:cs="Times New Roman" w:eastAsia="Times New Roman" w:hAnsi="Times New Roman"/>
                <w:sz w:val="22"/>
                <w:szCs w:val="22"/>
                <w:color w:val="auto"/>
              </w:rPr>
              <w:t>Confidentiality</w:t>
            </w:r>
          </w:p>
        </w:tc>
        <w:tc>
          <w:tcPr>
            <w:tcW w:w="1160" w:type="dxa"/>
            <w:vAlign w:val="bottom"/>
          </w:tcPr>
          <w:p>
            <w:pPr>
              <w:jc w:val="center"/>
              <w:ind w:left="492"/>
              <w:spacing w:after="0"/>
              <w:rPr>
                <w:sz w:val="20"/>
                <w:szCs w:val="20"/>
                <w:color w:val="auto"/>
              </w:rPr>
            </w:pPr>
            <w:r>
              <w:rPr>
                <w:rFonts w:ascii="Times New Roman" w:cs="Times New Roman" w:eastAsia="Times New Roman" w:hAnsi="Times New Roman"/>
                <w:sz w:val="22"/>
                <w:szCs w:val="22"/>
                <w:color w:val="auto"/>
                <w:w w:val="94"/>
              </w:rPr>
              <w:t>SA-3</w:t>
            </w:r>
          </w:p>
        </w:tc>
      </w:tr>
      <w:tr>
        <w:trPr>
          <w:trHeight w:val="432"/>
        </w:trPr>
        <w:tc>
          <w:tcPr>
            <w:tcW w:w="5900" w:type="dxa"/>
            <w:vAlign w:val="bottom"/>
          </w:tcPr>
          <w:p>
            <w:pPr>
              <w:spacing w:after="0"/>
              <w:rPr>
                <w:sz w:val="20"/>
                <w:szCs w:val="20"/>
                <w:color w:val="auto"/>
              </w:rPr>
            </w:pPr>
            <w:r>
              <w:rPr>
                <w:rFonts w:ascii="Times New Roman" w:cs="Times New Roman" w:eastAsia="Times New Roman" w:hAnsi="Times New Roman"/>
                <w:sz w:val="22"/>
                <w:szCs w:val="22"/>
                <w:color w:val="auto"/>
              </w:rPr>
              <w:t>Business Considerations</w:t>
            </w:r>
          </w:p>
        </w:tc>
        <w:tc>
          <w:tcPr>
            <w:tcW w:w="1160" w:type="dxa"/>
            <w:vAlign w:val="bottom"/>
          </w:tcPr>
          <w:p>
            <w:pPr>
              <w:jc w:val="center"/>
              <w:ind w:left="492"/>
              <w:spacing w:after="0"/>
              <w:rPr>
                <w:sz w:val="20"/>
                <w:szCs w:val="20"/>
                <w:color w:val="auto"/>
              </w:rPr>
            </w:pPr>
            <w:r>
              <w:rPr>
                <w:rFonts w:ascii="Times New Roman" w:cs="Times New Roman" w:eastAsia="Times New Roman" w:hAnsi="Times New Roman"/>
                <w:sz w:val="22"/>
                <w:szCs w:val="22"/>
                <w:color w:val="auto"/>
                <w:w w:val="97"/>
              </w:rPr>
              <w:t>SA-20</w:t>
            </w:r>
          </w:p>
        </w:tc>
      </w:tr>
      <w:tr>
        <w:trPr>
          <w:trHeight w:val="432"/>
        </w:trPr>
        <w:tc>
          <w:tcPr>
            <w:tcW w:w="590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center"/>
              <w:ind w:left="492"/>
              <w:spacing w:after="0"/>
              <w:rPr>
                <w:sz w:val="20"/>
                <w:szCs w:val="20"/>
                <w:color w:val="auto"/>
              </w:rPr>
            </w:pPr>
            <w:r>
              <w:rPr>
                <w:rFonts w:ascii="Times New Roman" w:cs="Times New Roman" w:eastAsia="Times New Roman" w:hAnsi="Times New Roman"/>
                <w:sz w:val="22"/>
                <w:szCs w:val="22"/>
                <w:color w:val="auto"/>
                <w:w w:val="97"/>
              </w:rPr>
              <w:t>SA-11</w:t>
            </w:r>
          </w:p>
        </w:tc>
      </w:tr>
      <w:tr>
        <w:trPr>
          <w:trHeight w:val="432"/>
        </w:trPr>
        <w:tc>
          <w:tcPr>
            <w:tcW w:w="590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center"/>
              <w:ind w:left="492"/>
              <w:spacing w:after="0"/>
              <w:rPr>
                <w:sz w:val="20"/>
                <w:szCs w:val="20"/>
                <w:color w:val="auto"/>
              </w:rPr>
            </w:pPr>
            <w:r>
              <w:rPr>
                <w:rFonts w:ascii="Times New Roman" w:cs="Times New Roman" w:eastAsia="Times New Roman" w:hAnsi="Times New Roman"/>
                <w:sz w:val="22"/>
                <w:szCs w:val="22"/>
                <w:color w:val="auto"/>
                <w:w w:val="94"/>
              </w:rPr>
              <w:t>SA-6</w:t>
            </w:r>
          </w:p>
        </w:tc>
      </w:tr>
      <w:tr>
        <w:trPr>
          <w:trHeight w:val="432"/>
        </w:trPr>
        <w:tc>
          <w:tcPr>
            <w:tcW w:w="590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center"/>
              <w:ind w:left="492"/>
              <w:spacing w:after="0"/>
              <w:rPr>
                <w:sz w:val="20"/>
                <w:szCs w:val="20"/>
                <w:color w:val="auto"/>
              </w:rPr>
            </w:pPr>
            <w:r>
              <w:rPr>
                <w:rFonts w:ascii="Times New Roman" w:cs="Times New Roman" w:eastAsia="Times New Roman" w:hAnsi="Times New Roman"/>
                <w:sz w:val="22"/>
                <w:szCs w:val="22"/>
                <w:color w:val="auto"/>
                <w:w w:val="94"/>
              </w:rPr>
              <w:t>SA-3</w:t>
            </w:r>
          </w:p>
        </w:tc>
      </w:tr>
      <w:tr>
        <w:trPr>
          <w:trHeight w:val="810"/>
        </w:trPr>
        <w:tc>
          <w:tcPr>
            <w:tcW w:w="590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center"/>
              <w:ind w:left="492"/>
              <w:spacing w:after="0"/>
              <w:rPr>
                <w:sz w:val="20"/>
                <w:szCs w:val="20"/>
                <w:color w:val="auto"/>
              </w:rPr>
            </w:pPr>
            <w:r>
              <w:rPr>
                <w:rFonts w:ascii="Times New Roman" w:cs="Times New Roman" w:eastAsia="Times New Roman" w:hAnsi="Times New Roman"/>
                <w:sz w:val="22"/>
                <w:szCs w:val="22"/>
                <w:color w:val="auto"/>
                <w:w w:val="94"/>
              </w:rPr>
              <w:t>SA-3</w:t>
            </w:r>
          </w:p>
        </w:tc>
      </w:tr>
      <w:tr>
        <w:trPr>
          <w:trHeight w:val="432"/>
        </w:trPr>
        <w:tc>
          <w:tcPr>
            <w:tcW w:w="590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center"/>
              <w:ind w:left="492"/>
              <w:spacing w:after="0"/>
              <w:rPr>
                <w:sz w:val="20"/>
                <w:szCs w:val="20"/>
                <w:color w:val="auto"/>
              </w:rPr>
            </w:pPr>
            <w:r>
              <w:rPr>
                <w:rFonts w:ascii="Times New Roman" w:cs="Times New Roman" w:eastAsia="Times New Roman" w:hAnsi="Times New Roman"/>
                <w:sz w:val="22"/>
                <w:szCs w:val="22"/>
                <w:color w:val="auto"/>
                <w:w w:val="97"/>
              </w:rPr>
              <w:t>SA-13</w:t>
            </w:r>
          </w:p>
        </w:tc>
      </w:tr>
      <w:tr>
        <w:trPr>
          <w:trHeight w:val="432"/>
        </w:trPr>
        <w:tc>
          <w:tcPr>
            <w:tcW w:w="5900" w:type="dxa"/>
            <w:vAlign w:val="bottom"/>
          </w:tcPr>
          <w:p>
            <w:pPr>
              <w:spacing w:after="0"/>
              <w:rPr>
                <w:sz w:val="20"/>
                <w:szCs w:val="20"/>
                <w:color w:val="auto"/>
              </w:rPr>
            </w:pPr>
            <w:r>
              <w:rPr>
                <w:rFonts w:ascii="Times New Roman" w:cs="Times New Roman" w:eastAsia="Times New Roman" w:hAnsi="Times New Roman"/>
                <w:sz w:val="22"/>
                <w:szCs w:val="22"/>
                <w:color w:val="auto"/>
              </w:rPr>
              <w:t>787 Business Matters</w:t>
            </w:r>
          </w:p>
        </w:tc>
        <w:tc>
          <w:tcPr>
            <w:tcW w:w="1160" w:type="dxa"/>
            <w:vAlign w:val="bottom"/>
          </w:tcPr>
          <w:p>
            <w:pPr>
              <w:jc w:val="center"/>
              <w:ind w:left="492"/>
              <w:spacing w:after="0"/>
              <w:rPr>
                <w:sz w:val="20"/>
                <w:szCs w:val="20"/>
                <w:color w:val="auto"/>
              </w:rPr>
            </w:pPr>
            <w:r>
              <w:rPr>
                <w:rFonts w:ascii="Times New Roman" w:cs="Times New Roman" w:eastAsia="Times New Roman" w:hAnsi="Times New Roman"/>
                <w:sz w:val="22"/>
                <w:szCs w:val="22"/>
                <w:color w:val="auto"/>
                <w:w w:val="94"/>
              </w:rPr>
              <w:t>SA-8</w:t>
            </w:r>
          </w:p>
        </w:tc>
      </w:tr>
      <w:tr>
        <w:trPr>
          <w:trHeight w:val="432"/>
        </w:trPr>
        <w:tc>
          <w:tcPr>
            <w:tcW w:w="590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center"/>
              <w:ind w:left="492"/>
              <w:spacing w:after="0"/>
              <w:rPr>
                <w:sz w:val="20"/>
                <w:szCs w:val="20"/>
                <w:color w:val="auto"/>
              </w:rPr>
            </w:pPr>
            <w:r>
              <w:rPr>
                <w:rFonts w:ascii="Times New Roman" w:cs="Times New Roman" w:eastAsia="Times New Roman" w:hAnsi="Times New Roman"/>
                <w:sz w:val="22"/>
                <w:szCs w:val="22"/>
                <w:color w:val="auto"/>
                <w:w w:val="97"/>
              </w:rPr>
              <w:t>SA-10</w:t>
            </w:r>
          </w:p>
        </w:tc>
      </w:tr>
      <w:tr>
        <w:trPr>
          <w:trHeight w:val="432"/>
        </w:trPr>
        <w:tc>
          <w:tcPr>
            <w:tcW w:w="590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SA-20</w:t>
            </w:r>
          </w:p>
        </w:tc>
      </w:tr>
      <w:tr>
        <w:trPr>
          <w:trHeight w:val="432"/>
        </w:trPr>
        <w:tc>
          <w:tcPr>
            <w:tcW w:w="590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SA-12</w:t>
            </w:r>
          </w:p>
        </w:tc>
      </w:tr>
      <w:tr>
        <w:trPr>
          <w:trHeight w:val="432"/>
        </w:trPr>
        <w:tc>
          <w:tcPr>
            <w:tcW w:w="59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Open Configuration Matters</w:t>
            </w:r>
          </w:p>
        </w:tc>
        <w:tc>
          <w:tcPr>
            <w:tcW w:w="1160" w:type="dxa"/>
            <w:vAlign w:val="bottom"/>
          </w:tcPr>
          <w:p>
            <w:pPr>
              <w:jc w:val="center"/>
              <w:ind w:left="472"/>
              <w:spacing w:after="0"/>
              <w:rPr>
                <w:sz w:val="20"/>
                <w:szCs w:val="20"/>
                <w:color w:val="auto"/>
              </w:rPr>
            </w:pPr>
            <w:r>
              <w:rPr>
                <w:rFonts w:ascii="Times New Roman" w:cs="Times New Roman" w:eastAsia="Times New Roman" w:hAnsi="Times New Roman"/>
                <w:sz w:val="22"/>
                <w:szCs w:val="22"/>
                <w:color w:val="auto"/>
                <w:w w:val="93"/>
              </w:rPr>
              <w:t>SA-11</w:t>
            </w:r>
          </w:p>
        </w:tc>
      </w:tr>
      <w:tr>
        <w:trPr>
          <w:trHeight w:val="440"/>
        </w:trPr>
        <w:tc>
          <w:tcPr>
            <w:tcW w:w="59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center"/>
              <w:ind w:left="492"/>
              <w:spacing w:after="0"/>
              <w:rPr>
                <w:sz w:val="20"/>
                <w:szCs w:val="20"/>
                <w:color w:val="auto"/>
              </w:rPr>
            </w:pPr>
            <w:r>
              <w:rPr>
                <w:rFonts w:ascii="Times New Roman" w:cs="Times New Roman" w:eastAsia="Times New Roman" w:hAnsi="Times New Roman"/>
                <w:sz w:val="22"/>
                <w:szCs w:val="22"/>
                <w:color w:val="auto"/>
                <w:w w:val="97"/>
              </w:rPr>
              <w:t>SA-15</w:t>
            </w:r>
          </w:p>
        </w:tc>
      </w:tr>
      <w:tr>
        <w:trPr>
          <w:trHeight w:val="445"/>
        </w:trPr>
        <w:tc>
          <w:tcPr>
            <w:tcW w:w="59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center"/>
              <w:ind w:left="492"/>
              <w:spacing w:after="0"/>
              <w:rPr>
                <w:sz w:val="20"/>
                <w:szCs w:val="20"/>
                <w:color w:val="auto"/>
              </w:rPr>
            </w:pPr>
            <w:r>
              <w:rPr>
                <w:rFonts w:ascii="Times New Roman" w:cs="Times New Roman" w:eastAsia="Times New Roman" w:hAnsi="Times New Roman"/>
                <w:sz w:val="22"/>
                <w:szCs w:val="22"/>
                <w:color w:val="auto"/>
                <w:w w:val="97"/>
              </w:rPr>
              <w:t>SA-20</w:t>
            </w:r>
          </w:p>
        </w:tc>
      </w:tr>
      <w:tr>
        <w:trPr>
          <w:trHeight w:val="451"/>
        </w:trPr>
        <w:tc>
          <w:tcPr>
            <w:tcW w:w="59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center"/>
              <w:ind w:left="492"/>
              <w:spacing w:after="0"/>
              <w:rPr>
                <w:sz w:val="20"/>
                <w:szCs w:val="20"/>
                <w:color w:val="auto"/>
              </w:rPr>
            </w:pPr>
            <w:r>
              <w:rPr>
                <w:rFonts w:ascii="Times New Roman" w:cs="Times New Roman" w:eastAsia="Times New Roman" w:hAnsi="Times New Roman"/>
                <w:sz w:val="22"/>
                <w:szCs w:val="22"/>
                <w:color w:val="auto"/>
                <w:w w:val="97"/>
              </w:rPr>
              <w:t>SA-16</w:t>
            </w:r>
          </w:p>
        </w:tc>
      </w:tr>
      <w:tr>
        <w:trPr>
          <w:trHeight w:val="459"/>
        </w:trPr>
        <w:tc>
          <w:tcPr>
            <w:tcW w:w="59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center"/>
              <w:ind w:left="492"/>
              <w:spacing w:after="0"/>
              <w:rPr>
                <w:sz w:val="20"/>
                <w:szCs w:val="20"/>
                <w:color w:val="auto"/>
              </w:rPr>
            </w:pPr>
            <w:r>
              <w:rPr>
                <w:rFonts w:ascii="Times New Roman" w:cs="Times New Roman" w:eastAsia="Times New Roman" w:hAnsi="Times New Roman"/>
                <w:sz w:val="22"/>
                <w:szCs w:val="22"/>
                <w:color w:val="auto"/>
                <w:w w:val="97"/>
              </w:rPr>
              <w:t>SA-18</w:t>
            </w: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tabs>
          <w:tab w:leader="none" w:pos="540" w:val="left"/>
        </w:tabs>
        <w:rPr>
          <w:sz w:val="20"/>
          <w:szCs w:val="20"/>
          <w:color w:val="auto"/>
        </w:rPr>
      </w:pPr>
      <w:r>
        <w:rPr>
          <w:rFonts w:ascii="Times New Roman" w:cs="Times New Roman" w:eastAsia="Times New Roman" w:hAnsi="Times New Roman"/>
          <w:sz w:val="22"/>
          <w:szCs w:val="22"/>
          <w:color w:val="auto"/>
        </w:rPr>
        <w:t>P.A. No. 3219</w:t>
      </w:r>
      <w:r>
        <w:rPr>
          <w:sz w:val="20"/>
          <w:szCs w:val="20"/>
          <w:color w:val="auto"/>
        </w:rPr>
        <w:tab/>
      </w:r>
      <w:r>
        <w:rPr>
          <w:rFonts w:ascii="Times New Roman" w:cs="Times New Roman" w:eastAsia="Times New Roman" w:hAnsi="Times New Roman"/>
          <w:sz w:val="21"/>
          <w:szCs w:val="21"/>
          <w:color w:val="auto"/>
        </w:rPr>
        <w:t>SA-22</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BOEING AND AMERICAN PROPRIETARY</w:t>
      </w:r>
    </w:p>
    <w:p>
      <w:pPr>
        <w:sectPr>
          <w:pgSz w:w="11900" w:h="16838" w:orient="portrait"/>
          <w:cols w:equalWidth="0" w:num="2">
            <w:col w:w="2960" w:space="540"/>
            <w:col w:w="7740"/>
          </w:cols>
          <w:pgMar w:left="320" w:top="355" w:right="339" w:bottom="1440" w:gutter="0" w:footer="0" w:header="0"/>
          <w:type w:val="continuous"/>
        </w:sectPr>
      </w:pPr>
    </w:p>
    <w:bookmarkStart w:id="61" w:name="page62"/>
    <w:bookmarkEnd w:id="6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AAL-PA-03219-LA-2302901</w:t>
      </w:r>
    </w:p>
    <w:p>
      <w:pPr>
        <w:spacing w:after="0" w:line="20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auto"/>
        </w:rPr>
        <w:t>AAL-PA-03219-LA-2303491R1</w:t>
      </w:r>
    </w:p>
    <w:p>
      <w:pPr>
        <w:spacing w:after="0" w:line="2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b w:val="1"/>
          <w:bCs w:val="1"/>
          <w:color w:val="auto"/>
        </w:rPr>
        <w:t>AAL-PA-3219-LA-2500155</w:t>
      </w:r>
    </w:p>
    <w:p>
      <w:pPr>
        <w:spacing w:after="0" w:line="200" w:lineRule="exact"/>
        <w:rPr>
          <w:sz w:val="20"/>
          <w:szCs w:val="20"/>
          <w:color w:val="auto"/>
        </w:rPr>
      </w:pPr>
    </w:p>
    <w:p>
      <w:pPr>
        <w:spacing w:after="0" w:line="3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u w:val="single" w:color="auto"/>
          <w:color w:val="auto"/>
        </w:rPr>
        <w:t>ATTACHMENTS</w:t>
      </w:r>
    </w:p>
    <w:p>
      <w:pPr>
        <w:spacing w:after="0" w:line="18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Attachment 1</w:t>
      </w:r>
    </w:p>
    <w:p>
      <w:pPr>
        <w:spacing w:after="0" w:line="20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Attachment 2</w:t>
      </w:r>
    </w:p>
    <w:p>
      <w:pPr>
        <w:spacing w:after="0" w:line="20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Attachment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2000" w:val="left"/>
        </w:tabs>
        <w:rPr>
          <w:sz w:val="20"/>
          <w:szCs w:val="20"/>
          <w:color w:val="auto"/>
        </w:rPr>
      </w:pPr>
      <w:r>
        <w:rPr>
          <w:rFonts w:ascii="Times New Roman" w:cs="Times New Roman" w:eastAsia="Times New Roman" w:hAnsi="Times New Roman"/>
          <w:sz w:val="22"/>
          <w:szCs w:val="22"/>
          <w:color w:val="auto"/>
        </w:rPr>
        <w:t>Table of Contents</w:t>
      </w:r>
      <w:r>
        <w:rPr>
          <w:sz w:val="20"/>
          <w:szCs w:val="20"/>
          <w:color w:val="auto"/>
        </w:rPr>
        <w:tab/>
      </w:r>
      <w:r>
        <w:rPr>
          <w:rFonts w:ascii="Times New Roman" w:cs="Times New Roman" w:eastAsia="Times New Roman" w:hAnsi="Times New Roman"/>
          <w:sz w:val="21"/>
          <w:szCs w:val="21"/>
          <w:color w:val="auto"/>
        </w:rPr>
        <w:t>Page 4</w:t>
      </w:r>
    </w:p>
    <w:p>
      <w:pPr>
        <w:spacing w:after="0" w:line="20" w:lineRule="exact"/>
        <w:rPr>
          <w:sz w:val="20"/>
          <w:szCs w:val="20"/>
          <w:color w:val="auto"/>
        </w:rPr>
      </w:pPr>
      <w:r>
        <w:rPr>
          <w:sz w:val="20"/>
          <w:szCs w:val="20"/>
          <w:color w:val="auto"/>
        </w:rPr>
        <w:br w:type="column"/>
      </w:r>
    </w:p>
    <w:p>
      <w:pPr>
        <w:ind w:left="540"/>
        <w:spacing w:after="0"/>
        <w:rPr>
          <w:sz w:val="20"/>
          <w:szCs w:val="20"/>
          <w:color w:val="auto"/>
        </w:rPr>
      </w:pPr>
      <w:r>
        <w:rPr>
          <w:rFonts w:ascii="Times New Roman" w:cs="Times New Roman" w:eastAsia="Times New Roman" w:hAnsi="Times New Roman"/>
          <w:sz w:val="22"/>
          <w:szCs w:val="22"/>
          <w:color w:val="auto"/>
        </w:rPr>
        <w:t>TABLE OF CONTENTS,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Special Matters- [****]</w:t>
      </w:r>
    </w:p>
    <w:p>
      <w:pPr>
        <w:spacing w:after="0" w:line="1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Special Matters – [****]</w:t>
      </w:r>
    </w:p>
    <w:p>
      <w:pPr>
        <w:spacing w:after="0" w:line="1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00" w:right="1240"/>
        <w:spacing w:after="0" w:line="474" w:lineRule="auto"/>
        <w:rPr>
          <w:sz w:val="20"/>
          <w:szCs w:val="20"/>
          <w:color w:val="auto"/>
        </w:rPr>
      </w:pPr>
      <w:r>
        <w:rPr>
          <w:rFonts w:ascii="Times New Roman" w:cs="Times New Roman" w:eastAsia="Times New Roman" w:hAnsi="Times New Roman"/>
          <w:sz w:val="19"/>
          <w:szCs w:val="19"/>
          <w:color w:val="auto"/>
        </w:rPr>
        <w:t>Schedule for [****] of 787-9 MADP Rights Schedule for [****] of 787-9 QADP Rights</w:t>
      </w:r>
    </w:p>
    <w:p>
      <w:pPr>
        <w:spacing w:after="0" w:line="1" w:lineRule="exact"/>
        <w:rPr>
          <w:sz w:val="20"/>
          <w:szCs w:val="20"/>
          <w:color w:val="auto"/>
        </w:rPr>
      </w:pPr>
    </w:p>
    <w:p>
      <w:pPr>
        <w:jc w:val="center"/>
        <w:ind w:left="-139"/>
        <w:spacing w:after="0"/>
        <w:rPr>
          <w:sz w:val="20"/>
          <w:szCs w:val="20"/>
          <w:color w:val="auto"/>
        </w:rPr>
      </w:pPr>
      <w:r>
        <w:rPr>
          <w:rFonts w:ascii="Times New Roman" w:cs="Times New Roman" w:eastAsia="Times New Roman" w:hAnsi="Times New Roman"/>
          <w:sz w:val="19"/>
          <w:szCs w:val="19"/>
          <w:color w:val="auto"/>
        </w:rPr>
        <w:t>787-9 Purchase Rights Aircraft [****] Delivery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BOEING AND AMERICAN PROPRIETARY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2"/>
          <w:szCs w:val="22"/>
          <w:color w:val="auto"/>
        </w:rPr>
        <w:t>SA-19</w:t>
      </w:r>
    </w:p>
    <w:p>
      <w:pPr>
        <w:spacing w:after="0" w:line="12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2"/>
          <w:szCs w:val="22"/>
          <w:color w:val="auto"/>
        </w:rPr>
        <w:t>SA-21</w:t>
      </w:r>
    </w:p>
    <w:p>
      <w:pPr>
        <w:spacing w:after="0" w:line="12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2"/>
          <w:szCs w:val="22"/>
          <w:b w:val="1"/>
          <w:bCs w:val="1"/>
          <w:color w:val="auto"/>
        </w:rPr>
        <w:t>SA-22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SA-11</w:t>
      </w:r>
    </w:p>
    <w:p>
      <w:pPr>
        <w:spacing w:after="0" w:line="17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SA-11</w:t>
      </w:r>
    </w:p>
    <w:p>
      <w:pPr>
        <w:spacing w:after="0" w:line="17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SA-11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2"/>
          <w:szCs w:val="22"/>
          <w:color w:val="auto"/>
        </w:rPr>
        <w:t>P.A. No. 3219</w:t>
      </w:r>
      <w:r>
        <w:rPr>
          <w:sz w:val="20"/>
          <w:szCs w:val="20"/>
          <w:color w:val="auto"/>
        </w:rPr>
        <w:tab/>
      </w:r>
      <w:r>
        <w:rPr>
          <w:rFonts w:ascii="Times New Roman" w:cs="Times New Roman" w:eastAsia="Times New Roman" w:hAnsi="Times New Roman"/>
          <w:sz w:val="21"/>
          <w:szCs w:val="21"/>
          <w:color w:val="auto"/>
        </w:rPr>
        <w:t>SA-22</w:t>
      </w:r>
    </w:p>
    <w:p>
      <w:pPr>
        <w:sectPr>
          <w:pgSz w:w="11900" w:h="16838" w:orient="portrait"/>
          <w:cols w:equalWidth="0" w:num="3">
            <w:col w:w="2960" w:space="540"/>
            <w:col w:w="5020" w:space="720"/>
            <w:col w:w="2000"/>
          </w:cols>
          <w:pgMar w:left="320" w:top="355" w:right="339" w:bottom="1440" w:gutter="0" w:footer="0" w:header="0"/>
        </w:sectPr>
      </w:pPr>
    </w:p>
    <w:bookmarkStart w:id="62" w:name="page63"/>
    <w:bookmarkEnd w:id="62"/>
    <w:p>
      <w:pPr>
        <w:ind w:left="2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60195" cy="3600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clrChange>
                        <a:clrFrom>
                          <a:srgbClr val="FFFFFF"/>
                        </a:clrFrom>
                        <a:clrTo>
                          <a:srgbClr val="FFFFFF">
                            <a:alpha val="0"/>
                          </a:srgbClr>
                        </a:clrTo>
                      </a:clrChange>
                      <a:extLst>
                        <a:ext uri="{28A0092B-C50C-407E-A947-70E740481C1C}"/>
                      </a:extLst>
                    </a:blip>
                    <a:srcRect/>
                    <a:stretch>
                      <a:fillRect/>
                    </a:stretch>
                  </pic:blipFill>
                  <pic:spPr bwMode="auto">
                    <a:xfrm>
                      <a:off x="0" y="0"/>
                      <a:ext cx="1560195" cy="360045"/>
                    </a:xfrm>
                    <a:prstGeom prst="rect">
                      <a:avLst/>
                    </a:prstGeom>
                    <a:noFill/>
                  </pic:spPr>
                </pic:pic>
              </a:graphicData>
            </a:graphic>
          </wp:anchor>
        </w:drawing>
        <w:t>The Boeing Company</w: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P.O. Box 3707</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Seattle, WA 98124 2207</w:t>
      </w: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color w:val="auto"/>
        </w:rPr>
        <w:t>AAL-PA-3219-LA-2500155</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American Airlines, Inc.</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P.O. Box 619616</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Dallas-Fort Worth Airport, Texas 75261-9616</w:t>
      </w:r>
    </w:p>
    <w:p>
      <w:pPr>
        <w:spacing w:after="0" w:line="206"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color w:val="auto"/>
        </w:rPr>
        <w:t>Subject:</w:t>
        <w:tab/>
        <w:t>787 [****] and [****]</w:t>
      </w:r>
    </w:p>
    <w:p>
      <w:pPr>
        <w:spacing w:after="0" w:line="204" w:lineRule="exact"/>
        <w:rPr>
          <w:sz w:val="20"/>
          <w:szCs w:val="20"/>
          <w:color w:val="auto"/>
        </w:rPr>
      </w:pPr>
    </w:p>
    <w:p>
      <w:pPr>
        <w:ind w:left="1300" w:right="20" w:hanging="1295"/>
        <w:spacing w:after="0" w:line="288" w:lineRule="auto"/>
        <w:tabs>
          <w:tab w:leader="none" w:pos="1280" w:val="left"/>
        </w:tabs>
        <w:rPr>
          <w:sz w:val="20"/>
          <w:szCs w:val="20"/>
          <w:color w:val="auto"/>
        </w:rPr>
      </w:pPr>
      <w:r>
        <w:rPr>
          <w:rFonts w:ascii="Arial" w:cs="Arial" w:eastAsia="Arial" w:hAnsi="Arial"/>
          <w:sz w:val="22"/>
          <w:szCs w:val="22"/>
          <w:color w:val="auto"/>
        </w:rPr>
        <w:t>References:</w:t>
        <w:tab/>
        <w:t>a) Purchase Agreement No. 3219 (</w:t>
      </w:r>
      <w:r>
        <w:rPr>
          <w:rFonts w:ascii="Arial" w:cs="Arial" w:eastAsia="Arial" w:hAnsi="Arial"/>
          <w:sz w:val="22"/>
          <w:szCs w:val="22"/>
          <w:b w:val="1"/>
          <w:bCs w:val="1"/>
          <w:color w:val="auto"/>
        </w:rPr>
        <w:t>Purchase Agreement</w:t>
      </w:r>
      <w:r>
        <w:rPr>
          <w:rFonts w:ascii="Arial" w:cs="Arial" w:eastAsia="Arial" w:hAnsi="Arial"/>
          <w:sz w:val="22"/>
          <w:szCs w:val="22"/>
          <w:color w:val="auto"/>
        </w:rPr>
        <w:t>) between American Airlines, Inc. (</w:t>
      </w:r>
      <w:r>
        <w:rPr>
          <w:rFonts w:ascii="Arial" w:cs="Arial" w:eastAsia="Arial" w:hAnsi="Arial"/>
          <w:sz w:val="22"/>
          <w:szCs w:val="22"/>
          <w:b w:val="1"/>
          <w:bCs w:val="1"/>
          <w:color w:val="auto"/>
        </w:rPr>
        <w:t>Customer</w:t>
      </w:r>
      <w:r>
        <w:rPr>
          <w:rFonts w:ascii="Arial" w:cs="Arial" w:eastAsia="Arial" w:hAnsi="Arial"/>
          <w:sz w:val="22"/>
          <w:szCs w:val="22"/>
          <w:color w:val="auto"/>
        </w:rPr>
        <w:t>) and The Boeing Company (</w:t>
      </w:r>
      <w:r>
        <w:rPr>
          <w:rFonts w:ascii="Arial" w:cs="Arial" w:eastAsia="Arial" w:hAnsi="Arial"/>
          <w:sz w:val="22"/>
          <w:szCs w:val="22"/>
          <w:b w:val="1"/>
          <w:bCs w:val="1"/>
          <w:color w:val="auto"/>
        </w:rPr>
        <w:t>Boeing</w:t>
      </w:r>
      <w:r>
        <w:rPr>
          <w:rFonts w:ascii="Arial" w:cs="Arial" w:eastAsia="Arial" w:hAnsi="Arial"/>
          <w:sz w:val="22"/>
          <w:szCs w:val="22"/>
          <w:color w:val="auto"/>
        </w:rPr>
        <w:t>) relating to Boeing model 787 aircraft (</w:t>
      </w:r>
      <w:r>
        <w:rPr>
          <w:rFonts w:ascii="Arial" w:cs="Arial" w:eastAsia="Arial" w:hAnsi="Arial"/>
          <w:sz w:val="22"/>
          <w:szCs w:val="22"/>
          <w:b w:val="1"/>
          <w:bCs w:val="1"/>
          <w:color w:val="auto"/>
        </w:rPr>
        <w:t>Aircraft</w:t>
      </w:r>
      <w:r>
        <w:rPr>
          <w:rFonts w:ascii="Arial" w:cs="Arial" w:eastAsia="Arial" w:hAnsi="Arial"/>
          <w:sz w:val="22"/>
          <w:szCs w:val="22"/>
          <w:color w:val="auto"/>
        </w:rPr>
        <w:t>)</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22"/>
          <w:szCs w:val="22"/>
          <w:color w:val="auto"/>
        </w:rPr>
        <w:t>b) Aircraft General Terms Agreement No. AGTA-AAL (</w:t>
      </w:r>
      <w:r>
        <w:rPr>
          <w:rFonts w:ascii="Arial" w:cs="Arial" w:eastAsia="Arial" w:hAnsi="Arial"/>
          <w:sz w:val="22"/>
          <w:szCs w:val="22"/>
          <w:b w:val="1"/>
          <w:bCs w:val="1"/>
          <w:color w:val="auto"/>
        </w:rPr>
        <w:t>AGTA</w:t>
      </w:r>
      <w:r>
        <w:rPr>
          <w:rFonts w:ascii="Arial" w:cs="Arial" w:eastAsia="Arial" w:hAnsi="Arial"/>
          <w:sz w:val="22"/>
          <w:szCs w:val="22"/>
          <w:color w:val="auto"/>
        </w:rPr>
        <w:t>) between (</w:t>
      </w:r>
      <w:r>
        <w:rPr>
          <w:rFonts w:ascii="Arial" w:cs="Arial" w:eastAsia="Arial" w:hAnsi="Arial"/>
          <w:sz w:val="22"/>
          <w:szCs w:val="22"/>
          <w:b w:val="1"/>
          <w:bCs w:val="1"/>
          <w:color w:val="auto"/>
        </w:rPr>
        <w:t>Customer</w:t>
      </w:r>
      <w:r>
        <w:rPr>
          <w:rFonts w:ascii="Arial" w:cs="Arial" w:eastAsia="Arial" w:hAnsi="Arial"/>
          <w:sz w:val="22"/>
          <w:szCs w:val="22"/>
          <w:color w:val="auto"/>
        </w:rPr>
        <w:t>) and (</w:t>
      </w:r>
      <w:r>
        <w:rPr>
          <w:rFonts w:ascii="Arial" w:cs="Arial" w:eastAsia="Arial" w:hAnsi="Arial"/>
          <w:sz w:val="22"/>
          <w:szCs w:val="22"/>
          <w:b w:val="1"/>
          <w:bCs w:val="1"/>
          <w:color w:val="auto"/>
        </w:rPr>
        <w:t>Boeing</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letter agreement and the attachments hereto (</w:t>
      </w:r>
      <w:r>
        <w:rPr>
          <w:rFonts w:ascii="Arial" w:cs="Arial" w:eastAsia="Arial" w:hAnsi="Arial"/>
          <w:sz w:val="22"/>
          <w:szCs w:val="22"/>
          <w:b w:val="1"/>
          <w:bCs w:val="1"/>
          <w:color w:val="auto"/>
        </w:rPr>
        <w:t>Letter Agreement</w:t>
      </w:r>
      <w:r>
        <w:rPr>
          <w:rFonts w:ascii="Arial" w:cs="Arial" w:eastAsia="Arial" w:hAnsi="Arial"/>
          <w:sz w:val="22"/>
          <w:szCs w:val="22"/>
          <w:color w:val="auto"/>
        </w:rPr>
        <w:t>) amends</w:t>
      </w:r>
    </w:p>
    <w:p>
      <w:pPr>
        <w:spacing w:after="0" w:line="46" w:lineRule="exact"/>
        <w:rPr>
          <w:sz w:val="20"/>
          <w:szCs w:val="20"/>
          <w:color w:val="auto"/>
        </w:rPr>
      </w:pPr>
    </w:p>
    <w:p>
      <w:pPr>
        <w:ind w:right="560"/>
        <w:spacing w:after="0" w:line="323" w:lineRule="auto"/>
        <w:rPr>
          <w:sz w:val="20"/>
          <w:szCs w:val="20"/>
          <w:color w:val="auto"/>
        </w:rPr>
      </w:pPr>
      <w:r>
        <w:rPr>
          <w:rFonts w:ascii="Arial" w:cs="Arial" w:eastAsia="Arial" w:hAnsi="Arial"/>
          <w:sz w:val="22"/>
          <w:szCs w:val="22"/>
          <w:color w:val="auto"/>
        </w:rPr>
        <w:t>and supplements the Purchase Agreement. All terms used but not defined in this Letter Agreement will have the same meaning as in the Purchase Agreement.</w:t>
      </w:r>
    </w:p>
    <w:p>
      <w:pPr>
        <w:spacing w:after="0" w:line="168" w:lineRule="exact"/>
        <w:rPr>
          <w:sz w:val="20"/>
          <w:szCs w:val="20"/>
          <w:color w:val="auto"/>
        </w:rPr>
      </w:pPr>
    </w:p>
    <w:p>
      <w:pPr>
        <w:ind w:right="580" w:firstLine="648"/>
        <w:spacing w:after="0" w:line="312" w:lineRule="auto"/>
        <w:rPr>
          <w:sz w:val="20"/>
          <w:szCs w:val="20"/>
          <w:color w:val="auto"/>
        </w:rPr>
      </w:pPr>
      <w:r>
        <w:rPr>
          <w:rFonts w:ascii="Arial" w:cs="Arial" w:eastAsia="Arial" w:hAnsi="Arial"/>
          <w:sz w:val="22"/>
          <w:szCs w:val="22"/>
          <w:color w:val="auto"/>
        </w:rPr>
        <w:t>For the purposes of this Letter Agreement, “</w:t>
      </w:r>
      <w:r>
        <w:rPr>
          <w:rFonts w:ascii="Arial" w:cs="Arial" w:eastAsia="Arial" w:hAnsi="Arial"/>
          <w:sz w:val="22"/>
          <w:szCs w:val="22"/>
          <w:b w:val="1"/>
          <w:bCs w:val="1"/>
          <w:color w:val="auto"/>
        </w:rPr>
        <w:t>Covered Aircraft</w:t>
      </w:r>
      <w:r>
        <w:rPr>
          <w:rFonts w:ascii="Arial" w:cs="Arial" w:eastAsia="Arial" w:hAnsi="Arial"/>
          <w:sz w:val="22"/>
          <w:szCs w:val="22"/>
          <w:color w:val="auto"/>
        </w:rPr>
        <w:t>” is defined as the [****] Aircraft identified in Attachment A to this Letter Agreement.</w:t>
      </w:r>
    </w:p>
    <w:p>
      <w:pPr>
        <w:spacing w:after="0" w:line="249" w:lineRule="exact"/>
        <w:rPr>
          <w:sz w:val="20"/>
          <w:szCs w:val="20"/>
          <w:color w:val="auto"/>
        </w:rPr>
      </w:pPr>
    </w:p>
    <w:p>
      <w:pPr>
        <w:ind w:left="640" w:hanging="632"/>
        <w:spacing w:after="0"/>
        <w:tabs>
          <w:tab w:leader="none" w:pos="640"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w:t>
      </w:r>
      <w:r>
        <w:rPr>
          <w:rFonts w:ascii="Arial" w:cs="Arial" w:eastAsia="Arial" w:hAnsi="Arial"/>
          <w:sz w:val="22"/>
          <w:szCs w:val="22"/>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Boeing will [****] described in this Letter Agreement to Customer to [****] for:</w:t>
      </w:r>
    </w:p>
    <w:p>
      <w:pPr>
        <w:spacing w:after="0" w:line="125" w:lineRule="exact"/>
        <w:rPr>
          <w:sz w:val="20"/>
          <w:szCs w:val="20"/>
          <w:color w:val="auto"/>
        </w:rPr>
      </w:pPr>
    </w:p>
    <w:p>
      <w:pPr>
        <w:ind w:left="1940" w:hanging="636"/>
        <w:spacing w:after="0"/>
        <w:tabs>
          <w:tab w:leader="none" w:pos="1940" w:val="left"/>
        </w:tabs>
        <w:numPr>
          <w:ilvl w:val="0"/>
          <w:numId w:val="47"/>
        </w:numPr>
        <w:rPr>
          <w:rFonts w:ascii="Arial" w:cs="Arial" w:eastAsia="Arial" w:hAnsi="Arial"/>
          <w:sz w:val="22"/>
          <w:szCs w:val="22"/>
          <w:color w:val="auto"/>
        </w:rPr>
      </w:pPr>
      <w:r>
        <w:rPr>
          <w:rFonts w:ascii="Arial" w:cs="Arial" w:eastAsia="Arial" w:hAnsi="Arial"/>
          <w:sz w:val="22"/>
          <w:szCs w:val="22"/>
          <w:color w:val="auto"/>
        </w:rPr>
        <w:t>[****]; and</w:t>
      </w:r>
    </w:p>
    <w:p>
      <w:pPr>
        <w:spacing w:after="0" w:line="71" w:lineRule="exact"/>
        <w:rPr>
          <w:rFonts w:ascii="Arial" w:cs="Arial" w:eastAsia="Arial" w:hAnsi="Arial"/>
          <w:sz w:val="22"/>
          <w:szCs w:val="22"/>
          <w:color w:val="auto"/>
        </w:rPr>
      </w:pPr>
    </w:p>
    <w:p>
      <w:pPr>
        <w:ind w:left="1940" w:hanging="636"/>
        <w:spacing w:after="0"/>
        <w:tabs>
          <w:tab w:leader="none" w:pos="1940" w:val="left"/>
        </w:tabs>
        <w:numPr>
          <w:ilvl w:val="0"/>
          <w:numId w:val="47"/>
        </w:numPr>
        <w:rPr>
          <w:rFonts w:ascii="Arial" w:cs="Arial" w:eastAsia="Arial" w:hAnsi="Arial"/>
          <w:sz w:val="22"/>
          <w:szCs w:val="22"/>
          <w:color w:val="auto"/>
        </w:rPr>
      </w:pPr>
      <w:r>
        <w:rPr>
          <w:rFonts w:ascii="Arial" w:cs="Arial" w:eastAsia="Arial" w:hAnsi="Arial"/>
          <w:sz w:val="22"/>
          <w:szCs w:val="22"/>
          <w:color w:val="auto"/>
        </w:rPr>
        <w:t>a [****].</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For the purposes of this Letter Agreement, the following definitions apply:</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means a [****];</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means the [****] ([****]) [****];</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means [****]; and</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means the [****] as to each applicable [****].</w:t>
      </w:r>
    </w:p>
    <w:p>
      <w:pPr>
        <w:spacing w:after="0" w:line="71" w:lineRule="exact"/>
        <w:rPr>
          <w:sz w:val="20"/>
          <w:szCs w:val="20"/>
          <w:color w:val="auto"/>
        </w:rPr>
      </w:pPr>
    </w:p>
    <w:p>
      <w:pPr>
        <w:ind w:right="20" w:firstLine="891"/>
        <w:spacing w:after="0" w:line="236" w:lineRule="auto"/>
        <w:rPr>
          <w:sz w:val="20"/>
          <w:szCs w:val="20"/>
          <w:color w:val="auto"/>
        </w:rPr>
      </w:pPr>
      <w:r>
        <w:rPr>
          <w:rFonts w:ascii="Arial" w:cs="Arial" w:eastAsia="Arial" w:hAnsi="Arial"/>
          <w:sz w:val="22"/>
          <w:szCs w:val="22"/>
          <w:color w:val="auto"/>
        </w:rPr>
        <w:t>1.2 [****]. Boeing will [****] ([****]) for each Covered Aircraft that is [****] (collectively, the [****]) (or if [****]) as a [****]; including but not limited to the [****] (including [****]), and the [****] ([****]) and [****].</w:t>
      </w:r>
    </w:p>
    <w:p>
      <w:pPr>
        <w:spacing w:after="0" w:line="43" w:lineRule="exact"/>
        <w:rPr>
          <w:sz w:val="20"/>
          <w:szCs w:val="20"/>
          <w:color w:val="auto"/>
        </w:rPr>
      </w:pPr>
    </w:p>
    <w:p>
      <w:pPr>
        <w:ind w:firstLine="891"/>
        <w:spacing w:after="0" w:line="236" w:lineRule="auto"/>
        <w:rPr>
          <w:sz w:val="20"/>
          <w:szCs w:val="20"/>
          <w:color w:val="auto"/>
        </w:rPr>
      </w:pPr>
      <w:r>
        <w:rPr>
          <w:rFonts w:ascii="Arial" w:cs="Arial" w:eastAsia="Arial" w:hAnsi="Arial"/>
          <w:sz w:val="22"/>
          <w:szCs w:val="22"/>
          <w:color w:val="auto"/>
        </w:rPr>
        <w:t>1.3 [****]. [****], if at any [****] resulting in (i) [****], or (iii) [****] (as defined in Article 1.5 below) that [****] (any [****] of clauses (i) or (ii), a [****]), then, [****].</w:t>
      </w:r>
    </w:p>
    <w:p>
      <w:pPr>
        <w:spacing w:after="0" w:line="200" w:lineRule="exact"/>
        <w:rPr>
          <w:sz w:val="20"/>
          <w:szCs w:val="20"/>
          <w:color w:val="auto"/>
        </w:rPr>
      </w:pPr>
    </w:p>
    <w:p>
      <w:pPr>
        <w:spacing w:after="0" w:line="221" w:lineRule="exact"/>
        <w:rPr>
          <w:sz w:val="20"/>
          <w:szCs w:val="20"/>
          <w:color w:val="auto"/>
        </w:rPr>
      </w:pPr>
    </w:p>
    <w:p>
      <w:pPr>
        <w:spacing w:after="0"/>
        <w:tabs>
          <w:tab w:leader="none" w:pos="2780" w:val="left"/>
        </w:tabs>
        <w:rPr>
          <w:sz w:val="20"/>
          <w:szCs w:val="20"/>
          <w:color w:val="auto"/>
        </w:rPr>
      </w:pPr>
      <w:r>
        <w:rPr>
          <w:rFonts w:ascii="Arial" w:cs="Arial" w:eastAsia="Arial" w:hAnsi="Arial"/>
          <w:sz w:val="22"/>
          <w:szCs w:val="22"/>
          <w:color w:val="auto"/>
        </w:rPr>
        <w:t>AAL-PA-3219-LA-2500155</w:t>
      </w:r>
      <w:r>
        <w:rPr>
          <w:sz w:val="20"/>
          <w:szCs w:val="20"/>
          <w:color w:val="auto"/>
        </w:rPr>
        <w:tab/>
      </w:r>
      <w:r>
        <w:rPr>
          <w:rFonts w:ascii="Arial" w:cs="Arial" w:eastAsia="Arial" w:hAnsi="Arial"/>
          <w:sz w:val="21"/>
          <w:szCs w:val="21"/>
          <w:color w:val="auto"/>
        </w:rPr>
        <w:t>SA-22</w:t>
      </w:r>
    </w:p>
    <w:p>
      <w:pPr>
        <w:spacing w:after="0" w:line="58" w:lineRule="exact"/>
        <w:rPr>
          <w:sz w:val="20"/>
          <w:szCs w:val="20"/>
          <w:color w:val="auto"/>
        </w:rPr>
      </w:pPr>
    </w:p>
    <w:p>
      <w:pPr>
        <w:spacing w:after="0"/>
        <w:tabs>
          <w:tab w:leader="none" w:pos="2100" w:val="left"/>
        </w:tabs>
        <w:rPr>
          <w:sz w:val="20"/>
          <w:szCs w:val="20"/>
          <w:color w:val="auto"/>
        </w:rPr>
      </w:pPr>
      <w:r>
        <w:rPr>
          <w:rFonts w:ascii="Arial" w:cs="Arial" w:eastAsia="Arial" w:hAnsi="Arial"/>
          <w:sz w:val="22"/>
          <w:szCs w:val="22"/>
          <w:color w:val="auto"/>
        </w:rPr>
        <w:t>787 [****] and [****]</w:t>
      </w:r>
      <w:r>
        <w:rPr>
          <w:sz w:val="20"/>
          <w:szCs w:val="20"/>
          <w:color w:val="auto"/>
        </w:rPr>
        <w:tab/>
      </w:r>
      <w:r>
        <w:rPr>
          <w:rFonts w:ascii="Arial" w:cs="Arial" w:eastAsia="Arial" w:hAnsi="Arial"/>
          <w:sz w:val="21"/>
          <w:szCs w:val="21"/>
          <w:color w:val="auto"/>
        </w:rPr>
        <w:t>Page 1</w:t>
      </w: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BOEING AND AMERICAN PROPRIETARY</w:t>
      </w:r>
    </w:p>
    <w:p>
      <w:pPr>
        <w:sectPr>
          <w:pgSz w:w="11900" w:h="16838" w:orient="portrait"/>
          <w:cols w:equalWidth="0" w:num="1">
            <w:col w:w="11240"/>
          </w:cols>
          <w:pgMar w:left="320" w:top="580" w:right="339" w:bottom="1440" w:gutter="0" w:footer="0" w:header="0"/>
        </w:sectPr>
      </w:pPr>
    </w:p>
    <w:bookmarkStart w:id="63" w:name="page64"/>
    <w:bookmarkEnd w:id="63"/>
    <w:p>
      <w:pPr>
        <w:spacing w:after="0" w:line="5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60195" cy="3600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clrChange>
                        <a:clrFrom>
                          <a:srgbClr val="FFFFFF"/>
                        </a:clrFrom>
                        <a:clrTo>
                          <a:srgbClr val="FFFFFF">
                            <a:alpha val="0"/>
                          </a:srgbClr>
                        </a:clrTo>
                      </a:clrChange>
                      <a:extLst>
                        <a:ext uri="{28A0092B-C50C-407E-A947-70E740481C1C}"/>
                      </a:extLst>
                    </a:blip>
                    <a:srcRect/>
                    <a:stretch>
                      <a:fillRect/>
                    </a:stretch>
                  </pic:blipFill>
                  <pic:spPr bwMode="auto">
                    <a:xfrm>
                      <a:off x="0" y="0"/>
                      <a:ext cx="1560195" cy="360045"/>
                    </a:xfrm>
                    <a:prstGeom prst="rect">
                      <a:avLst/>
                    </a:prstGeom>
                    <a:noFill/>
                  </pic:spPr>
                </pic:pic>
              </a:graphicData>
            </a:graphic>
          </wp:anchor>
        </w:drawing>
      </w:r>
    </w:p>
    <w:p>
      <w:pPr>
        <w:jc w:val="both"/>
        <w:ind w:firstLine="972"/>
        <w:spacing w:after="0" w:line="226" w:lineRule="auto"/>
        <w:rPr>
          <w:sz w:val="20"/>
          <w:szCs w:val="20"/>
          <w:color w:val="auto"/>
        </w:rPr>
      </w:pPr>
      <w:r>
        <w:rPr>
          <w:rFonts w:ascii="Arial" w:cs="Arial" w:eastAsia="Arial" w:hAnsi="Arial"/>
          <w:sz w:val="22"/>
          <w:szCs w:val="22"/>
          <w:color w:val="auto"/>
        </w:rPr>
        <w:t>1.3 [****]. To [****], Boeing will [****] (as defined below in this Article 1.3), or [****]. In addition, and [****] ([****]), [****]. [****] means [****]. If Boeing [****] ([****]), then the [****]. Promptly following the [****], [****]. For the avoidance of doubt, [****], then [****]. For purposes of this Letter Agreement, [****] means either i) [****], or 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-307975</wp:posOffset>
            </wp:positionV>
            <wp:extent cx="3771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377190" cy="8255"/>
                    </a:xfrm>
                    <a:prstGeom prst="rect">
                      <a:avLst/>
                    </a:prstGeom>
                    <a:noFill/>
                  </pic:spPr>
                </pic:pic>
              </a:graphicData>
            </a:graphic>
          </wp:anchor>
        </w:drawing>
      </w:r>
    </w:p>
    <w:p>
      <w:pPr>
        <w:spacing w:after="0" w:line="21"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21"/>
          <w:szCs w:val="21"/>
          <w:color w:val="auto"/>
        </w:rPr>
        <w:t>[****]. To [****], Boeing [****] ([****]).</w:t>
      </w:r>
    </w:p>
    <w:p>
      <w:pPr>
        <w:spacing w:after="0" w:line="71" w:lineRule="exact"/>
        <w:rPr>
          <w:sz w:val="20"/>
          <w:szCs w:val="20"/>
          <w:color w:val="auto"/>
        </w:rPr>
      </w:pPr>
    </w:p>
    <w:p>
      <w:pPr>
        <w:jc w:val="both"/>
        <w:ind w:firstLine="972"/>
        <w:spacing w:after="0" w:line="236" w:lineRule="auto"/>
        <w:rPr>
          <w:sz w:val="20"/>
          <w:szCs w:val="20"/>
          <w:color w:val="auto"/>
        </w:rPr>
      </w:pPr>
      <w:r>
        <w:rPr>
          <w:rFonts w:ascii="Arial" w:cs="Arial" w:eastAsia="Arial" w:hAnsi="Arial"/>
          <w:sz w:val="22"/>
          <w:szCs w:val="22"/>
          <w:color w:val="auto"/>
        </w:rPr>
        <w:t>1.5 [****]. The provisions in this Letter Agreement, including [****] set forth in Attachment C to this Letter Agreement, will [****] of (i) the [****], in accordance with [****] or, (ii) [****] provided that the [****] ([****]).</w:t>
      </w:r>
    </w:p>
    <w:p>
      <w:pPr>
        <w:spacing w:after="0" w:line="43" w:lineRule="exact"/>
        <w:rPr>
          <w:sz w:val="20"/>
          <w:szCs w:val="20"/>
          <w:color w:val="auto"/>
        </w:rPr>
      </w:pPr>
    </w:p>
    <w:p>
      <w:pPr>
        <w:ind w:left="980"/>
        <w:spacing w:after="0"/>
        <w:tabs>
          <w:tab w:leader="none" w:pos="150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21"/>
          <w:szCs w:val="21"/>
          <w:color w:val="auto"/>
        </w:rPr>
        <w:t>[****].</w:t>
      </w:r>
    </w:p>
    <w:p>
      <w:pPr>
        <w:spacing w:after="0" w:line="71" w:lineRule="exact"/>
        <w:rPr>
          <w:sz w:val="20"/>
          <w:szCs w:val="20"/>
          <w:color w:val="auto"/>
        </w:rPr>
      </w:pPr>
    </w:p>
    <w:p>
      <w:pPr>
        <w:jc w:val="both"/>
        <w:ind w:firstLine="1620"/>
        <w:spacing w:after="0" w:line="226" w:lineRule="auto"/>
        <w:rPr>
          <w:sz w:val="20"/>
          <w:szCs w:val="20"/>
          <w:color w:val="auto"/>
        </w:rPr>
      </w:pPr>
      <w:r>
        <w:rPr>
          <w:rFonts w:ascii="Arial" w:cs="Arial" w:eastAsia="Arial" w:hAnsi="Arial"/>
          <w:sz w:val="22"/>
          <w:szCs w:val="22"/>
          <w:color w:val="auto"/>
        </w:rPr>
        <w:t>1.6.1 Should Boeing, [****], have [****], or that the [****], Boeing will promptly [****]. If either Customer or Boeing has [****], or that the [****], then Boeing and Customer will [****] as provided in this Letter Agreement.</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color w:val="auto"/>
        </w:rPr>
        <w:t>1.6.2 To [****], [****] ([****]), then Boeing [****] the terms of this Letter Agreement [****] for the applicable [****].</w:t>
      </w:r>
    </w:p>
    <w:p>
      <w:pPr>
        <w:spacing w:after="0" w:line="71" w:lineRule="exact"/>
        <w:rPr>
          <w:sz w:val="20"/>
          <w:szCs w:val="20"/>
          <w:color w:val="auto"/>
        </w:rPr>
      </w:pPr>
    </w:p>
    <w:p>
      <w:pPr>
        <w:jc w:val="both"/>
        <w:ind w:firstLine="972"/>
        <w:spacing w:after="0" w:line="236" w:lineRule="auto"/>
        <w:rPr>
          <w:sz w:val="20"/>
          <w:szCs w:val="20"/>
          <w:color w:val="auto"/>
        </w:rPr>
      </w:pPr>
      <w:r>
        <w:rPr>
          <w:rFonts w:ascii="Arial" w:cs="Arial" w:eastAsia="Arial" w:hAnsi="Arial"/>
          <w:sz w:val="22"/>
          <w:szCs w:val="22"/>
          <w:color w:val="auto"/>
        </w:rPr>
        <w:t>1.7 [****]. Any [****] in Article 1 of this Letter Agreement, [****]; provided that the [****] under this Letter Agreement.</w:t>
      </w:r>
    </w:p>
    <w:p>
      <w:pPr>
        <w:spacing w:after="0" w:line="43" w:lineRule="exact"/>
        <w:rPr>
          <w:sz w:val="20"/>
          <w:szCs w:val="20"/>
          <w:color w:val="auto"/>
        </w:rPr>
      </w:pPr>
    </w:p>
    <w:p>
      <w:pPr>
        <w:jc w:val="both"/>
        <w:ind w:right="20" w:firstLine="972"/>
        <w:spacing w:after="0" w:line="236" w:lineRule="auto"/>
        <w:rPr>
          <w:sz w:val="20"/>
          <w:szCs w:val="20"/>
          <w:color w:val="auto"/>
        </w:rPr>
      </w:pPr>
      <w:r>
        <w:rPr>
          <w:rFonts w:ascii="Arial" w:cs="Arial" w:eastAsia="Arial" w:hAnsi="Arial"/>
          <w:sz w:val="22"/>
          <w:szCs w:val="22"/>
          <w:color w:val="auto"/>
        </w:rPr>
        <w:t>1.8 [****]. The [****] in this Letter Agreement and the [****] in this Letter Agreement [****] and, [****] for (i) [****], (ii) [****]. Customer [****].</w:t>
      </w:r>
    </w:p>
    <w:p>
      <w:pPr>
        <w:spacing w:after="0" w:line="43" w:lineRule="exact"/>
        <w:rPr>
          <w:sz w:val="20"/>
          <w:szCs w:val="20"/>
          <w:color w:val="auto"/>
        </w:rPr>
      </w:pPr>
    </w:p>
    <w:p>
      <w:pPr>
        <w:jc w:val="both"/>
        <w:ind w:right="20"/>
        <w:spacing w:after="0" w:line="236" w:lineRule="auto"/>
        <w:rPr>
          <w:sz w:val="20"/>
          <w:szCs w:val="20"/>
          <w:color w:val="auto"/>
        </w:rPr>
      </w:pPr>
      <w:r>
        <w:rPr>
          <w:rFonts w:ascii="Arial" w:cs="Arial" w:eastAsia="Arial" w:hAnsi="Arial"/>
          <w:sz w:val="22"/>
          <w:szCs w:val="22"/>
          <w:color w:val="auto"/>
        </w:rPr>
        <w:t>1.8.1 Notwithstanding the stated [****] in this Letter Agreement and the [****] in Section 1.8 above, this Letter Agreement [****], and Customer [****] under the Purchase Agreement, or [****]:</w:t>
      </w:r>
    </w:p>
    <w:p>
      <w:pPr>
        <w:spacing w:after="0" w:line="97"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22"/>
          <w:szCs w:val="22"/>
          <w:color w:val="auto"/>
        </w:rPr>
      </w:pPr>
      <w:r>
        <w:rPr>
          <w:rFonts w:ascii="Arial" w:cs="Arial" w:eastAsia="Arial" w:hAnsi="Arial"/>
          <w:sz w:val="22"/>
          <w:szCs w:val="22"/>
          <w:color w:val="auto"/>
        </w:rPr>
        <w:t>[****];</w:t>
      </w:r>
    </w:p>
    <w:p>
      <w:pPr>
        <w:spacing w:after="0" w:line="125" w:lineRule="exact"/>
        <w:rPr>
          <w:rFonts w:ascii="Arial" w:cs="Arial" w:eastAsia="Arial" w:hAnsi="Arial"/>
          <w:sz w:val="22"/>
          <w:szCs w:val="22"/>
          <w:color w:val="auto"/>
        </w:rPr>
      </w:pPr>
    </w:p>
    <w:p>
      <w:pPr>
        <w:jc w:val="both"/>
        <w:ind w:firstLine="656"/>
        <w:spacing w:after="0" w:line="226" w:lineRule="auto"/>
        <w:tabs>
          <w:tab w:leader="none" w:pos="972" w:val="left"/>
        </w:tabs>
        <w:numPr>
          <w:ilvl w:val="1"/>
          <w:numId w:val="48"/>
        </w:numPr>
        <w:rPr>
          <w:rFonts w:ascii="Arial" w:cs="Arial" w:eastAsia="Arial" w:hAnsi="Arial"/>
          <w:sz w:val="22"/>
          <w:szCs w:val="22"/>
          <w:color w:val="auto"/>
        </w:rPr>
      </w:pPr>
      <w:r>
        <w:rPr>
          <w:rFonts w:ascii="Arial" w:cs="Arial" w:eastAsia="Arial" w:hAnsi="Arial"/>
          <w:sz w:val="22"/>
          <w:szCs w:val="22"/>
          <w:color w:val="auto"/>
        </w:rPr>
        <w:t>[****] under the Purchase Agreement or any other agreement between Customer and Boeing that are [****] under this Letter Agreement, including without limitation the [****], to the AGTA. For the avoidance of doubt, (i) [****] and (ii) [****].</w:t>
      </w:r>
    </w:p>
    <w:p>
      <w:pPr>
        <w:spacing w:after="0" w:line="176" w:lineRule="exact"/>
        <w:rPr>
          <w:sz w:val="20"/>
          <w:szCs w:val="20"/>
          <w:color w:val="auto"/>
        </w:rPr>
      </w:pPr>
    </w:p>
    <w:p>
      <w:pPr>
        <w:ind w:left="640" w:hanging="632"/>
        <w:spacing w:after="0"/>
        <w:tabs>
          <w:tab w:leader="none" w:pos="640" w:val="left"/>
        </w:tabs>
        <w:numPr>
          <w:ilvl w:val="0"/>
          <w:numId w:val="49"/>
        </w:numPr>
        <w:rPr>
          <w:rFonts w:ascii="Arial" w:cs="Arial" w:eastAsia="Arial" w:hAnsi="Arial"/>
          <w:sz w:val="22"/>
          <w:szCs w:val="22"/>
          <w:color w:val="auto"/>
        </w:rPr>
      </w:pP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The parties agree that it is [****], provided that, in the [****].</w:t>
      </w:r>
    </w:p>
    <w:p>
      <w:pPr>
        <w:spacing w:after="0" w:line="179" w:lineRule="exact"/>
        <w:rPr>
          <w:rFonts w:ascii="Arial" w:cs="Arial" w:eastAsia="Arial" w:hAnsi="Arial"/>
          <w:sz w:val="22"/>
          <w:szCs w:val="22"/>
          <w:color w:val="auto"/>
        </w:rPr>
      </w:pPr>
    </w:p>
    <w:p>
      <w:pPr>
        <w:ind w:left="640" w:hanging="632"/>
        <w:spacing w:after="0"/>
        <w:tabs>
          <w:tab w:leader="none" w:pos="640"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Assignment</w:t>
      </w:r>
      <w:r>
        <w:rPr>
          <w:rFonts w:ascii="Arial" w:cs="Arial" w:eastAsia="Arial" w:hAnsi="Arial"/>
          <w:sz w:val="22"/>
          <w:szCs w:val="22"/>
          <w:color w:val="auto"/>
        </w:rPr>
        <w:t>.</w:t>
      </w:r>
    </w:p>
    <w:p>
      <w:pPr>
        <w:spacing w:after="0" w:line="112" w:lineRule="exact"/>
        <w:rPr>
          <w:sz w:val="20"/>
          <w:szCs w:val="20"/>
          <w:color w:val="auto"/>
        </w:rPr>
      </w:pPr>
    </w:p>
    <w:p>
      <w:pPr>
        <w:jc w:val="both"/>
        <w:ind w:firstLine="972"/>
        <w:spacing w:after="0" w:line="292" w:lineRule="auto"/>
        <w:rPr>
          <w:sz w:val="20"/>
          <w:szCs w:val="20"/>
          <w:color w:val="auto"/>
        </w:rPr>
      </w:pPr>
      <w:r>
        <w:rPr>
          <w:rFonts w:ascii="Arial" w:cs="Arial" w:eastAsia="Arial" w:hAnsi="Arial"/>
          <w:sz w:val="22"/>
          <w:szCs w:val="22"/>
          <w:color w:val="auto"/>
        </w:rPr>
        <w:t>Notwithstanding any other provision of the Purchase Agreement except for the AGTA Assignment Provisions (as defined in Article 1 of Letter Agreement AAL-LA-1106678 entitled “</w:t>
      </w:r>
      <w:r>
        <w:rPr>
          <w:rFonts w:ascii="Arial" w:cs="Arial" w:eastAsia="Arial" w:hAnsi="Arial"/>
          <w:sz w:val="22"/>
          <w:szCs w:val="22"/>
          <w:u w:val="single" w:color="auto"/>
          <w:color w:val="auto"/>
        </w:rPr>
        <w:t>Assignment Matters</w:t>
      </w:r>
      <w:r>
        <w:rPr>
          <w:rFonts w:ascii="Arial" w:cs="Arial" w:eastAsia="Arial" w:hAnsi="Arial"/>
          <w:sz w:val="22"/>
          <w:szCs w:val="22"/>
          <w:color w:val="auto"/>
        </w:rPr>
        <w:t>”), the rights and obligations described in this Letter Agreement are provided to Customer in consideration of Customer’s becoming the operator of the Aircraft and cannot be assigned, in whole or in part, without the prior written consent of Boeing.</w:t>
      </w:r>
    </w:p>
    <w:p>
      <w:pPr>
        <w:spacing w:after="0" w:line="27" w:lineRule="exact"/>
        <w:rPr>
          <w:sz w:val="20"/>
          <w:szCs w:val="20"/>
          <w:color w:val="auto"/>
        </w:rPr>
      </w:pPr>
    </w:p>
    <w:p>
      <w:pPr>
        <w:ind w:left="640" w:hanging="632"/>
        <w:spacing w:after="0"/>
        <w:tabs>
          <w:tab w:leader="none" w:pos="640"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Confidentiality</w:t>
      </w:r>
      <w:r>
        <w:rPr>
          <w:rFonts w:ascii="Arial" w:cs="Arial" w:eastAsia="Arial" w:hAnsi="Arial"/>
          <w:sz w:val="22"/>
          <w:szCs w:val="22"/>
          <w:color w:val="auto"/>
        </w:rPr>
        <w:t>.</w:t>
      </w:r>
    </w:p>
    <w:p>
      <w:pPr>
        <w:spacing w:after="0" w:line="11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22"/>
          <w:szCs w:val="22"/>
          <w:color w:val="auto"/>
        </w:rPr>
        <w:t>Customer and Boeing understand that the information contained herein represents confidential business information and has value precisely because it is not available generally or to other parties. This Letter Agreement Letter will be subject to</w:t>
      </w:r>
    </w:p>
    <w:p>
      <w:pPr>
        <w:spacing w:after="0" w:line="200" w:lineRule="exact"/>
        <w:rPr>
          <w:sz w:val="20"/>
          <w:szCs w:val="20"/>
          <w:color w:val="auto"/>
        </w:rPr>
      </w:pPr>
    </w:p>
    <w:p>
      <w:pPr>
        <w:spacing w:after="0" w:line="214" w:lineRule="exact"/>
        <w:rPr>
          <w:sz w:val="20"/>
          <w:szCs w:val="20"/>
          <w:color w:val="auto"/>
        </w:rPr>
      </w:pPr>
    </w:p>
    <w:p>
      <w:pPr>
        <w:spacing w:after="0"/>
        <w:tabs>
          <w:tab w:leader="none" w:pos="2780" w:val="left"/>
        </w:tabs>
        <w:rPr>
          <w:sz w:val="20"/>
          <w:szCs w:val="20"/>
          <w:color w:val="auto"/>
        </w:rPr>
      </w:pPr>
      <w:r>
        <w:rPr>
          <w:rFonts w:ascii="Arial" w:cs="Arial" w:eastAsia="Arial" w:hAnsi="Arial"/>
          <w:sz w:val="22"/>
          <w:szCs w:val="22"/>
          <w:color w:val="auto"/>
        </w:rPr>
        <w:t>AAL-PA-3219-LA-2500155</w:t>
      </w:r>
      <w:r>
        <w:rPr>
          <w:sz w:val="20"/>
          <w:szCs w:val="20"/>
          <w:color w:val="auto"/>
        </w:rPr>
        <w:tab/>
      </w:r>
      <w:r>
        <w:rPr>
          <w:rFonts w:ascii="Arial" w:cs="Arial" w:eastAsia="Arial" w:hAnsi="Arial"/>
          <w:sz w:val="21"/>
          <w:szCs w:val="21"/>
          <w:color w:val="auto"/>
        </w:rPr>
        <w:t>SA-22</w:t>
      </w:r>
    </w:p>
    <w:p>
      <w:pPr>
        <w:spacing w:after="0" w:line="58" w:lineRule="exact"/>
        <w:rPr>
          <w:sz w:val="20"/>
          <w:szCs w:val="20"/>
          <w:color w:val="auto"/>
        </w:rPr>
      </w:pPr>
    </w:p>
    <w:p>
      <w:pPr>
        <w:spacing w:after="0"/>
        <w:tabs>
          <w:tab w:leader="none" w:pos="2100" w:val="left"/>
        </w:tabs>
        <w:rPr>
          <w:sz w:val="20"/>
          <w:szCs w:val="20"/>
          <w:color w:val="auto"/>
        </w:rPr>
      </w:pPr>
      <w:r>
        <w:rPr>
          <w:rFonts w:ascii="Arial" w:cs="Arial" w:eastAsia="Arial" w:hAnsi="Arial"/>
          <w:sz w:val="22"/>
          <w:szCs w:val="22"/>
          <w:color w:val="auto"/>
        </w:rPr>
        <w:t>787 [****] and [****]</w:t>
      </w:r>
      <w:r>
        <w:rPr>
          <w:sz w:val="20"/>
          <w:szCs w:val="20"/>
          <w:color w:val="auto"/>
        </w:rPr>
        <w:tab/>
      </w:r>
      <w:r>
        <w:rPr>
          <w:rFonts w:ascii="Arial" w:cs="Arial" w:eastAsia="Arial" w:hAnsi="Arial"/>
          <w:sz w:val="21"/>
          <w:szCs w:val="21"/>
          <w:color w:val="auto"/>
        </w:rPr>
        <w:t>Page 2</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BOEING AND AMERICAN PROPRIETARY</w:t>
      </w:r>
    </w:p>
    <w:p>
      <w:pPr>
        <w:sectPr>
          <w:pgSz w:w="11900" w:h="16838" w:orient="portrait"/>
          <w:cols w:equalWidth="0" w:num="1">
            <w:col w:w="11240"/>
          </w:cols>
          <w:pgMar w:left="320" w:top="1440" w:right="339" w:bottom="1440" w:gutter="0" w:footer="0" w:header="0"/>
        </w:sectPr>
      </w:pPr>
    </w:p>
    <w:bookmarkStart w:id="64" w:name="page65"/>
    <w:bookmarkEnd w:id="64"/>
    <w:p>
      <w:pPr>
        <w:spacing w:after="0" w:line="1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60195" cy="3600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clrChange>
                        <a:clrFrom>
                          <a:srgbClr val="FFFFFF"/>
                        </a:clrFrom>
                        <a:clrTo>
                          <a:srgbClr val="FFFFFF">
                            <a:alpha val="0"/>
                          </a:srgbClr>
                        </a:clrTo>
                      </a:clrChange>
                      <a:extLst>
                        <a:ext uri="{28A0092B-C50C-407E-A947-70E740481C1C}"/>
                      </a:extLst>
                    </a:blip>
                    <a:srcRect/>
                    <a:stretch>
                      <a:fillRect/>
                    </a:stretch>
                  </pic:blipFill>
                  <pic:spPr bwMode="auto">
                    <a:xfrm>
                      <a:off x="0" y="0"/>
                      <a:ext cx="1560195" cy="360045"/>
                    </a:xfrm>
                    <a:prstGeom prst="rect">
                      <a:avLst/>
                    </a:prstGeom>
                    <a:noFill/>
                  </pic:spPr>
                </pic:pic>
              </a:graphicData>
            </a:graphic>
          </wp:anchor>
        </w:drawing>
      </w:r>
    </w:p>
    <w:p>
      <w:pPr>
        <w:spacing w:after="0" w:line="324" w:lineRule="auto"/>
        <w:rPr>
          <w:sz w:val="20"/>
          <w:szCs w:val="20"/>
          <w:color w:val="auto"/>
        </w:rPr>
      </w:pPr>
      <w:r>
        <w:rPr>
          <w:rFonts w:ascii="Arial" w:cs="Arial" w:eastAsia="Arial" w:hAnsi="Arial"/>
          <w:sz w:val="22"/>
          <w:szCs w:val="22"/>
          <w:color w:val="auto"/>
        </w:rPr>
        <w:t>the terms and conditions of Letter Agreement 6-1162-TRW-0673R1 entitled “Confidentiality” (</w:t>
      </w:r>
      <w:r>
        <w:rPr>
          <w:rFonts w:ascii="Arial" w:cs="Arial" w:eastAsia="Arial" w:hAnsi="Arial"/>
          <w:sz w:val="22"/>
          <w:szCs w:val="22"/>
          <w:b w:val="1"/>
          <w:bCs w:val="1"/>
          <w:color w:val="auto"/>
        </w:rPr>
        <w:t>787 Confidentiality</w:t>
      </w:r>
      <w:r>
        <w:rPr>
          <w:rFonts w:ascii="Arial" w:cs="Arial" w:eastAsia="Arial" w:hAnsi="Arial"/>
          <w:sz w:val="22"/>
          <w:szCs w:val="22"/>
          <w:color w:val="auto"/>
        </w:rPr>
        <w:t xml:space="preserve"> </w:t>
      </w:r>
      <w:r>
        <w:rPr>
          <w:rFonts w:ascii="Arial" w:cs="Arial" w:eastAsia="Arial" w:hAnsi="Arial"/>
          <w:sz w:val="22"/>
          <w:szCs w:val="22"/>
          <w:b w:val="1"/>
          <w:bCs w:val="1"/>
          <w:color w:val="auto"/>
        </w:rPr>
        <w:t>Letter Agreement</w:t>
      </w:r>
      <w:r>
        <w:rPr>
          <w:rFonts w:ascii="Arial" w:cs="Arial" w:eastAsia="Arial" w:hAnsi="Arial"/>
          <w:sz w:val="22"/>
          <w:szCs w:val="22"/>
          <w:color w:val="auto"/>
        </w:rPr>
        <w:t>); provided that, for avoidance of doubt, [****] this Letter Agreement.</w:t>
      </w:r>
    </w:p>
    <w:p>
      <w:pPr>
        <w:spacing w:after="0" w:line="264"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395" w:lineRule="exact"/>
        <w:rPr>
          <w:sz w:val="20"/>
          <w:szCs w:val="20"/>
          <w:color w:val="auto"/>
        </w:rPr>
      </w:pPr>
    </w:p>
    <w:p>
      <w:pPr>
        <w:ind w:left="20"/>
        <w:spacing w:after="0"/>
        <w:rPr>
          <w:sz w:val="20"/>
          <w:szCs w:val="20"/>
          <w:color w:val="auto"/>
        </w:rPr>
      </w:pPr>
      <w:r>
        <w:rPr>
          <w:rFonts w:ascii="Arial" w:cs="Arial" w:eastAsia="Arial" w:hAnsi="Arial"/>
          <w:sz w:val="22"/>
          <w:szCs w:val="22"/>
          <w:color w:val="auto"/>
        </w:rPr>
        <w:t>THE BOEING COMPANY</w:t>
      </w:r>
    </w:p>
    <w:p>
      <w:pPr>
        <w:spacing w:after="0" w:line="341" w:lineRule="exact"/>
        <w:rPr>
          <w:sz w:val="20"/>
          <w:szCs w:val="20"/>
          <w:color w:val="auto"/>
        </w:rPr>
      </w:pPr>
    </w:p>
    <w:p>
      <w:pPr>
        <w:ind w:left="20"/>
        <w:spacing w:after="0"/>
        <w:tabs>
          <w:tab w:leader="none" w:pos="500" w:val="left"/>
        </w:tabs>
        <w:rPr>
          <w:sz w:val="20"/>
          <w:szCs w:val="20"/>
          <w:color w:val="auto"/>
        </w:rPr>
      </w:pPr>
      <w:r>
        <w:rPr>
          <w:rFonts w:ascii="Arial" w:cs="Arial" w:eastAsia="Arial" w:hAnsi="Arial"/>
          <w:sz w:val="22"/>
          <w:szCs w:val="22"/>
          <w:color w:val="auto"/>
        </w:rPr>
        <w:t>By</w:t>
        <w:tab/>
        <w:t>/s/ 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19050</wp:posOffset>
            </wp:positionV>
            <wp:extent cx="294894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227" w:lineRule="exact"/>
        <w:rPr>
          <w:sz w:val="20"/>
          <w:szCs w:val="20"/>
          <w:color w:val="auto"/>
        </w:rPr>
      </w:pPr>
    </w:p>
    <w:p>
      <w:pPr>
        <w:ind w:left="20"/>
        <w:spacing w:after="0"/>
        <w:tabs>
          <w:tab w:leader="none" w:pos="500" w:val="left"/>
        </w:tabs>
        <w:rPr>
          <w:sz w:val="20"/>
          <w:szCs w:val="20"/>
          <w:color w:val="auto"/>
        </w:rPr>
      </w:pPr>
      <w:r>
        <w:rPr>
          <w:rFonts w:ascii="Arial" w:cs="Arial" w:eastAsia="Arial" w:hAnsi="Arial"/>
          <w:sz w:val="22"/>
          <w:szCs w:val="22"/>
          <w:color w:val="auto"/>
        </w:rPr>
        <w:t>Its</w:t>
        <w:tab/>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19050</wp:posOffset>
            </wp:positionV>
            <wp:extent cx="294894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Arial" w:cs="Arial" w:eastAsia="Arial" w:hAnsi="Arial"/>
          <w:sz w:val="22"/>
          <w:szCs w:val="22"/>
          <w:color w:val="auto"/>
        </w:rPr>
        <w:t>ACCEPTED AND AGREED TO this</w:t>
      </w:r>
    </w:p>
    <w:p>
      <w:pPr>
        <w:spacing w:after="0" w:line="274" w:lineRule="exact"/>
        <w:rPr>
          <w:sz w:val="20"/>
          <w:szCs w:val="20"/>
          <w:color w:val="auto"/>
        </w:rPr>
      </w:pPr>
    </w:p>
    <w:p>
      <w:pPr>
        <w:ind w:left="20"/>
        <w:spacing w:after="0"/>
        <w:tabs>
          <w:tab w:leader="none" w:pos="800" w:val="left"/>
        </w:tabs>
        <w:rPr>
          <w:sz w:val="20"/>
          <w:szCs w:val="20"/>
          <w:color w:val="auto"/>
        </w:rPr>
      </w:pPr>
      <w:r>
        <w:rPr>
          <w:rFonts w:ascii="Arial" w:cs="Arial" w:eastAsia="Arial" w:hAnsi="Arial"/>
          <w:sz w:val="22"/>
          <w:szCs w:val="22"/>
          <w:color w:val="auto"/>
        </w:rPr>
        <w:t>Date:</w:t>
        <w:tab/>
        <w:t>January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19050</wp:posOffset>
            </wp:positionV>
            <wp:extent cx="276034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20"/>
        <w:spacing w:after="0"/>
        <w:rPr>
          <w:sz w:val="20"/>
          <w:szCs w:val="20"/>
          <w:color w:val="auto"/>
        </w:rPr>
      </w:pPr>
      <w:r>
        <w:rPr>
          <w:rFonts w:ascii="Arial" w:cs="Arial" w:eastAsia="Arial" w:hAnsi="Arial"/>
          <w:sz w:val="22"/>
          <w:szCs w:val="22"/>
          <w:color w:val="auto"/>
        </w:rPr>
        <w:t>AMERICAN AIRLINES, INC</w:t>
      </w:r>
    </w:p>
    <w:p>
      <w:pPr>
        <w:spacing w:after="0" w:line="341"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480" w:type="dxa"/>
            <w:vAlign w:val="bottom"/>
          </w:tcPr>
          <w:p>
            <w:pPr>
              <w:spacing w:after="0"/>
              <w:rPr>
                <w:sz w:val="20"/>
                <w:szCs w:val="20"/>
                <w:color w:val="auto"/>
              </w:rPr>
            </w:pPr>
            <w:r>
              <w:rPr>
                <w:rFonts w:ascii="Arial" w:cs="Arial" w:eastAsia="Arial" w:hAnsi="Arial"/>
                <w:sz w:val="22"/>
                <w:szCs w:val="22"/>
                <w:color w:val="auto"/>
              </w:rPr>
              <w:t>By</w:t>
            </w:r>
          </w:p>
        </w:tc>
        <w:tc>
          <w:tcPr>
            <w:tcW w:w="46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American Airlines, Inc.</w:t>
            </w:r>
          </w:p>
        </w:tc>
      </w:tr>
      <w:tr>
        <w:trPr>
          <w:trHeight w:val="453"/>
        </w:trPr>
        <w:tc>
          <w:tcPr>
            <w:tcW w:w="480" w:type="dxa"/>
            <w:vAlign w:val="bottom"/>
          </w:tcPr>
          <w:p>
            <w:pPr>
              <w:spacing w:after="0"/>
              <w:rPr>
                <w:sz w:val="20"/>
                <w:szCs w:val="20"/>
                <w:color w:val="auto"/>
              </w:rPr>
            </w:pPr>
            <w:r>
              <w:rPr>
                <w:rFonts w:ascii="Arial" w:cs="Arial" w:eastAsia="Arial" w:hAnsi="Arial"/>
                <w:sz w:val="22"/>
                <w:szCs w:val="22"/>
                <w:color w:val="auto"/>
              </w:rPr>
              <w:t>Its</w:t>
            </w:r>
          </w:p>
        </w:tc>
        <w:tc>
          <w:tcPr>
            <w:tcW w:w="46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Senior Vice President, Treasurer</w:t>
            </w:r>
          </w:p>
        </w:tc>
      </w:tr>
    </w:tbl>
    <w:p>
      <w:pPr>
        <w:spacing w:after="0" w:line="311" w:lineRule="exact"/>
        <w:rPr>
          <w:sz w:val="20"/>
          <w:szCs w:val="20"/>
          <w:color w:val="auto"/>
        </w:rPr>
      </w:pPr>
    </w:p>
    <w:p>
      <w:pPr>
        <w:spacing w:after="0"/>
        <w:rPr>
          <w:sz w:val="20"/>
          <w:szCs w:val="20"/>
          <w:color w:val="auto"/>
        </w:rPr>
      </w:pPr>
      <w:r>
        <w:rPr>
          <w:rFonts w:ascii="Arial" w:cs="Arial" w:eastAsia="Arial" w:hAnsi="Arial"/>
          <w:sz w:val="22"/>
          <w:szCs w:val="22"/>
          <w:color w:val="auto"/>
        </w:rPr>
        <w:t>Attachments:</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 - [****]</w:t>
      </w:r>
    </w:p>
    <w:p>
      <w:pPr>
        <w:spacing w:after="0" w:line="30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 - [****]</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 - [****]</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2780" w:val="left"/>
        </w:tabs>
        <w:rPr>
          <w:sz w:val="20"/>
          <w:szCs w:val="20"/>
          <w:color w:val="auto"/>
        </w:rPr>
      </w:pPr>
      <w:r>
        <w:rPr>
          <w:rFonts w:ascii="Arial" w:cs="Arial" w:eastAsia="Arial" w:hAnsi="Arial"/>
          <w:sz w:val="22"/>
          <w:szCs w:val="22"/>
          <w:color w:val="auto"/>
        </w:rPr>
        <w:t>AAL-PA-3219-LA-2500155</w:t>
      </w:r>
      <w:r>
        <w:rPr>
          <w:sz w:val="20"/>
          <w:szCs w:val="20"/>
          <w:color w:val="auto"/>
        </w:rPr>
        <w:tab/>
      </w:r>
      <w:r>
        <w:rPr>
          <w:rFonts w:ascii="Arial" w:cs="Arial" w:eastAsia="Arial" w:hAnsi="Arial"/>
          <w:sz w:val="21"/>
          <w:szCs w:val="21"/>
          <w:color w:val="auto"/>
        </w:rPr>
        <w:t>SA-22</w:t>
      </w:r>
    </w:p>
    <w:p>
      <w:pPr>
        <w:spacing w:after="0" w:line="44" w:lineRule="exact"/>
        <w:rPr>
          <w:sz w:val="20"/>
          <w:szCs w:val="20"/>
          <w:color w:val="auto"/>
        </w:rPr>
      </w:pPr>
    </w:p>
    <w:p>
      <w:pPr>
        <w:spacing w:after="0"/>
        <w:tabs>
          <w:tab w:leader="none" w:pos="2100" w:val="left"/>
        </w:tabs>
        <w:rPr>
          <w:sz w:val="20"/>
          <w:szCs w:val="20"/>
          <w:color w:val="auto"/>
        </w:rPr>
      </w:pPr>
      <w:r>
        <w:rPr>
          <w:rFonts w:ascii="Arial" w:cs="Arial" w:eastAsia="Arial" w:hAnsi="Arial"/>
          <w:sz w:val="22"/>
          <w:szCs w:val="22"/>
          <w:color w:val="auto"/>
        </w:rPr>
        <w:t>787 [****] and [****]</w:t>
      </w:r>
      <w:r>
        <w:rPr>
          <w:sz w:val="20"/>
          <w:szCs w:val="20"/>
          <w:color w:val="auto"/>
        </w:rPr>
        <w:tab/>
      </w:r>
      <w:r>
        <w:rPr>
          <w:rFonts w:ascii="Arial" w:cs="Arial" w:eastAsia="Arial" w:hAnsi="Arial"/>
          <w:sz w:val="21"/>
          <w:szCs w:val="21"/>
          <w:color w:val="auto"/>
        </w:rPr>
        <w:t>Page 3</w:t>
      </w: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BOEING AND AMERICAN PROPRIETARY</w:t>
      </w:r>
    </w:p>
    <w:p>
      <w:pPr>
        <w:sectPr>
          <w:pgSz w:w="11900" w:h="16838" w:orient="portrait"/>
          <w:cols w:equalWidth="0" w:num="1">
            <w:col w:w="11240"/>
          </w:cols>
          <w:pgMar w:left="320" w:top="1440" w:right="339" w:bottom="1440" w:gutter="0" w:footer="0" w:header="0"/>
        </w:sectPr>
      </w:pPr>
    </w:p>
    <w:bookmarkStart w:id="65" w:name="page66"/>
    <w:bookmarkEnd w:id="65"/>
    <w:p>
      <w:pPr>
        <w:spacing w:after="0" w:line="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60195" cy="3600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clrChange>
                        <a:clrFrom>
                          <a:srgbClr val="FFFFFF"/>
                        </a:clrFrom>
                        <a:clrTo>
                          <a:srgbClr val="FFFFFF">
                            <a:alpha val="0"/>
                          </a:srgbClr>
                        </a:clrTo>
                      </a:clrChange>
                      <a:extLst>
                        <a:ext uri="{28A0092B-C50C-407E-A947-70E740481C1C}"/>
                      </a:extLst>
                    </a:blip>
                    <a:srcRect/>
                    <a:stretch>
                      <a:fillRect/>
                    </a:stretch>
                  </pic:blipFill>
                  <pic:spPr bwMode="auto">
                    <a:xfrm>
                      <a:off x="0" y="0"/>
                      <a:ext cx="1560195" cy="360045"/>
                    </a:xfrm>
                    <a:prstGeom prst="rect">
                      <a:avLst/>
                    </a:prstGeom>
                    <a:noFill/>
                  </pic:spPr>
                </pic:pic>
              </a:graphicData>
            </a:graphic>
          </wp:anchor>
        </w:drawing>
      </w:r>
    </w:p>
    <w:tbl>
      <w:tblPr>
        <w:tblLayout w:type="fixed"/>
        <w:tblInd w:w="750" w:type="dxa"/>
        <w:tblCellMar>
          <w:top w:w="0" w:type="dxa"/>
          <w:left w:w="0" w:type="dxa"/>
          <w:bottom w:w="0" w:type="dxa"/>
          <w:right w:w="0" w:type="dxa"/>
        </w:tblCellMar>
      </w:tblPr>
      <w:tr>
        <w:trPr>
          <w:trHeight w:val="297"/>
        </w:trPr>
        <w:tc>
          <w:tcPr>
            <w:tcW w:w="1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940" w:type="dxa"/>
            <w:vAlign w:val="bottom"/>
            <w:gridSpan w:val="2"/>
          </w:tcPr>
          <w:p>
            <w:pPr>
              <w:jc w:val="center"/>
              <w:ind w:left="793"/>
              <w:spacing w:after="0"/>
              <w:rPr>
                <w:sz w:val="20"/>
                <w:szCs w:val="20"/>
                <w:color w:val="auto"/>
              </w:rPr>
            </w:pPr>
            <w:r>
              <w:rPr>
                <w:rFonts w:ascii="Arial" w:cs="Arial" w:eastAsia="Arial" w:hAnsi="Arial"/>
                <w:sz w:val="22"/>
                <w:szCs w:val="22"/>
                <w:b w:val="1"/>
                <w:bCs w:val="1"/>
                <w:color w:val="auto"/>
                <w:w w:val="97"/>
              </w:rPr>
              <w:t>Attachment A</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940" w:type="dxa"/>
            <w:vAlign w:val="bottom"/>
            <w:gridSpan w:val="2"/>
          </w:tcPr>
          <w:p>
            <w:pPr>
              <w:jc w:val="center"/>
              <w:ind w:left="813"/>
              <w:spacing w:after="0"/>
              <w:rPr>
                <w:sz w:val="20"/>
                <w:szCs w:val="20"/>
                <w:color w:val="auto"/>
              </w:rPr>
            </w:pPr>
            <w:r>
              <w:rPr>
                <w:rFonts w:ascii="Arial" w:cs="Arial" w:eastAsia="Arial" w:hAnsi="Arial"/>
                <w:sz w:val="22"/>
                <w:szCs w:val="22"/>
                <w:b w:val="1"/>
                <w:bCs w:val="1"/>
                <w:color w:val="auto"/>
                <w:w w:val="98"/>
              </w:rPr>
              <w:t>Covered Aircraft</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28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1140" w:type="dxa"/>
            <w:vAlign w:val="bottom"/>
            <w:tcBorders>
              <w:left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20"/>
                <w:szCs w:val="20"/>
                <w:b w:val="1"/>
                <w:bCs w:val="1"/>
                <w:color w:val="auto"/>
                <w:w w:val="98"/>
              </w:rPr>
              <w:t>Aircraft</w:t>
            </w:r>
          </w:p>
        </w:tc>
        <w:tc>
          <w:tcPr>
            <w:tcW w:w="1820" w:type="dxa"/>
            <w:vAlign w:val="bottom"/>
            <w:tcBorders>
              <w:right w:val="single" w:sz="8" w:color="auto"/>
            </w:tcBorders>
            <w:shd w:val="clear" w:color="auto" w:fill="D9D9D9"/>
          </w:tcPr>
          <w:p>
            <w:pPr>
              <w:jc w:val="center"/>
              <w:spacing w:after="0" w:line="185" w:lineRule="exact"/>
              <w:rPr>
                <w:sz w:val="20"/>
                <w:szCs w:val="20"/>
                <w:color w:val="auto"/>
              </w:rPr>
            </w:pPr>
            <w:r>
              <w:rPr>
                <w:rFonts w:ascii="Arial" w:cs="Arial" w:eastAsia="Arial" w:hAnsi="Arial"/>
                <w:sz w:val="20"/>
                <w:szCs w:val="20"/>
                <w:b w:val="1"/>
                <w:bCs w:val="1"/>
                <w:color w:val="auto"/>
              </w:rPr>
              <w:t>Aircraft</w:t>
            </w:r>
          </w:p>
        </w:tc>
        <w:tc>
          <w:tcPr>
            <w:tcW w:w="172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20"/>
                <w:szCs w:val="20"/>
                <w:b w:val="1"/>
                <w:bCs w:val="1"/>
                <w:color w:val="auto"/>
                <w:w w:val="98"/>
              </w:rPr>
              <w:t>Aircraft Line No.</w:t>
            </w:r>
          </w:p>
        </w:tc>
        <w:tc>
          <w:tcPr>
            <w:tcW w:w="1220" w:type="dxa"/>
            <w:vAlign w:val="bottom"/>
            <w:shd w:val="clear" w:color="auto" w:fill="D9D9D9"/>
          </w:tcPr>
          <w:p>
            <w:pPr>
              <w:spacing w:after="0"/>
              <w:rPr>
                <w:sz w:val="16"/>
                <w:szCs w:val="16"/>
                <w:color w:val="auto"/>
              </w:rPr>
            </w:pPr>
          </w:p>
        </w:tc>
        <w:tc>
          <w:tcPr>
            <w:tcW w:w="2820" w:type="dxa"/>
            <w:vAlign w:val="bottom"/>
            <w:tcBorders>
              <w:right w:val="single" w:sz="8" w:color="auto"/>
            </w:tcBorders>
            <w:vMerge w:val="restart"/>
            <w:shd w:val="clear" w:color="auto" w:fill="D9D9D9"/>
          </w:tcPr>
          <w:p>
            <w:pPr>
              <w:jc w:val="center"/>
              <w:ind w:right="1133"/>
              <w:spacing w:after="0"/>
              <w:rPr>
                <w:sz w:val="20"/>
                <w:szCs w:val="20"/>
                <w:color w:val="auto"/>
              </w:rPr>
            </w:pPr>
            <w:r>
              <w:rPr>
                <w:rFonts w:ascii="Arial" w:cs="Arial" w:eastAsia="Arial" w:hAnsi="Arial"/>
                <w:sz w:val="20"/>
                <w:szCs w:val="20"/>
                <w:b w:val="1"/>
                <w:bCs w:val="1"/>
                <w:color w:val="auto"/>
                <w:w w:val="99"/>
              </w:rPr>
              <w:t>Delivery Date</w:t>
            </w:r>
          </w:p>
        </w:tc>
        <w:tc>
          <w:tcPr>
            <w:tcW w:w="0" w:type="dxa"/>
            <w:vAlign w:val="bottom"/>
          </w:tcPr>
          <w:p>
            <w:pPr>
              <w:spacing w:after="0"/>
              <w:rPr>
                <w:sz w:val="1"/>
                <w:szCs w:val="1"/>
                <w:color w:val="auto"/>
              </w:rPr>
            </w:pPr>
          </w:p>
        </w:tc>
      </w:tr>
      <w:tr>
        <w:trPr>
          <w:trHeight w:val="95"/>
        </w:trPr>
        <w:tc>
          <w:tcPr>
            <w:tcW w:w="1140" w:type="dxa"/>
            <w:vAlign w:val="bottom"/>
            <w:tcBorders>
              <w:left w:val="single" w:sz="8" w:color="auto"/>
              <w:right w:val="single" w:sz="8" w:color="auto"/>
            </w:tcBorders>
            <w:vMerge w:val="continue"/>
            <w:shd w:val="clear" w:color="auto" w:fill="D9D9D9"/>
          </w:tcPr>
          <w:p>
            <w:pPr>
              <w:spacing w:after="0"/>
              <w:rPr>
                <w:sz w:val="8"/>
                <w:szCs w:val="8"/>
                <w:color w:val="auto"/>
              </w:rPr>
            </w:pPr>
          </w:p>
        </w:tc>
        <w:tc>
          <w:tcPr>
            <w:tcW w:w="1820" w:type="dxa"/>
            <w:vAlign w:val="bottom"/>
            <w:tcBorders>
              <w:right w:val="single" w:sz="8" w:color="auto"/>
            </w:tcBorders>
            <w:vMerge w:val="restart"/>
            <w:shd w:val="clear" w:color="auto" w:fill="D9D9D9"/>
          </w:tcPr>
          <w:p>
            <w:pPr>
              <w:jc w:val="center"/>
              <w:spacing w:after="0" w:line="203" w:lineRule="exact"/>
              <w:rPr>
                <w:sz w:val="20"/>
                <w:szCs w:val="20"/>
                <w:color w:val="auto"/>
              </w:rPr>
            </w:pPr>
            <w:r>
              <w:rPr>
                <w:rFonts w:ascii="Arial" w:cs="Arial" w:eastAsia="Arial" w:hAnsi="Arial"/>
                <w:sz w:val="20"/>
                <w:szCs w:val="20"/>
                <w:b w:val="1"/>
                <w:bCs w:val="1"/>
                <w:color w:val="auto"/>
                <w:w w:val="97"/>
              </w:rPr>
              <w:t>Manufacturer</w:t>
            </w:r>
          </w:p>
        </w:tc>
        <w:tc>
          <w:tcPr>
            <w:tcW w:w="1720" w:type="dxa"/>
            <w:vAlign w:val="bottom"/>
            <w:tcBorders>
              <w:right w:val="single" w:sz="8" w:color="auto"/>
            </w:tcBorders>
            <w:vMerge w:val="continue"/>
            <w:shd w:val="clear" w:color="auto" w:fill="D9D9D9"/>
          </w:tcPr>
          <w:p>
            <w:pPr>
              <w:spacing w:after="0"/>
              <w:rPr>
                <w:sz w:val="8"/>
                <w:szCs w:val="8"/>
                <w:color w:val="auto"/>
              </w:rPr>
            </w:pPr>
          </w:p>
        </w:tc>
        <w:tc>
          <w:tcPr>
            <w:tcW w:w="1220" w:type="dxa"/>
            <w:vAlign w:val="bottom"/>
            <w:shd w:val="clear" w:color="auto" w:fill="D9D9D9"/>
          </w:tcPr>
          <w:p>
            <w:pPr>
              <w:spacing w:after="0"/>
              <w:rPr>
                <w:sz w:val="8"/>
                <w:szCs w:val="8"/>
                <w:color w:val="auto"/>
              </w:rPr>
            </w:pPr>
          </w:p>
        </w:tc>
        <w:tc>
          <w:tcPr>
            <w:tcW w:w="2820" w:type="dxa"/>
            <w:vAlign w:val="bottom"/>
            <w:tcBorders>
              <w:right w:val="single" w:sz="8" w:color="auto"/>
            </w:tcBorders>
            <w:vMerge w:val="continue"/>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140" w:type="dxa"/>
            <w:vAlign w:val="bottom"/>
            <w:tcBorders>
              <w:left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20"/>
                <w:szCs w:val="20"/>
                <w:b w:val="1"/>
                <w:bCs w:val="1"/>
                <w:color w:val="auto"/>
              </w:rPr>
              <w:t>Model</w:t>
            </w:r>
          </w:p>
        </w:tc>
        <w:tc>
          <w:tcPr>
            <w:tcW w:w="1820" w:type="dxa"/>
            <w:vAlign w:val="bottom"/>
            <w:tcBorders>
              <w:right w:val="single" w:sz="8" w:color="auto"/>
            </w:tcBorders>
            <w:vMerge w:val="continue"/>
            <w:shd w:val="clear" w:color="auto" w:fill="D9D9D9"/>
          </w:tcPr>
          <w:p>
            <w:pPr>
              <w:spacing w:after="0"/>
              <w:rPr>
                <w:sz w:val="9"/>
                <w:szCs w:val="9"/>
                <w:color w:val="auto"/>
              </w:rPr>
            </w:pPr>
          </w:p>
        </w:tc>
        <w:tc>
          <w:tcPr>
            <w:tcW w:w="1720" w:type="dxa"/>
            <w:vAlign w:val="bottom"/>
            <w:tcBorders>
              <w:right w:val="single" w:sz="8" w:color="auto"/>
            </w:tcBorders>
            <w:vMerge w:val="continue"/>
            <w:shd w:val="clear" w:color="auto" w:fill="D9D9D9"/>
          </w:tcPr>
          <w:p>
            <w:pPr>
              <w:spacing w:after="0"/>
              <w:rPr>
                <w:sz w:val="9"/>
                <w:szCs w:val="9"/>
                <w:color w:val="auto"/>
              </w:rPr>
            </w:pPr>
          </w:p>
        </w:tc>
        <w:tc>
          <w:tcPr>
            <w:tcW w:w="1220" w:type="dxa"/>
            <w:vAlign w:val="bottom"/>
            <w:shd w:val="clear" w:color="auto" w:fill="D9D9D9"/>
          </w:tcPr>
          <w:p>
            <w:pPr>
              <w:spacing w:after="0"/>
              <w:rPr>
                <w:sz w:val="9"/>
                <w:szCs w:val="9"/>
                <w:color w:val="auto"/>
              </w:rPr>
            </w:pPr>
          </w:p>
        </w:tc>
        <w:tc>
          <w:tcPr>
            <w:tcW w:w="2820" w:type="dxa"/>
            <w:vAlign w:val="bottom"/>
            <w:tcBorders>
              <w:right w:val="single" w:sz="8" w:color="auto"/>
            </w:tcBorders>
            <w:vMerge w:val="continue"/>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1140" w:type="dxa"/>
            <w:vAlign w:val="bottom"/>
            <w:tcBorders>
              <w:left w:val="single" w:sz="8" w:color="auto"/>
              <w:right w:val="single" w:sz="8" w:color="auto"/>
            </w:tcBorders>
            <w:vMerge w:val="continue"/>
            <w:shd w:val="clear" w:color="auto" w:fill="D9D9D9"/>
          </w:tcPr>
          <w:p>
            <w:pPr>
              <w:spacing w:after="0"/>
              <w:rPr>
                <w:sz w:val="14"/>
                <w:szCs w:val="14"/>
                <w:color w:val="auto"/>
              </w:rPr>
            </w:pPr>
          </w:p>
        </w:tc>
        <w:tc>
          <w:tcPr>
            <w:tcW w:w="182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20"/>
                <w:szCs w:val="20"/>
                <w:b w:val="1"/>
                <w:bCs w:val="1"/>
                <w:color w:val="auto"/>
                <w:w w:val="99"/>
              </w:rPr>
              <w:t>Serial No.</w:t>
            </w:r>
          </w:p>
        </w:tc>
        <w:tc>
          <w:tcPr>
            <w:tcW w:w="1720" w:type="dxa"/>
            <w:vAlign w:val="bottom"/>
            <w:tcBorders>
              <w:right w:val="single" w:sz="8" w:color="auto"/>
            </w:tcBorders>
            <w:shd w:val="clear" w:color="auto" w:fill="D9D9D9"/>
          </w:tcPr>
          <w:p>
            <w:pPr>
              <w:spacing w:after="0"/>
              <w:rPr>
                <w:sz w:val="14"/>
                <w:szCs w:val="14"/>
                <w:color w:val="auto"/>
              </w:rPr>
            </w:pPr>
          </w:p>
        </w:tc>
        <w:tc>
          <w:tcPr>
            <w:tcW w:w="1220" w:type="dxa"/>
            <w:vAlign w:val="bottom"/>
            <w:shd w:val="clear" w:color="auto" w:fill="D9D9D9"/>
          </w:tcPr>
          <w:p>
            <w:pPr>
              <w:spacing w:after="0"/>
              <w:rPr>
                <w:sz w:val="14"/>
                <w:szCs w:val="14"/>
                <w:color w:val="auto"/>
              </w:rPr>
            </w:pPr>
          </w:p>
        </w:tc>
        <w:tc>
          <w:tcPr>
            <w:tcW w:w="2820" w:type="dxa"/>
            <w:vAlign w:val="bottom"/>
            <w:tcBorders>
              <w:right w:val="single" w:sz="8" w:color="auto"/>
            </w:tcBorders>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1140" w:type="dxa"/>
            <w:vAlign w:val="bottom"/>
            <w:tcBorders>
              <w:left w:val="single" w:sz="8" w:color="auto"/>
              <w:bottom w:val="single" w:sz="8" w:color="auto"/>
              <w:right w:val="single" w:sz="8" w:color="auto"/>
            </w:tcBorders>
            <w:shd w:val="clear" w:color="auto" w:fill="D9D9D9"/>
          </w:tcPr>
          <w:p>
            <w:pPr>
              <w:spacing w:after="0"/>
              <w:rPr>
                <w:sz w:val="7"/>
                <w:szCs w:val="7"/>
                <w:color w:val="auto"/>
              </w:rPr>
            </w:pPr>
          </w:p>
        </w:tc>
        <w:tc>
          <w:tcPr>
            <w:tcW w:w="1820" w:type="dxa"/>
            <w:vAlign w:val="bottom"/>
            <w:tcBorders>
              <w:bottom w:val="single" w:sz="8" w:color="auto"/>
              <w:right w:val="single" w:sz="8" w:color="auto"/>
            </w:tcBorders>
            <w:vMerge w:val="continue"/>
            <w:shd w:val="clear" w:color="auto" w:fill="D9D9D9"/>
          </w:tcPr>
          <w:p>
            <w:pPr>
              <w:spacing w:after="0"/>
              <w:rPr>
                <w:sz w:val="7"/>
                <w:szCs w:val="7"/>
                <w:color w:val="auto"/>
              </w:rPr>
            </w:pPr>
          </w:p>
        </w:tc>
        <w:tc>
          <w:tcPr>
            <w:tcW w:w="1720" w:type="dxa"/>
            <w:vAlign w:val="bottom"/>
            <w:tcBorders>
              <w:bottom w:val="single" w:sz="8" w:color="auto"/>
              <w:right w:val="single" w:sz="8" w:color="auto"/>
            </w:tcBorders>
            <w:shd w:val="clear" w:color="auto" w:fill="D9D9D9"/>
          </w:tcPr>
          <w:p>
            <w:pPr>
              <w:spacing w:after="0"/>
              <w:rPr>
                <w:sz w:val="7"/>
                <w:szCs w:val="7"/>
                <w:color w:val="auto"/>
              </w:rPr>
            </w:pPr>
          </w:p>
        </w:tc>
        <w:tc>
          <w:tcPr>
            <w:tcW w:w="1220" w:type="dxa"/>
            <w:vAlign w:val="bottom"/>
            <w:tcBorders>
              <w:bottom w:val="single" w:sz="8" w:color="auto"/>
            </w:tcBorders>
            <w:shd w:val="clear" w:color="auto" w:fill="D9D9D9"/>
          </w:tcPr>
          <w:p>
            <w:pPr>
              <w:spacing w:after="0"/>
              <w:rPr>
                <w:sz w:val="7"/>
                <w:szCs w:val="7"/>
                <w:color w:val="auto"/>
              </w:rPr>
            </w:pPr>
          </w:p>
        </w:tc>
        <w:tc>
          <w:tcPr>
            <w:tcW w:w="2820" w:type="dxa"/>
            <w:vAlign w:val="bottom"/>
            <w:tcBorders>
              <w:bottom w:val="single" w:sz="8" w:color="auto"/>
              <w:right w:val="single" w:sz="8" w:color="auto"/>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1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787-8</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4"/>
              </w:rPr>
              <w:t>[****]</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8"/>
              </w:rPr>
              <w:t>[****]</w:t>
            </w:r>
          </w:p>
        </w:tc>
        <w:tc>
          <w:tcPr>
            <w:tcW w:w="1220" w:type="dxa"/>
            <w:vAlign w:val="bottom"/>
          </w:tcPr>
          <w:p>
            <w:pPr>
              <w:spacing w:after="0"/>
              <w:rPr>
                <w:sz w:val="24"/>
                <w:szCs w:val="24"/>
                <w:color w:val="auto"/>
              </w:rPr>
            </w:pPr>
          </w:p>
        </w:tc>
        <w:tc>
          <w:tcPr>
            <w:tcW w:w="2820" w:type="dxa"/>
            <w:vAlign w:val="bottom"/>
            <w:tcBorders>
              <w:right w:val="single" w:sz="8" w:color="auto"/>
            </w:tcBorders>
          </w:tcPr>
          <w:p>
            <w:pPr>
              <w:jc w:val="center"/>
              <w:ind w:right="1133"/>
              <w:spacing w:after="0"/>
              <w:rPr>
                <w:sz w:val="20"/>
                <w:szCs w:val="20"/>
                <w:color w:val="auto"/>
              </w:rPr>
            </w:pPr>
            <w:r>
              <w:rPr>
                <w:rFonts w:ascii="Arial" w:cs="Arial" w:eastAsia="Arial" w:hAnsi="Arial"/>
                <w:sz w:val="22"/>
                <w:szCs w:val="22"/>
                <w:color w:val="auto"/>
                <w:w w:val="98"/>
              </w:rPr>
              <w:t>[****]</w:t>
            </w:r>
          </w:p>
        </w:tc>
        <w:tc>
          <w:tcPr>
            <w:tcW w:w="0" w:type="dxa"/>
            <w:vAlign w:val="bottom"/>
          </w:tcPr>
          <w:p>
            <w:pPr>
              <w:spacing w:after="0"/>
              <w:rPr>
                <w:sz w:val="1"/>
                <w:szCs w:val="1"/>
                <w:color w:val="auto"/>
              </w:rPr>
            </w:pPr>
          </w:p>
        </w:tc>
      </w:tr>
      <w:tr>
        <w:trPr>
          <w:trHeight w:val="26"/>
        </w:trPr>
        <w:tc>
          <w:tcPr>
            <w:tcW w:w="1140" w:type="dxa"/>
            <w:vAlign w:val="bottom"/>
            <w:tcBorders>
              <w:left w:val="single" w:sz="8" w:color="auto"/>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5"/>
        </w:trPr>
        <w:tc>
          <w:tcPr>
            <w:tcW w:w="1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787-8</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4"/>
              </w:rPr>
              <w:t>[****]</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8"/>
              </w:rPr>
              <w:t>[****]</w:t>
            </w:r>
          </w:p>
        </w:tc>
        <w:tc>
          <w:tcPr>
            <w:tcW w:w="1220" w:type="dxa"/>
            <w:vAlign w:val="bottom"/>
          </w:tcPr>
          <w:p>
            <w:pPr>
              <w:spacing w:after="0"/>
              <w:rPr>
                <w:sz w:val="24"/>
                <w:szCs w:val="24"/>
                <w:color w:val="auto"/>
              </w:rPr>
            </w:pPr>
          </w:p>
        </w:tc>
        <w:tc>
          <w:tcPr>
            <w:tcW w:w="2820" w:type="dxa"/>
            <w:vAlign w:val="bottom"/>
            <w:tcBorders>
              <w:right w:val="single" w:sz="8" w:color="auto"/>
            </w:tcBorders>
          </w:tcPr>
          <w:p>
            <w:pPr>
              <w:jc w:val="center"/>
              <w:ind w:right="1133"/>
              <w:spacing w:after="0"/>
              <w:rPr>
                <w:sz w:val="20"/>
                <w:szCs w:val="20"/>
                <w:color w:val="auto"/>
              </w:rPr>
            </w:pPr>
            <w:r>
              <w:rPr>
                <w:rFonts w:ascii="Arial" w:cs="Arial" w:eastAsia="Arial" w:hAnsi="Arial"/>
                <w:sz w:val="22"/>
                <w:szCs w:val="22"/>
                <w:color w:val="auto"/>
                <w:w w:val="98"/>
              </w:rPr>
              <w:t>[****]</w:t>
            </w:r>
          </w:p>
        </w:tc>
        <w:tc>
          <w:tcPr>
            <w:tcW w:w="0" w:type="dxa"/>
            <w:vAlign w:val="bottom"/>
          </w:tcPr>
          <w:p>
            <w:pPr>
              <w:spacing w:after="0"/>
              <w:rPr>
                <w:sz w:val="1"/>
                <w:szCs w:val="1"/>
                <w:color w:val="auto"/>
              </w:rPr>
            </w:pPr>
          </w:p>
        </w:tc>
      </w:tr>
      <w:tr>
        <w:trPr>
          <w:trHeight w:val="26"/>
        </w:trPr>
        <w:tc>
          <w:tcPr>
            <w:tcW w:w="1140" w:type="dxa"/>
            <w:vAlign w:val="bottom"/>
            <w:tcBorders>
              <w:left w:val="single" w:sz="8" w:color="auto"/>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5"/>
        </w:trPr>
        <w:tc>
          <w:tcPr>
            <w:tcW w:w="1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787-8</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4"/>
              </w:rPr>
              <w:t>[****]</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8"/>
              </w:rPr>
              <w:t>[****]</w:t>
            </w:r>
          </w:p>
        </w:tc>
        <w:tc>
          <w:tcPr>
            <w:tcW w:w="1220" w:type="dxa"/>
            <w:vAlign w:val="bottom"/>
          </w:tcPr>
          <w:p>
            <w:pPr>
              <w:spacing w:after="0"/>
              <w:rPr>
                <w:sz w:val="24"/>
                <w:szCs w:val="24"/>
                <w:color w:val="auto"/>
              </w:rPr>
            </w:pPr>
          </w:p>
        </w:tc>
        <w:tc>
          <w:tcPr>
            <w:tcW w:w="2820" w:type="dxa"/>
            <w:vAlign w:val="bottom"/>
            <w:tcBorders>
              <w:right w:val="single" w:sz="8" w:color="auto"/>
            </w:tcBorders>
          </w:tcPr>
          <w:p>
            <w:pPr>
              <w:jc w:val="center"/>
              <w:ind w:right="1133"/>
              <w:spacing w:after="0"/>
              <w:rPr>
                <w:sz w:val="20"/>
                <w:szCs w:val="20"/>
                <w:color w:val="auto"/>
              </w:rPr>
            </w:pPr>
            <w:r>
              <w:rPr>
                <w:rFonts w:ascii="Arial" w:cs="Arial" w:eastAsia="Arial" w:hAnsi="Arial"/>
                <w:sz w:val="22"/>
                <w:szCs w:val="22"/>
                <w:color w:val="auto"/>
                <w:w w:val="98"/>
              </w:rPr>
              <w:t>[****]</w:t>
            </w:r>
          </w:p>
        </w:tc>
        <w:tc>
          <w:tcPr>
            <w:tcW w:w="0" w:type="dxa"/>
            <w:vAlign w:val="bottom"/>
          </w:tcPr>
          <w:p>
            <w:pPr>
              <w:spacing w:after="0"/>
              <w:rPr>
                <w:sz w:val="1"/>
                <w:szCs w:val="1"/>
                <w:color w:val="auto"/>
              </w:rPr>
            </w:pPr>
          </w:p>
        </w:tc>
      </w:tr>
      <w:tr>
        <w:trPr>
          <w:trHeight w:val="26"/>
        </w:trPr>
        <w:tc>
          <w:tcPr>
            <w:tcW w:w="1140" w:type="dxa"/>
            <w:vAlign w:val="bottom"/>
            <w:tcBorders>
              <w:left w:val="single" w:sz="8" w:color="auto"/>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5"/>
        </w:trPr>
        <w:tc>
          <w:tcPr>
            <w:tcW w:w="1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787-8</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4"/>
              </w:rPr>
              <w:t>[****]</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8"/>
              </w:rPr>
              <w:t>[****]</w:t>
            </w:r>
          </w:p>
        </w:tc>
        <w:tc>
          <w:tcPr>
            <w:tcW w:w="1220" w:type="dxa"/>
            <w:vAlign w:val="bottom"/>
          </w:tcPr>
          <w:p>
            <w:pPr>
              <w:spacing w:after="0"/>
              <w:rPr>
                <w:sz w:val="24"/>
                <w:szCs w:val="24"/>
                <w:color w:val="auto"/>
              </w:rPr>
            </w:pPr>
          </w:p>
        </w:tc>
        <w:tc>
          <w:tcPr>
            <w:tcW w:w="2820" w:type="dxa"/>
            <w:vAlign w:val="bottom"/>
            <w:tcBorders>
              <w:right w:val="single" w:sz="8" w:color="auto"/>
            </w:tcBorders>
          </w:tcPr>
          <w:p>
            <w:pPr>
              <w:jc w:val="center"/>
              <w:ind w:right="1133"/>
              <w:spacing w:after="0"/>
              <w:rPr>
                <w:sz w:val="20"/>
                <w:szCs w:val="20"/>
                <w:color w:val="auto"/>
              </w:rPr>
            </w:pPr>
            <w:r>
              <w:rPr>
                <w:rFonts w:ascii="Arial" w:cs="Arial" w:eastAsia="Arial" w:hAnsi="Arial"/>
                <w:sz w:val="22"/>
                <w:szCs w:val="22"/>
                <w:color w:val="auto"/>
                <w:w w:val="98"/>
              </w:rPr>
              <w:t>[****]</w:t>
            </w:r>
          </w:p>
        </w:tc>
        <w:tc>
          <w:tcPr>
            <w:tcW w:w="0" w:type="dxa"/>
            <w:vAlign w:val="bottom"/>
          </w:tcPr>
          <w:p>
            <w:pPr>
              <w:spacing w:after="0"/>
              <w:rPr>
                <w:sz w:val="1"/>
                <w:szCs w:val="1"/>
                <w:color w:val="auto"/>
              </w:rPr>
            </w:pPr>
          </w:p>
        </w:tc>
      </w:tr>
      <w:tr>
        <w:trPr>
          <w:trHeight w:val="26"/>
        </w:trPr>
        <w:tc>
          <w:tcPr>
            <w:tcW w:w="1140" w:type="dxa"/>
            <w:vAlign w:val="bottom"/>
            <w:tcBorders>
              <w:left w:val="single" w:sz="8" w:color="auto"/>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5"/>
        </w:trPr>
        <w:tc>
          <w:tcPr>
            <w:tcW w:w="1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787-8</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4"/>
              </w:rPr>
              <w:t>[****]</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8"/>
              </w:rPr>
              <w:t>[****]</w:t>
            </w:r>
          </w:p>
        </w:tc>
        <w:tc>
          <w:tcPr>
            <w:tcW w:w="1220" w:type="dxa"/>
            <w:vAlign w:val="bottom"/>
          </w:tcPr>
          <w:p>
            <w:pPr>
              <w:spacing w:after="0"/>
              <w:rPr>
                <w:sz w:val="24"/>
                <w:szCs w:val="24"/>
                <w:color w:val="auto"/>
              </w:rPr>
            </w:pPr>
          </w:p>
        </w:tc>
        <w:tc>
          <w:tcPr>
            <w:tcW w:w="2820" w:type="dxa"/>
            <w:vAlign w:val="bottom"/>
            <w:tcBorders>
              <w:right w:val="single" w:sz="8" w:color="auto"/>
            </w:tcBorders>
          </w:tcPr>
          <w:p>
            <w:pPr>
              <w:jc w:val="center"/>
              <w:ind w:right="1133"/>
              <w:spacing w:after="0"/>
              <w:rPr>
                <w:sz w:val="20"/>
                <w:szCs w:val="20"/>
                <w:color w:val="auto"/>
              </w:rPr>
            </w:pPr>
            <w:r>
              <w:rPr>
                <w:rFonts w:ascii="Arial" w:cs="Arial" w:eastAsia="Arial" w:hAnsi="Arial"/>
                <w:sz w:val="22"/>
                <w:szCs w:val="22"/>
                <w:color w:val="auto"/>
                <w:w w:val="98"/>
              </w:rPr>
              <w:t>[****]</w:t>
            </w:r>
          </w:p>
        </w:tc>
        <w:tc>
          <w:tcPr>
            <w:tcW w:w="0" w:type="dxa"/>
            <w:vAlign w:val="bottom"/>
          </w:tcPr>
          <w:p>
            <w:pPr>
              <w:spacing w:after="0"/>
              <w:rPr>
                <w:sz w:val="1"/>
                <w:szCs w:val="1"/>
                <w:color w:val="auto"/>
              </w:rPr>
            </w:pPr>
          </w:p>
        </w:tc>
      </w:tr>
      <w:tr>
        <w:trPr>
          <w:trHeight w:val="27"/>
        </w:trPr>
        <w:tc>
          <w:tcPr>
            <w:tcW w:w="1140" w:type="dxa"/>
            <w:vAlign w:val="bottom"/>
            <w:tcBorders>
              <w:left w:val="single" w:sz="8" w:color="auto"/>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1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787-8</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4"/>
              </w:rPr>
              <w:t>[****]</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8"/>
              </w:rPr>
              <w:t>[****]</w:t>
            </w:r>
          </w:p>
        </w:tc>
        <w:tc>
          <w:tcPr>
            <w:tcW w:w="1220" w:type="dxa"/>
            <w:vAlign w:val="bottom"/>
          </w:tcPr>
          <w:p>
            <w:pPr>
              <w:spacing w:after="0"/>
              <w:rPr>
                <w:sz w:val="24"/>
                <w:szCs w:val="24"/>
                <w:color w:val="auto"/>
              </w:rPr>
            </w:pPr>
          </w:p>
        </w:tc>
        <w:tc>
          <w:tcPr>
            <w:tcW w:w="2820" w:type="dxa"/>
            <w:vAlign w:val="bottom"/>
            <w:tcBorders>
              <w:right w:val="single" w:sz="8" w:color="auto"/>
            </w:tcBorders>
          </w:tcPr>
          <w:p>
            <w:pPr>
              <w:jc w:val="center"/>
              <w:ind w:right="1133"/>
              <w:spacing w:after="0"/>
              <w:rPr>
                <w:sz w:val="20"/>
                <w:szCs w:val="20"/>
                <w:color w:val="auto"/>
              </w:rPr>
            </w:pPr>
            <w:r>
              <w:rPr>
                <w:rFonts w:ascii="Arial" w:cs="Arial" w:eastAsia="Arial" w:hAnsi="Arial"/>
                <w:sz w:val="22"/>
                <w:szCs w:val="22"/>
                <w:color w:val="auto"/>
                <w:w w:val="98"/>
              </w:rPr>
              <w:t>[****]</w:t>
            </w:r>
          </w:p>
        </w:tc>
        <w:tc>
          <w:tcPr>
            <w:tcW w:w="0" w:type="dxa"/>
            <w:vAlign w:val="bottom"/>
          </w:tcPr>
          <w:p>
            <w:pPr>
              <w:spacing w:after="0"/>
              <w:rPr>
                <w:sz w:val="1"/>
                <w:szCs w:val="1"/>
                <w:color w:val="auto"/>
              </w:rPr>
            </w:pPr>
          </w:p>
        </w:tc>
      </w:tr>
      <w:tr>
        <w:trPr>
          <w:trHeight w:val="27"/>
        </w:trPr>
        <w:tc>
          <w:tcPr>
            <w:tcW w:w="1140" w:type="dxa"/>
            <w:vAlign w:val="bottom"/>
            <w:tcBorders>
              <w:left w:val="single" w:sz="8" w:color="auto"/>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5"/>
        </w:trPr>
        <w:tc>
          <w:tcPr>
            <w:tcW w:w="1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787-8</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4"/>
              </w:rPr>
              <w:t>[****]</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8"/>
              </w:rPr>
              <w:t>[****]</w:t>
            </w:r>
          </w:p>
        </w:tc>
        <w:tc>
          <w:tcPr>
            <w:tcW w:w="1220" w:type="dxa"/>
            <w:vAlign w:val="bottom"/>
          </w:tcPr>
          <w:p>
            <w:pPr>
              <w:spacing w:after="0"/>
              <w:rPr>
                <w:sz w:val="24"/>
                <w:szCs w:val="24"/>
                <w:color w:val="auto"/>
              </w:rPr>
            </w:pPr>
          </w:p>
        </w:tc>
        <w:tc>
          <w:tcPr>
            <w:tcW w:w="2820" w:type="dxa"/>
            <w:vAlign w:val="bottom"/>
            <w:tcBorders>
              <w:right w:val="single" w:sz="8" w:color="auto"/>
            </w:tcBorders>
          </w:tcPr>
          <w:p>
            <w:pPr>
              <w:jc w:val="center"/>
              <w:ind w:right="1133"/>
              <w:spacing w:after="0"/>
              <w:rPr>
                <w:sz w:val="20"/>
                <w:szCs w:val="20"/>
                <w:color w:val="auto"/>
              </w:rPr>
            </w:pPr>
            <w:r>
              <w:rPr>
                <w:rFonts w:ascii="Arial" w:cs="Arial" w:eastAsia="Arial" w:hAnsi="Arial"/>
                <w:sz w:val="22"/>
                <w:szCs w:val="22"/>
                <w:color w:val="auto"/>
                <w:w w:val="98"/>
              </w:rPr>
              <w:t>[****]</w:t>
            </w:r>
          </w:p>
        </w:tc>
        <w:tc>
          <w:tcPr>
            <w:tcW w:w="0" w:type="dxa"/>
            <w:vAlign w:val="bottom"/>
          </w:tcPr>
          <w:p>
            <w:pPr>
              <w:spacing w:after="0"/>
              <w:rPr>
                <w:sz w:val="1"/>
                <w:szCs w:val="1"/>
                <w:color w:val="auto"/>
              </w:rPr>
            </w:pPr>
          </w:p>
        </w:tc>
      </w:tr>
      <w:tr>
        <w:trPr>
          <w:trHeight w:val="26"/>
        </w:trPr>
        <w:tc>
          <w:tcPr>
            <w:tcW w:w="1140" w:type="dxa"/>
            <w:vAlign w:val="bottom"/>
            <w:tcBorders>
              <w:left w:val="single" w:sz="8" w:color="auto"/>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5"/>
        </w:trPr>
        <w:tc>
          <w:tcPr>
            <w:tcW w:w="1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787-8</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4"/>
              </w:rPr>
              <w:t>[****]</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8"/>
              </w:rPr>
              <w:t>[****]</w:t>
            </w:r>
          </w:p>
        </w:tc>
        <w:tc>
          <w:tcPr>
            <w:tcW w:w="1220" w:type="dxa"/>
            <w:vAlign w:val="bottom"/>
          </w:tcPr>
          <w:p>
            <w:pPr>
              <w:spacing w:after="0"/>
              <w:rPr>
                <w:sz w:val="24"/>
                <w:szCs w:val="24"/>
                <w:color w:val="auto"/>
              </w:rPr>
            </w:pPr>
          </w:p>
        </w:tc>
        <w:tc>
          <w:tcPr>
            <w:tcW w:w="2820" w:type="dxa"/>
            <w:vAlign w:val="bottom"/>
            <w:tcBorders>
              <w:right w:val="single" w:sz="8" w:color="auto"/>
            </w:tcBorders>
          </w:tcPr>
          <w:p>
            <w:pPr>
              <w:jc w:val="center"/>
              <w:ind w:right="1133"/>
              <w:spacing w:after="0"/>
              <w:rPr>
                <w:sz w:val="20"/>
                <w:szCs w:val="20"/>
                <w:color w:val="auto"/>
              </w:rPr>
            </w:pPr>
            <w:r>
              <w:rPr>
                <w:rFonts w:ascii="Arial" w:cs="Arial" w:eastAsia="Arial" w:hAnsi="Arial"/>
                <w:sz w:val="22"/>
                <w:szCs w:val="22"/>
                <w:color w:val="auto"/>
                <w:w w:val="98"/>
              </w:rPr>
              <w:t>[****]</w:t>
            </w:r>
          </w:p>
        </w:tc>
        <w:tc>
          <w:tcPr>
            <w:tcW w:w="0" w:type="dxa"/>
            <w:vAlign w:val="bottom"/>
          </w:tcPr>
          <w:p>
            <w:pPr>
              <w:spacing w:after="0"/>
              <w:rPr>
                <w:sz w:val="1"/>
                <w:szCs w:val="1"/>
                <w:color w:val="auto"/>
              </w:rPr>
            </w:pPr>
          </w:p>
        </w:tc>
      </w:tr>
      <w:tr>
        <w:trPr>
          <w:trHeight w:val="26"/>
        </w:trPr>
        <w:tc>
          <w:tcPr>
            <w:tcW w:w="1140" w:type="dxa"/>
            <w:vAlign w:val="bottom"/>
            <w:tcBorders>
              <w:left w:val="single" w:sz="8" w:color="auto"/>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5"/>
        </w:trPr>
        <w:tc>
          <w:tcPr>
            <w:tcW w:w="1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787-8</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4"/>
              </w:rPr>
              <w:t>[****]</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8"/>
              </w:rPr>
              <w:t>[****]</w:t>
            </w:r>
          </w:p>
        </w:tc>
        <w:tc>
          <w:tcPr>
            <w:tcW w:w="1220" w:type="dxa"/>
            <w:vAlign w:val="bottom"/>
          </w:tcPr>
          <w:p>
            <w:pPr>
              <w:spacing w:after="0"/>
              <w:rPr>
                <w:sz w:val="24"/>
                <w:szCs w:val="24"/>
                <w:color w:val="auto"/>
              </w:rPr>
            </w:pPr>
          </w:p>
        </w:tc>
        <w:tc>
          <w:tcPr>
            <w:tcW w:w="2820" w:type="dxa"/>
            <w:vAlign w:val="bottom"/>
            <w:tcBorders>
              <w:right w:val="single" w:sz="8" w:color="auto"/>
            </w:tcBorders>
          </w:tcPr>
          <w:p>
            <w:pPr>
              <w:jc w:val="center"/>
              <w:ind w:right="1133"/>
              <w:spacing w:after="0"/>
              <w:rPr>
                <w:sz w:val="20"/>
                <w:szCs w:val="20"/>
                <w:color w:val="auto"/>
              </w:rPr>
            </w:pPr>
            <w:r>
              <w:rPr>
                <w:rFonts w:ascii="Arial" w:cs="Arial" w:eastAsia="Arial" w:hAnsi="Arial"/>
                <w:sz w:val="22"/>
                <w:szCs w:val="22"/>
                <w:color w:val="auto"/>
                <w:w w:val="98"/>
              </w:rPr>
              <w:t>[****]</w:t>
            </w:r>
          </w:p>
        </w:tc>
        <w:tc>
          <w:tcPr>
            <w:tcW w:w="0" w:type="dxa"/>
            <w:vAlign w:val="bottom"/>
          </w:tcPr>
          <w:p>
            <w:pPr>
              <w:spacing w:after="0"/>
              <w:rPr>
                <w:sz w:val="1"/>
                <w:szCs w:val="1"/>
                <w:color w:val="auto"/>
              </w:rPr>
            </w:pPr>
          </w:p>
        </w:tc>
      </w:tr>
      <w:tr>
        <w:trPr>
          <w:trHeight w:val="26"/>
        </w:trPr>
        <w:tc>
          <w:tcPr>
            <w:tcW w:w="1140" w:type="dxa"/>
            <w:vAlign w:val="bottom"/>
            <w:tcBorders>
              <w:left w:val="single" w:sz="8" w:color="auto"/>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5"/>
        </w:trPr>
        <w:tc>
          <w:tcPr>
            <w:tcW w:w="1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787-8</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4"/>
              </w:rPr>
              <w:t>[****]</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8"/>
              </w:rPr>
              <w:t>[****]</w:t>
            </w:r>
          </w:p>
        </w:tc>
        <w:tc>
          <w:tcPr>
            <w:tcW w:w="1220" w:type="dxa"/>
            <w:vAlign w:val="bottom"/>
          </w:tcPr>
          <w:p>
            <w:pPr>
              <w:spacing w:after="0"/>
              <w:rPr>
                <w:sz w:val="24"/>
                <w:szCs w:val="24"/>
                <w:color w:val="auto"/>
              </w:rPr>
            </w:pPr>
          </w:p>
        </w:tc>
        <w:tc>
          <w:tcPr>
            <w:tcW w:w="2820" w:type="dxa"/>
            <w:vAlign w:val="bottom"/>
            <w:tcBorders>
              <w:right w:val="single" w:sz="8" w:color="auto"/>
            </w:tcBorders>
          </w:tcPr>
          <w:p>
            <w:pPr>
              <w:jc w:val="center"/>
              <w:ind w:right="1133"/>
              <w:spacing w:after="0"/>
              <w:rPr>
                <w:sz w:val="20"/>
                <w:szCs w:val="20"/>
                <w:color w:val="auto"/>
              </w:rPr>
            </w:pPr>
            <w:r>
              <w:rPr>
                <w:rFonts w:ascii="Arial" w:cs="Arial" w:eastAsia="Arial" w:hAnsi="Arial"/>
                <w:sz w:val="22"/>
                <w:szCs w:val="22"/>
                <w:color w:val="auto"/>
                <w:w w:val="98"/>
              </w:rPr>
              <w:t>[****]</w:t>
            </w:r>
          </w:p>
        </w:tc>
        <w:tc>
          <w:tcPr>
            <w:tcW w:w="0" w:type="dxa"/>
            <w:vAlign w:val="bottom"/>
          </w:tcPr>
          <w:p>
            <w:pPr>
              <w:spacing w:after="0"/>
              <w:rPr>
                <w:sz w:val="1"/>
                <w:szCs w:val="1"/>
                <w:color w:val="auto"/>
              </w:rPr>
            </w:pPr>
          </w:p>
        </w:tc>
      </w:tr>
      <w:tr>
        <w:trPr>
          <w:trHeight w:val="26"/>
        </w:trPr>
        <w:tc>
          <w:tcPr>
            <w:tcW w:w="1140" w:type="dxa"/>
            <w:vAlign w:val="bottom"/>
            <w:tcBorders>
              <w:left w:val="single" w:sz="8" w:color="auto"/>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5"/>
        </w:trPr>
        <w:tc>
          <w:tcPr>
            <w:tcW w:w="1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787-8</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4"/>
              </w:rPr>
              <w:t>[****]</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8"/>
              </w:rPr>
              <w:t>[****]</w:t>
            </w:r>
          </w:p>
        </w:tc>
        <w:tc>
          <w:tcPr>
            <w:tcW w:w="1220" w:type="dxa"/>
            <w:vAlign w:val="bottom"/>
          </w:tcPr>
          <w:p>
            <w:pPr>
              <w:spacing w:after="0"/>
              <w:rPr>
                <w:sz w:val="24"/>
                <w:szCs w:val="24"/>
                <w:color w:val="auto"/>
              </w:rPr>
            </w:pPr>
          </w:p>
        </w:tc>
        <w:tc>
          <w:tcPr>
            <w:tcW w:w="2820" w:type="dxa"/>
            <w:vAlign w:val="bottom"/>
            <w:tcBorders>
              <w:right w:val="single" w:sz="8" w:color="auto"/>
            </w:tcBorders>
          </w:tcPr>
          <w:p>
            <w:pPr>
              <w:jc w:val="center"/>
              <w:ind w:right="1133"/>
              <w:spacing w:after="0"/>
              <w:rPr>
                <w:sz w:val="20"/>
                <w:szCs w:val="20"/>
                <w:color w:val="auto"/>
              </w:rPr>
            </w:pPr>
            <w:r>
              <w:rPr>
                <w:rFonts w:ascii="Arial" w:cs="Arial" w:eastAsia="Arial" w:hAnsi="Arial"/>
                <w:sz w:val="22"/>
                <w:szCs w:val="22"/>
                <w:color w:val="auto"/>
                <w:w w:val="98"/>
              </w:rPr>
              <w:t>[****]</w:t>
            </w:r>
          </w:p>
        </w:tc>
        <w:tc>
          <w:tcPr>
            <w:tcW w:w="0" w:type="dxa"/>
            <w:vAlign w:val="bottom"/>
          </w:tcPr>
          <w:p>
            <w:pPr>
              <w:spacing w:after="0"/>
              <w:rPr>
                <w:sz w:val="1"/>
                <w:szCs w:val="1"/>
                <w:color w:val="auto"/>
              </w:rPr>
            </w:pPr>
          </w:p>
        </w:tc>
      </w:tr>
      <w:tr>
        <w:trPr>
          <w:trHeight w:val="27"/>
        </w:trPr>
        <w:tc>
          <w:tcPr>
            <w:tcW w:w="1140" w:type="dxa"/>
            <w:vAlign w:val="bottom"/>
            <w:tcBorders>
              <w:left w:val="single" w:sz="8" w:color="auto"/>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5"/>
        </w:trPr>
        <w:tc>
          <w:tcPr>
            <w:tcW w:w="1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787-8</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4"/>
              </w:rPr>
              <w:t>[****]</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8"/>
              </w:rPr>
              <w:t>[****]</w:t>
            </w:r>
          </w:p>
        </w:tc>
        <w:tc>
          <w:tcPr>
            <w:tcW w:w="1220" w:type="dxa"/>
            <w:vAlign w:val="bottom"/>
          </w:tcPr>
          <w:p>
            <w:pPr>
              <w:spacing w:after="0"/>
              <w:rPr>
                <w:sz w:val="24"/>
                <w:szCs w:val="24"/>
                <w:color w:val="auto"/>
              </w:rPr>
            </w:pPr>
          </w:p>
        </w:tc>
        <w:tc>
          <w:tcPr>
            <w:tcW w:w="2820" w:type="dxa"/>
            <w:vAlign w:val="bottom"/>
            <w:tcBorders>
              <w:right w:val="single" w:sz="8" w:color="auto"/>
            </w:tcBorders>
          </w:tcPr>
          <w:p>
            <w:pPr>
              <w:jc w:val="center"/>
              <w:ind w:right="1133"/>
              <w:spacing w:after="0"/>
              <w:rPr>
                <w:sz w:val="20"/>
                <w:szCs w:val="20"/>
                <w:color w:val="auto"/>
              </w:rPr>
            </w:pPr>
            <w:r>
              <w:rPr>
                <w:rFonts w:ascii="Arial" w:cs="Arial" w:eastAsia="Arial" w:hAnsi="Arial"/>
                <w:sz w:val="22"/>
                <w:szCs w:val="22"/>
                <w:color w:val="auto"/>
                <w:w w:val="98"/>
              </w:rPr>
              <w:t>[****]</w:t>
            </w:r>
          </w:p>
        </w:tc>
        <w:tc>
          <w:tcPr>
            <w:tcW w:w="0" w:type="dxa"/>
            <w:vAlign w:val="bottom"/>
          </w:tcPr>
          <w:p>
            <w:pPr>
              <w:spacing w:after="0"/>
              <w:rPr>
                <w:sz w:val="1"/>
                <w:szCs w:val="1"/>
                <w:color w:val="auto"/>
              </w:rPr>
            </w:pPr>
          </w:p>
        </w:tc>
      </w:tr>
      <w:tr>
        <w:trPr>
          <w:trHeight w:val="27"/>
        </w:trPr>
        <w:tc>
          <w:tcPr>
            <w:tcW w:w="1140" w:type="dxa"/>
            <w:vAlign w:val="bottom"/>
            <w:tcBorders>
              <w:left w:val="single" w:sz="8" w:color="auto"/>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1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787-8</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4"/>
              </w:rPr>
              <w:t>[****]</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8"/>
              </w:rPr>
              <w:t>[****]</w:t>
            </w:r>
          </w:p>
        </w:tc>
        <w:tc>
          <w:tcPr>
            <w:tcW w:w="1220" w:type="dxa"/>
            <w:vAlign w:val="bottom"/>
          </w:tcPr>
          <w:p>
            <w:pPr>
              <w:spacing w:after="0"/>
              <w:rPr>
                <w:sz w:val="24"/>
                <w:szCs w:val="24"/>
                <w:color w:val="auto"/>
              </w:rPr>
            </w:pPr>
          </w:p>
        </w:tc>
        <w:tc>
          <w:tcPr>
            <w:tcW w:w="2820" w:type="dxa"/>
            <w:vAlign w:val="bottom"/>
            <w:tcBorders>
              <w:right w:val="single" w:sz="8" w:color="auto"/>
            </w:tcBorders>
          </w:tcPr>
          <w:p>
            <w:pPr>
              <w:jc w:val="center"/>
              <w:ind w:right="1133"/>
              <w:spacing w:after="0"/>
              <w:rPr>
                <w:sz w:val="20"/>
                <w:szCs w:val="20"/>
                <w:color w:val="auto"/>
              </w:rPr>
            </w:pPr>
            <w:r>
              <w:rPr>
                <w:rFonts w:ascii="Arial" w:cs="Arial" w:eastAsia="Arial" w:hAnsi="Arial"/>
                <w:sz w:val="22"/>
                <w:szCs w:val="22"/>
                <w:color w:val="auto"/>
                <w:w w:val="98"/>
              </w:rPr>
              <w:t>[****]</w:t>
            </w:r>
          </w:p>
        </w:tc>
        <w:tc>
          <w:tcPr>
            <w:tcW w:w="0" w:type="dxa"/>
            <w:vAlign w:val="bottom"/>
          </w:tcPr>
          <w:p>
            <w:pPr>
              <w:spacing w:after="0"/>
              <w:rPr>
                <w:sz w:val="1"/>
                <w:szCs w:val="1"/>
                <w:color w:val="auto"/>
              </w:rPr>
            </w:pPr>
          </w:p>
        </w:tc>
      </w:tr>
      <w:tr>
        <w:trPr>
          <w:trHeight w:val="27"/>
        </w:trPr>
        <w:tc>
          <w:tcPr>
            <w:tcW w:w="1140" w:type="dxa"/>
            <w:vAlign w:val="bottom"/>
            <w:tcBorders>
              <w:left w:val="single" w:sz="8" w:color="auto"/>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2780" w:val="left"/>
        </w:tabs>
        <w:rPr>
          <w:sz w:val="20"/>
          <w:szCs w:val="20"/>
          <w:color w:val="auto"/>
        </w:rPr>
      </w:pPr>
      <w:r>
        <w:rPr>
          <w:rFonts w:ascii="Arial" w:cs="Arial" w:eastAsia="Arial" w:hAnsi="Arial"/>
          <w:sz w:val="22"/>
          <w:szCs w:val="22"/>
          <w:color w:val="auto"/>
        </w:rPr>
        <w:t>AAL-PA-3219-LA-2500155</w:t>
      </w:r>
      <w:r>
        <w:rPr>
          <w:sz w:val="20"/>
          <w:szCs w:val="20"/>
          <w:color w:val="auto"/>
        </w:rPr>
        <w:tab/>
      </w:r>
      <w:r>
        <w:rPr>
          <w:rFonts w:ascii="Arial" w:cs="Arial" w:eastAsia="Arial" w:hAnsi="Arial"/>
          <w:sz w:val="21"/>
          <w:szCs w:val="21"/>
          <w:color w:val="auto"/>
        </w:rPr>
        <w:t>SA-22</w:t>
      </w:r>
    </w:p>
    <w:p>
      <w:pPr>
        <w:spacing w:after="0" w:line="44" w:lineRule="exact"/>
        <w:rPr>
          <w:sz w:val="20"/>
          <w:szCs w:val="20"/>
          <w:color w:val="auto"/>
        </w:rPr>
      </w:pPr>
    </w:p>
    <w:p>
      <w:pPr>
        <w:spacing w:after="0"/>
        <w:tabs>
          <w:tab w:leader="none" w:pos="2100" w:val="left"/>
        </w:tabs>
        <w:rPr>
          <w:sz w:val="20"/>
          <w:szCs w:val="20"/>
          <w:color w:val="auto"/>
        </w:rPr>
      </w:pPr>
      <w:r>
        <w:rPr>
          <w:rFonts w:ascii="Arial" w:cs="Arial" w:eastAsia="Arial" w:hAnsi="Arial"/>
          <w:sz w:val="22"/>
          <w:szCs w:val="22"/>
          <w:color w:val="auto"/>
        </w:rPr>
        <w:t>787 [****] and [****]</w:t>
      </w:r>
      <w:r>
        <w:rPr>
          <w:sz w:val="20"/>
          <w:szCs w:val="20"/>
          <w:color w:val="auto"/>
        </w:rPr>
        <w:tab/>
      </w:r>
      <w:r>
        <w:rPr>
          <w:rFonts w:ascii="Arial" w:cs="Arial" w:eastAsia="Arial" w:hAnsi="Arial"/>
          <w:sz w:val="21"/>
          <w:szCs w:val="21"/>
          <w:color w:val="auto"/>
        </w:rPr>
        <w:t>Page 4</w:t>
      </w:r>
    </w:p>
    <w:p>
      <w:pPr>
        <w:spacing w:after="0" w:line="42" w:lineRule="exact"/>
        <w:rPr>
          <w:sz w:val="20"/>
          <w:szCs w:val="20"/>
          <w:color w:val="auto"/>
        </w:rPr>
      </w:pPr>
    </w:p>
    <w:p>
      <w:pPr>
        <w:ind w:left="3520"/>
        <w:spacing w:after="0"/>
        <w:rPr>
          <w:sz w:val="20"/>
          <w:szCs w:val="20"/>
          <w:color w:val="auto"/>
        </w:rPr>
      </w:pPr>
      <w:r>
        <w:rPr>
          <w:rFonts w:ascii="Arial" w:cs="Arial" w:eastAsia="Arial" w:hAnsi="Arial"/>
          <w:sz w:val="22"/>
          <w:szCs w:val="22"/>
          <w:b w:val="1"/>
          <w:bCs w:val="1"/>
          <w:color w:val="auto"/>
        </w:rPr>
        <w:t>BOEING AND AMERICAN PROPRIETARY</w:t>
      </w:r>
    </w:p>
    <w:p>
      <w:pPr>
        <w:sectPr>
          <w:pgSz w:w="11900" w:h="16838" w:orient="portrait"/>
          <w:cols w:equalWidth="0" w:num="1">
            <w:col w:w="10139"/>
          </w:cols>
          <w:pgMar w:left="320" w:top="1440" w:right="1440" w:bottom="1440" w:gutter="0" w:footer="0" w:header="0"/>
        </w:sectPr>
      </w:pPr>
    </w:p>
    <w:bookmarkStart w:id="66" w:name="page67"/>
    <w:bookmarkEnd w:id="66"/>
    <w:p>
      <w:pPr>
        <w:spacing w:after="0" w:line="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60195" cy="3600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clrChange>
                        <a:clrFrom>
                          <a:srgbClr val="FFFFFF"/>
                        </a:clrFrom>
                        <a:clrTo>
                          <a:srgbClr val="FFFFFF">
                            <a:alpha val="0"/>
                          </a:srgbClr>
                        </a:clrTo>
                      </a:clrChange>
                      <a:extLst>
                        <a:ext uri="{28A0092B-C50C-407E-A947-70E740481C1C}"/>
                      </a:extLst>
                    </a:blip>
                    <a:srcRect/>
                    <a:stretch>
                      <a:fillRect/>
                    </a:stretch>
                  </pic:blipFill>
                  <pic:spPr bwMode="auto">
                    <a:xfrm>
                      <a:off x="0" y="0"/>
                      <a:ext cx="1560195" cy="36004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22"/>
          <w:szCs w:val="22"/>
          <w:b w:val="1"/>
          <w:bCs w:val="1"/>
          <w:color w:val="auto"/>
        </w:rPr>
        <w:t>Attachment B</w:t>
      </w:r>
    </w:p>
    <w:p>
      <w:pPr>
        <w:spacing w:after="0" w:line="4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w:t>
      </w:r>
    </w:p>
    <w:p>
      <w:pPr>
        <w:spacing w:after="0" w:line="294"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940" w:type="dxa"/>
            <w:vAlign w:val="bottom"/>
            <w:tcBorders>
              <w:top w:val="single" w:sz="8" w:color="auto"/>
              <w:left w:val="single" w:sz="8" w:color="auto"/>
              <w:bottom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20"/>
                <w:szCs w:val="20"/>
                <w:b w:val="1"/>
                <w:bCs w:val="1"/>
                <w:color w:val="auto"/>
              </w:rPr>
              <w:t>Item No.</w:t>
            </w:r>
          </w:p>
        </w:tc>
        <w:tc>
          <w:tcPr>
            <w:tcW w:w="2580" w:type="dxa"/>
            <w:vAlign w:val="bottom"/>
            <w:tcBorders>
              <w:top w:val="single" w:sz="8" w:color="auto"/>
              <w:bottom w:val="single" w:sz="8" w:color="auto"/>
              <w:right w:val="single" w:sz="8" w:color="auto"/>
            </w:tcBorders>
            <w:shd w:val="clear" w:color="auto" w:fill="D9D9D9"/>
          </w:tcPr>
          <w:p>
            <w:pPr>
              <w:jc w:val="right"/>
              <w:ind w:right="493"/>
              <w:spacing w:after="0"/>
              <w:rPr>
                <w:sz w:val="20"/>
                <w:szCs w:val="20"/>
                <w:color w:val="auto"/>
              </w:rPr>
            </w:pPr>
            <w:r>
              <w:rPr>
                <w:rFonts w:ascii="Arial" w:cs="Arial" w:eastAsia="Arial" w:hAnsi="Arial"/>
                <w:sz w:val="20"/>
                <w:szCs w:val="20"/>
                <w:b w:val="1"/>
                <w:bCs w:val="1"/>
                <w:color w:val="auto"/>
              </w:rPr>
              <w:t>Title / Location</w:t>
            </w:r>
          </w:p>
        </w:tc>
        <w:tc>
          <w:tcPr>
            <w:tcW w:w="1700" w:type="dxa"/>
            <w:vAlign w:val="bottom"/>
            <w:tcBorders>
              <w:top w:val="single" w:sz="8" w:color="auto"/>
              <w:bottom w:val="single" w:sz="8" w:color="auto"/>
              <w:right w:val="single" w:sz="8" w:color="auto"/>
            </w:tcBorders>
            <w:shd w:val="clear" w:color="auto" w:fill="D9D9D9"/>
          </w:tcPr>
          <w:p>
            <w:pPr>
              <w:jc w:val="right"/>
              <w:ind w:right="532"/>
              <w:spacing w:after="0"/>
              <w:rPr>
                <w:sz w:val="20"/>
                <w:szCs w:val="20"/>
                <w:color w:val="auto"/>
              </w:rPr>
            </w:pPr>
            <w:r>
              <w:rPr>
                <w:rFonts w:ascii="Arial" w:cs="Arial" w:eastAsia="Arial" w:hAnsi="Arial"/>
                <w:sz w:val="22"/>
                <w:szCs w:val="22"/>
                <w:color w:val="auto"/>
              </w:rPr>
              <w:t>[****]</w:t>
            </w:r>
          </w:p>
        </w:tc>
        <w:tc>
          <w:tcPr>
            <w:tcW w:w="3440" w:type="dxa"/>
            <w:vAlign w:val="bottom"/>
            <w:tcBorders>
              <w:top w:val="single" w:sz="8" w:color="auto"/>
              <w:bottom w:val="single" w:sz="8" w:color="auto"/>
              <w:right w:val="single" w:sz="8" w:color="auto"/>
            </w:tcBorders>
            <w:shd w:val="clear" w:color="auto" w:fill="D9D9D9"/>
          </w:tcPr>
          <w:p>
            <w:pPr>
              <w:jc w:val="right"/>
              <w:ind w:right="1392"/>
              <w:spacing w:after="0"/>
              <w:rPr>
                <w:sz w:val="20"/>
                <w:szCs w:val="20"/>
                <w:color w:val="auto"/>
              </w:rPr>
            </w:pPr>
            <w:r>
              <w:rPr>
                <w:rFonts w:ascii="Arial" w:cs="Arial" w:eastAsia="Arial" w:hAnsi="Arial"/>
                <w:sz w:val="22"/>
                <w:szCs w:val="22"/>
                <w:color w:val="auto"/>
              </w:rPr>
              <w:t>[****]</w:t>
            </w:r>
          </w:p>
        </w:tc>
        <w:tc>
          <w:tcPr>
            <w:tcW w:w="2600" w:type="dxa"/>
            <w:vAlign w:val="bottom"/>
            <w:tcBorders>
              <w:top w:val="single" w:sz="8" w:color="auto"/>
              <w:bottom w:val="single" w:sz="8" w:color="auto"/>
              <w:right w:val="single" w:sz="8" w:color="auto"/>
            </w:tcBorders>
            <w:shd w:val="clear" w:color="auto" w:fill="D9D9D9"/>
          </w:tcPr>
          <w:p>
            <w:pPr>
              <w:jc w:val="right"/>
              <w:ind w:right="972"/>
              <w:spacing w:after="0"/>
              <w:rPr>
                <w:sz w:val="20"/>
                <w:szCs w:val="20"/>
                <w:color w:val="auto"/>
              </w:rPr>
            </w:pPr>
            <w:r>
              <w:rPr>
                <w:rFonts w:ascii="Arial" w:cs="Arial" w:eastAsia="Arial" w:hAnsi="Arial"/>
                <w:sz w:val="22"/>
                <w:szCs w:val="22"/>
                <w:color w:val="auto"/>
              </w:rPr>
              <w:t>[****]</w:t>
            </w:r>
          </w:p>
        </w:tc>
      </w:tr>
      <w:tr>
        <w:trPr>
          <w:trHeight w:val="264"/>
        </w:trPr>
        <w:tc>
          <w:tcPr>
            <w:tcW w:w="9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1</w:t>
            </w:r>
          </w:p>
        </w:tc>
        <w:tc>
          <w:tcPr>
            <w:tcW w:w="2580" w:type="dxa"/>
            <w:vAlign w:val="bottom"/>
            <w:tcBorders>
              <w:bottom w:val="single" w:sz="8" w:color="auto"/>
              <w:right w:val="single" w:sz="8" w:color="auto"/>
            </w:tcBorders>
          </w:tcPr>
          <w:p>
            <w:pPr>
              <w:jc w:val="right"/>
              <w:ind w:right="1953"/>
              <w:spacing w:after="0"/>
              <w:rPr>
                <w:sz w:val="20"/>
                <w:szCs w:val="20"/>
                <w:color w:val="auto"/>
              </w:rPr>
            </w:pPr>
            <w:r>
              <w:rPr>
                <w:rFonts w:ascii="Arial" w:cs="Arial" w:eastAsia="Arial" w:hAnsi="Arial"/>
                <w:sz w:val="22"/>
                <w:szCs w:val="22"/>
                <w:color w:val="auto"/>
              </w:rPr>
              <w:t>[****]</w:t>
            </w:r>
          </w:p>
        </w:tc>
        <w:tc>
          <w:tcPr>
            <w:tcW w:w="1700" w:type="dxa"/>
            <w:vAlign w:val="bottom"/>
            <w:tcBorders>
              <w:bottom w:val="single" w:sz="8" w:color="auto"/>
              <w:right w:val="single" w:sz="8" w:color="auto"/>
            </w:tcBorders>
          </w:tcPr>
          <w:p>
            <w:pPr>
              <w:jc w:val="right"/>
              <w:ind w:right="1072"/>
              <w:spacing w:after="0"/>
              <w:rPr>
                <w:sz w:val="20"/>
                <w:szCs w:val="20"/>
                <w:color w:val="auto"/>
              </w:rPr>
            </w:pPr>
            <w:r>
              <w:rPr>
                <w:rFonts w:ascii="Arial" w:cs="Arial" w:eastAsia="Arial" w:hAnsi="Arial"/>
                <w:sz w:val="22"/>
                <w:szCs w:val="22"/>
                <w:color w:val="auto"/>
              </w:rPr>
              <w:t>[****]</w:t>
            </w:r>
          </w:p>
        </w:tc>
        <w:tc>
          <w:tcPr>
            <w:tcW w:w="3440" w:type="dxa"/>
            <w:vAlign w:val="bottom"/>
            <w:tcBorders>
              <w:bottom w:val="single" w:sz="8" w:color="auto"/>
              <w:right w:val="single" w:sz="8" w:color="auto"/>
            </w:tcBorders>
          </w:tcPr>
          <w:p>
            <w:pPr>
              <w:jc w:val="right"/>
              <w:ind w:right="2812"/>
              <w:spacing w:after="0"/>
              <w:rPr>
                <w:sz w:val="20"/>
                <w:szCs w:val="20"/>
                <w:color w:val="auto"/>
              </w:rPr>
            </w:pPr>
            <w:r>
              <w:rPr>
                <w:rFonts w:ascii="Arial" w:cs="Arial" w:eastAsia="Arial" w:hAnsi="Arial"/>
                <w:sz w:val="22"/>
                <w:szCs w:val="22"/>
                <w:color w:val="auto"/>
              </w:rPr>
              <w:t>[****]</w:t>
            </w:r>
          </w:p>
        </w:tc>
        <w:tc>
          <w:tcPr>
            <w:tcW w:w="2600" w:type="dxa"/>
            <w:vAlign w:val="bottom"/>
            <w:tcBorders>
              <w:bottom w:val="single" w:sz="8" w:color="auto"/>
              <w:right w:val="single" w:sz="8" w:color="auto"/>
            </w:tcBorders>
          </w:tcPr>
          <w:p>
            <w:pPr>
              <w:jc w:val="right"/>
              <w:ind w:right="1972"/>
              <w:spacing w:after="0"/>
              <w:rPr>
                <w:sz w:val="20"/>
                <w:szCs w:val="20"/>
                <w:color w:val="auto"/>
              </w:rPr>
            </w:pPr>
            <w:r>
              <w:rPr>
                <w:rFonts w:ascii="Arial" w:cs="Arial" w:eastAsia="Arial" w:hAnsi="Arial"/>
                <w:sz w:val="22"/>
                <w:szCs w:val="22"/>
                <w:color w:val="auto"/>
              </w:rPr>
              <w:t>[****]</w:t>
            </w:r>
          </w:p>
        </w:tc>
      </w:tr>
      <w:tr>
        <w:trPr>
          <w:trHeight w:val="263"/>
        </w:trPr>
        <w:tc>
          <w:tcPr>
            <w:tcW w:w="9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2</w:t>
            </w:r>
          </w:p>
        </w:tc>
        <w:tc>
          <w:tcPr>
            <w:tcW w:w="2580" w:type="dxa"/>
            <w:vAlign w:val="bottom"/>
            <w:tcBorders>
              <w:bottom w:val="single" w:sz="8" w:color="auto"/>
              <w:right w:val="single" w:sz="8" w:color="auto"/>
            </w:tcBorders>
          </w:tcPr>
          <w:p>
            <w:pPr>
              <w:jc w:val="right"/>
              <w:ind w:right="1953"/>
              <w:spacing w:after="0"/>
              <w:rPr>
                <w:sz w:val="20"/>
                <w:szCs w:val="20"/>
                <w:color w:val="auto"/>
              </w:rPr>
            </w:pPr>
            <w:r>
              <w:rPr>
                <w:rFonts w:ascii="Arial" w:cs="Arial" w:eastAsia="Arial" w:hAnsi="Arial"/>
                <w:sz w:val="22"/>
                <w:szCs w:val="22"/>
                <w:color w:val="auto"/>
              </w:rPr>
              <w:t>[****]</w:t>
            </w:r>
          </w:p>
        </w:tc>
        <w:tc>
          <w:tcPr>
            <w:tcW w:w="1700" w:type="dxa"/>
            <w:vAlign w:val="bottom"/>
            <w:tcBorders>
              <w:bottom w:val="single" w:sz="8" w:color="auto"/>
              <w:right w:val="single" w:sz="8" w:color="auto"/>
            </w:tcBorders>
          </w:tcPr>
          <w:p>
            <w:pPr>
              <w:jc w:val="right"/>
              <w:ind w:right="1072"/>
              <w:spacing w:after="0"/>
              <w:rPr>
                <w:sz w:val="20"/>
                <w:szCs w:val="20"/>
                <w:color w:val="auto"/>
              </w:rPr>
            </w:pPr>
            <w:r>
              <w:rPr>
                <w:rFonts w:ascii="Arial" w:cs="Arial" w:eastAsia="Arial" w:hAnsi="Arial"/>
                <w:sz w:val="22"/>
                <w:szCs w:val="22"/>
                <w:color w:val="auto"/>
              </w:rPr>
              <w:t>[****]</w:t>
            </w:r>
          </w:p>
        </w:tc>
        <w:tc>
          <w:tcPr>
            <w:tcW w:w="3440" w:type="dxa"/>
            <w:vAlign w:val="bottom"/>
            <w:tcBorders>
              <w:bottom w:val="single" w:sz="8" w:color="auto"/>
              <w:right w:val="single" w:sz="8" w:color="auto"/>
            </w:tcBorders>
          </w:tcPr>
          <w:p>
            <w:pPr>
              <w:jc w:val="right"/>
              <w:ind w:right="2812"/>
              <w:spacing w:after="0"/>
              <w:rPr>
                <w:sz w:val="20"/>
                <w:szCs w:val="20"/>
                <w:color w:val="auto"/>
              </w:rPr>
            </w:pPr>
            <w:r>
              <w:rPr>
                <w:rFonts w:ascii="Arial" w:cs="Arial" w:eastAsia="Arial" w:hAnsi="Arial"/>
                <w:sz w:val="22"/>
                <w:szCs w:val="22"/>
                <w:color w:val="auto"/>
              </w:rPr>
              <w:t>[****]</w:t>
            </w:r>
          </w:p>
        </w:tc>
        <w:tc>
          <w:tcPr>
            <w:tcW w:w="2600" w:type="dxa"/>
            <w:vAlign w:val="bottom"/>
            <w:tcBorders>
              <w:bottom w:val="single" w:sz="8" w:color="auto"/>
              <w:right w:val="single" w:sz="8" w:color="auto"/>
            </w:tcBorders>
          </w:tcPr>
          <w:p>
            <w:pPr>
              <w:jc w:val="right"/>
              <w:ind w:right="1972"/>
              <w:spacing w:after="0"/>
              <w:rPr>
                <w:sz w:val="20"/>
                <w:szCs w:val="20"/>
                <w:color w:val="auto"/>
              </w:rPr>
            </w:pPr>
            <w:r>
              <w:rPr>
                <w:rFonts w:ascii="Arial" w:cs="Arial" w:eastAsia="Arial" w:hAnsi="Arial"/>
                <w:sz w:val="22"/>
                <w:szCs w:val="22"/>
                <w:color w:val="auto"/>
              </w:rPr>
              <w:t>[****]</w:t>
            </w:r>
          </w:p>
        </w:tc>
      </w:tr>
      <w:tr>
        <w:trPr>
          <w:trHeight w:val="263"/>
        </w:trPr>
        <w:tc>
          <w:tcPr>
            <w:tcW w:w="9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3</w:t>
            </w:r>
          </w:p>
        </w:tc>
        <w:tc>
          <w:tcPr>
            <w:tcW w:w="2580" w:type="dxa"/>
            <w:vAlign w:val="bottom"/>
            <w:tcBorders>
              <w:bottom w:val="single" w:sz="8" w:color="auto"/>
              <w:right w:val="single" w:sz="8" w:color="auto"/>
            </w:tcBorders>
          </w:tcPr>
          <w:p>
            <w:pPr>
              <w:jc w:val="right"/>
              <w:ind w:right="1953"/>
              <w:spacing w:after="0"/>
              <w:rPr>
                <w:sz w:val="20"/>
                <w:szCs w:val="20"/>
                <w:color w:val="auto"/>
              </w:rPr>
            </w:pPr>
            <w:r>
              <w:rPr>
                <w:rFonts w:ascii="Arial" w:cs="Arial" w:eastAsia="Arial" w:hAnsi="Arial"/>
                <w:sz w:val="22"/>
                <w:szCs w:val="22"/>
                <w:color w:val="auto"/>
              </w:rPr>
              <w:t>[****]</w:t>
            </w:r>
          </w:p>
        </w:tc>
        <w:tc>
          <w:tcPr>
            <w:tcW w:w="1700" w:type="dxa"/>
            <w:vAlign w:val="bottom"/>
            <w:tcBorders>
              <w:bottom w:val="single" w:sz="8" w:color="auto"/>
              <w:right w:val="single" w:sz="8" w:color="auto"/>
            </w:tcBorders>
          </w:tcPr>
          <w:p>
            <w:pPr>
              <w:jc w:val="right"/>
              <w:ind w:right="1072"/>
              <w:spacing w:after="0"/>
              <w:rPr>
                <w:sz w:val="20"/>
                <w:szCs w:val="20"/>
                <w:color w:val="auto"/>
              </w:rPr>
            </w:pPr>
            <w:r>
              <w:rPr>
                <w:rFonts w:ascii="Arial" w:cs="Arial" w:eastAsia="Arial" w:hAnsi="Arial"/>
                <w:sz w:val="22"/>
                <w:szCs w:val="22"/>
                <w:color w:val="auto"/>
              </w:rPr>
              <w:t>[****]</w:t>
            </w:r>
          </w:p>
        </w:tc>
        <w:tc>
          <w:tcPr>
            <w:tcW w:w="3440" w:type="dxa"/>
            <w:vAlign w:val="bottom"/>
            <w:tcBorders>
              <w:bottom w:val="single" w:sz="8" w:color="auto"/>
              <w:right w:val="single" w:sz="8" w:color="auto"/>
            </w:tcBorders>
          </w:tcPr>
          <w:p>
            <w:pPr>
              <w:jc w:val="right"/>
              <w:ind w:right="2812"/>
              <w:spacing w:after="0"/>
              <w:rPr>
                <w:sz w:val="20"/>
                <w:szCs w:val="20"/>
                <w:color w:val="auto"/>
              </w:rPr>
            </w:pPr>
            <w:r>
              <w:rPr>
                <w:rFonts w:ascii="Arial" w:cs="Arial" w:eastAsia="Arial" w:hAnsi="Arial"/>
                <w:sz w:val="22"/>
                <w:szCs w:val="22"/>
                <w:color w:val="auto"/>
              </w:rPr>
              <w:t>[****]</w:t>
            </w:r>
          </w:p>
        </w:tc>
        <w:tc>
          <w:tcPr>
            <w:tcW w:w="2600" w:type="dxa"/>
            <w:vAlign w:val="bottom"/>
            <w:tcBorders>
              <w:bottom w:val="single" w:sz="8" w:color="auto"/>
              <w:right w:val="single" w:sz="8" w:color="auto"/>
            </w:tcBorders>
          </w:tcPr>
          <w:p>
            <w:pPr>
              <w:jc w:val="right"/>
              <w:ind w:right="1972"/>
              <w:spacing w:after="0"/>
              <w:rPr>
                <w:sz w:val="20"/>
                <w:szCs w:val="20"/>
                <w:color w:val="auto"/>
              </w:rPr>
            </w:pPr>
            <w:r>
              <w:rPr>
                <w:rFonts w:ascii="Arial" w:cs="Arial" w:eastAsia="Arial" w:hAnsi="Arial"/>
                <w:sz w:val="22"/>
                <w:szCs w:val="22"/>
                <w:color w:val="auto"/>
              </w:rPr>
              <w:t>[****]</w:t>
            </w:r>
          </w:p>
        </w:tc>
      </w:tr>
      <w:tr>
        <w:trPr>
          <w:trHeight w:val="263"/>
        </w:trPr>
        <w:tc>
          <w:tcPr>
            <w:tcW w:w="9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4</w:t>
            </w:r>
          </w:p>
        </w:tc>
        <w:tc>
          <w:tcPr>
            <w:tcW w:w="2580" w:type="dxa"/>
            <w:vAlign w:val="bottom"/>
            <w:tcBorders>
              <w:bottom w:val="single" w:sz="8" w:color="auto"/>
              <w:right w:val="single" w:sz="8" w:color="auto"/>
            </w:tcBorders>
          </w:tcPr>
          <w:p>
            <w:pPr>
              <w:jc w:val="right"/>
              <w:ind w:right="1953"/>
              <w:spacing w:after="0"/>
              <w:rPr>
                <w:sz w:val="20"/>
                <w:szCs w:val="20"/>
                <w:color w:val="auto"/>
              </w:rPr>
            </w:pPr>
            <w:r>
              <w:rPr>
                <w:rFonts w:ascii="Arial" w:cs="Arial" w:eastAsia="Arial" w:hAnsi="Arial"/>
                <w:sz w:val="22"/>
                <w:szCs w:val="22"/>
                <w:color w:val="auto"/>
              </w:rPr>
              <w:t>[****]</w:t>
            </w:r>
          </w:p>
        </w:tc>
        <w:tc>
          <w:tcPr>
            <w:tcW w:w="1700" w:type="dxa"/>
            <w:vAlign w:val="bottom"/>
            <w:tcBorders>
              <w:bottom w:val="single" w:sz="8" w:color="auto"/>
              <w:right w:val="single" w:sz="8" w:color="auto"/>
            </w:tcBorders>
          </w:tcPr>
          <w:p>
            <w:pPr>
              <w:jc w:val="right"/>
              <w:ind w:right="1072"/>
              <w:spacing w:after="0"/>
              <w:rPr>
                <w:sz w:val="20"/>
                <w:szCs w:val="20"/>
                <w:color w:val="auto"/>
              </w:rPr>
            </w:pPr>
            <w:r>
              <w:rPr>
                <w:rFonts w:ascii="Arial" w:cs="Arial" w:eastAsia="Arial" w:hAnsi="Arial"/>
                <w:sz w:val="22"/>
                <w:szCs w:val="22"/>
                <w:color w:val="auto"/>
              </w:rPr>
              <w:t>[****]</w:t>
            </w:r>
          </w:p>
        </w:tc>
        <w:tc>
          <w:tcPr>
            <w:tcW w:w="3440" w:type="dxa"/>
            <w:vAlign w:val="bottom"/>
            <w:tcBorders>
              <w:bottom w:val="single" w:sz="8" w:color="auto"/>
              <w:right w:val="single" w:sz="8" w:color="auto"/>
            </w:tcBorders>
          </w:tcPr>
          <w:p>
            <w:pPr>
              <w:jc w:val="right"/>
              <w:ind w:right="2812"/>
              <w:spacing w:after="0"/>
              <w:rPr>
                <w:sz w:val="20"/>
                <w:szCs w:val="20"/>
                <w:color w:val="auto"/>
              </w:rPr>
            </w:pPr>
            <w:r>
              <w:rPr>
                <w:rFonts w:ascii="Arial" w:cs="Arial" w:eastAsia="Arial" w:hAnsi="Arial"/>
                <w:sz w:val="22"/>
                <w:szCs w:val="22"/>
                <w:color w:val="auto"/>
              </w:rPr>
              <w:t>[****]</w:t>
            </w:r>
          </w:p>
        </w:tc>
        <w:tc>
          <w:tcPr>
            <w:tcW w:w="2600" w:type="dxa"/>
            <w:vAlign w:val="bottom"/>
            <w:tcBorders>
              <w:bottom w:val="single" w:sz="8" w:color="auto"/>
              <w:right w:val="single" w:sz="8" w:color="auto"/>
            </w:tcBorders>
          </w:tcPr>
          <w:p>
            <w:pPr>
              <w:jc w:val="right"/>
              <w:ind w:right="1972"/>
              <w:spacing w:after="0"/>
              <w:rPr>
                <w:sz w:val="20"/>
                <w:szCs w:val="20"/>
                <w:color w:val="auto"/>
              </w:rPr>
            </w:pPr>
            <w:r>
              <w:rPr>
                <w:rFonts w:ascii="Arial" w:cs="Arial" w:eastAsia="Arial" w:hAnsi="Arial"/>
                <w:sz w:val="22"/>
                <w:szCs w:val="22"/>
                <w:color w:val="auto"/>
              </w:rPr>
              <w:t>[****]</w:t>
            </w:r>
          </w:p>
        </w:tc>
      </w:tr>
      <w:tr>
        <w:trPr>
          <w:trHeight w:val="263"/>
        </w:trPr>
        <w:tc>
          <w:tcPr>
            <w:tcW w:w="9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5</w:t>
            </w:r>
          </w:p>
        </w:tc>
        <w:tc>
          <w:tcPr>
            <w:tcW w:w="2580" w:type="dxa"/>
            <w:vAlign w:val="bottom"/>
            <w:tcBorders>
              <w:bottom w:val="single" w:sz="8" w:color="auto"/>
              <w:right w:val="single" w:sz="8" w:color="auto"/>
            </w:tcBorders>
          </w:tcPr>
          <w:p>
            <w:pPr>
              <w:jc w:val="right"/>
              <w:ind w:right="1953"/>
              <w:spacing w:after="0"/>
              <w:rPr>
                <w:sz w:val="20"/>
                <w:szCs w:val="20"/>
                <w:color w:val="auto"/>
              </w:rPr>
            </w:pPr>
            <w:r>
              <w:rPr>
                <w:rFonts w:ascii="Arial" w:cs="Arial" w:eastAsia="Arial" w:hAnsi="Arial"/>
                <w:sz w:val="22"/>
                <w:szCs w:val="22"/>
                <w:color w:val="auto"/>
              </w:rPr>
              <w:t>[****]</w:t>
            </w:r>
          </w:p>
        </w:tc>
        <w:tc>
          <w:tcPr>
            <w:tcW w:w="1700" w:type="dxa"/>
            <w:vAlign w:val="bottom"/>
            <w:tcBorders>
              <w:bottom w:val="single" w:sz="8" w:color="auto"/>
              <w:right w:val="single" w:sz="8" w:color="auto"/>
            </w:tcBorders>
          </w:tcPr>
          <w:p>
            <w:pPr>
              <w:jc w:val="right"/>
              <w:ind w:right="1072"/>
              <w:spacing w:after="0"/>
              <w:rPr>
                <w:sz w:val="20"/>
                <w:szCs w:val="20"/>
                <w:color w:val="auto"/>
              </w:rPr>
            </w:pPr>
            <w:r>
              <w:rPr>
                <w:rFonts w:ascii="Arial" w:cs="Arial" w:eastAsia="Arial" w:hAnsi="Arial"/>
                <w:sz w:val="22"/>
                <w:szCs w:val="22"/>
                <w:color w:val="auto"/>
              </w:rPr>
              <w:t>[****]</w:t>
            </w:r>
          </w:p>
        </w:tc>
        <w:tc>
          <w:tcPr>
            <w:tcW w:w="3440" w:type="dxa"/>
            <w:vAlign w:val="bottom"/>
            <w:tcBorders>
              <w:bottom w:val="single" w:sz="8" w:color="auto"/>
              <w:right w:val="single" w:sz="8" w:color="auto"/>
            </w:tcBorders>
          </w:tcPr>
          <w:p>
            <w:pPr>
              <w:jc w:val="right"/>
              <w:ind w:right="2812"/>
              <w:spacing w:after="0"/>
              <w:rPr>
                <w:sz w:val="20"/>
                <w:szCs w:val="20"/>
                <w:color w:val="auto"/>
              </w:rPr>
            </w:pPr>
            <w:r>
              <w:rPr>
                <w:rFonts w:ascii="Arial" w:cs="Arial" w:eastAsia="Arial" w:hAnsi="Arial"/>
                <w:sz w:val="22"/>
                <w:szCs w:val="22"/>
                <w:color w:val="auto"/>
              </w:rPr>
              <w:t>[****]</w:t>
            </w:r>
          </w:p>
        </w:tc>
        <w:tc>
          <w:tcPr>
            <w:tcW w:w="2600" w:type="dxa"/>
            <w:vAlign w:val="bottom"/>
            <w:tcBorders>
              <w:bottom w:val="single" w:sz="8" w:color="auto"/>
              <w:right w:val="single" w:sz="8" w:color="auto"/>
            </w:tcBorders>
          </w:tcPr>
          <w:p>
            <w:pPr>
              <w:jc w:val="right"/>
              <w:ind w:right="1972"/>
              <w:spacing w:after="0"/>
              <w:rPr>
                <w:sz w:val="20"/>
                <w:szCs w:val="20"/>
                <w:color w:val="auto"/>
              </w:rPr>
            </w:pPr>
            <w:r>
              <w:rPr>
                <w:rFonts w:ascii="Arial" w:cs="Arial" w:eastAsia="Arial" w:hAnsi="Arial"/>
                <w:sz w:val="22"/>
                <w:szCs w:val="22"/>
                <w:color w:val="auto"/>
              </w:rPr>
              <w:t>[****]</w:t>
            </w:r>
          </w:p>
        </w:tc>
      </w:tr>
      <w:tr>
        <w:trPr>
          <w:trHeight w:val="263"/>
        </w:trPr>
        <w:tc>
          <w:tcPr>
            <w:tcW w:w="9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6</w:t>
            </w:r>
          </w:p>
        </w:tc>
        <w:tc>
          <w:tcPr>
            <w:tcW w:w="2580" w:type="dxa"/>
            <w:vAlign w:val="bottom"/>
            <w:tcBorders>
              <w:bottom w:val="single" w:sz="8" w:color="auto"/>
              <w:right w:val="single" w:sz="8" w:color="auto"/>
            </w:tcBorders>
          </w:tcPr>
          <w:p>
            <w:pPr>
              <w:jc w:val="right"/>
              <w:ind w:right="1953"/>
              <w:spacing w:after="0"/>
              <w:rPr>
                <w:sz w:val="20"/>
                <w:szCs w:val="20"/>
                <w:color w:val="auto"/>
              </w:rPr>
            </w:pPr>
            <w:r>
              <w:rPr>
                <w:rFonts w:ascii="Arial" w:cs="Arial" w:eastAsia="Arial" w:hAnsi="Arial"/>
                <w:sz w:val="22"/>
                <w:szCs w:val="22"/>
                <w:color w:val="auto"/>
              </w:rPr>
              <w:t>[****]</w:t>
            </w:r>
          </w:p>
        </w:tc>
        <w:tc>
          <w:tcPr>
            <w:tcW w:w="1700" w:type="dxa"/>
            <w:vAlign w:val="bottom"/>
            <w:tcBorders>
              <w:bottom w:val="single" w:sz="8" w:color="auto"/>
              <w:right w:val="single" w:sz="8" w:color="auto"/>
            </w:tcBorders>
          </w:tcPr>
          <w:p>
            <w:pPr>
              <w:jc w:val="right"/>
              <w:ind w:right="1072"/>
              <w:spacing w:after="0"/>
              <w:rPr>
                <w:sz w:val="20"/>
                <w:szCs w:val="20"/>
                <w:color w:val="auto"/>
              </w:rPr>
            </w:pPr>
            <w:r>
              <w:rPr>
                <w:rFonts w:ascii="Arial" w:cs="Arial" w:eastAsia="Arial" w:hAnsi="Arial"/>
                <w:sz w:val="22"/>
                <w:szCs w:val="22"/>
                <w:color w:val="auto"/>
              </w:rPr>
              <w:t>[****]</w:t>
            </w:r>
          </w:p>
        </w:tc>
        <w:tc>
          <w:tcPr>
            <w:tcW w:w="3440" w:type="dxa"/>
            <w:vAlign w:val="bottom"/>
            <w:tcBorders>
              <w:bottom w:val="single" w:sz="8" w:color="auto"/>
              <w:right w:val="single" w:sz="8" w:color="auto"/>
            </w:tcBorders>
          </w:tcPr>
          <w:p>
            <w:pPr>
              <w:jc w:val="right"/>
              <w:ind w:right="2812"/>
              <w:spacing w:after="0"/>
              <w:rPr>
                <w:sz w:val="20"/>
                <w:szCs w:val="20"/>
                <w:color w:val="auto"/>
              </w:rPr>
            </w:pPr>
            <w:r>
              <w:rPr>
                <w:rFonts w:ascii="Arial" w:cs="Arial" w:eastAsia="Arial" w:hAnsi="Arial"/>
                <w:sz w:val="22"/>
                <w:szCs w:val="22"/>
                <w:color w:val="auto"/>
              </w:rPr>
              <w:t>[****]</w:t>
            </w:r>
          </w:p>
        </w:tc>
        <w:tc>
          <w:tcPr>
            <w:tcW w:w="2600" w:type="dxa"/>
            <w:vAlign w:val="bottom"/>
            <w:tcBorders>
              <w:bottom w:val="single" w:sz="8" w:color="auto"/>
              <w:right w:val="single" w:sz="8" w:color="auto"/>
            </w:tcBorders>
          </w:tcPr>
          <w:p>
            <w:pPr>
              <w:jc w:val="right"/>
              <w:ind w:right="1972"/>
              <w:spacing w:after="0"/>
              <w:rPr>
                <w:sz w:val="20"/>
                <w:szCs w:val="20"/>
                <w:color w:val="auto"/>
              </w:rPr>
            </w:pPr>
            <w:r>
              <w:rPr>
                <w:rFonts w:ascii="Arial" w:cs="Arial" w:eastAsia="Arial" w:hAnsi="Arial"/>
                <w:sz w:val="22"/>
                <w:szCs w:val="22"/>
                <w:color w:val="auto"/>
              </w:rPr>
              <w:t>[****]</w:t>
            </w:r>
          </w:p>
        </w:tc>
      </w:tr>
      <w:tr>
        <w:trPr>
          <w:trHeight w:val="264"/>
        </w:trPr>
        <w:tc>
          <w:tcPr>
            <w:tcW w:w="9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7</w:t>
            </w:r>
          </w:p>
        </w:tc>
        <w:tc>
          <w:tcPr>
            <w:tcW w:w="2580" w:type="dxa"/>
            <w:vAlign w:val="bottom"/>
            <w:tcBorders>
              <w:bottom w:val="single" w:sz="8" w:color="auto"/>
              <w:right w:val="single" w:sz="8" w:color="auto"/>
            </w:tcBorders>
          </w:tcPr>
          <w:p>
            <w:pPr>
              <w:jc w:val="right"/>
              <w:ind w:right="1953"/>
              <w:spacing w:after="0"/>
              <w:rPr>
                <w:sz w:val="20"/>
                <w:szCs w:val="20"/>
                <w:color w:val="auto"/>
              </w:rPr>
            </w:pPr>
            <w:r>
              <w:rPr>
                <w:rFonts w:ascii="Arial" w:cs="Arial" w:eastAsia="Arial" w:hAnsi="Arial"/>
                <w:sz w:val="22"/>
                <w:szCs w:val="22"/>
                <w:color w:val="auto"/>
              </w:rPr>
              <w:t>[****]</w:t>
            </w:r>
          </w:p>
        </w:tc>
        <w:tc>
          <w:tcPr>
            <w:tcW w:w="1700" w:type="dxa"/>
            <w:vAlign w:val="bottom"/>
            <w:tcBorders>
              <w:bottom w:val="single" w:sz="8" w:color="auto"/>
              <w:right w:val="single" w:sz="8" w:color="auto"/>
            </w:tcBorders>
          </w:tcPr>
          <w:p>
            <w:pPr>
              <w:jc w:val="right"/>
              <w:ind w:right="1072"/>
              <w:spacing w:after="0"/>
              <w:rPr>
                <w:sz w:val="20"/>
                <w:szCs w:val="20"/>
                <w:color w:val="auto"/>
              </w:rPr>
            </w:pPr>
            <w:r>
              <w:rPr>
                <w:rFonts w:ascii="Arial" w:cs="Arial" w:eastAsia="Arial" w:hAnsi="Arial"/>
                <w:sz w:val="22"/>
                <w:szCs w:val="22"/>
                <w:color w:val="auto"/>
              </w:rPr>
              <w:t>[****]</w:t>
            </w:r>
          </w:p>
        </w:tc>
        <w:tc>
          <w:tcPr>
            <w:tcW w:w="3440" w:type="dxa"/>
            <w:vAlign w:val="bottom"/>
            <w:tcBorders>
              <w:bottom w:val="single" w:sz="8" w:color="auto"/>
              <w:right w:val="single" w:sz="8" w:color="auto"/>
            </w:tcBorders>
          </w:tcPr>
          <w:p>
            <w:pPr>
              <w:jc w:val="right"/>
              <w:ind w:right="2812"/>
              <w:spacing w:after="0"/>
              <w:rPr>
                <w:sz w:val="20"/>
                <w:szCs w:val="20"/>
                <w:color w:val="auto"/>
              </w:rPr>
            </w:pPr>
            <w:r>
              <w:rPr>
                <w:rFonts w:ascii="Arial" w:cs="Arial" w:eastAsia="Arial" w:hAnsi="Arial"/>
                <w:sz w:val="22"/>
                <w:szCs w:val="22"/>
                <w:color w:val="auto"/>
              </w:rPr>
              <w:t>[****]</w:t>
            </w:r>
          </w:p>
        </w:tc>
        <w:tc>
          <w:tcPr>
            <w:tcW w:w="2600" w:type="dxa"/>
            <w:vAlign w:val="bottom"/>
            <w:tcBorders>
              <w:bottom w:val="single" w:sz="8" w:color="auto"/>
              <w:right w:val="single" w:sz="8" w:color="auto"/>
            </w:tcBorders>
          </w:tcPr>
          <w:p>
            <w:pPr>
              <w:jc w:val="right"/>
              <w:ind w:right="1972"/>
              <w:spacing w:after="0"/>
              <w:rPr>
                <w:sz w:val="20"/>
                <w:szCs w:val="20"/>
                <w:color w:val="auto"/>
              </w:rPr>
            </w:pPr>
            <w:r>
              <w:rPr>
                <w:rFonts w:ascii="Arial" w:cs="Arial" w:eastAsia="Arial" w:hAnsi="Arial"/>
                <w:sz w:val="22"/>
                <w:szCs w:val="22"/>
                <w:color w:val="auto"/>
              </w:rPr>
              <w:t>[****]</w:t>
            </w:r>
          </w:p>
        </w:tc>
      </w:tr>
      <w:tr>
        <w:trPr>
          <w:trHeight w:val="263"/>
        </w:trPr>
        <w:tc>
          <w:tcPr>
            <w:tcW w:w="9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8</w:t>
            </w:r>
          </w:p>
        </w:tc>
        <w:tc>
          <w:tcPr>
            <w:tcW w:w="2580" w:type="dxa"/>
            <w:vAlign w:val="bottom"/>
            <w:tcBorders>
              <w:bottom w:val="single" w:sz="8" w:color="auto"/>
              <w:right w:val="single" w:sz="8" w:color="auto"/>
            </w:tcBorders>
          </w:tcPr>
          <w:p>
            <w:pPr>
              <w:jc w:val="right"/>
              <w:ind w:right="1953"/>
              <w:spacing w:after="0"/>
              <w:rPr>
                <w:sz w:val="20"/>
                <w:szCs w:val="20"/>
                <w:color w:val="auto"/>
              </w:rPr>
            </w:pPr>
            <w:r>
              <w:rPr>
                <w:rFonts w:ascii="Arial" w:cs="Arial" w:eastAsia="Arial" w:hAnsi="Arial"/>
                <w:sz w:val="22"/>
                <w:szCs w:val="22"/>
                <w:color w:val="auto"/>
              </w:rPr>
              <w:t>[****]</w:t>
            </w:r>
          </w:p>
        </w:tc>
        <w:tc>
          <w:tcPr>
            <w:tcW w:w="1700" w:type="dxa"/>
            <w:vAlign w:val="bottom"/>
            <w:tcBorders>
              <w:bottom w:val="single" w:sz="8" w:color="auto"/>
              <w:right w:val="single" w:sz="8" w:color="auto"/>
            </w:tcBorders>
          </w:tcPr>
          <w:p>
            <w:pPr>
              <w:jc w:val="right"/>
              <w:ind w:right="1072"/>
              <w:spacing w:after="0"/>
              <w:rPr>
                <w:sz w:val="20"/>
                <w:szCs w:val="20"/>
                <w:color w:val="auto"/>
              </w:rPr>
            </w:pPr>
            <w:r>
              <w:rPr>
                <w:rFonts w:ascii="Arial" w:cs="Arial" w:eastAsia="Arial" w:hAnsi="Arial"/>
                <w:sz w:val="22"/>
                <w:szCs w:val="22"/>
                <w:color w:val="auto"/>
              </w:rPr>
              <w:t>[****]</w:t>
            </w:r>
          </w:p>
        </w:tc>
        <w:tc>
          <w:tcPr>
            <w:tcW w:w="3440" w:type="dxa"/>
            <w:vAlign w:val="bottom"/>
            <w:tcBorders>
              <w:bottom w:val="single" w:sz="8" w:color="auto"/>
              <w:right w:val="single" w:sz="8" w:color="auto"/>
            </w:tcBorders>
          </w:tcPr>
          <w:p>
            <w:pPr>
              <w:jc w:val="right"/>
              <w:ind w:right="2812"/>
              <w:spacing w:after="0"/>
              <w:rPr>
                <w:sz w:val="20"/>
                <w:szCs w:val="20"/>
                <w:color w:val="auto"/>
              </w:rPr>
            </w:pPr>
            <w:r>
              <w:rPr>
                <w:rFonts w:ascii="Arial" w:cs="Arial" w:eastAsia="Arial" w:hAnsi="Arial"/>
                <w:sz w:val="22"/>
                <w:szCs w:val="22"/>
                <w:color w:val="auto"/>
              </w:rPr>
              <w:t>[****]</w:t>
            </w:r>
          </w:p>
        </w:tc>
        <w:tc>
          <w:tcPr>
            <w:tcW w:w="2600" w:type="dxa"/>
            <w:vAlign w:val="bottom"/>
            <w:tcBorders>
              <w:bottom w:val="single" w:sz="8" w:color="auto"/>
              <w:right w:val="single" w:sz="8" w:color="auto"/>
            </w:tcBorders>
          </w:tcPr>
          <w:p>
            <w:pPr>
              <w:jc w:val="right"/>
              <w:ind w:right="1972"/>
              <w:spacing w:after="0"/>
              <w:rPr>
                <w:sz w:val="20"/>
                <w:szCs w:val="20"/>
                <w:color w:val="auto"/>
              </w:rPr>
            </w:pPr>
            <w:r>
              <w:rPr>
                <w:rFonts w:ascii="Arial" w:cs="Arial" w:eastAsia="Arial" w:hAnsi="Arial"/>
                <w:sz w:val="22"/>
                <w:szCs w:val="22"/>
                <w:color w:val="auto"/>
              </w:rPr>
              <w:t>[****]</w:t>
            </w:r>
          </w:p>
        </w:tc>
      </w:tr>
      <w:tr>
        <w:trPr>
          <w:trHeight w:val="263"/>
        </w:trPr>
        <w:tc>
          <w:tcPr>
            <w:tcW w:w="9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9</w:t>
            </w:r>
          </w:p>
        </w:tc>
        <w:tc>
          <w:tcPr>
            <w:tcW w:w="2580" w:type="dxa"/>
            <w:vAlign w:val="bottom"/>
            <w:tcBorders>
              <w:bottom w:val="single" w:sz="8" w:color="auto"/>
              <w:right w:val="single" w:sz="8" w:color="auto"/>
            </w:tcBorders>
          </w:tcPr>
          <w:p>
            <w:pPr>
              <w:jc w:val="right"/>
              <w:ind w:right="1953"/>
              <w:spacing w:after="0"/>
              <w:rPr>
                <w:sz w:val="20"/>
                <w:szCs w:val="20"/>
                <w:color w:val="auto"/>
              </w:rPr>
            </w:pPr>
            <w:r>
              <w:rPr>
                <w:rFonts w:ascii="Arial" w:cs="Arial" w:eastAsia="Arial" w:hAnsi="Arial"/>
                <w:sz w:val="22"/>
                <w:szCs w:val="22"/>
                <w:color w:val="auto"/>
              </w:rPr>
              <w:t>[****]</w:t>
            </w:r>
          </w:p>
        </w:tc>
        <w:tc>
          <w:tcPr>
            <w:tcW w:w="1700" w:type="dxa"/>
            <w:vAlign w:val="bottom"/>
            <w:tcBorders>
              <w:bottom w:val="single" w:sz="8" w:color="auto"/>
              <w:right w:val="single" w:sz="8" w:color="auto"/>
            </w:tcBorders>
          </w:tcPr>
          <w:p>
            <w:pPr>
              <w:jc w:val="right"/>
              <w:ind w:right="1072"/>
              <w:spacing w:after="0"/>
              <w:rPr>
                <w:sz w:val="20"/>
                <w:szCs w:val="20"/>
                <w:color w:val="auto"/>
              </w:rPr>
            </w:pPr>
            <w:r>
              <w:rPr>
                <w:rFonts w:ascii="Arial" w:cs="Arial" w:eastAsia="Arial" w:hAnsi="Arial"/>
                <w:sz w:val="22"/>
                <w:szCs w:val="22"/>
                <w:color w:val="auto"/>
              </w:rPr>
              <w:t>[****]</w:t>
            </w:r>
          </w:p>
        </w:tc>
        <w:tc>
          <w:tcPr>
            <w:tcW w:w="3440" w:type="dxa"/>
            <w:vAlign w:val="bottom"/>
            <w:tcBorders>
              <w:bottom w:val="single" w:sz="8" w:color="auto"/>
              <w:right w:val="single" w:sz="8" w:color="auto"/>
            </w:tcBorders>
          </w:tcPr>
          <w:p>
            <w:pPr>
              <w:jc w:val="right"/>
              <w:ind w:right="2812"/>
              <w:spacing w:after="0"/>
              <w:rPr>
                <w:sz w:val="20"/>
                <w:szCs w:val="20"/>
                <w:color w:val="auto"/>
              </w:rPr>
            </w:pPr>
            <w:r>
              <w:rPr>
                <w:rFonts w:ascii="Arial" w:cs="Arial" w:eastAsia="Arial" w:hAnsi="Arial"/>
                <w:sz w:val="22"/>
                <w:szCs w:val="22"/>
                <w:color w:val="auto"/>
              </w:rPr>
              <w:t>[****]</w:t>
            </w:r>
          </w:p>
        </w:tc>
        <w:tc>
          <w:tcPr>
            <w:tcW w:w="2600" w:type="dxa"/>
            <w:vAlign w:val="bottom"/>
            <w:tcBorders>
              <w:bottom w:val="single" w:sz="8" w:color="auto"/>
              <w:right w:val="single" w:sz="8" w:color="auto"/>
            </w:tcBorders>
          </w:tcPr>
          <w:p>
            <w:pPr>
              <w:jc w:val="right"/>
              <w:ind w:right="1972"/>
              <w:spacing w:after="0"/>
              <w:rPr>
                <w:sz w:val="20"/>
                <w:szCs w:val="20"/>
                <w:color w:val="auto"/>
              </w:rPr>
            </w:pPr>
            <w:r>
              <w:rPr>
                <w:rFonts w:ascii="Arial" w:cs="Arial" w:eastAsia="Arial" w:hAnsi="Arial"/>
                <w:sz w:val="22"/>
                <w:szCs w:val="22"/>
                <w:color w:val="auto"/>
              </w:rPr>
              <w:t>[****]</w:t>
            </w:r>
          </w:p>
        </w:tc>
      </w:tr>
      <w:tr>
        <w:trPr>
          <w:trHeight w:val="263"/>
        </w:trPr>
        <w:tc>
          <w:tcPr>
            <w:tcW w:w="9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10</w:t>
            </w:r>
          </w:p>
        </w:tc>
        <w:tc>
          <w:tcPr>
            <w:tcW w:w="2580" w:type="dxa"/>
            <w:vAlign w:val="bottom"/>
            <w:tcBorders>
              <w:bottom w:val="single" w:sz="8" w:color="auto"/>
              <w:right w:val="single" w:sz="8" w:color="auto"/>
            </w:tcBorders>
          </w:tcPr>
          <w:p>
            <w:pPr>
              <w:jc w:val="right"/>
              <w:ind w:right="1953"/>
              <w:spacing w:after="0"/>
              <w:rPr>
                <w:sz w:val="20"/>
                <w:szCs w:val="20"/>
                <w:color w:val="auto"/>
              </w:rPr>
            </w:pPr>
            <w:r>
              <w:rPr>
                <w:rFonts w:ascii="Arial" w:cs="Arial" w:eastAsia="Arial" w:hAnsi="Arial"/>
                <w:sz w:val="22"/>
                <w:szCs w:val="22"/>
                <w:color w:val="auto"/>
              </w:rPr>
              <w:t>[****]</w:t>
            </w:r>
          </w:p>
        </w:tc>
        <w:tc>
          <w:tcPr>
            <w:tcW w:w="1700" w:type="dxa"/>
            <w:vAlign w:val="bottom"/>
            <w:tcBorders>
              <w:bottom w:val="single" w:sz="8" w:color="auto"/>
              <w:right w:val="single" w:sz="8" w:color="auto"/>
            </w:tcBorders>
          </w:tcPr>
          <w:p>
            <w:pPr>
              <w:jc w:val="right"/>
              <w:ind w:right="1072"/>
              <w:spacing w:after="0"/>
              <w:rPr>
                <w:sz w:val="20"/>
                <w:szCs w:val="20"/>
                <w:color w:val="auto"/>
              </w:rPr>
            </w:pPr>
            <w:r>
              <w:rPr>
                <w:rFonts w:ascii="Arial" w:cs="Arial" w:eastAsia="Arial" w:hAnsi="Arial"/>
                <w:sz w:val="22"/>
                <w:szCs w:val="22"/>
                <w:color w:val="auto"/>
              </w:rPr>
              <w:t>[****]</w:t>
            </w:r>
          </w:p>
        </w:tc>
        <w:tc>
          <w:tcPr>
            <w:tcW w:w="3440" w:type="dxa"/>
            <w:vAlign w:val="bottom"/>
            <w:tcBorders>
              <w:bottom w:val="single" w:sz="8" w:color="auto"/>
              <w:right w:val="single" w:sz="8" w:color="auto"/>
            </w:tcBorders>
          </w:tcPr>
          <w:p>
            <w:pPr>
              <w:jc w:val="right"/>
              <w:ind w:right="2812"/>
              <w:spacing w:after="0"/>
              <w:rPr>
                <w:sz w:val="20"/>
                <w:szCs w:val="20"/>
                <w:color w:val="auto"/>
              </w:rPr>
            </w:pPr>
            <w:r>
              <w:rPr>
                <w:rFonts w:ascii="Arial" w:cs="Arial" w:eastAsia="Arial" w:hAnsi="Arial"/>
                <w:sz w:val="22"/>
                <w:szCs w:val="22"/>
                <w:color w:val="auto"/>
              </w:rPr>
              <w:t>[****]</w:t>
            </w:r>
          </w:p>
        </w:tc>
        <w:tc>
          <w:tcPr>
            <w:tcW w:w="2600" w:type="dxa"/>
            <w:vAlign w:val="bottom"/>
            <w:tcBorders>
              <w:bottom w:val="single" w:sz="8" w:color="auto"/>
              <w:right w:val="single" w:sz="8" w:color="auto"/>
            </w:tcBorders>
          </w:tcPr>
          <w:p>
            <w:pPr>
              <w:jc w:val="right"/>
              <w:ind w:right="1972"/>
              <w:spacing w:after="0"/>
              <w:rPr>
                <w:sz w:val="20"/>
                <w:szCs w:val="20"/>
                <w:color w:val="auto"/>
              </w:rPr>
            </w:pPr>
            <w:r>
              <w:rPr>
                <w:rFonts w:ascii="Arial" w:cs="Arial" w:eastAsia="Arial" w:hAnsi="Arial"/>
                <w:sz w:val="22"/>
                <w:szCs w:val="22"/>
                <w:color w:val="auto"/>
              </w:rPr>
              <w:t>[****]</w:t>
            </w:r>
          </w:p>
        </w:tc>
      </w:tr>
      <w:tr>
        <w:trPr>
          <w:trHeight w:val="358"/>
        </w:trPr>
        <w:tc>
          <w:tcPr>
            <w:tcW w:w="9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r>
      <w:tr>
        <w:trPr>
          <w:trHeight w:val="263"/>
        </w:trPr>
        <w:tc>
          <w:tcPr>
            <w:tcW w:w="940" w:type="dxa"/>
            <w:vAlign w:val="bottom"/>
            <w:tcBorders>
              <w:left w:val="single" w:sz="8" w:color="auto"/>
              <w:bottom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20"/>
                <w:szCs w:val="20"/>
                <w:b w:val="1"/>
                <w:bCs w:val="1"/>
                <w:color w:val="auto"/>
              </w:rPr>
              <w:t>Item No.</w:t>
            </w:r>
          </w:p>
        </w:tc>
        <w:tc>
          <w:tcPr>
            <w:tcW w:w="2580" w:type="dxa"/>
            <w:vAlign w:val="bottom"/>
            <w:tcBorders>
              <w:bottom w:val="single" w:sz="8" w:color="auto"/>
              <w:right w:val="single" w:sz="8" w:color="auto"/>
            </w:tcBorders>
            <w:shd w:val="clear" w:color="auto" w:fill="D9D9D9"/>
          </w:tcPr>
          <w:p>
            <w:pPr>
              <w:jc w:val="right"/>
              <w:ind w:right="493"/>
              <w:spacing w:after="0"/>
              <w:rPr>
                <w:sz w:val="20"/>
                <w:szCs w:val="20"/>
                <w:color w:val="auto"/>
              </w:rPr>
            </w:pPr>
            <w:r>
              <w:rPr>
                <w:rFonts w:ascii="Arial" w:cs="Arial" w:eastAsia="Arial" w:hAnsi="Arial"/>
                <w:sz w:val="20"/>
                <w:szCs w:val="20"/>
                <w:b w:val="1"/>
                <w:bCs w:val="1"/>
                <w:color w:val="auto"/>
              </w:rPr>
              <w:t>Title / Location</w:t>
            </w:r>
          </w:p>
        </w:tc>
        <w:tc>
          <w:tcPr>
            <w:tcW w:w="1700" w:type="dxa"/>
            <w:vAlign w:val="bottom"/>
            <w:tcBorders>
              <w:bottom w:val="single" w:sz="8" w:color="auto"/>
              <w:right w:val="single" w:sz="8" w:color="auto"/>
            </w:tcBorders>
            <w:shd w:val="clear" w:color="auto" w:fill="D9D9D9"/>
          </w:tcPr>
          <w:p>
            <w:pPr>
              <w:jc w:val="right"/>
              <w:ind w:right="532"/>
              <w:spacing w:after="0"/>
              <w:rPr>
                <w:sz w:val="20"/>
                <w:szCs w:val="20"/>
                <w:color w:val="auto"/>
              </w:rPr>
            </w:pPr>
            <w:r>
              <w:rPr>
                <w:rFonts w:ascii="Arial" w:cs="Arial" w:eastAsia="Arial" w:hAnsi="Arial"/>
                <w:sz w:val="22"/>
                <w:szCs w:val="22"/>
                <w:color w:val="auto"/>
              </w:rPr>
              <w:t>[****]</w:t>
            </w:r>
          </w:p>
        </w:tc>
        <w:tc>
          <w:tcPr>
            <w:tcW w:w="3440" w:type="dxa"/>
            <w:vAlign w:val="bottom"/>
            <w:tcBorders>
              <w:bottom w:val="single" w:sz="8" w:color="auto"/>
              <w:right w:val="single" w:sz="8" w:color="auto"/>
            </w:tcBorders>
            <w:shd w:val="clear" w:color="auto" w:fill="D9D9D9"/>
          </w:tcPr>
          <w:p>
            <w:pPr>
              <w:jc w:val="right"/>
              <w:ind w:right="1392"/>
              <w:spacing w:after="0"/>
              <w:rPr>
                <w:sz w:val="20"/>
                <w:szCs w:val="20"/>
                <w:color w:val="auto"/>
              </w:rPr>
            </w:pPr>
            <w:r>
              <w:rPr>
                <w:rFonts w:ascii="Arial" w:cs="Arial" w:eastAsia="Arial" w:hAnsi="Arial"/>
                <w:sz w:val="22"/>
                <w:szCs w:val="22"/>
                <w:color w:val="auto"/>
              </w:rPr>
              <w:t>[****]</w:t>
            </w:r>
          </w:p>
        </w:tc>
        <w:tc>
          <w:tcPr>
            <w:tcW w:w="2600" w:type="dxa"/>
            <w:vAlign w:val="bottom"/>
            <w:tcBorders>
              <w:bottom w:val="single" w:sz="8" w:color="auto"/>
              <w:right w:val="single" w:sz="8" w:color="auto"/>
            </w:tcBorders>
            <w:shd w:val="clear" w:color="auto" w:fill="D9D9D9"/>
          </w:tcPr>
          <w:p>
            <w:pPr>
              <w:jc w:val="right"/>
              <w:ind w:right="972"/>
              <w:spacing w:after="0"/>
              <w:rPr>
                <w:sz w:val="20"/>
                <w:szCs w:val="20"/>
                <w:color w:val="auto"/>
              </w:rPr>
            </w:pPr>
            <w:r>
              <w:rPr>
                <w:rFonts w:ascii="Arial" w:cs="Arial" w:eastAsia="Arial" w:hAnsi="Arial"/>
                <w:sz w:val="22"/>
                <w:szCs w:val="22"/>
                <w:color w:val="auto"/>
              </w:rPr>
              <w:t>[****]</w:t>
            </w:r>
          </w:p>
        </w:tc>
      </w:tr>
      <w:tr>
        <w:trPr>
          <w:trHeight w:val="263"/>
        </w:trPr>
        <w:tc>
          <w:tcPr>
            <w:tcW w:w="9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11</w:t>
            </w:r>
          </w:p>
        </w:tc>
        <w:tc>
          <w:tcPr>
            <w:tcW w:w="2580" w:type="dxa"/>
            <w:vAlign w:val="bottom"/>
            <w:tcBorders>
              <w:bottom w:val="single" w:sz="8" w:color="auto"/>
              <w:right w:val="single" w:sz="8" w:color="auto"/>
            </w:tcBorders>
          </w:tcPr>
          <w:p>
            <w:pPr>
              <w:jc w:val="right"/>
              <w:ind w:right="1953"/>
              <w:spacing w:after="0"/>
              <w:rPr>
                <w:sz w:val="20"/>
                <w:szCs w:val="20"/>
                <w:color w:val="auto"/>
              </w:rPr>
            </w:pPr>
            <w:r>
              <w:rPr>
                <w:rFonts w:ascii="Arial" w:cs="Arial" w:eastAsia="Arial" w:hAnsi="Arial"/>
                <w:sz w:val="22"/>
                <w:szCs w:val="22"/>
                <w:color w:val="auto"/>
              </w:rPr>
              <w:t>[****]</w:t>
            </w:r>
          </w:p>
        </w:tc>
        <w:tc>
          <w:tcPr>
            <w:tcW w:w="1700" w:type="dxa"/>
            <w:vAlign w:val="bottom"/>
            <w:tcBorders>
              <w:bottom w:val="single" w:sz="8" w:color="auto"/>
              <w:right w:val="single" w:sz="8" w:color="auto"/>
            </w:tcBorders>
          </w:tcPr>
          <w:p>
            <w:pPr>
              <w:jc w:val="right"/>
              <w:ind w:right="1072"/>
              <w:spacing w:after="0"/>
              <w:rPr>
                <w:sz w:val="20"/>
                <w:szCs w:val="20"/>
                <w:color w:val="auto"/>
              </w:rPr>
            </w:pPr>
            <w:r>
              <w:rPr>
                <w:rFonts w:ascii="Arial" w:cs="Arial" w:eastAsia="Arial" w:hAnsi="Arial"/>
                <w:sz w:val="22"/>
                <w:szCs w:val="22"/>
                <w:color w:val="auto"/>
              </w:rPr>
              <w:t>[****]</w:t>
            </w:r>
          </w:p>
        </w:tc>
        <w:tc>
          <w:tcPr>
            <w:tcW w:w="3440" w:type="dxa"/>
            <w:vAlign w:val="bottom"/>
            <w:tcBorders>
              <w:bottom w:val="single" w:sz="8" w:color="auto"/>
              <w:right w:val="single" w:sz="8" w:color="auto"/>
            </w:tcBorders>
          </w:tcPr>
          <w:p>
            <w:pPr>
              <w:jc w:val="right"/>
              <w:ind w:right="2812"/>
              <w:spacing w:after="0"/>
              <w:rPr>
                <w:sz w:val="20"/>
                <w:szCs w:val="20"/>
                <w:color w:val="auto"/>
              </w:rPr>
            </w:pPr>
            <w:r>
              <w:rPr>
                <w:rFonts w:ascii="Arial" w:cs="Arial" w:eastAsia="Arial" w:hAnsi="Arial"/>
                <w:sz w:val="22"/>
                <w:szCs w:val="22"/>
                <w:color w:val="auto"/>
              </w:rPr>
              <w:t>[****]</w:t>
            </w:r>
          </w:p>
        </w:tc>
        <w:tc>
          <w:tcPr>
            <w:tcW w:w="2600" w:type="dxa"/>
            <w:vAlign w:val="bottom"/>
            <w:tcBorders>
              <w:bottom w:val="single" w:sz="8" w:color="auto"/>
              <w:right w:val="single" w:sz="8" w:color="auto"/>
            </w:tcBorders>
          </w:tcPr>
          <w:p>
            <w:pPr>
              <w:jc w:val="right"/>
              <w:ind w:right="1972"/>
              <w:spacing w:after="0"/>
              <w:rPr>
                <w:sz w:val="20"/>
                <w:szCs w:val="20"/>
                <w:color w:val="auto"/>
              </w:rPr>
            </w:pPr>
            <w:r>
              <w:rPr>
                <w:rFonts w:ascii="Arial" w:cs="Arial" w:eastAsia="Arial" w:hAnsi="Arial"/>
                <w:sz w:val="22"/>
                <w:szCs w:val="22"/>
                <w:color w:val="auto"/>
              </w:rPr>
              <w:t>[****]</w:t>
            </w:r>
          </w:p>
        </w:tc>
      </w:tr>
      <w:tr>
        <w:trPr>
          <w:trHeight w:val="263"/>
        </w:trPr>
        <w:tc>
          <w:tcPr>
            <w:tcW w:w="9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12</w:t>
            </w:r>
          </w:p>
        </w:tc>
        <w:tc>
          <w:tcPr>
            <w:tcW w:w="2580" w:type="dxa"/>
            <w:vAlign w:val="bottom"/>
            <w:tcBorders>
              <w:bottom w:val="single" w:sz="8" w:color="auto"/>
              <w:right w:val="single" w:sz="8" w:color="auto"/>
            </w:tcBorders>
          </w:tcPr>
          <w:p>
            <w:pPr>
              <w:jc w:val="right"/>
              <w:ind w:right="1953"/>
              <w:spacing w:after="0"/>
              <w:rPr>
                <w:sz w:val="20"/>
                <w:szCs w:val="20"/>
                <w:color w:val="auto"/>
              </w:rPr>
            </w:pPr>
            <w:r>
              <w:rPr>
                <w:rFonts w:ascii="Arial" w:cs="Arial" w:eastAsia="Arial" w:hAnsi="Arial"/>
                <w:sz w:val="22"/>
                <w:szCs w:val="22"/>
                <w:color w:val="auto"/>
              </w:rPr>
              <w:t>[****]</w:t>
            </w:r>
          </w:p>
        </w:tc>
        <w:tc>
          <w:tcPr>
            <w:tcW w:w="1700" w:type="dxa"/>
            <w:vAlign w:val="bottom"/>
            <w:tcBorders>
              <w:bottom w:val="single" w:sz="8" w:color="auto"/>
              <w:right w:val="single" w:sz="8" w:color="auto"/>
            </w:tcBorders>
          </w:tcPr>
          <w:p>
            <w:pPr>
              <w:jc w:val="right"/>
              <w:ind w:right="1072"/>
              <w:spacing w:after="0"/>
              <w:rPr>
                <w:sz w:val="20"/>
                <w:szCs w:val="20"/>
                <w:color w:val="auto"/>
              </w:rPr>
            </w:pPr>
            <w:r>
              <w:rPr>
                <w:rFonts w:ascii="Arial" w:cs="Arial" w:eastAsia="Arial" w:hAnsi="Arial"/>
                <w:sz w:val="22"/>
                <w:szCs w:val="22"/>
                <w:color w:val="auto"/>
              </w:rPr>
              <w:t>[****]</w:t>
            </w:r>
          </w:p>
        </w:tc>
        <w:tc>
          <w:tcPr>
            <w:tcW w:w="3440" w:type="dxa"/>
            <w:vAlign w:val="bottom"/>
            <w:tcBorders>
              <w:bottom w:val="single" w:sz="8" w:color="auto"/>
              <w:right w:val="single" w:sz="8" w:color="auto"/>
            </w:tcBorders>
          </w:tcPr>
          <w:p>
            <w:pPr>
              <w:jc w:val="right"/>
              <w:ind w:right="2812"/>
              <w:spacing w:after="0"/>
              <w:rPr>
                <w:sz w:val="20"/>
                <w:szCs w:val="20"/>
                <w:color w:val="auto"/>
              </w:rPr>
            </w:pPr>
            <w:r>
              <w:rPr>
                <w:rFonts w:ascii="Arial" w:cs="Arial" w:eastAsia="Arial" w:hAnsi="Arial"/>
                <w:sz w:val="22"/>
                <w:szCs w:val="22"/>
                <w:color w:val="auto"/>
              </w:rPr>
              <w:t>[****]</w:t>
            </w:r>
          </w:p>
        </w:tc>
        <w:tc>
          <w:tcPr>
            <w:tcW w:w="2600" w:type="dxa"/>
            <w:vAlign w:val="bottom"/>
            <w:tcBorders>
              <w:bottom w:val="single" w:sz="8" w:color="auto"/>
              <w:right w:val="single" w:sz="8" w:color="auto"/>
            </w:tcBorders>
          </w:tcPr>
          <w:p>
            <w:pPr>
              <w:jc w:val="right"/>
              <w:ind w:right="1972"/>
              <w:spacing w:after="0"/>
              <w:rPr>
                <w:sz w:val="20"/>
                <w:szCs w:val="20"/>
                <w:color w:val="auto"/>
              </w:rPr>
            </w:pPr>
            <w:r>
              <w:rPr>
                <w:rFonts w:ascii="Arial" w:cs="Arial" w:eastAsia="Arial" w:hAnsi="Arial"/>
                <w:sz w:val="22"/>
                <w:szCs w:val="22"/>
                <w:color w:val="auto"/>
              </w:rPr>
              <w:t>[****]</w:t>
            </w:r>
          </w:p>
        </w:tc>
      </w:tr>
      <w:tr>
        <w:trPr>
          <w:trHeight w:val="264"/>
        </w:trPr>
        <w:tc>
          <w:tcPr>
            <w:tcW w:w="9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13</w:t>
            </w:r>
          </w:p>
        </w:tc>
        <w:tc>
          <w:tcPr>
            <w:tcW w:w="2580" w:type="dxa"/>
            <w:vAlign w:val="bottom"/>
            <w:tcBorders>
              <w:bottom w:val="single" w:sz="8" w:color="auto"/>
              <w:right w:val="single" w:sz="8" w:color="auto"/>
            </w:tcBorders>
          </w:tcPr>
          <w:p>
            <w:pPr>
              <w:jc w:val="right"/>
              <w:ind w:right="1953"/>
              <w:spacing w:after="0"/>
              <w:rPr>
                <w:sz w:val="20"/>
                <w:szCs w:val="20"/>
                <w:color w:val="auto"/>
              </w:rPr>
            </w:pPr>
            <w:r>
              <w:rPr>
                <w:rFonts w:ascii="Arial" w:cs="Arial" w:eastAsia="Arial" w:hAnsi="Arial"/>
                <w:sz w:val="22"/>
                <w:szCs w:val="22"/>
                <w:color w:val="auto"/>
              </w:rPr>
              <w:t>[****]</w:t>
            </w:r>
          </w:p>
        </w:tc>
        <w:tc>
          <w:tcPr>
            <w:tcW w:w="1700" w:type="dxa"/>
            <w:vAlign w:val="bottom"/>
            <w:tcBorders>
              <w:bottom w:val="single" w:sz="8" w:color="auto"/>
              <w:right w:val="single" w:sz="8" w:color="auto"/>
            </w:tcBorders>
          </w:tcPr>
          <w:p>
            <w:pPr>
              <w:jc w:val="right"/>
              <w:ind w:right="1072"/>
              <w:spacing w:after="0"/>
              <w:rPr>
                <w:sz w:val="20"/>
                <w:szCs w:val="20"/>
                <w:color w:val="auto"/>
              </w:rPr>
            </w:pPr>
            <w:r>
              <w:rPr>
                <w:rFonts w:ascii="Arial" w:cs="Arial" w:eastAsia="Arial" w:hAnsi="Arial"/>
                <w:sz w:val="22"/>
                <w:szCs w:val="22"/>
                <w:color w:val="auto"/>
              </w:rPr>
              <w:t>[****]</w:t>
            </w:r>
          </w:p>
        </w:tc>
        <w:tc>
          <w:tcPr>
            <w:tcW w:w="3440" w:type="dxa"/>
            <w:vAlign w:val="bottom"/>
            <w:tcBorders>
              <w:bottom w:val="single" w:sz="8" w:color="auto"/>
              <w:right w:val="single" w:sz="8" w:color="auto"/>
            </w:tcBorders>
          </w:tcPr>
          <w:p>
            <w:pPr>
              <w:jc w:val="right"/>
              <w:ind w:right="2812"/>
              <w:spacing w:after="0"/>
              <w:rPr>
                <w:sz w:val="20"/>
                <w:szCs w:val="20"/>
                <w:color w:val="auto"/>
              </w:rPr>
            </w:pPr>
            <w:r>
              <w:rPr>
                <w:rFonts w:ascii="Arial" w:cs="Arial" w:eastAsia="Arial" w:hAnsi="Arial"/>
                <w:sz w:val="22"/>
                <w:szCs w:val="22"/>
                <w:color w:val="auto"/>
              </w:rPr>
              <w:t>[****]</w:t>
            </w:r>
          </w:p>
        </w:tc>
        <w:tc>
          <w:tcPr>
            <w:tcW w:w="2600" w:type="dxa"/>
            <w:vAlign w:val="bottom"/>
            <w:tcBorders>
              <w:bottom w:val="single" w:sz="8" w:color="auto"/>
              <w:right w:val="single" w:sz="8" w:color="auto"/>
            </w:tcBorders>
          </w:tcPr>
          <w:p>
            <w:pPr>
              <w:jc w:val="right"/>
              <w:ind w:right="1972"/>
              <w:spacing w:after="0"/>
              <w:rPr>
                <w:sz w:val="20"/>
                <w:szCs w:val="20"/>
                <w:color w:val="auto"/>
              </w:rPr>
            </w:pPr>
            <w:r>
              <w:rPr>
                <w:rFonts w:ascii="Arial" w:cs="Arial" w:eastAsia="Arial" w:hAnsi="Arial"/>
                <w:sz w:val="22"/>
                <w:szCs w:val="22"/>
                <w:color w:val="auto"/>
              </w:rPr>
              <w:t>[****]</w:t>
            </w:r>
          </w:p>
        </w:tc>
      </w:tr>
      <w:tr>
        <w:trPr>
          <w:trHeight w:val="263"/>
        </w:trPr>
        <w:tc>
          <w:tcPr>
            <w:tcW w:w="9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14</w:t>
            </w:r>
          </w:p>
        </w:tc>
        <w:tc>
          <w:tcPr>
            <w:tcW w:w="2580" w:type="dxa"/>
            <w:vAlign w:val="bottom"/>
            <w:tcBorders>
              <w:bottom w:val="single" w:sz="8" w:color="auto"/>
              <w:right w:val="single" w:sz="8" w:color="auto"/>
            </w:tcBorders>
          </w:tcPr>
          <w:p>
            <w:pPr>
              <w:jc w:val="right"/>
              <w:ind w:right="1953"/>
              <w:spacing w:after="0"/>
              <w:rPr>
                <w:sz w:val="20"/>
                <w:szCs w:val="20"/>
                <w:color w:val="auto"/>
              </w:rPr>
            </w:pPr>
            <w:r>
              <w:rPr>
                <w:rFonts w:ascii="Arial" w:cs="Arial" w:eastAsia="Arial" w:hAnsi="Arial"/>
                <w:sz w:val="22"/>
                <w:szCs w:val="22"/>
                <w:color w:val="auto"/>
              </w:rPr>
              <w:t>[****]</w:t>
            </w:r>
          </w:p>
        </w:tc>
        <w:tc>
          <w:tcPr>
            <w:tcW w:w="1700" w:type="dxa"/>
            <w:vAlign w:val="bottom"/>
            <w:tcBorders>
              <w:bottom w:val="single" w:sz="8" w:color="auto"/>
              <w:right w:val="single" w:sz="8" w:color="auto"/>
            </w:tcBorders>
          </w:tcPr>
          <w:p>
            <w:pPr>
              <w:jc w:val="right"/>
              <w:ind w:right="1072"/>
              <w:spacing w:after="0"/>
              <w:rPr>
                <w:sz w:val="20"/>
                <w:szCs w:val="20"/>
                <w:color w:val="auto"/>
              </w:rPr>
            </w:pPr>
            <w:r>
              <w:rPr>
                <w:rFonts w:ascii="Arial" w:cs="Arial" w:eastAsia="Arial" w:hAnsi="Arial"/>
                <w:sz w:val="22"/>
                <w:szCs w:val="22"/>
                <w:color w:val="auto"/>
              </w:rPr>
              <w:t>[****]</w:t>
            </w:r>
          </w:p>
        </w:tc>
        <w:tc>
          <w:tcPr>
            <w:tcW w:w="3440" w:type="dxa"/>
            <w:vAlign w:val="bottom"/>
            <w:tcBorders>
              <w:bottom w:val="single" w:sz="8" w:color="auto"/>
              <w:right w:val="single" w:sz="8" w:color="auto"/>
            </w:tcBorders>
          </w:tcPr>
          <w:p>
            <w:pPr>
              <w:jc w:val="right"/>
              <w:ind w:right="2812"/>
              <w:spacing w:after="0"/>
              <w:rPr>
                <w:sz w:val="20"/>
                <w:szCs w:val="20"/>
                <w:color w:val="auto"/>
              </w:rPr>
            </w:pPr>
            <w:r>
              <w:rPr>
                <w:rFonts w:ascii="Arial" w:cs="Arial" w:eastAsia="Arial" w:hAnsi="Arial"/>
                <w:sz w:val="22"/>
                <w:szCs w:val="22"/>
                <w:color w:val="auto"/>
              </w:rPr>
              <w:t>[****]</w:t>
            </w:r>
          </w:p>
        </w:tc>
        <w:tc>
          <w:tcPr>
            <w:tcW w:w="2600" w:type="dxa"/>
            <w:vAlign w:val="bottom"/>
            <w:tcBorders>
              <w:bottom w:val="single" w:sz="8" w:color="auto"/>
              <w:right w:val="single" w:sz="8" w:color="auto"/>
            </w:tcBorders>
          </w:tcPr>
          <w:p>
            <w:pPr>
              <w:jc w:val="right"/>
              <w:ind w:right="1972"/>
              <w:spacing w:after="0"/>
              <w:rPr>
                <w:sz w:val="20"/>
                <w:szCs w:val="20"/>
                <w:color w:val="auto"/>
              </w:rPr>
            </w:pPr>
            <w:r>
              <w:rPr>
                <w:rFonts w:ascii="Arial" w:cs="Arial" w:eastAsia="Arial" w:hAnsi="Arial"/>
                <w:sz w:val="22"/>
                <w:szCs w:val="22"/>
                <w:color w:val="auto"/>
              </w:rPr>
              <w:t>[****]</w:t>
            </w:r>
          </w:p>
        </w:tc>
      </w:tr>
      <w:tr>
        <w:trPr>
          <w:trHeight w:val="264"/>
        </w:trPr>
        <w:tc>
          <w:tcPr>
            <w:tcW w:w="9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15</w:t>
            </w:r>
          </w:p>
        </w:tc>
        <w:tc>
          <w:tcPr>
            <w:tcW w:w="2580" w:type="dxa"/>
            <w:vAlign w:val="bottom"/>
            <w:tcBorders>
              <w:bottom w:val="single" w:sz="8" w:color="auto"/>
              <w:right w:val="single" w:sz="8" w:color="auto"/>
            </w:tcBorders>
          </w:tcPr>
          <w:p>
            <w:pPr>
              <w:jc w:val="right"/>
              <w:ind w:right="1953"/>
              <w:spacing w:after="0"/>
              <w:rPr>
                <w:sz w:val="20"/>
                <w:szCs w:val="20"/>
                <w:color w:val="auto"/>
              </w:rPr>
            </w:pPr>
            <w:r>
              <w:rPr>
                <w:rFonts w:ascii="Arial" w:cs="Arial" w:eastAsia="Arial" w:hAnsi="Arial"/>
                <w:sz w:val="22"/>
                <w:szCs w:val="22"/>
                <w:color w:val="auto"/>
              </w:rPr>
              <w:t>[****]</w:t>
            </w:r>
          </w:p>
        </w:tc>
        <w:tc>
          <w:tcPr>
            <w:tcW w:w="1700" w:type="dxa"/>
            <w:vAlign w:val="bottom"/>
            <w:tcBorders>
              <w:bottom w:val="single" w:sz="8" w:color="auto"/>
              <w:right w:val="single" w:sz="8" w:color="auto"/>
            </w:tcBorders>
          </w:tcPr>
          <w:p>
            <w:pPr>
              <w:jc w:val="right"/>
              <w:ind w:right="1072"/>
              <w:spacing w:after="0"/>
              <w:rPr>
                <w:sz w:val="20"/>
                <w:szCs w:val="20"/>
                <w:color w:val="auto"/>
              </w:rPr>
            </w:pPr>
            <w:r>
              <w:rPr>
                <w:rFonts w:ascii="Arial" w:cs="Arial" w:eastAsia="Arial" w:hAnsi="Arial"/>
                <w:sz w:val="22"/>
                <w:szCs w:val="22"/>
                <w:color w:val="auto"/>
              </w:rPr>
              <w:t>[****]</w:t>
            </w:r>
          </w:p>
        </w:tc>
        <w:tc>
          <w:tcPr>
            <w:tcW w:w="3440" w:type="dxa"/>
            <w:vAlign w:val="bottom"/>
            <w:tcBorders>
              <w:bottom w:val="single" w:sz="8" w:color="auto"/>
              <w:right w:val="single" w:sz="8" w:color="auto"/>
            </w:tcBorders>
          </w:tcPr>
          <w:p>
            <w:pPr>
              <w:jc w:val="right"/>
              <w:ind w:right="2812"/>
              <w:spacing w:after="0"/>
              <w:rPr>
                <w:sz w:val="20"/>
                <w:szCs w:val="20"/>
                <w:color w:val="auto"/>
              </w:rPr>
            </w:pPr>
            <w:r>
              <w:rPr>
                <w:rFonts w:ascii="Arial" w:cs="Arial" w:eastAsia="Arial" w:hAnsi="Arial"/>
                <w:sz w:val="22"/>
                <w:szCs w:val="22"/>
                <w:color w:val="auto"/>
              </w:rPr>
              <w:t>[****]</w:t>
            </w:r>
          </w:p>
        </w:tc>
        <w:tc>
          <w:tcPr>
            <w:tcW w:w="2600" w:type="dxa"/>
            <w:vAlign w:val="bottom"/>
            <w:tcBorders>
              <w:bottom w:val="single" w:sz="8" w:color="auto"/>
              <w:right w:val="single" w:sz="8" w:color="auto"/>
            </w:tcBorders>
          </w:tcPr>
          <w:p>
            <w:pPr>
              <w:jc w:val="right"/>
              <w:ind w:right="1972"/>
              <w:spacing w:after="0"/>
              <w:rPr>
                <w:sz w:val="20"/>
                <w:szCs w:val="20"/>
                <w:color w:val="auto"/>
              </w:rPr>
            </w:pPr>
            <w:r>
              <w:rPr>
                <w:rFonts w:ascii="Arial" w:cs="Arial" w:eastAsia="Arial" w:hAnsi="Arial"/>
                <w:sz w:val="22"/>
                <w:szCs w:val="22"/>
                <w:color w:val="auto"/>
              </w:rPr>
              <w:t>[****]</w:t>
            </w:r>
          </w:p>
        </w:tc>
      </w:tr>
      <w:tr>
        <w:trPr>
          <w:trHeight w:val="263"/>
        </w:trPr>
        <w:tc>
          <w:tcPr>
            <w:tcW w:w="9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16</w:t>
            </w:r>
          </w:p>
        </w:tc>
        <w:tc>
          <w:tcPr>
            <w:tcW w:w="2580" w:type="dxa"/>
            <w:vAlign w:val="bottom"/>
            <w:tcBorders>
              <w:bottom w:val="single" w:sz="8" w:color="auto"/>
              <w:right w:val="single" w:sz="8" w:color="auto"/>
            </w:tcBorders>
          </w:tcPr>
          <w:p>
            <w:pPr>
              <w:jc w:val="right"/>
              <w:ind w:right="1953"/>
              <w:spacing w:after="0"/>
              <w:rPr>
                <w:sz w:val="20"/>
                <w:szCs w:val="20"/>
                <w:color w:val="auto"/>
              </w:rPr>
            </w:pPr>
            <w:r>
              <w:rPr>
                <w:rFonts w:ascii="Arial" w:cs="Arial" w:eastAsia="Arial" w:hAnsi="Arial"/>
                <w:sz w:val="22"/>
                <w:szCs w:val="22"/>
                <w:color w:val="auto"/>
              </w:rPr>
              <w:t>[****]</w:t>
            </w:r>
          </w:p>
        </w:tc>
        <w:tc>
          <w:tcPr>
            <w:tcW w:w="1700" w:type="dxa"/>
            <w:vAlign w:val="bottom"/>
            <w:tcBorders>
              <w:bottom w:val="single" w:sz="8" w:color="auto"/>
              <w:right w:val="single" w:sz="8" w:color="auto"/>
            </w:tcBorders>
          </w:tcPr>
          <w:p>
            <w:pPr>
              <w:jc w:val="right"/>
              <w:ind w:right="1072"/>
              <w:spacing w:after="0"/>
              <w:rPr>
                <w:sz w:val="20"/>
                <w:szCs w:val="20"/>
                <w:color w:val="auto"/>
              </w:rPr>
            </w:pPr>
            <w:r>
              <w:rPr>
                <w:rFonts w:ascii="Arial" w:cs="Arial" w:eastAsia="Arial" w:hAnsi="Arial"/>
                <w:sz w:val="22"/>
                <w:szCs w:val="22"/>
                <w:color w:val="auto"/>
              </w:rPr>
              <w:t>[****]</w:t>
            </w:r>
          </w:p>
        </w:tc>
        <w:tc>
          <w:tcPr>
            <w:tcW w:w="3440" w:type="dxa"/>
            <w:vAlign w:val="bottom"/>
            <w:tcBorders>
              <w:bottom w:val="single" w:sz="8" w:color="auto"/>
              <w:right w:val="single" w:sz="8" w:color="auto"/>
            </w:tcBorders>
          </w:tcPr>
          <w:p>
            <w:pPr>
              <w:jc w:val="right"/>
              <w:ind w:right="2812"/>
              <w:spacing w:after="0"/>
              <w:rPr>
                <w:sz w:val="20"/>
                <w:szCs w:val="20"/>
                <w:color w:val="auto"/>
              </w:rPr>
            </w:pPr>
            <w:r>
              <w:rPr>
                <w:rFonts w:ascii="Arial" w:cs="Arial" w:eastAsia="Arial" w:hAnsi="Arial"/>
                <w:sz w:val="22"/>
                <w:szCs w:val="22"/>
                <w:color w:val="auto"/>
              </w:rPr>
              <w:t>[****]</w:t>
            </w:r>
          </w:p>
        </w:tc>
        <w:tc>
          <w:tcPr>
            <w:tcW w:w="2600" w:type="dxa"/>
            <w:vAlign w:val="bottom"/>
            <w:tcBorders>
              <w:bottom w:val="single" w:sz="8" w:color="auto"/>
              <w:right w:val="single" w:sz="8" w:color="auto"/>
            </w:tcBorders>
          </w:tcPr>
          <w:p>
            <w:pPr>
              <w:jc w:val="right"/>
              <w:ind w:right="1972"/>
              <w:spacing w:after="0"/>
              <w:rPr>
                <w:sz w:val="20"/>
                <w:szCs w:val="20"/>
                <w:color w:val="auto"/>
              </w:rPr>
            </w:pPr>
            <w:r>
              <w:rPr>
                <w:rFonts w:ascii="Arial" w:cs="Arial" w:eastAsia="Arial" w:hAnsi="Arial"/>
                <w:sz w:val="22"/>
                <w:szCs w:val="22"/>
                <w:color w:val="auto"/>
              </w:rPr>
              <w:t>[****]</w:t>
            </w:r>
          </w:p>
        </w:tc>
      </w:tr>
      <w:tr>
        <w:trPr>
          <w:trHeight w:val="263"/>
        </w:trPr>
        <w:tc>
          <w:tcPr>
            <w:tcW w:w="9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17</w:t>
            </w:r>
          </w:p>
        </w:tc>
        <w:tc>
          <w:tcPr>
            <w:tcW w:w="2580" w:type="dxa"/>
            <w:vAlign w:val="bottom"/>
            <w:tcBorders>
              <w:bottom w:val="single" w:sz="8" w:color="auto"/>
              <w:right w:val="single" w:sz="8" w:color="auto"/>
            </w:tcBorders>
          </w:tcPr>
          <w:p>
            <w:pPr>
              <w:jc w:val="right"/>
              <w:ind w:right="1953"/>
              <w:spacing w:after="0"/>
              <w:rPr>
                <w:sz w:val="20"/>
                <w:szCs w:val="20"/>
                <w:color w:val="auto"/>
              </w:rPr>
            </w:pPr>
            <w:r>
              <w:rPr>
                <w:rFonts w:ascii="Arial" w:cs="Arial" w:eastAsia="Arial" w:hAnsi="Arial"/>
                <w:sz w:val="22"/>
                <w:szCs w:val="22"/>
                <w:color w:val="auto"/>
              </w:rPr>
              <w:t>[****]</w:t>
            </w:r>
          </w:p>
        </w:tc>
        <w:tc>
          <w:tcPr>
            <w:tcW w:w="1700" w:type="dxa"/>
            <w:vAlign w:val="bottom"/>
            <w:tcBorders>
              <w:bottom w:val="single" w:sz="8" w:color="auto"/>
              <w:right w:val="single" w:sz="8" w:color="auto"/>
            </w:tcBorders>
          </w:tcPr>
          <w:p>
            <w:pPr>
              <w:jc w:val="right"/>
              <w:ind w:right="1072"/>
              <w:spacing w:after="0"/>
              <w:rPr>
                <w:sz w:val="20"/>
                <w:szCs w:val="20"/>
                <w:color w:val="auto"/>
              </w:rPr>
            </w:pPr>
            <w:r>
              <w:rPr>
                <w:rFonts w:ascii="Arial" w:cs="Arial" w:eastAsia="Arial" w:hAnsi="Arial"/>
                <w:sz w:val="22"/>
                <w:szCs w:val="22"/>
                <w:color w:val="auto"/>
              </w:rPr>
              <w:t>[****]</w:t>
            </w:r>
          </w:p>
        </w:tc>
        <w:tc>
          <w:tcPr>
            <w:tcW w:w="3440" w:type="dxa"/>
            <w:vAlign w:val="bottom"/>
            <w:tcBorders>
              <w:bottom w:val="single" w:sz="8" w:color="auto"/>
              <w:right w:val="single" w:sz="8" w:color="auto"/>
            </w:tcBorders>
          </w:tcPr>
          <w:p>
            <w:pPr>
              <w:jc w:val="right"/>
              <w:ind w:right="2812"/>
              <w:spacing w:after="0"/>
              <w:rPr>
                <w:sz w:val="20"/>
                <w:szCs w:val="20"/>
                <w:color w:val="auto"/>
              </w:rPr>
            </w:pPr>
            <w:r>
              <w:rPr>
                <w:rFonts w:ascii="Arial" w:cs="Arial" w:eastAsia="Arial" w:hAnsi="Arial"/>
                <w:sz w:val="22"/>
                <w:szCs w:val="22"/>
                <w:color w:val="auto"/>
              </w:rPr>
              <w:t>[****]</w:t>
            </w:r>
          </w:p>
        </w:tc>
        <w:tc>
          <w:tcPr>
            <w:tcW w:w="2600" w:type="dxa"/>
            <w:vAlign w:val="bottom"/>
            <w:tcBorders>
              <w:bottom w:val="single" w:sz="8" w:color="auto"/>
              <w:right w:val="single" w:sz="8" w:color="auto"/>
            </w:tcBorders>
          </w:tcPr>
          <w:p>
            <w:pPr>
              <w:jc w:val="right"/>
              <w:ind w:right="1972"/>
              <w:spacing w:after="0"/>
              <w:rPr>
                <w:sz w:val="20"/>
                <w:szCs w:val="20"/>
                <w:color w:val="auto"/>
              </w:rPr>
            </w:pPr>
            <w:r>
              <w:rPr>
                <w:rFonts w:ascii="Arial" w:cs="Arial" w:eastAsia="Arial" w:hAnsi="Arial"/>
                <w:sz w:val="22"/>
                <w:szCs w:val="22"/>
                <w:color w:val="auto"/>
              </w:rPr>
              <w:t>[****]</w:t>
            </w:r>
          </w:p>
        </w:tc>
      </w:tr>
      <w:tr>
        <w:trPr>
          <w:trHeight w:val="264"/>
        </w:trPr>
        <w:tc>
          <w:tcPr>
            <w:tcW w:w="9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18</w:t>
            </w:r>
          </w:p>
        </w:tc>
        <w:tc>
          <w:tcPr>
            <w:tcW w:w="2580" w:type="dxa"/>
            <w:vAlign w:val="bottom"/>
            <w:tcBorders>
              <w:bottom w:val="single" w:sz="8" w:color="auto"/>
              <w:right w:val="single" w:sz="8" w:color="auto"/>
            </w:tcBorders>
          </w:tcPr>
          <w:p>
            <w:pPr>
              <w:jc w:val="right"/>
              <w:ind w:right="1953"/>
              <w:spacing w:after="0"/>
              <w:rPr>
                <w:sz w:val="20"/>
                <w:szCs w:val="20"/>
                <w:color w:val="auto"/>
              </w:rPr>
            </w:pPr>
            <w:r>
              <w:rPr>
                <w:rFonts w:ascii="Arial" w:cs="Arial" w:eastAsia="Arial" w:hAnsi="Arial"/>
                <w:sz w:val="22"/>
                <w:szCs w:val="22"/>
                <w:color w:val="auto"/>
              </w:rPr>
              <w:t>[****]</w:t>
            </w:r>
          </w:p>
        </w:tc>
        <w:tc>
          <w:tcPr>
            <w:tcW w:w="1700" w:type="dxa"/>
            <w:vAlign w:val="bottom"/>
            <w:tcBorders>
              <w:bottom w:val="single" w:sz="8" w:color="auto"/>
              <w:right w:val="single" w:sz="8" w:color="auto"/>
            </w:tcBorders>
          </w:tcPr>
          <w:p>
            <w:pPr>
              <w:jc w:val="right"/>
              <w:ind w:right="1072"/>
              <w:spacing w:after="0"/>
              <w:rPr>
                <w:sz w:val="20"/>
                <w:szCs w:val="20"/>
                <w:color w:val="auto"/>
              </w:rPr>
            </w:pPr>
            <w:r>
              <w:rPr>
                <w:rFonts w:ascii="Arial" w:cs="Arial" w:eastAsia="Arial" w:hAnsi="Arial"/>
                <w:sz w:val="22"/>
                <w:szCs w:val="22"/>
                <w:color w:val="auto"/>
              </w:rPr>
              <w:t>[****]</w:t>
            </w:r>
          </w:p>
        </w:tc>
        <w:tc>
          <w:tcPr>
            <w:tcW w:w="3440" w:type="dxa"/>
            <w:vAlign w:val="bottom"/>
            <w:tcBorders>
              <w:bottom w:val="single" w:sz="8" w:color="auto"/>
              <w:right w:val="single" w:sz="8" w:color="auto"/>
            </w:tcBorders>
          </w:tcPr>
          <w:p>
            <w:pPr>
              <w:jc w:val="right"/>
              <w:ind w:right="2812"/>
              <w:spacing w:after="0"/>
              <w:rPr>
                <w:sz w:val="20"/>
                <w:szCs w:val="20"/>
                <w:color w:val="auto"/>
              </w:rPr>
            </w:pPr>
            <w:r>
              <w:rPr>
                <w:rFonts w:ascii="Arial" w:cs="Arial" w:eastAsia="Arial" w:hAnsi="Arial"/>
                <w:sz w:val="22"/>
                <w:szCs w:val="22"/>
                <w:color w:val="auto"/>
              </w:rPr>
              <w:t>[****]</w:t>
            </w:r>
          </w:p>
        </w:tc>
        <w:tc>
          <w:tcPr>
            <w:tcW w:w="2600" w:type="dxa"/>
            <w:vAlign w:val="bottom"/>
            <w:tcBorders>
              <w:bottom w:val="single" w:sz="8" w:color="auto"/>
              <w:right w:val="single" w:sz="8" w:color="auto"/>
            </w:tcBorders>
          </w:tcPr>
          <w:p>
            <w:pPr>
              <w:jc w:val="right"/>
              <w:ind w:right="1972"/>
              <w:spacing w:after="0"/>
              <w:rPr>
                <w:sz w:val="20"/>
                <w:szCs w:val="20"/>
                <w:color w:val="auto"/>
              </w:rPr>
            </w:pPr>
            <w:r>
              <w:rPr>
                <w:rFonts w:ascii="Arial" w:cs="Arial" w:eastAsia="Arial" w:hAnsi="Arial"/>
                <w:sz w:val="22"/>
                <w:szCs w:val="22"/>
                <w:color w:val="auto"/>
              </w:rPr>
              <w:t>[****]</w:t>
            </w:r>
          </w:p>
        </w:tc>
      </w:tr>
      <w:tr>
        <w:trPr>
          <w:trHeight w:val="263"/>
        </w:trPr>
        <w:tc>
          <w:tcPr>
            <w:tcW w:w="9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19</w:t>
            </w:r>
          </w:p>
        </w:tc>
        <w:tc>
          <w:tcPr>
            <w:tcW w:w="2580" w:type="dxa"/>
            <w:vAlign w:val="bottom"/>
            <w:tcBorders>
              <w:bottom w:val="single" w:sz="8" w:color="auto"/>
              <w:right w:val="single" w:sz="8" w:color="auto"/>
            </w:tcBorders>
          </w:tcPr>
          <w:p>
            <w:pPr>
              <w:jc w:val="right"/>
              <w:ind w:right="1953"/>
              <w:spacing w:after="0"/>
              <w:rPr>
                <w:sz w:val="20"/>
                <w:szCs w:val="20"/>
                <w:color w:val="auto"/>
              </w:rPr>
            </w:pPr>
            <w:r>
              <w:rPr>
                <w:rFonts w:ascii="Arial" w:cs="Arial" w:eastAsia="Arial" w:hAnsi="Arial"/>
                <w:sz w:val="22"/>
                <w:szCs w:val="22"/>
                <w:color w:val="auto"/>
              </w:rPr>
              <w:t>[****]</w:t>
            </w:r>
          </w:p>
        </w:tc>
        <w:tc>
          <w:tcPr>
            <w:tcW w:w="1700" w:type="dxa"/>
            <w:vAlign w:val="bottom"/>
            <w:tcBorders>
              <w:bottom w:val="single" w:sz="8" w:color="auto"/>
              <w:right w:val="single" w:sz="8" w:color="auto"/>
            </w:tcBorders>
          </w:tcPr>
          <w:p>
            <w:pPr>
              <w:jc w:val="right"/>
              <w:ind w:right="1072"/>
              <w:spacing w:after="0"/>
              <w:rPr>
                <w:sz w:val="20"/>
                <w:szCs w:val="20"/>
                <w:color w:val="auto"/>
              </w:rPr>
            </w:pPr>
            <w:r>
              <w:rPr>
                <w:rFonts w:ascii="Arial" w:cs="Arial" w:eastAsia="Arial" w:hAnsi="Arial"/>
                <w:sz w:val="22"/>
                <w:szCs w:val="22"/>
                <w:color w:val="auto"/>
              </w:rPr>
              <w:t>[****]</w:t>
            </w:r>
          </w:p>
        </w:tc>
        <w:tc>
          <w:tcPr>
            <w:tcW w:w="3440" w:type="dxa"/>
            <w:vAlign w:val="bottom"/>
            <w:tcBorders>
              <w:bottom w:val="single" w:sz="8" w:color="auto"/>
              <w:right w:val="single" w:sz="8" w:color="auto"/>
            </w:tcBorders>
          </w:tcPr>
          <w:p>
            <w:pPr>
              <w:jc w:val="right"/>
              <w:ind w:right="2812"/>
              <w:spacing w:after="0"/>
              <w:rPr>
                <w:sz w:val="20"/>
                <w:szCs w:val="20"/>
                <w:color w:val="auto"/>
              </w:rPr>
            </w:pPr>
            <w:r>
              <w:rPr>
                <w:rFonts w:ascii="Arial" w:cs="Arial" w:eastAsia="Arial" w:hAnsi="Arial"/>
                <w:sz w:val="22"/>
                <w:szCs w:val="22"/>
                <w:color w:val="auto"/>
              </w:rPr>
              <w:t>[****]</w:t>
            </w:r>
          </w:p>
        </w:tc>
        <w:tc>
          <w:tcPr>
            <w:tcW w:w="2600" w:type="dxa"/>
            <w:vAlign w:val="bottom"/>
            <w:tcBorders>
              <w:bottom w:val="single" w:sz="8" w:color="auto"/>
              <w:right w:val="single" w:sz="8" w:color="auto"/>
            </w:tcBorders>
          </w:tcPr>
          <w:p>
            <w:pPr>
              <w:jc w:val="right"/>
              <w:ind w:right="1972"/>
              <w:spacing w:after="0"/>
              <w:rPr>
                <w:sz w:val="20"/>
                <w:szCs w:val="20"/>
                <w:color w:val="auto"/>
              </w:rPr>
            </w:pPr>
            <w:r>
              <w:rPr>
                <w:rFonts w:ascii="Arial" w:cs="Arial" w:eastAsia="Arial" w:hAnsi="Arial"/>
                <w:sz w:val="22"/>
                <w:szCs w:val="22"/>
                <w:color w:val="auto"/>
              </w:rPr>
              <w:t>[****]</w:t>
            </w:r>
          </w:p>
        </w:tc>
      </w:tr>
      <w:tr>
        <w:trPr>
          <w:trHeight w:val="263"/>
        </w:trPr>
        <w:tc>
          <w:tcPr>
            <w:tcW w:w="9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20</w:t>
            </w:r>
          </w:p>
        </w:tc>
        <w:tc>
          <w:tcPr>
            <w:tcW w:w="2580" w:type="dxa"/>
            <w:vAlign w:val="bottom"/>
            <w:tcBorders>
              <w:bottom w:val="single" w:sz="8" w:color="auto"/>
              <w:right w:val="single" w:sz="8" w:color="auto"/>
            </w:tcBorders>
          </w:tcPr>
          <w:p>
            <w:pPr>
              <w:jc w:val="right"/>
              <w:ind w:right="1953"/>
              <w:spacing w:after="0"/>
              <w:rPr>
                <w:sz w:val="20"/>
                <w:szCs w:val="20"/>
                <w:color w:val="auto"/>
              </w:rPr>
            </w:pPr>
            <w:r>
              <w:rPr>
                <w:rFonts w:ascii="Arial" w:cs="Arial" w:eastAsia="Arial" w:hAnsi="Arial"/>
                <w:sz w:val="22"/>
                <w:szCs w:val="22"/>
                <w:color w:val="auto"/>
              </w:rPr>
              <w:t>[****]</w:t>
            </w:r>
          </w:p>
        </w:tc>
        <w:tc>
          <w:tcPr>
            <w:tcW w:w="1700" w:type="dxa"/>
            <w:vAlign w:val="bottom"/>
            <w:tcBorders>
              <w:bottom w:val="single" w:sz="8" w:color="auto"/>
              <w:right w:val="single" w:sz="8" w:color="auto"/>
            </w:tcBorders>
          </w:tcPr>
          <w:p>
            <w:pPr>
              <w:jc w:val="right"/>
              <w:ind w:right="1072"/>
              <w:spacing w:after="0"/>
              <w:rPr>
                <w:sz w:val="20"/>
                <w:szCs w:val="20"/>
                <w:color w:val="auto"/>
              </w:rPr>
            </w:pPr>
            <w:r>
              <w:rPr>
                <w:rFonts w:ascii="Arial" w:cs="Arial" w:eastAsia="Arial" w:hAnsi="Arial"/>
                <w:sz w:val="22"/>
                <w:szCs w:val="22"/>
                <w:color w:val="auto"/>
              </w:rPr>
              <w:t>[****]</w:t>
            </w:r>
          </w:p>
        </w:tc>
        <w:tc>
          <w:tcPr>
            <w:tcW w:w="3440" w:type="dxa"/>
            <w:vAlign w:val="bottom"/>
            <w:tcBorders>
              <w:bottom w:val="single" w:sz="8" w:color="auto"/>
              <w:right w:val="single" w:sz="8" w:color="auto"/>
            </w:tcBorders>
          </w:tcPr>
          <w:p>
            <w:pPr>
              <w:jc w:val="right"/>
              <w:ind w:right="2812"/>
              <w:spacing w:after="0"/>
              <w:rPr>
                <w:sz w:val="20"/>
                <w:szCs w:val="20"/>
                <w:color w:val="auto"/>
              </w:rPr>
            </w:pPr>
            <w:r>
              <w:rPr>
                <w:rFonts w:ascii="Arial" w:cs="Arial" w:eastAsia="Arial" w:hAnsi="Arial"/>
                <w:sz w:val="22"/>
                <w:szCs w:val="22"/>
                <w:color w:val="auto"/>
              </w:rPr>
              <w:t>[****]</w:t>
            </w:r>
          </w:p>
        </w:tc>
        <w:tc>
          <w:tcPr>
            <w:tcW w:w="2600" w:type="dxa"/>
            <w:vAlign w:val="bottom"/>
            <w:tcBorders>
              <w:bottom w:val="single" w:sz="8" w:color="auto"/>
              <w:right w:val="single" w:sz="8" w:color="auto"/>
            </w:tcBorders>
          </w:tcPr>
          <w:p>
            <w:pPr>
              <w:jc w:val="right"/>
              <w:ind w:right="1972"/>
              <w:spacing w:after="0"/>
              <w:rPr>
                <w:sz w:val="20"/>
                <w:szCs w:val="20"/>
                <w:color w:val="auto"/>
              </w:rPr>
            </w:pPr>
            <w:r>
              <w:rPr>
                <w:rFonts w:ascii="Arial" w:cs="Arial" w:eastAsia="Arial" w:hAnsi="Arial"/>
                <w:sz w:val="22"/>
                <w:szCs w:val="22"/>
                <w:color w:val="auto"/>
              </w:rPr>
              <w:t>[****]</w:t>
            </w:r>
          </w:p>
        </w:tc>
      </w:tr>
      <w:tr>
        <w:trPr>
          <w:trHeight w:val="264"/>
        </w:trPr>
        <w:tc>
          <w:tcPr>
            <w:tcW w:w="9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21</w:t>
            </w:r>
          </w:p>
        </w:tc>
        <w:tc>
          <w:tcPr>
            <w:tcW w:w="2580" w:type="dxa"/>
            <w:vAlign w:val="bottom"/>
            <w:tcBorders>
              <w:bottom w:val="single" w:sz="8" w:color="auto"/>
              <w:right w:val="single" w:sz="8" w:color="auto"/>
            </w:tcBorders>
          </w:tcPr>
          <w:p>
            <w:pPr>
              <w:jc w:val="right"/>
              <w:ind w:right="1953"/>
              <w:spacing w:after="0"/>
              <w:rPr>
                <w:sz w:val="20"/>
                <w:szCs w:val="20"/>
                <w:color w:val="auto"/>
              </w:rPr>
            </w:pPr>
            <w:r>
              <w:rPr>
                <w:rFonts w:ascii="Arial" w:cs="Arial" w:eastAsia="Arial" w:hAnsi="Arial"/>
                <w:sz w:val="22"/>
                <w:szCs w:val="22"/>
                <w:color w:val="auto"/>
              </w:rPr>
              <w:t>[****]</w:t>
            </w:r>
          </w:p>
        </w:tc>
        <w:tc>
          <w:tcPr>
            <w:tcW w:w="1700" w:type="dxa"/>
            <w:vAlign w:val="bottom"/>
            <w:tcBorders>
              <w:bottom w:val="single" w:sz="8" w:color="auto"/>
              <w:right w:val="single" w:sz="8" w:color="auto"/>
            </w:tcBorders>
          </w:tcPr>
          <w:p>
            <w:pPr>
              <w:jc w:val="right"/>
              <w:ind w:right="1072"/>
              <w:spacing w:after="0"/>
              <w:rPr>
                <w:sz w:val="20"/>
                <w:szCs w:val="20"/>
                <w:color w:val="auto"/>
              </w:rPr>
            </w:pPr>
            <w:r>
              <w:rPr>
                <w:rFonts w:ascii="Arial" w:cs="Arial" w:eastAsia="Arial" w:hAnsi="Arial"/>
                <w:sz w:val="22"/>
                <w:szCs w:val="22"/>
                <w:color w:val="auto"/>
              </w:rPr>
              <w:t>[****]</w:t>
            </w:r>
          </w:p>
        </w:tc>
        <w:tc>
          <w:tcPr>
            <w:tcW w:w="3440" w:type="dxa"/>
            <w:vAlign w:val="bottom"/>
            <w:tcBorders>
              <w:bottom w:val="single" w:sz="8" w:color="auto"/>
              <w:right w:val="single" w:sz="8" w:color="auto"/>
            </w:tcBorders>
          </w:tcPr>
          <w:p>
            <w:pPr>
              <w:jc w:val="right"/>
              <w:ind w:right="2812"/>
              <w:spacing w:after="0"/>
              <w:rPr>
                <w:sz w:val="20"/>
                <w:szCs w:val="20"/>
                <w:color w:val="auto"/>
              </w:rPr>
            </w:pPr>
            <w:r>
              <w:rPr>
                <w:rFonts w:ascii="Arial" w:cs="Arial" w:eastAsia="Arial" w:hAnsi="Arial"/>
                <w:sz w:val="22"/>
                <w:szCs w:val="22"/>
                <w:color w:val="auto"/>
              </w:rPr>
              <w:t>[****]</w:t>
            </w:r>
          </w:p>
        </w:tc>
        <w:tc>
          <w:tcPr>
            <w:tcW w:w="2600" w:type="dxa"/>
            <w:vAlign w:val="bottom"/>
            <w:tcBorders>
              <w:bottom w:val="single" w:sz="8" w:color="auto"/>
              <w:right w:val="single" w:sz="8" w:color="auto"/>
            </w:tcBorders>
          </w:tcPr>
          <w:p>
            <w:pPr>
              <w:jc w:val="right"/>
              <w:ind w:right="1972"/>
              <w:spacing w:after="0"/>
              <w:rPr>
                <w:sz w:val="20"/>
                <w:szCs w:val="20"/>
                <w:color w:val="auto"/>
              </w:rPr>
            </w:pPr>
            <w:r>
              <w:rPr>
                <w:rFonts w:ascii="Arial" w:cs="Arial" w:eastAsia="Arial" w:hAnsi="Arial"/>
                <w:sz w:val="22"/>
                <w:szCs w:val="22"/>
                <w:color w:val="auto"/>
              </w:rPr>
              <w:t>[****]</w:t>
            </w:r>
          </w:p>
        </w:tc>
      </w:tr>
    </w:tbl>
    <w:p>
      <w:pPr>
        <w:spacing w:after="0" w:line="200" w:lineRule="exact"/>
        <w:rPr>
          <w:sz w:val="20"/>
          <w:szCs w:val="20"/>
          <w:color w:val="auto"/>
        </w:rPr>
      </w:pPr>
    </w:p>
    <w:p>
      <w:pPr>
        <w:spacing w:after="0" w:line="233" w:lineRule="exact"/>
        <w:rPr>
          <w:sz w:val="20"/>
          <w:szCs w:val="20"/>
          <w:color w:val="auto"/>
        </w:rPr>
      </w:pPr>
    </w:p>
    <w:p>
      <w:pPr>
        <w:spacing w:after="0"/>
        <w:tabs>
          <w:tab w:leader="none" w:pos="2780" w:val="left"/>
        </w:tabs>
        <w:rPr>
          <w:sz w:val="20"/>
          <w:szCs w:val="20"/>
          <w:color w:val="auto"/>
        </w:rPr>
      </w:pPr>
      <w:r>
        <w:rPr>
          <w:rFonts w:ascii="Arial" w:cs="Arial" w:eastAsia="Arial" w:hAnsi="Arial"/>
          <w:sz w:val="22"/>
          <w:szCs w:val="22"/>
          <w:color w:val="auto"/>
        </w:rPr>
        <w:t>AAL-PA-3219-LA-2500155</w:t>
      </w:r>
      <w:r>
        <w:rPr>
          <w:sz w:val="20"/>
          <w:szCs w:val="20"/>
          <w:color w:val="auto"/>
        </w:rPr>
        <w:tab/>
      </w:r>
      <w:r>
        <w:rPr>
          <w:rFonts w:ascii="Arial" w:cs="Arial" w:eastAsia="Arial" w:hAnsi="Arial"/>
          <w:sz w:val="21"/>
          <w:szCs w:val="21"/>
          <w:color w:val="auto"/>
        </w:rPr>
        <w:t>SA-22</w:t>
      </w:r>
    </w:p>
    <w:p>
      <w:pPr>
        <w:spacing w:after="0" w:line="44" w:lineRule="exact"/>
        <w:rPr>
          <w:sz w:val="20"/>
          <w:szCs w:val="20"/>
          <w:color w:val="auto"/>
        </w:rPr>
      </w:pPr>
    </w:p>
    <w:p>
      <w:pPr>
        <w:spacing w:after="0"/>
        <w:tabs>
          <w:tab w:leader="none" w:pos="2100" w:val="left"/>
        </w:tabs>
        <w:rPr>
          <w:sz w:val="20"/>
          <w:szCs w:val="20"/>
          <w:color w:val="auto"/>
        </w:rPr>
      </w:pPr>
      <w:r>
        <w:rPr>
          <w:rFonts w:ascii="Arial" w:cs="Arial" w:eastAsia="Arial" w:hAnsi="Arial"/>
          <w:sz w:val="22"/>
          <w:szCs w:val="22"/>
          <w:color w:val="auto"/>
        </w:rPr>
        <w:t>787 [****] and [****]</w:t>
      </w:r>
      <w:r>
        <w:rPr>
          <w:sz w:val="20"/>
          <w:szCs w:val="20"/>
          <w:color w:val="auto"/>
        </w:rPr>
        <w:tab/>
      </w:r>
      <w:r>
        <w:rPr>
          <w:rFonts w:ascii="Arial" w:cs="Arial" w:eastAsia="Arial" w:hAnsi="Arial"/>
          <w:sz w:val="21"/>
          <w:szCs w:val="21"/>
          <w:color w:val="auto"/>
        </w:rPr>
        <w:t>Page 5</w:t>
      </w:r>
    </w:p>
    <w:p>
      <w:pPr>
        <w:spacing w:after="0" w:line="5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BOEING AND AMERICAN PROPRIETARY</w:t>
      </w:r>
    </w:p>
    <w:p>
      <w:pPr>
        <w:sectPr>
          <w:pgSz w:w="11900" w:h="16838" w:orient="portrait"/>
          <w:cols w:equalWidth="0" w:num="1">
            <w:col w:w="11260"/>
          </w:cols>
          <w:pgMar w:left="320" w:top="1440" w:right="319" w:bottom="1440" w:gutter="0" w:footer="0" w:header="0"/>
        </w:sectPr>
      </w:pPr>
    </w:p>
    <w:bookmarkStart w:id="67" w:name="page68"/>
    <w:bookmarkEnd w:id="67"/>
    <w:p>
      <w:pPr>
        <w:spacing w:after="0" w:line="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60195" cy="3600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clrChange>
                        <a:clrFrom>
                          <a:srgbClr val="FFFFFF"/>
                        </a:clrFrom>
                        <a:clrTo>
                          <a:srgbClr val="FFFFFF">
                            <a:alpha val="0"/>
                          </a:srgbClr>
                        </a:clrTo>
                      </a:clrChange>
                      <a:extLst>
                        <a:ext uri="{28A0092B-C50C-407E-A947-70E740481C1C}"/>
                      </a:extLst>
                    </a:blip>
                    <a:srcRect/>
                    <a:stretch>
                      <a:fillRect/>
                    </a:stretch>
                  </pic:blipFill>
                  <pic:spPr bwMode="auto">
                    <a:xfrm>
                      <a:off x="0" y="0"/>
                      <a:ext cx="1560195" cy="360045"/>
                    </a:xfrm>
                    <a:prstGeom prst="rect">
                      <a:avLst/>
                    </a:prstGeom>
                    <a:noFill/>
                  </pic:spPr>
                </pic:pic>
              </a:graphicData>
            </a:graphic>
          </wp:anchor>
        </w:drawing>
      </w:r>
    </w:p>
    <w:p>
      <w:pPr>
        <w:ind w:left="4920"/>
        <w:spacing w:after="0"/>
        <w:rPr>
          <w:sz w:val="20"/>
          <w:szCs w:val="20"/>
          <w:color w:val="auto"/>
        </w:rPr>
      </w:pPr>
      <w:r>
        <w:rPr>
          <w:rFonts w:ascii="Arial" w:cs="Arial" w:eastAsia="Arial" w:hAnsi="Arial"/>
          <w:sz w:val="22"/>
          <w:szCs w:val="22"/>
          <w:b w:val="1"/>
          <w:bCs w:val="1"/>
          <w:color w:val="auto"/>
        </w:rPr>
        <w:t>Attachment C</w:t>
      </w:r>
    </w:p>
    <w:p>
      <w:pPr>
        <w:spacing w:after="0" w:line="46"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w:t>
      </w:r>
    </w:p>
    <w:p>
      <w:pPr>
        <w:spacing w:after="0" w:line="287" w:lineRule="exact"/>
        <w:rPr>
          <w:sz w:val="20"/>
          <w:szCs w:val="20"/>
          <w:color w:val="auto"/>
        </w:rPr>
      </w:pPr>
    </w:p>
    <w:p>
      <w:pPr>
        <w:ind w:firstLine="648"/>
        <w:spacing w:after="0" w:line="310" w:lineRule="auto"/>
        <w:rPr>
          <w:sz w:val="20"/>
          <w:szCs w:val="20"/>
          <w:color w:val="auto"/>
        </w:rPr>
      </w:pPr>
      <w:r>
        <w:rPr>
          <w:rFonts w:ascii="Arial" w:cs="Arial" w:eastAsia="Arial" w:hAnsi="Arial"/>
          <w:sz w:val="22"/>
          <w:szCs w:val="22"/>
          <w:color w:val="auto"/>
        </w:rPr>
        <w:t>The [****]. Capitalized terms used in but not defined in this Attachment C shall have the meanings ascribed to them in this Letter Agreement No. AAL-PA-3219-LA-2203715.</w:t>
      </w:r>
    </w:p>
    <w:p>
      <w:pPr>
        <w:spacing w:after="0" w:line="265" w:lineRule="exact"/>
        <w:rPr>
          <w:sz w:val="20"/>
          <w:szCs w:val="20"/>
          <w:color w:val="auto"/>
        </w:rPr>
      </w:pPr>
    </w:p>
    <w:p>
      <w:pPr>
        <w:ind w:left="640" w:hanging="632"/>
        <w:spacing w:after="0"/>
        <w:tabs>
          <w:tab w:leader="none" w:pos="640"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118" w:lineRule="exact"/>
        <w:rPr>
          <w:sz w:val="20"/>
          <w:szCs w:val="20"/>
          <w:color w:val="auto"/>
        </w:rPr>
      </w:pPr>
    </w:p>
    <w:tbl>
      <w:tblPr>
        <w:tblLayout w:type="fixed"/>
        <w:tblInd w:w="350" w:type="dxa"/>
        <w:tblCellMar>
          <w:top w:w="0" w:type="dxa"/>
          <w:left w:w="0" w:type="dxa"/>
          <w:bottom w:w="0" w:type="dxa"/>
          <w:right w:w="0" w:type="dxa"/>
        </w:tblCellMar>
      </w:tblPr>
      <w:tr>
        <w:trPr>
          <w:trHeight w:val="275"/>
        </w:trPr>
        <w:tc>
          <w:tcPr>
            <w:tcW w:w="2940" w:type="dxa"/>
            <w:vAlign w:val="bottom"/>
            <w:tcBorders>
              <w:top w:val="single" w:sz="8" w:color="BFBFBF"/>
              <w:left w:val="single" w:sz="8" w:color="BFBFBF"/>
              <w:right w:val="single" w:sz="8" w:color="BFBFBF"/>
            </w:tcBorders>
            <w:vMerge w:val="restart"/>
          </w:tcPr>
          <w:p>
            <w:pPr>
              <w:jc w:val="right"/>
              <w:ind w:right="2401"/>
              <w:spacing w:after="0"/>
              <w:rPr>
                <w:sz w:val="20"/>
                <w:szCs w:val="20"/>
                <w:color w:val="auto"/>
              </w:rPr>
            </w:pPr>
            <w:r>
              <w:rPr>
                <w:rFonts w:ascii="Arial" w:cs="Arial" w:eastAsia="Arial" w:hAnsi="Arial"/>
                <w:sz w:val="20"/>
                <w:szCs w:val="20"/>
                <w:color w:val="auto"/>
                <w:w w:val="99"/>
              </w:rPr>
              <w:t>[****]</w:t>
            </w:r>
          </w:p>
        </w:tc>
        <w:tc>
          <w:tcPr>
            <w:tcW w:w="7120" w:type="dxa"/>
            <w:vAlign w:val="bottom"/>
            <w:tcBorders>
              <w:top w:val="single" w:sz="8" w:color="BFBFBF"/>
              <w:right w:val="single" w:sz="8" w:color="BFBFBF"/>
            </w:tcBorders>
          </w:tcPr>
          <w:p>
            <w:pPr>
              <w:jc w:val="right"/>
              <w:ind w:right="648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73"/>
        </w:trPr>
        <w:tc>
          <w:tcPr>
            <w:tcW w:w="2940" w:type="dxa"/>
            <w:vAlign w:val="bottom"/>
            <w:tcBorders>
              <w:left w:val="single" w:sz="8" w:color="BFBFBF"/>
              <w:right w:val="single" w:sz="8" w:color="BFBFBF"/>
            </w:tcBorders>
            <w:vMerge w:val="continue"/>
          </w:tcPr>
          <w:p>
            <w:pPr>
              <w:spacing w:after="0"/>
              <w:rPr>
                <w:sz w:val="6"/>
                <w:szCs w:val="6"/>
                <w:color w:val="auto"/>
              </w:rPr>
            </w:pPr>
          </w:p>
        </w:tc>
        <w:tc>
          <w:tcPr>
            <w:tcW w:w="7120" w:type="dxa"/>
            <w:vAlign w:val="bottom"/>
            <w:tcBorders>
              <w:right w:val="single" w:sz="8" w:color="BFBFBF"/>
            </w:tcBorders>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2940" w:type="dxa"/>
            <w:vAlign w:val="bottom"/>
            <w:tcBorders>
              <w:left w:val="single" w:sz="8" w:color="BFBFBF"/>
              <w:bottom w:val="single" w:sz="8" w:color="BFBFBF"/>
              <w:right w:val="single" w:sz="8" w:color="BFBFBF"/>
            </w:tcBorders>
          </w:tcPr>
          <w:p>
            <w:pPr>
              <w:spacing w:after="0"/>
              <w:rPr>
                <w:sz w:val="5"/>
                <w:szCs w:val="5"/>
                <w:color w:val="auto"/>
              </w:rPr>
            </w:pPr>
          </w:p>
        </w:tc>
        <w:tc>
          <w:tcPr>
            <w:tcW w:w="7120" w:type="dxa"/>
            <w:vAlign w:val="bottom"/>
            <w:tcBorders>
              <w:bottom w:val="single" w:sz="8" w:color="BFBFBF"/>
              <w:right w:val="single" w:sz="8" w:color="BFBFBF"/>
            </w:tcBorders>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940" w:type="dxa"/>
            <w:vAlign w:val="bottom"/>
            <w:tcBorders>
              <w:left w:val="single" w:sz="8" w:color="BFBFBF"/>
              <w:bottom w:val="single" w:sz="8" w:color="BFBFBF"/>
              <w:right w:val="single" w:sz="8" w:color="BFBFBF"/>
            </w:tcBorders>
          </w:tcPr>
          <w:p>
            <w:pPr>
              <w:jc w:val="right"/>
              <w:ind w:right="2401"/>
              <w:spacing w:after="0"/>
              <w:rPr>
                <w:sz w:val="20"/>
                <w:szCs w:val="20"/>
                <w:color w:val="auto"/>
              </w:rPr>
            </w:pPr>
            <w:r>
              <w:rPr>
                <w:rFonts w:ascii="Arial" w:cs="Arial" w:eastAsia="Arial" w:hAnsi="Arial"/>
                <w:sz w:val="20"/>
                <w:szCs w:val="20"/>
                <w:color w:val="auto"/>
                <w:w w:val="99"/>
              </w:rPr>
              <w:t>[****]</w:t>
            </w:r>
          </w:p>
        </w:tc>
        <w:tc>
          <w:tcPr>
            <w:tcW w:w="7120" w:type="dxa"/>
            <w:vAlign w:val="bottom"/>
            <w:tcBorders>
              <w:bottom w:val="single" w:sz="8" w:color="BFBFBF"/>
              <w:right w:val="single" w:sz="8" w:color="BFBFBF"/>
            </w:tcBorders>
          </w:tcPr>
          <w:p>
            <w:pPr>
              <w:jc w:val="right"/>
              <w:ind w:right="648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28"/>
        </w:trPr>
        <w:tc>
          <w:tcPr>
            <w:tcW w:w="2940" w:type="dxa"/>
            <w:vAlign w:val="bottom"/>
            <w:tcBorders>
              <w:left w:val="single" w:sz="8" w:color="BFBFBF"/>
              <w:right w:val="single" w:sz="8" w:color="BFBFBF"/>
            </w:tcBorders>
          </w:tcPr>
          <w:p>
            <w:pPr>
              <w:jc w:val="right"/>
              <w:ind w:right="2401"/>
              <w:spacing w:after="0"/>
              <w:rPr>
                <w:sz w:val="20"/>
                <w:szCs w:val="20"/>
                <w:color w:val="auto"/>
              </w:rPr>
            </w:pPr>
            <w:r>
              <w:rPr>
                <w:rFonts w:ascii="Arial" w:cs="Arial" w:eastAsia="Arial" w:hAnsi="Arial"/>
                <w:sz w:val="20"/>
                <w:szCs w:val="20"/>
                <w:color w:val="auto"/>
                <w:w w:val="99"/>
              </w:rPr>
              <w:t>[****]</w:t>
            </w:r>
          </w:p>
        </w:tc>
        <w:tc>
          <w:tcPr>
            <w:tcW w:w="7120" w:type="dxa"/>
            <w:vAlign w:val="bottom"/>
            <w:tcBorders>
              <w:right w:val="single" w:sz="8" w:color="BFBFBF"/>
            </w:tcBorders>
          </w:tcPr>
          <w:p>
            <w:pPr>
              <w:jc w:val="right"/>
              <w:ind w:right="648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58"/>
        </w:trPr>
        <w:tc>
          <w:tcPr>
            <w:tcW w:w="2940" w:type="dxa"/>
            <w:vAlign w:val="bottom"/>
            <w:tcBorders>
              <w:left w:val="single" w:sz="8" w:color="BFBFBF"/>
              <w:bottom w:val="single" w:sz="8" w:color="BFBFBF"/>
              <w:right w:val="single" w:sz="8" w:color="BFBFBF"/>
            </w:tcBorders>
          </w:tcPr>
          <w:p>
            <w:pPr>
              <w:spacing w:after="0"/>
              <w:rPr>
                <w:sz w:val="5"/>
                <w:szCs w:val="5"/>
                <w:color w:val="auto"/>
              </w:rPr>
            </w:pPr>
          </w:p>
        </w:tc>
        <w:tc>
          <w:tcPr>
            <w:tcW w:w="7120" w:type="dxa"/>
            <w:vAlign w:val="bottom"/>
            <w:tcBorders>
              <w:bottom w:val="single" w:sz="8" w:color="BFBFBF"/>
              <w:right w:val="single" w:sz="8" w:color="BFBFBF"/>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92" w:lineRule="exact"/>
        <w:rPr>
          <w:sz w:val="20"/>
          <w:szCs w:val="20"/>
          <w:color w:val="auto"/>
        </w:rPr>
      </w:pPr>
    </w:p>
    <w:p>
      <w:pPr>
        <w:ind w:left="640" w:hanging="632"/>
        <w:spacing w:after="0"/>
        <w:tabs>
          <w:tab w:leader="none" w:pos="640" w:val="left"/>
        </w:tabs>
        <w:numPr>
          <w:ilvl w:val="0"/>
          <w:numId w:val="52"/>
        </w:numPr>
        <w:rPr>
          <w:rFonts w:ascii="Arial" w:cs="Arial" w:eastAsia="Arial" w:hAnsi="Arial"/>
          <w:sz w:val="22"/>
          <w:szCs w:val="22"/>
          <w:color w:val="auto"/>
        </w:rPr>
      </w:pPr>
      <w:r>
        <w:rPr>
          <w:rFonts w:ascii="Arial" w:cs="Arial" w:eastAsia="Arial" w:hAnsi="Arial"/>
          <w:sz w:val="22"/>
          <w:szCs w:val="22"/>
          <w:color w:val="auto"/>
        </w:rPr>
        <w:t>[****].</w:t>
      </w:r>
    </w:p>
    <w:p>
      <w:pPr>
        <w:spacing w:after="0" w:line="112" w:lineRule="exact"/>
        <w:rPr>
          <w:sz w:val="20"/>
          <w:szCs w:val="20"/>
          <w:color w:val="auto"/>
        </w:rPr>
      </w:pPr>
    </w:p>
    <w:p>
      <w:pPr>
        <w:ind w:firstLine="648"/>
        <w:spacing w:after="0" w:line="320" w:lineRule="auto"/>
        <w:rPr>
          <w:sz w:val="20"/>
          <w:szCs w:val="20"/>
          <w:color w:val="auto"/>
        </w:rPr>
      </w:pPr>
      <w:r>
        <w:rPr>
          <w:rFonts w:ascii="Arial" w:cs="Arial" w:eastAsia="Arial" w:hAnsi="Arial"/>
          <w:sz w:val="22"/>
          <w:szCs w:val="22"/>
          <w:color w:val="auto"/>
        </w:rPr>
        <w:t>Should [****], then Customer will [****] but in [****] ([****]) [****], provided that the [****]. Similarly, should [****], then [****].</w:t>
      </w:r>
    </w:p>
    <w:p>
      <w:pPr>
        <w:ind w:left="640" w:hanging="632"/>
        <w:spacing w:after="0"/>
        <w:tabs>
          <w:tab w:leader="none" w:pos="640" w:val="left"/>
        </w:tabs>
        <w:numPr>
          <w:ilvl w:val="0"/>
          <w:numId w:val="53"/>
        </w:numPr>
        <w:rPr>
          <w:rFonts w:ascii="Arial" w:cs="Arial" w:eastAsia="Arial" w:hAnsi="Arial"/>
          <w:sz w:val="22"/>
          <w:szCs w:val="22"/>
          <w:color w:val="auto"/>
        </w:rPr>
      </w:pPr>
      <w:r>
        <w:rPr>
          <w:rFonts w:ascii="Arial" w:cs="Arial" w:eastAsia="Arial" w:hAnsi="Arial"/>
          <w:sz w:val="22"/>
          <w:szCs w:val="22"/>
          <w:color w:val="auto"/>
        </w:rPr>
        <w:t>[****].</w:t>
      </w:r>
    </w:p>
    <w:p>
      <w:pPr>
        <w:spacing w:after="0" w:line="71" w:lineRule="exact"/>
        <w:rPr>
          <w:sz w:val="20"/>
          <w:szCs w:val="20"/>
          <w:color w:val="auto"/>
        </w:rPr>
      </w:pPr>
    </w:p>
    <w:p>
      <w:pPr>
        <w:ind w:firstLine="648"/>
        <w:spacing w:after="0" w:line="236" w:lineRule="auto"/>
        <w:rPr>
          <w:sz w:val="20"/>
          <w:szCs w:val="20"/>
          <w:color w:val="auto"/>
        </w:rPr>
      </w:pPr>
      <w:r>
        <w:rPr>
          <w:rFonts w:ascii="Arial" w:cs="Arial" w:eastAsia="Arial" w:hAnsi="Arial"/>
          <w:sz w:val="22"/>
          <w:szCs w:val="22"/>
          <w:color w:val="auto"/>
        </w:rPr>
        <w:t>3.1 If a [****], then [****] ([****]). [****], through the [****] ([****]) [****], [****]. If the [****], then the [****] ([****]) [****], with the [****] ([****]) [****].</w:t>
      </w:r>
    </w:p>
    <w:p>
      <w:pPr>
        <w:spacing w:after="0" w:line="4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21"/>
          <w:szCs w:val="21"/>
          <w:color w:val="auto"/>
        </w:rPr>
        <w:t>The [****]:</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112" w:lineRule="exact"/>
        <w:rPr>
          <w:sz w:val="20"/>
          <w:szCs w:val="20"/>
          <w:color w:val="auto"/>
        </w:rPr>
      </w:pPr>
    </w:p>
    <w:p>
      <w:pPr>
        <w:ind w:left="640" w:hanging="632"/>
        <w:spacing w:after="0"/>
        <w:tabs>
          <w:tab w:leader="none" w:pos="640" w:val="left"/>
        </w:tabs>
        <w:numPr>
          <w:ilvl w:val="0"/>
          <w:numId w:val="54"/>
        </w:numPr>
        <w:rPr>
          <w:rFonts w:ascii="Arial" w:cs="Arial" w:eastAsia="Arial" w:hAnsi="Arial"/>
          <w:sz w:val="22"/>
          <w:szCs w:val="22"/>
          <w:color w:val="auto"/>
        </w:rPr>
      </w:pPr>
      <w:r>
        <w:rPr>
          <w:rFonts w:ascii="Arial" w:cs="Arial" w:eastAsia="Arial" w:hAnsi="Arial"/>
          <w:sz w:val="22"/>
          <w:szCs w:val="22"/>
          <w:color w:val="auto"/>
        </w:rPr>
        <w:t>[****].</w:t>
      </w:r>
    </w:p>
    <w:p>
      <w:pPr>
        <w:spacing w:after="0" w:line="71" w:lineRule="exact"/>
        <w:rPr>
          <w:sz w:val="20"/>
          <w:szCs w:val="20"/>
          <w:color w:val="auto"/>
        </w:rPr>
      </w:pPr>
    </w:p>
    <w:p>
      <w:pPr>
        <w:ind w:right="20" w:firstLine="648"/>
        <w:spacing w:after="0" w:line="236" w:lineRule="auto"/>
        <w:rPr>
          <w:sz w:val="20"/>
          <w:szCs w:val="20"/>
          <w:color w:val="auto"/>
        </w:rPr>
      </w:pPr>
      <w:r>
        <w:rPr>
          <w:rFonts w:ascii="Arial" w:cs="Arial" w:eastAsia="Arial" w:hAnsi="Arial"/>
          <w:sz w:val="22"/>
          <w:szCs w:val="22"/>
          <w:color w:val="auto"/>
        </w:rPr>
        <w:t>4.1 Customer is [****]. If a [****], then [****] ([****]). If [****] pursuant to this Article 4, [****]. For the avoidance of doubt, should [****], then [****], [****].</w:t>
      </w:r>
    </w:p>
    <w:p>
      <w:pPr>
        <w:spacing w:after="0" w:line="4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21"/>
          <w:szCs w:val="21"/>
          <w:color w:val="auto"/>
        </w:rPr>
        <w:t>The [****]:</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303" w:lineRule="exact"/>
        <w:rPr>
          <w:sz w:val="20"/>
          <w:szCs w:val="20"/>
          <w:color w:val="auto"/>
        </w:rPr>
      </w:pPr>
    </w:p>
    <w:p>
      <w:pPr>
        <w:spacing w:after="0"/>
        <w:tabs>
          <w:tab w:leader="none" w:pos="2780" w:val="left"/>
        </w:tabs>
        <w:rPr>
          <w:sz w:val="20"/>
          <w:szCs w:val="20"/>
          <w:color w:val="auto"/>
        </w:rPr>
      </w:pPr>
      <w:r>
        <w:rPr>
          <w:rFonts w:ascii="Arial" w:cs="Arial" w:eastAsia="Arial" w:hAnsi="Arial"/>
          <w:sz w:val="22"/>
          <w:szCs w:val="22"/>
          <w:color w:val="auto"/>
        </w:rPr>
        <w:t>AAL-PA-3219-LA-2500155</w:t>
      </w:r>
      <w:r>
        <w:rPr>
          <w:sz w:val="20"/>
          <w:szCs w:val="20"/>
          <w:color w:val="auto"/>
        </w:rPr>
        <w:tab/>
      </w:r>
      <w:r>
        <w:rPr>
          <w:rFonts w:ascii="Arial" w:cs="Arial" w:eastAsia="Arial" w:hAnsi="Arial"/>
          <w:sz w:val="21"/>
          <w:szCs w:val="21"/>
          <w:color w:val="auto"/>
        </w:rPr>
        <w:t>SA-22</w:t>
      </w:r>
    </w:p>
    <w:p>
      <w:pPr>
        <w:spacing w:after="0" w:line="44" w:lineRule="exact"/>
        <w:rPr>
          <w:sz w:val="20"/>
          <w:szCs w:val="20"/>
          <w:color w:val="auto"/>
        </w:rPr>
      </w:pPr>
    </w:p>
    <w:p>
      <w:pPr>
        <w:spacing w:after="0"/>
        <w:tabs>
          <w:tab w:leader="none" w:pos="2100" w:val="left"/>
        </w:tabs>
        <w:rPr>
          <w:sz w:val="20"/>
          <w:szCs w:val="20"/>
          <w:color w:val="auto"/>
        </w:rPr>
      </w:pPr>
      <w:r>
        <w:rPr>
          <w:rFonts w:ascii="Arial" w:cs="Arial" w:eastAsia="Arial" w:hAnsi="Arial"/>
          <w:sz w:val="22"/>
          <w:szCs w:val="22"/>
          <w:color w:val="auto"/>
        </w:rPr>
        <w:t>787 [****] and [****]</w:t>
      </w:r>
      <w:r>
        <w:rPr>
          <w:sz w:val="20"/>
          <w:szCs w:val="20"/>
          <w:color w:val="auto"/>
        </w:rPr>
        <w:tab/>
      </w:r>
      <w:r>
        <w:rPr>
          <w:rFonts w:ascii="Arial" w:cs="Arial" w:eastAsia="Arial" w:hAnsi="Arial"/>
          <w:sz w:val="21"/>
          <w:szCs w:val="21"/>
          <w:color w:val="auto"/>
        </w:rPr>
        <w:t>Page 6</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BOEING AND AMERICAN PROPRIETARY</w:t>
      </w:r>
    </w:p>
    <w:p>
      <w:pPr>
        <w:sectPr>
          <w:pgSz w:w="11900" w:h="16838" w:orient="portrait"/>
          <w:cols w:equalWidth="0" w:num="1">
            <w:col w:w="11240"/>
          </w:cols>
          <w:pgMar w:left="320" w:top="1440" w:right="339" w:bottom="1440" w:gutter="0" w:footer="0" w:header="0"/>
        </w:sectPr>
      </w:pPr>
    </w:p>
    <w:bookmarkStart w:id="68" w:name="page69"/>
    <w:bookmarkEnd w:id="68"/>
    <w:p>
      <w:pPr>
        <w:spacing w:after="0" w:line="1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60195" cy="3600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clrChange>
                        <a:clrFrom>
                          <a:srgbClr val="FFFFFF"/>
                        </a:clrFrom>
                        <a:clrTo>
                          <a:srgbClr val="FFFFFF">
                            <a:alpha val="0"/>
                          </a:srgbClr>
                        </a:clrTo>
                      </a:clrChange>
                      <a:extLst>
                        <a:ext uri="{28A0092B-C50C-407E-A947-70E740481C1C}"/>
                      </a:extLst>
                    </a:blip>
                    <a:srcRect/>
                    <a:stretch>
                      <a:fillRect/>
                    </a:stretch>
                  </pic:blipFill>
                  <pic:spPr bwMode="auto">
                    <a:xfrm>
                      <a:off x="0" y="0"/>
                      <a:ext cx="1560195" cy="360045"/>
                    </a:xfrm>
                    <a:prstGeom prst="rect">
                      <a:avLst/>
                    </a:prstGeom>
                    <a:noFill/>
                  </pic:spPr>
                </pic:pic>
              </a:graphicData>
            </a:graphic>
          </wp:anchor>
        </w:drawing>
      </w:r>
    </w:p>
    <w:p>
      <w:pPr>
        <w:ind w:left="660"/>
        <w:spacing w:after="0"/>
        <w:rPr>
          <w:sz w:val="20"/>
          <w:szCs w:val="20"/>
          <w:color w:val="auto"/>
        </w:rPr>
      </w:pPr>
      <w:r>
        <w:rPr>
          <w:rFonts w:ascii="Arial" w:cs="Arial" w:eastAsia="Arial" w:hAnsi="Arial"/>
          <w:sz w:val="22"/>
          <w:szCs w:val="22"/>
          <w:color w:val="auto"/>
        </w:rPr>
        <w:t>[****]</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317" w:lineRule="exact"/>
        <w:rPr>
          <w:sz w:val="20"/>
          <w:szCs w:val="20"/>
          <w:color w:val="auto"/>
        </w:rPr>
      </w:pPr>
    </w:p>
    <w:p>
      <w:pPr>
        <w:jc w:val="both"/>
        <w:ind w:firstLine="8"/>
        <w:spacing w:after="0" w:line="296" w:lineRule="auto"/>
        <w:tabs>
          <w:tab w:leader="none" w:pos="254"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 in this Letter Agreement are [****] of Letter Agreement LA 6-1162-TRW-0670R1 entitled “Miscellaneous Commitment Letter Agreement” (</w:t>
      </w:r>
      <w:r>
        <w:rPr>
          <w:rFonts w:ascii="Arial" w:cs="Arial" w:eastAsia="Arial" w:hAnsi="Arial"/>
          <w:sz w:val="22"/>
          <w:szCs w:val="22"/>
          <w:b w:val="1"/>
          <w:bCs w:val="1"/>
          <w:color w:val="auto"/>
        </w:rPr>
        <w:t>Miscellaneous Commitment Letter Agreement</w:t>
      </w:r>
      <w:r>
        <w:rPr>
          <w:rFonts w:ascii="Arial" w:cs="Arial" w:eastAsia="Arial" w:hAnsi="Arial"/>
          <w:sz w:val="22"/>
          <w:szCs w:val="22"/>
          <w:color w:val="auto"/>
        </w:rPr>
        <w:t>) Accordingly, any [****] of this Letter Agreement will [****] of the Miscellaneous Commitment Letter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2780" w:val="left"/>
        </w:tabs>
        <w:rPr>
          <w:sz w:val="20"/>
          <w:szCs w:val="20"/>
          <w:color w:val="auto"/>
        </w:rPr>
      </w:pPr>
      <w:r>
        <w:rPr>
          <w:rFonts w:ascii="Arial" w:cs="Arial" w:eastAsia="Arial" w:hAnsi="Arial"/>
          <w:sz w:val="22"/>
          <w:szCs w:val="22"/>
          <w:color w:val="auto"/>
        </w:rPr>
        <w:t>AAL-PA-3219-LA-2500155</w:t>
      </w:r>
      <w:r>
        <w:rPr>
          <w:sz w:val="20"/>
          <w:szCs w:val="20"/>
          <w:color w:val="auto"/>
        </w:rPr>
        <w:tab/>
      </w:r>
      <w:r>
        <w:rPr>
          <w:rFonts w:ascii="Arial" w:cs="Arial" w:eastAsia="Arial" w:hAnsi="Arial"/>
          <w:sz w:val="21"/>
          <w:szCs w:val="21"/>
          <w:color w:val="auto"/>
        </w:rPr>
        <w:t>SA-22</w:t>
      </w:r>
    </w:p>
    <w:p>
      <w:pPr>
        <w:spacing w:after="0" w:line="44" w:lineRule="exact"/>
        <w:rPr>
          <w:sz w:val="20"/>
          <w:szCs w:val="20"/>
          <w:color w:val="auto"/>
        </w:rPr>
      </w:pPr>
    </w:p>
    <w:p>
      <w:pPr>
        <w:spacing w:after="0"/>
        <w:tabs>
          <w:tab w:leader="none" w:pos="2100" w:val="left"/>
        </w:tabs>
        <w:rPr>
          <w:sz w:val="20"/>
          <w:szCs w:val="20"/>
          <w:color w:val="auto"/>
        </w:rPr>
      </w:pPr>
      <w:r>
        <w:rPr>
          <w:rFonts w:ascii="Arial" w:cs="Arial" w:eastAsia="Arial" w:hAnsi="Arial"/>
          <w:sz w:val="22"/>
          <w:szCs w:val="22"/>
          <w:color w:val="auto"/>
        </w:rPr>
        <w:t>787 [****] and [****]</w:t>
      </w:r>
      <w:r>
        <w:rPr>
          <w:sz w:val="20"/>
          <w:szCs w:val="20"/>
          <w:color w:val="auto"/>
        </w:rPr>
        <w:tab/>
      </w:r>
      <w:r>
        <w:rPr>
          <w:rFonts w:ascii="Arial" w:cs="Arial" w:eastAsia="Arial" w:hAnsi="Arial"/>
          <w:sz w:val="21"/>
          <w:szCs w:val="21"/>
          <w:color w:val="auto"/>
        </w:rPr>
        <w:t>Page 7</w:t>
      </w: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BOEING AND AMERICAN PROPRIETARY</w:t>
      </w:r>
    </w:p>
    <w:p>
      <w:pPr>
        <w:sectPr>
          <w:pgSz w:w="11900" w:h="16838" w:orient="portrait"/>
          <w:cols w:equalWidth="0" w:num="1">
            <w:col w:w="11240"/>
          </w:cols>
          <w:pgMar w:left="320" w:top="1440" w:right="339" w:bottom="1440" w:gutter="0" w:footer="0" w:header="0"/>
        </w:sectPr>
      </w:pPr>
    </w:p>
    <w:bookmarkStart w:id="69" w:name="page70"/>
    <w:bookmarkEnd w:id="69"/>
    <w:p>
      <w:pPr>
        <w:ind w:left="10240"/>
        <w:spacing w:after="0"/>
        <w:rPr>
          <w:sz w:val="20"/>
          <w:szCs w:val="20"/>
          <w:color w:val="auto"/>
        </w:rPr>
      </w:pPr>
      <w:r>
        <w:rPr>
          <w:rFonts w:ascii="Arial" w:cs="Arial" w:eastAsia="Arial" w:hAnsi="Arial"/>
          <w:sz w:val="17"/>
          <w:szCs w:val="17"/>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40575" cy="2825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40575" cy="282575"/>
                    </a:xfrm>
                    <a:prstGeom prst="rect">
                      <a:avLst/>
                    </a:prstGeom>
                    <a:noFill/>
                  </pic:spPr>
                </pic:pic>
              </a:graphicData>
            </a:graphic>
          </wp:anchor>
        </w:drawing>
      </w:r>
    </w:p>
    <w:p>
      <w:pPr>
        <w:spacing w:after="0" w:line="54" w:lineRule="exact"/>
        <w:rPr>
          <w:sz w:val="20"/>
          <w:szCs w:val="20"/>
          <w:color w:val="auto"/>
        </w:rPr>
      </w:pPr>
    </w:p>
    <w:p>
      <w:pPr>
        <w:ind w:left="40" w:right="80"/>
        <w:spacing w:after="0" w:line="249" w:lineRule="auto"/>
        <w:rPr>
          <w:sz w:val="20"/>
          <w:szCs w:val="20"/>
          <w:color w:val="auto"/>
        </w:rPr>
      </w:pPr>
      <w:r>
        <w:rPr>
          <w:rFonts w:ascii="Arial" w:cs="Arial" w:eastAsia="Arial" w:hAnsi="Arial"/>
          <w:sz w:val="18"/>
          <w:szCs w:val="18"/>
          <w:b w:val="1"/>
          <w:bCs w:val="1"/>
          <w:color w:val="auto"/>
        </w:rPr>
        <w:t>Certain information contained in this document, marked by brackets, has been omitted because it is both (i) not material and (ii) is the type that the registrant treats as private or confidential.</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SUPPLEMENTAL AGREEMENT NO. 34</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PURCHASE AGREEMENT NO. 03735</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between</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BOEING COMPANY</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AMERICAN AIRLINES, INC.</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Relating to Boeing Model 737 MAX Aircraft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2"/>
          <w:szCs w:val="22"/>
          <w:color w:val="auto"/>
        </w:rPr>
        <w:t>This SUPPLEMENTAL AGREEMENT No. 34 (</w:t>
      </w:r>
      <w:r>
        <w:rPr>
          <w:rFonts w:ascii="Arial" w:cs="Arial" w:eastAsia="Arial" w:hAnsi="Arial"/>
          <w:sz w:val="22"/>
          <w:szCs w:val="22"/>
          <w:b w:val="1"/>
          <w:bCs w:val="1"/>
          <w:i w:val="1"/>
          <w:iCs w:val="1"/>
          <w:color w:val="auto"/>
        </w:rPr>
        <w:t>SA-</w:t>
      </w:r>
      <w:r>
        <w:rPr>
          <w:rFonts w:ascii="Arial" w:cs="Arial" w:eastAsia="Arial" w:hAnsi="Arial"/>
          <w:sz w:val="22"/>
          <w:szCs w:val="22"/>
          <w:b w:val="1"/>
          <w:bCs w:val="1"/>
          <w:color w:val="auto"/>
        </w:rPr>
        <w:t>34</w:t>
      </w:r>
      <w:r>
        <w:rPr>
          <w:rFonts w:ascii="Arial" w:cs="Arial" w:eastAsia="Arial" w:hAnsi="Arial"/>
          <w:sz w:val="22"/>
          <w:szCs w:val="22"/>
          <w:color w:val="auto"/>
        </w:rPr>
        <w:t xml:space="preserve"> </w:t>
      </w:r>
      <w:r>
        <w:rPr>
          <w:rFonts w:ascii="Arial" w:cs="Arial" w:eastAsia="Arial" w:hAnsi="Arial"/>
          <w:sz w:val="22"/>
          <w:szCs w:val="22"/>
          <w:i w:val="1"/>
          <w:iCs w:val="1"/>
          <w:color w:val="auto"/>
        </w:rPr>
        <w:t>)</w:t>
      </w:r>
      <w:r>
        <w:rPr>
          <w:rFonts w:ascii="Arial" w:cs="Arial" w:eastAsia="Arial" w:hAnsi="Arial"/>
          <w:sz w:val="22"/>
          <w:szCs w:val="22"/>
          <w:color w:val="auto"/>
        </w:rPr>
        <w:t xml:space="preserve"> To PURCHASE AGREEMENT NO. 03735, entered into as of March </w:t>
      </w:r>
      <w:r>
        <w:rPr>
          <w:rFonts w:ascii="Arial" w:cs="Arial" w:eastAsia="Arial" w:hAnsi="Arial"/>
          <w:sz w:val="22"/>
          <w:szCs w:val="22"/>
          <w:u w:val="single" w:color="auto"/>
          <w:color w:val="auto"/>
        </w:rPr>
        <w:t>19</w:t>
      </w:r>
      <w:r>
        <w:rPr>
          <w:rFonts w:ascii="Arial" w:cs="Arial" w:eastAsia="Arial" w:hAnsi="Arial"/>
          <w:sz w:val="22"/>
          <w:szCs w:val="22"/>
          <w:color w:val="auto"/>
        </w:rPr>
        <w:t xml:space="preserve"> , 2025 (</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by and between THE BOEING COMPANY, a Delaware corporation with offices in Seattle, Washington (</w:t>
      </w:r>
      <w:r>
        <w:rPr>
          <w:rFonts w:ascii="Arial" w:cs="Arial" w:eastAsia="Arial" w:hAnsi="Arial"/>
          <w:sz w:val="22"/>
          <w:szCs w:val="22"/>
          <w:b w:val="1"/>
          <w:bCs w:val="1"/>
          <w:i w:val="1"/>
          <w:iCs w:val="1"/>
          <w:color w:val="auto"/>
        </w:rPr>
        <w:t>Boeing</w:t>
      </w:r>
      <w:r>
        <w:rPr>
          <w:rFonts w:ascii="Arial" w:cs="Arial" w:eastAsia="Arial" w:hAnsi="Arial"/>
          <w:sz w:val="22"/>
          <w:szCs w:val="22"/>
          <w:color w:val="auto"/>
        </w:rPr>
        <w:t>) and AMERICAN AIRLINES, INC. a Delaware corporation with offices in Fort Worth, Texas, together with its successors and permitted assigns (</w:t>
      </w:r>
      <w:r>
        <w:rPr>
          <w:rFonts w:ascii="Arial" w:cs="Arial" w:eastAsia="Arial" w:hAnsi="Arial"/>
          <w:sz w:val="22"/>
          <w:szCs w:val="22"/>
          <w:b w:val="1"/>
          <w:bCs w:val="1"/>
          <w:i w:val="1"/>
          <w:iCs w:val="1"/>
          <w:color w:val="auto"/>
        </w:rPr>
        <w:t>Customer</w:t>
      </w:r>
      <w:r>
        <w:rPr>
          <w:rFonts w:ascii="Arial" w:cs="Arial" w:eastAsia="Arial" w:hAnsi="Arial"/>
          <w:sz w:val="22"/>
          <w:szCs w:val="22"/>
          <w:color w:val="auto"/>
        </w:rPr>
        <w:t>);</w:t>
      </w:r>
    </w:p>
    <w:p>
      <w:pPr>
        <w:spacing w:after="0" w:line="17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2"/>
          <w:szCs w:val="22"/>
          <w:color w:val="auto"/>
        </w:rPr>
        <w:t>WHEREAS, Boeing and Customer entered into Purchase Agreement No. 03735 dated February 1, 2013 relating to Boeing Model 737 MAX Aircraft, as amended and supplemented (</w:t>
      </w:r>
      <w:r>
        <w:rPr>
          <w:rFonts w:ascii="Arial" w:cs="Arial" w:eastAsia="Arial" w:hAnsi="Arial"/>
          <w:sz w:val="22"/>
          <w:szCs w:val="22"/>
          <w:b w:val="1"/>
          <w:bCs w:val="1"/>
          <w:i w:val="1"/>
          <w:iCs w:val="1"/>
          <w:color w:val="auto"/>
        </w:rPr>
        <w:t>Purchase Agreement</w:t>
      </w:r>
      <w:r>
        <w:rPr>
          <w:rFonts w:ascii="Arial" w:cs="Arial" w:eastAsia="Arial" w:hAnsi="Arial"/>
          <w:sz w:val="22"/>
          <w:szCs w:val="22"/>
          <w:color w:val="auto"/>
        </w:rPr>
        <w:t>) and capitalized terms used herein without definitions shall have the meanings specified therefore in such Purchase Agreement;</w:t>
      </w:r>
    </w:p>
    <w:p>
      <w:pPr>
        <w:spacing w:after="0" w:line="200" w:lineRule="exact"/>
        <w:rPr>
          <w:sz w:val="20"/>
          <w:szCs w:val="20"/>
          <w:color w:val="auto"/>
        </w:rPr>
      </w:pPr>
    </w:p>
    <w:p>
      <w:pPr>
        <w:ind w:left="240"/>
        <w:spacing w:after="0"/>
        <w:rPr>
          <w:sz w:val="20"/>
          <w:szCs w:val="20"/>
          <w:color w:val="auto"/>
        </w:rPr>
      </w:pPr>
      <w:r>
        <w:rPr>
          <w:rFonts w:ascii="Arial" w:cs="Arial" w:eastAsia="Arial" w:hAnsi="Arial"/>
          <w:sz w:val="22"/>
          <w:szCs w:val="22"/>
          <w:color w:val="auto"/>
        </w:rPr>
        <w:t>WHEREAS, Boeing and Customer agree to [****] ([****]) [****].</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Boeing and Customer agree to [****] ([****]) [****].</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Boeing and Customer agree to [****] update the letter agreement pertaining to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auto"/>
        </w:rPr>
        <w:t>PA 03735</w:t>
      </w:r>
      <w:r>
        <w:rPr>
          <w:sz w:val="20"/>
          <w:szCs w:val="20"/>
          <w:color w:val="auto"/>
        </w:rPr>
        <w:tab/>
      </w:r>
      <w:r>
        <w:rPr>
          <w:rFonts w:ascii="Arial" w:cs="Arial" w:eastAsia="Arial" w:hAnsi="Arial"/>
          <w:sz w:val="21"/>
          <w:szCs w:val="21"/>
          <w:color w:val="auto"/>
        </w:rPr>
        <w:t>SA-34, Page 1</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BOEING AND AMERICAN PROPRIETARY</w:t>
      </w:r>
    </w:p>
    <w:p>
      <w:pPr>
        <w:sectPr>
          <w:pgSz w:w="11900" w:h="16838" w:orient="portrait"/>
          <w:cols w:equalWidth="0" w:num="1">
            <w:col w:w="11240"/>
          </w:cols>
          <w:pgMar w:left="320" w:top="122" w:right="339" w:bottom="1440" w:gutter="0" w:footer="0" w:header="0"/>
        </w:sectPr>
      </w:pPr>
    </w:p>
    <w:bookmarkStart w:id="70" w:name="page71"/>
    <w:bookmarkEnd w:id="70"/>
    <w:p>
      <w:pPr>
        <w:spacing w:after="0" w:line="145" w:lineRule="exact"/>
        <w:rPr>
          <w:sz w:val="20"/>
          <w:szCs w:val="20"/>
          <w:color w:val="auto"/>
        </w:rPr>
      </w:pPr>
    </w:p>
    <w:p>
      <w:pPr>
        <w:ind w:left="497"/>
        <w:spacing w:after="0"/>
        <w:rPr>
          <w:sz w:val="20"/>
          <w:szCs w:val="20"/>
          <w:color w:val="auto"/>
        </w:rPr>
      </w:pPr>
      <w:r>
        <w:rPr>
          <w:rFonts w:ascii="Arial" w:cs="Arial" w:eastAsia="Arial" w:hAnsi="Arial"/>
          <w:sz w:val="22"/>
          <w:szCs w:val="22"/>
          <w:color w:val="auto"/>
        </w:rPr>
        <w:t>NOW, THEREFORE, in consideration of the mutual covenants herein contained, the parties agree that the</w:t>
      </w:r>
    </w:p>
    <w:p>
      <w:pPr>
        <w:spacing w:after="0" w:line="24" w:lineRule="exact"/>
        <w:rPr>
          <w:sz w:val="20"/>
          <w:szCs w:val="20"/>
          <w:color w:val="auto"/>
        </w:rPr>
      </w:pPr>
    </w:p>
    <w:p>
      <w:pPr>
        <w:ind w:left="57"/>
        <w:spacing w:after="0"/>
        <w:rPr>
          <w:sz w:val="20"/>
          <w:szCs w:val="20"/>
          <w:color w:val="auto"/>
        </w:rPr>
      </w:pPr>
      <w:r>
        <w:rPr>
          <w:rFonts w:ascii="Arial" w:cs="Arial" w:eastAsia="Arial" w:hAnsi="Arial"/>
          <w:sz w:val="22"/>
          <w:szCs w:val="22"/>
          <w:color w:val="auto"/>
        </w:rPr>
        <w:t>Purchase Agreement is amended and supplemented as set forth below and otherwise agree as follows:</w:t>
      </w:r>
    </w:p>
    <w:p>
      <w:pPr>
        <w:spacing w:after="0" w:line="321" w:lineRule="exact"/>
        <w:rPr>
          <w:sz w:val="20"/>
          <w:szCs w:val="20"/>
          <w:color w:val="auto"/>
        </w:rPr>
      </w:pPr>
    </w:p>
    <w:p>
      <w:pPr>
        <w:ind w:left="377" w:hanging="377"/>
        <w:spacing w:after="0"/>
        <w:tabs>
          <w:tab w:leader="none" w:pos="377"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Table of Contents.</w:t>
      </w:r>
    </w:p>
    <w:p>
      <w:pPr>
        <w:spacing w:after="0" w:line="206" w:lineRule="exact"/>
        <w:rPr>
          <w:sz w:val="20"/>
          <w:szCs w:val="20"/>
          <w:color w:val="auto"/>
        </w:rPr>
      </w:pPr>
    </w:p>
    <w:p>
      <w:pPr>
        <w:jc w:val="both"/>
        <w:ind w:left="57" w:right="20" w:firstLine="648"/>
        <w:spacing w:after="0" w:line="253" w:lineRule="auto"/>
        <w:rPr>
          <w:sz w:val="20"/>
          <w:szCs w:val="20"/>
          <w:color w:val="auto"/>
        </w:rPr>
      </w:pPr>
      <w:r>
        <w:rPr>
          <w:rFonts w:ascii="Arial" w:cs="Arial" w:eastAsia="Arial" w:hAnsi="Arial"/>
          <w:sz w:val="22"/>
          <w:szCs w:val="22"/>
          <w:color w:val="auto"/>
        </w:rPr>
        <w:t>The “</w:t>
      </w:r>
      <w:r>
        <w:rPr>
          <w:rFonts w:ascii="Arial" w:cs="Arial" w:eastAsia="Arial" w:hAnsi="Arial"/>
          <w:sz w:val="22"/>
          <w:szCs w:val="22"/>
          <w:u w:val="single" w:color="auto"/>
          <w:color w:val="auto"/>
        </w:rPr>
        <w:t>Table Of Contents</w:t>
      </w:r>
      <w:r>
        <w:rPr>
          <w:rFonts w:ascii="Arial" w:cs="Arial" w:eastAsia="Arial" w:hAnsi="Arial"/>
          <w:sz w:val="22"/>
          <w:szCs w:val="22"/>
          <w:color w:val="auto"/>
        </w:rPr>
        <w:t>” to the Purchase Agreement referencing SA-33 in the footer is deleted in its entirety and is replaced with the new “</w:t>
      </w:r>
      <w:r>
        <w:rPr>
          <w:rFonts w:ascii="Arial" w:cs="Arial" w:eastAsia="Arial" w:hAnsi="Arial"/>
          <w:sz w:val="22"/>
          <w:szCs w:val="22"/>
          <w:u w:val="single" w:color="auto"/>
          <w:color w:val="auto"/>
        </w:rPr>
        <w:t>Table Of Contents</w:t>
      </w:r>
      <w:r>
        <w:rPr>
          <w:rFonts w:ascii="Arial" w:cs="Arial" w:eastAsia="Arial" w:hAnsi="Arial"/>
          <w:sz w:val="22"/>
          <w:szCs w:val="22"/>
          <w:color w:val="auto"/>
        </w:rPr>
        <w:t>” (attached hereto) referencing SA-34 in the footer to reflect changes made to the Purchase Agreement by this SA-34. Such new Table of Contents is hereby incorporated into the Purchase Agreement in replacement of its predecessor.</w:t>
      </w:r>
    </w:p>
    <w:p>
      <w:pPr>
        <w:spacing w:after="0" w:line="40" w:lineRule="exact"/>
        <w:rPr>
          <w:sz w:val="20"/>
          <w:szCs w:val="20"/>
          <w:color w:val="auto"/>
        </w:rPr>
      </w:pPr>
    </w:p>
    <w:p>
      <w:pPr>
        <w:ind w:left="377" w:hanging="377"/>
        <w:spacing w:after="0"/>
        <w:tabs>
          <w:tab w:leader="none" w:pos="377"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Letter Agreements.</w:t>
      </w:r>
    </w:p>
    <w:p>
      <w:pPr>
        <w:spacing w:after="0" w:line="71" w:lineRule="exact"/>
        <w:rPr>
          <w:sz w:val="20"/>
          <w:szCs w:val="20"/>
          <w:color w:val="auto"/>
        </w:rPr>
      </w:pPr>
    </w:p>
    <w:p>
      <w:pPr>
        <w:jc w:val="both"/>
        <w:ind w:left="57" w:right="20" w:firstLine="648"/>
        <w:spacing w:after="0" w:line="220" w:lineRule="auto"/>
        <w:rPr>
          <w:sz w:val="20"/>
          <w:szCs w:val="20"/>
          <w:color w:val="auto"/>
        </w:rPr>
      </w:pPr>
      <w:r>
        <w:rPr>
          <w:rFonts w:ascii="Arial" w:cs="Arial" w:eastAsia="Arial" w:hAnsi="Arial"/>
          <w:sz w:val="22"/>
          <w:szCs w:val="22"/>
          <w:color w:val="auto"/>
        </w:rPr>
        <w:t>2.1 Letter Agreement No. AAL-PA-03735-LA-1106651R14 is hereby deleted in its entirety and replaced with Letter Agreement No. AAL-PA-03735-LA-1106651R15, including attachments thereto, (attached hereto) entitled “[****]”, (</w:t>
      </w:r>
      <w:r>
        <w:rPr>
          <w:rFonts w:ascii="Arial" w:cs="Arial" w:eastAsia="Arial" w:hAnsi="Arial"/>
          <w:sz w:val="22"/>
          <w:szCs w:val="22"/>
          <w:b w:val="1"/>
          <w:bCs w:val="1"/>
          <w:color w:val="auto"/>
        </w:rPr>
        <w:t>Revised</w:t>
      </w:r>
      <w:r>
        <w:rPr>
          <w:rFonts w:ascii="Arial" w:cs="Arial" w:eastAsia="Arial" w:hAnsi="Arial"/>
          <w:sz w:val="22"/>
          <w:szCs w:val="22"/>
          <w:color w:val="auto"/>
        </w:rPr>
        <w:t xml:space="preserve"> [****] </w:t>
      </w:r>
      <w:r>
        <w:rPr>
          <w:rFonts w:ascii="Arial" w:cs="Arial" w:eastAsia="Arial" w:hAnsi="Arial"/>
          <w:sz w:val="22"/>
          <w:szCs w:val="22"/>
          <w:b w:val="1"/>
          <w:bCs w:val="1"/>
          <w:color w:val="auto"/>
        </w:rPr>
        <w:t>Letter Agreement)</w:t>
      </w:r>
      <w:r>
        <w:rPr>
          <w:rFonts w:ascii="Arial" w:cs="Arial" w:eastAsia="Arial" w:hAnsi="Arial"/>
          <w:sz w:val="22"/>
          <w:szCs w:val="22"/>
          <w:color w:val="auto"/>
        </w:rPr>
        <w:t xml:space="preserve"> referencing SA-34 in the footer. The Revised [****] Letter Agreement, including attachments thereto, is hereby incorporated into the Purchase Agreement.</w:t>
      </w:r>
    </w:p>
    <w:p>
      <w:pPr>
        <w:spacing w:after="0" w:line="44" w:lineRule="exact"/>
        <w:rPr>
          <w:sz w:val="20"/>
          <w:szCs w:val="20"/>
          <w:color w:val="auto"/>
        </w:rPr>
      </w:pPr>
    </w:p>
    <w:p>
      <w:pPr>
        <w:jc w:val="both"/>
        <w:ind w:left="57" w:right="20" w:firstLine="648"/>
        <w:spacing w:after="0" w:line="220" w:lineRule="auto"/>
        <w:rPr>
          <w:sz w:val="20"/>
          <w:szCs w:val="20"/>
          <w:color w:val="auto"/>
        </w:rPr>
      </w:pPr>
      <w:r>
        <w:rPr>
          <w:rFonts w:ascii="Arial" w:cs="Arial" w:eastAsia="Arial" w:hAnsi="Arial"/>
          <w:sz w:val="22"/>
          <w:szCs w:val="22"/>
          <w:color w:val="auto"/>
        </w:rPr>
        <w:t>2.2 Letter Agreement No. AAL-PA-03735-LA-2306983 is hereby deleted in its entirety and replaced with Letter Agreement No. AAL-PA-03735-LA-2306983R1 (attached hereto) entitled “[****]”, (</w:t>
      </w:r>
      <w:r>
        <w:rPr>
          <w:rFonts w:ascii="Arial" w:cs="Arial" w:eastAsia="Arial" w:hAnsi="Arial"/>
          <w:sz w:val="22"/>
          <w:szCs w:val="22"/>
          <w:b w:val="1"/>
          <w:bCs w:val="1"/>
          <w:color w:val="auto"/>
        </w:rPr>
        <w:t>Revised</w:t>
      </w:r>
      <w:r>
        <w:rPr>
          <w:rFonts w:ascii="Arial" w:cs="Arial" w:eastAsia="Arial" w:hAnsi="Arial"/>
          <w:sz w:val="22"/>
          <w:szCs w:val="22"/>
          <w:color w:val="auto"/>
        </w:rPr>
        <w:t xml:space="preserve"> [****] </w:t>
      </w:r>
      <w:r>
        <w:rPr>
          <w:rFonts w:ascii="Arial" w:cs="Arial" w:eastAsia="Arial" w:hAnsi="Arial"/>
          <w:sz w:val="22"/>
          <w:szCs w:val="22"/>
          <w:b w:val="1"/>
          <w:bCs w:val="1"/>
          <w:color w:val="auto"/>
        </w:rPr>
        <w:t>Letter</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Agreement) </w:t>
      </w:r>
      <w:r>
        <w:rPr>
          <w:rFonts w:ascii="Arial" w:cs="Arial" w:eastAsia="Arial" w:hAnsi="Arial"/>
          <w:sz w:val="22"/>
          <w:szCs w:val="22"/>
          <w:color w:val="auto"/>
        </w:rPr>
        <w:t>referencing SA-34 in the footer. The Revised [****] Letter Agreement is hereby incorporated into the</w:t>
      </w:r>
      <w:r>
        <w:rPr>
          <w:rFonts w:ascii="Arial" w:cs="Arial" w:eastAsia="Arial" w:hAnsi="Arial"/>
          <w:sz w:val="22"/>
          <w:szCs w:val="22"/>
          <w:b w:val="1"/>
          <w:bCs w:val="1"/>
          <w:color w:val="auto"/>
        </w:rPr>
        <w:t xml:space="preserve"> </w:t>
      </w:r>
      <w:r>
        <w:rPr>
          <w:rFonts w:ascii="Arial" w:cs="Arial" w:eastAsia="Arial" w:hAnsi="Arial"/>
          <w:sz w:val="22"/>
          <w:szCs w:val="22"/>
          <w:color w:val="auto"/>
        </w:rPr>
        <w:t>Purchase Agreement.</w:t>
      </w:r>
    </w:p>
    <w:p>
      <w:pPr>
        <w:spacing w:after="0" w:line="44" w:lineRule="exact"/>
        <w:rPr>
          <w:sz w:val="20"/>
          <w:szCs w:val="20"/>
          <w:color w:val="auto"/>
        </w:rPr>
      </w:pPr>
    </w:p>
    <w:p>
      <w:pPr>
        <w:ind w:left="377" w:hanging="377"/>
        <w:spacing w:after="0"/>
        <w:tabs>
          <w:tab w:leader="none" w:pos="377"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Advance Payments.</w:t>
      </w:r>
    </w:p>
    <w:p>
      <w:pPr>
        <w:spacing w:after="0" w:line="98" w:lineRule="exact"/>
        <w:rPr>
          <w:sz w:val="20"/>
          <w:szCs w:val="20"/>
          <w:color w:val="auto"/>
        </w:rPr>
      </w:pPr>
    </w:p>
    <w:p>
      <w:pPr>
        <w:ind w:left="57" w:right="40" w:firstLine="648"/>
        <w:spacing w:after="0" w:line="285" w:lineRule="auto"/>
        <w:rPr>
          <w:sz w:val="20"/>
          <w:szCs w:val="20"/>
          <w:color w:val="auto"/>
        </w:rPr>
      </w:pPr>
      <w:r>
        <w:rPr>
          <w:rFonts w:ascii="Arial" w:cs="Arial" w:eastAsia="Arial" w:hAnsi="Arial"/>
          <w:sz w:val="22"/>
          <w:szCs w:val="22"/>
          <w:color w:val="auto"/>
        </w:rPr>
        <w:t>3.1 Upon execution of this SA-34, [****] ([****]) of [****] by Customer for the [****] ([****]) [****] referenced herein will be [****] ([****]) [****] referenced herein.</w:t>
      </w:r>
    </w:p>
    <w:p>
      <w:pPr>
        <w:spacing w:after="0" w:line="7" w:lineRule="exact"/>
        <w:rPr>
          <w:sz w:val="20"/>
          <w:szCs w:val="20"/>
          <w:color w:val="auto"/>
        </w:rPr>
      </w:pPr>
    </w:p>
    <w:p>
      <w:pPr>
        <w:ind w:left="377" w:hanging="377"/>
        <w:spacing w:after="0"/>
        <w:tabs>
          <w:tab w:leader="none" w:pos="377"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Miscellaneous.</w:t>
      </w:r>
    </w:p>
    <w:p>
      <w:pPr>
        <w:spacing w:after="0" w:line="71" w:lineRule="exact"/>
        <w:rPr>
          <w:sz w:val="20"/>
          <w:szCs w:val="20"/>
          <w:color w:val="auto"/>
        </w:rPr>
      </w:pPr>
    </w:p>
    <w:p>
      <w:pPr>
        <w:jc w:val="both"/>
        <w:ind w:left="57" w:right="20" w:firstLine="648"/>
        <w:spacing w:after="0" w:line="226" w:lineRule="auto"/>
        <w:rPr>
          <w:sz w:val="20"/>
          <w:szCs w:val="20"/>
          <w:color w:val="auto"/>
        </w:rPr>
      </w:pPr>
      <w:r>
        <w:rPr>
          <w:rFonts w:ascii="Arial" w:cs="Arial" w:eastAsia="Arial" w:hAnsi="Arial"/>
          <w:sz w:val="22"/>
          <w:szCs w:val="22"/>
          <w:color w:val="auto"/>
        </w:rPr>
        <w:t>4.1 The Purchase Agreement is amended and supplemented as set forth above by the revised Table Of Contents, Revised [****] Letter Agreement, and Revised [****] Letter Agreement. All other terms and conditions of the Purchase Agreement remain unchanged and are in full force and effect.</w:t>
      </w:r>
    </w:p>
    <w:p>
      <w:pPr>
        <w:spacing w:after="0" w:line="41" w:lineRule="exact"/>
        <w:rPr>
          <w:sz w:val="20"/>
          <w:szCs w:val="20"/>
          <w:color w:val="auto"/>
        </w:rPr>
      </w:pPr>
    </w:p>
    <w:p>
      <w:pPr>
        <w:jc w:val="both"/>
        <w:ind w:left="57" w:right="20" w:firstLine="648"/>
        <w:spacing w:after="0" w:line="220" w:lineRule="auto"/>
        <w:rPr>
          <w:sz w:val="20"/>
          <w:szCs w:val="20"/>
          <w:color w:val="auto"/>
        </w:rPr>
      </w:pPr>
      <w:r>
        <w:rPr>
          <w:rFonts w:ascii="Arial" w:cs="Arial" w:eastAsia="Arial" w:hAnsi="Arial"/>
          <w:sz w:val="22"/>
          <w:szCs w:val="22"/>
          <w:color w:val="auto"/>
        </w:rPr>
        <w:t>4.2 References in the Purchase Agreement and any supplemental agreements and associated letter agreements to the letter agreement listed in the left column of the below table shall be deemed to refer to the corresponding revised versions of the supplemental exhibits and letter agreement listed in the right column of the below table.</w:t>
      </w:r>
    </w:p>
    <w:p>
      <w:pPr>
        <w:spacing w:after="0" w:line="91" w:lineRule="exact"/>
        <w:rPr>
          <w:sz w:val="20"/>
          <w:szCs w:val="20"/>
          <w:color w:val="auto"/>
        </w:rPr>
      </w:pPr>
    </w:p>
    <w:tbl>
      <w:tblPr>
        <w:tblLayout w:type="fixed"/>
        <w:tblInd w:w="67" w:type="dxa"/>
        <w:tblCellMar>
          <w:top w:w="0" w:type="dxa"/>
          <w:left w:w="0" w:type="dxa"/>
          <w:bottom w:w="0" w:type="dxa"/>
          <w:right w:w="0" w:type="dxa"/>
        </w:tblCellMar>
      </w:tblPr>
      <w:tr>
        <w:trPr>
          <w:trHeight w:val="230"/>
        </w:trPr>
        <w:tc>
          <w:tcPr>
            <w:tcW w:w="5640" w:type="dxa"/>
            <w:vAlign w:val="bottom"/>
            <w:tcBorders>
              <w:top w:val="single" w:sz="8" w:color="auto"/>
              <w:left w:val="single" w:sz="8" w:color="auto"/>
              <w:right w:val="single" w:sz="8" w:color="auto"/>
            </w:tcBorders>
            <w:gridSpan w:val="3"/>
          </w:tcPr>
          <w:p>
            <w:pPr>
              <w:ind w:left="40"/>
              <w:spacing w:after="0" w:line="229" w:lineRule="exact"/>
              <w:rPr>
                <w:sz w:val="20"/>
                <w:szCs w:val="20"/>
                <w:color w:val="auto"/>
              </w:rPr>
            </w:pPr>
            <w:r>
              <w:rPr>
                <w:rFonts w:ascii="Arial" w:cs="Arial" w:eastAsia="Arial" w:hAnsi="Arial"/>
                <w:sz w:val="22"/>
                <w:szCs w:val="22"/>
                <w:color w:val="auto"/>
              </w:rPr>
              <w:t>Reference</w:t>
            </w:r>
          </w:p>
        </w:tc>
        <w:tc>
          <w:tcPr>
            <w:tcW w:w="5620" w:type="dxa"/>
            <w:vAlign w:val="bottom"/>
            <w:tcBorders>
              <w:top w:val="single" w:sz="8" w:color="auto"/>
              <w:right w:val="single" w:sz="8" w:color="auto"/>
            </w:tcBorders>
            <w:gridSpan w:val="3"/>
          </w:tcPr>
          <w:p>
            <w:pPr>
              <w:ind w:left="20"/>
              <w:spacing w:after="0" w:line="229" w:lineRule="exact"/>
              <w:rPr>
                <w:sz w:val="20"/>
                <w:szCs w:val="20"/>
                <w:color w:val="auto"/>
              </w:rPr>
            </w:pPr>
            <w:r>
              <w:rPr>
                <w:rFonts w:ascii="Arial" w:cs="Arial" w:eastAsia="Arial" w:hAnsi="Arial"/>
                <w:sz w:val="22"/>
                <w:szCs w:val="22"/>
                <w:color w:val="auto"/>
              </w:rPr>
              <w:t>Replacement Reference</w:t>
            </w:r>
          </w:p>
        </w:tc>
      </w:tr>
      <w:tr>
        <w:trPr>
          <w:trHeight w:val="34"/>
        </w:trPr>
        <w:tc>
          <w:tcPr>
            <w:tcW w:w="40" w:type="dxa"/>
            <w:vAlign w:val="bottom"/>
            <w:tcBorders>
              <w:left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460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320" w:type="dxa"/>
            <w:vAlign w:val="bottom"/>
            <w:tcBorders>
              <w:top w:val="single" w:sz="8" w:color="auto"/>
              <w:bottom w:val="single" w:sz="8" w:color="auto"/>
            </w:tcBorders>
          </w:tcPr>
          <w:p>
            <w:pPr>
              <w:spacing w:after="0"/>
              <w:rPr>
                <w:sz w:val="2"/>
                <w:szCs w:val="2"/>
                <w:color w:val="auto"/>
              </w:rPr>
            </w:pPr>
          </w:p>
        </w:tc>
        <w:tc>
          <w:tcPr>
            <w:tcW w:w="3280" w:type="dxa"/>
            <w:vAlign w:val="bottom"/>
            <w:tcBorders>
              <w:bottom w:val="single" w:sz="8" w:color="auto"/>
              <w:right w:val="single" w:sz="8" w:color="auto"/>
            </w:tcBorders>
          </w:tcPr>
          <w:p>
            <w:pPr>
              <w:spacing w:after="0"/>
              <w:rPr>
                <w:sz w:val="2"/>
                <w:szCs w:val="2"/>
                <w:color w:val="auto"/>
              </w:rPr>
            </w:pPr>
          </w:p>
        </w:tc>
      </w:tr>
      <w:tr>
        <w:trPr>
          <w:trHeight w:val="263"/>
        </w:trPr>
        <w:tc>
          <w:tcPr>
            <w:tcW w:w="564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rPr>
              <w:t>Letter Agreement No. AAL-PA-03735-LA-1106651R14</w:t>
            </w:r>
          </w:p>
        </w:tc>
        <w:tc>
          <w:tcPr>
            <w:tcW w:w="562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22"/>
                <w:szCs w:val="22"/>
                <w:color w:val="auto"/>
              </w:rPr>
              <w:t>Letter Agreement No. AAL-PA-03735-LA-1106651R15</w:t>
            </w:r>
          </w:p>
        </w:tc>
      </w:tr>
      <w:tr>
        <w:trPr>
          <w:trHeight w:val="264"/>
        </w:trPr>
        <w:tc>
          <w:tcPr>
            <w:tcW w:w="564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rPr>
              <w:t>Letter Agreement No. AAL-PA-03735-LA-2306983</w:t>
            </w:r>
          </w:p>
        </w:tc>
        <w:tc>
          <w:tcPr>
            <w:tcW w:w="562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22"/>
                <w:szCs w:val="22"/>
                <w:color w:val="auto"/>
              </w:rPr>
              <w:t>Letter Agreement No. AAL-PA-03735-LA-2306983R1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7"/>
        <w:spacing w:after="0"/>
        <w:tabs>
          <w:tab w:leader="none" w:pos="1216" w:val="left"/>
        </w:tabs>
        <w:rPr>
          <w:sz w:val="20"/>
          <w:szCs w:val="20"/>
          <w:color w:val="auto"/>
        </w:rPr>
      </w:pPr>
      <w:r>
        <w:rPr>
          <w:rFonts w:ascii="Arial" w:cs="Arial" w:eastAsia="Arial" w:hAnsi="Arial"/>
          <w:sz w:val="22"/>
          <w:szCs w:val="22"/>
          <w:color w:val="auto"/>
        </w:rPr>
        <w:t>PA 03735</w:t>
      </w:r>
      <w:r>
        <w:rPr>
          <w:sz w:val="20"/>
          <w:szCs w:val="20"/>
          <w:color w:val="auto"/>
        </w:rPr>
        <w:tab/>
      </w:r>
      <w:r>
        <w:rPr>
          <w:rFonts w:ascii="Arial" w:cs="Arial" w:eastAsia="Arial" w:hAnsi="Arial"/>
          <w:sz w:val="21"/>
          <w:szCs w:val="21"/>
          <w:color w:val="auto"/>
        </w:rPr>
        <w:t>SA-34, Page 2</w:t>
      </w:r>
    </w:p>
    <w:p>
      <w:pPr>
        <w:spacing w:after="0" w:line="258" w:lineRule="exact"/>
        <w:rPr>
          <w:sz w:val="20"/>
          <w:szCs w:val="20"/>
          <w:color w:val="auto"/>
        </w:rPr>
      </w:pPr>
    </w:p>
    <w:p>
      <w:pPr>
        <w:jc w:val="center"/>
        <w:ind w:right="-36"/>
        <w:spacing w:after="0"/>
        <w:rPr>
          <w:sz w:val="20"/>
          <w:szCs w:val="20"/>
          <w:color w:val="auto"/>
        </w:rPr>
      </w:pPr>
      <w:r>
        <w:rPr>
          <w:rFonts w:ascii="Arial" w:cs="Arial" w:eastAsia="Arial" w:hAnsi="Arial"/>
          <w:sz w:val="22"/>
          <w:szCs w:val="22"/>
          <w:b w:val="1"/>
          <w:bCs w:val="1"/>
          <w:color w:val="auto"/>
        </w:rPr>
        <w:t>BOEING AND AMERICAN PROPRIETARY</w:t>
      </w:r>
    </w:p>
    <w:p>
      <w:pPr>
        <w:sectPr>
          <w:pgSz w:w="11900" w:h="16838" w:orient="portrait"/>
          <w:cols w:equalWidth="0" w:num="1">
            <w:col w:w="11317"/>
          </w:cols>
          <w:pgMar w:left="263" w:top="1440" w:right="319" w:bottom="1440" w:gutter="0" w:footer="0" w:header="0"/>
        </w:sectPr>
      </w:pPr>
    </w:p>
    <w:bookmarkStart w:id="71" w:name="page72"/>
    <w:bookmarkEnd w:id="71"/>
    <w:p>
      <w:pPr>
        <w:jc w:val="both"/>
        <w:ind w:firstLine="648"/>
        <w:spacing w:after="0" w:line="220" w:lineRule="auto"/>
        <w:rPr>
          <w:sz w:val="20"/>
          <w:szCs w:val="20"/>
          <w:color w:val="auto"/>
        </w:rPr>
      </w:pPr>
      <w:r>
        <w:rPr>
          <w:rFonts w:ascii="Arial" w:cs="Arial" w:eastAsia="Arial" w:hAnsi="Arial"/>
          <w:sz w:val="22"/>
          <w:szCs w:val="22"/>
          <w:color w:val="auto"/>
        </w:rPr>
        <w:t>4.3 If Boeing or Customer determines that references described in Section 4.2 of this SA-34 should be further amended or other references in the Purchase Agreement and any supplemental agreements and associated letter agreements need to be amended as a result of this SA-34, then Boeing and Customer will work together for a mutually agreeable solution.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800"/>
        <w:spacing w:after="0"/>
        <w:rPr>
          <w:sz w:val="20"/>
          <w:szCs w:val="20"/>
          <w:color w:val="auto"/>
        </w:rPr>
      </w:pPr>
      <w:r>
        <w:rPr>
          <w:rFonts w:ascii="Arial" w:cs="Arial" w:eastAsia="Arial" w:hAnsi="Arial"/>
          <w:sz w:val="22"/>
          <w:szCs w:val="22"/>
          <w:color w:val="auto"/>
        </w:rPr>
        <w:t>The rest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auto"/>
        </w:rPr>
        <w:t>PA 03735</w:t>
      </w:r>
      <w:r>
        <w:rPr>
          <w:sz w:val="20"/>
          <w:szCs w:val="20"/>
          <w:color w:val="auto"/>
        </w:rPr>
        <w:tab/>
      </w:r>
      <w:r>
        <w:rPr>
          <w:rFonts w:ascii="Arial" w:cs="Arial" w:eastAsia="Arial" w:hAnsi="Arial"/>
          <w:sz w:val="21"/>
          <w:szCs w:val="21"/>
          <w:color w:val="auto"/>
        </w:rPr>
        <w:t>SA-34, Page 3</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BOEING AND AMERICAN PROPRIETARY</w:t>
      </w:r>
    </w:p>
    <w:p>
      <w:pPr>
        <w:sectPr>
          <w:pgSz w:w="11900" w:h="16838" w:orient="portrait"/>
          <w:cols w:equalWidth="0" w:num="1">
            <w:col w:w="11240"/>
          </w:cols>
          <w:pgMar w:left="320" w:top="1423" w:right="339" w:bottom="1440" w:gutter="0" w:footer="0" w:header="0"/>
        </w:sectPr>
      </w:pPr>
    </w:p>
    <w:bookmarkStart w:id="72" w:name="page73"/>
    <w:bookmarkEnd w:id="72"/>
    <w:p>
      <w:pPr>
        <w:spacing w:after="0" w:line="200" w:lineRule="exact"/>
        <w:rPr>
          <w:sz w:val="20"/>
          <w:szCs w:val="20"/>
          <w:color w:val="auto"/>
        </w:rPr>
      </w:pPr>
    </w:p>
    <w:p>
      <w:pPr>
        <w:spacing w:after="0" w:line="310" w:lineRule="exact"/>
        <w:rPr>
          <w:sz w:val="20"/>
          <w:szCs w:val="20"/>
          <w:color w:val="auto"/>
        </w:rPr>
      </w:pPr>
    </w:p>
    <w:p>
      <w:pPr>
        <w:ind w:left="180"/>
        <w:spacing w:after="0"/>
        <w:rPr>
          <w:sz w:val="20"/>
          <w:szCs w:val="20"/>
          <w:color w:val="auto"/>
        </w:rPr>
      </w:pPr>
      <w:r>
        <w:rPr>
          <w:rFonts w:ascii="Arial" w:cs="Arial" w:eastAsia="Arial" w:hAnsi="Arial"/>
          <w:sz w:val="21"/>
          <w:szCs w:val="21"/>
          <w:color w:val="auto"/>
        </w:rPr>
        <w:t>AGREED AND ACCEPTED this</w:t>
      </w:r>
    </w:p>
    <w:p>
      <w:pPr>
        <w:spacing w:after="0" w:line="299" w:lineRule="exact"/>
        <w:rPr>
          <w:sz w:val="20"/>
          <w:szCs w:val="20"/>
          <w:color w:val="auto"/>
        </w:rPr>
      </w:pPr>
    </w:p>
    <w:p>
      <w:pPr>
        <w:ind w:left="180"/>
        <w:spacing w:after="0"/>
        <w:rPr>
          <w:sz w:val="20"/>
          <w:szCs w:val="20"/>
          <w:color w:val="auto"/>
        </w:rPr>
      </w:pPr>
      <w:r>
        <w:rPr>
          <w:rFonts w:ascii="Arial" w:cs="Arial" w:eastAsia="Arial" w:hAnsi="Arial"/>
          <w:sz w:val="22"/>
          <w:szCs w:val="22"/>
          <w:color w:val="auto"/>
        </w:rPr>
        <w:t>March 19,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19050</wp:posOffset>
            </wp:positionV>
            <wp:extent cx="325755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Arial" w:cs="Arial" w:eastAsia="Arial" w:hAnsi="Arial"/>
          <w:sz w:val="22"/>
          <w:szCs w:val="22"/>
          <w:color w:val="auto"/>
        </w:rPr>
        <w:t>Date</w:t>
      </w:r>
    </w:p>
    <w:p>
      <w:pPr>
        <w:spacing w:after="0" w:line="285"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THE BOEING COMPANY</w:t>
      </w:r>
    </w:p>
    <w:p>
      <w:pPr>
        <w:spacing w:after="0" w:line="200" w:lineRule="exact"/>
        <w:rPr>
          <w:sz w:val="20"/>
          <w:szCs w:val="20"/>
          <w:color w:val="auto"/>
        </w:rPr>
      </w:pPr>
    </w:p>
    <w:p>
      <w:pPr>
        <w:spacing w:after="0" w:line="305" w:lineRule="exact"/>
        <w:rPr>
          <w:sz w:val="20"/>
          <w:szCs w:val="20"/>
          <w:color w:val="auto"/>
        </w:rPr>
      </w:pPr>
    </w:p>
    <w:p>
      <w:pPr>
        <w:ind w:left="180"/>
        <w:spacing w:after="0"/>
        <w:rPr>
          <w:sz w:val="20"/>
          <w:szCs w:val="20"/>
          <w:color w:val="auto"/>
        </w:rPr>
      </w:pPr>
      <w:r>
        <w:rPr>
          <w:rFonts w:ascii="Arial" w:cs="Arial" w:eastAsia="Arial" w:hAnsi="Arial"/>
          <w:sz w:val="22"/>
          <w:szCs w:val="22"/>
          <w:color w:val="auto"/>
        </w:rPr>
        <w:t>/s/ 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19050</wp:posOffset>
            </wp:positionV>
            <wp:extent cx="325755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Arial" w:cs="Arial" w:eastAsia="Arial" w:hAnsi="Arial"/>
          <w:sz w:val="22"/>
          <w:szCs w:val="22"/>
          <w:color w:val="auto"/>
        </w:rPr>
        <w:t>Signature</w:t>
      </w:r>
    </w:p>
    <w:p>
      <w:pPr>
        <w:spacing w:after="0" w:line="287" w:lineRule="exact"/>
        <w:rPr>
          <w:sz w:val="20"/>
          <w:szCs w:val="20"/>
          <w:color w:val="auto"/>
        </w:rPr>
      </w:pPr>
    </w:p>
    <w:p>
      <w:pPr>
        <w:ind w:left="180"/>
        <w:spacing w:after="0"/>
        <w:rPr>
          <w:sz w:val="20"/>
          <w:szCs w:val="20"/>
          <w:color w:val="auto"/>
        </w:rPr>
      </w:pPr>
      <w:r>
        <w:rPr>
          <w:rFonts w:ascii="Arial" w:cs="Arial" w:eastAsia="Arial" w:hAnsi="Arial"/>
          <w:sz w:val="22"/>
          <w:szCs w:val="22"/>
          <w:color w:val="auto"/>
        </w:rPr>
        <w:t>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19050</wp:posOffset>
            </wp:positionV>
            <wp:extent cx="325755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Arial" w:cs="Arial" w:eastAsia="Arial" w:hAnsi="Arial"/>
          <w:sz w:val="22"/>
          <w:szCs w:val="22"/>
          <w:color w:val="auto"/>
        </w:rPr>
        <w:t>Printed name</w:t>
      </w:r>
    </w:p>
    <w:p>
      <w:pPr>
        <w:spacing w:after="0" w:line="287" w:lineRule="exact"/>
        <w:rPr>
          <w:sz w:val="20"/>
          <w:szCs w:val="20"/>
          <w:color w:val="auto"/>
        </w:rPr>
      </w:pPr>
    </w:p>
    <w:p>
      <w:pPr>
        <w:ind w:left="180"/>
        <w:spacing w:after="0"/>
        <w:rPr>
          <w:sz w:val="20"/>
          <w:szCs w:val="20"/>
          <w:color w:val="auto"/>
        </w:rPr>
      </w:pPr>
      <w:r>
        <w:rPr>
          <w:rFonts w:ascii="Arial" w:cs="Arial" w:eastAsia="Arial" w:hAnsi="Arial"/>
          <w:sz w:val="22"/>
          <w:szCs w:val="22"/>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19050</wp:posOffset>
            </wp:positionV>
            <wp:extent cx="325755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AMERICAN AIRLINES, INC.</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2"/>
          <w:szCs w:val="22"/>
          <w:color w:val="auto"/>
        </w:rPr>
        <w:t>/s/ 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19050</wp:posOffset>
            </wp:positionV>
            <wp:extent cx="35318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19050</wp:posOffset>
            </wp:positionV>
            <wp:extent cx="353187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color w:val="auto"/>
        </w:rPr>
        <w:t>Printed name</w:t>
      </w:r>
    </w:p>
    <w:p>
      <w:pPr>
        <w:spacing w:after="0" w:line="287" w:lineRule="exact"/>
        <w:rPr>
          <w:sz w:val="20"/>
          <w:szCs w:val="20"/>
          <w:color w:val="auto"/>
        </w:rPr>
      </w:pPr>
    </w:p>
    <w:p>
      <w:pPr>
        <w:spacing w:after="0"/>
        <w:rPr>
          <w:sz w:val="20"/>
          <w:szCs w:val="20"/>
          <w:color w:val="auto"/>
        </w:rPr>
      </w:pPr>
      <w:r>
        <w:rPr>
          <w:rFonts w:ascii="Arial" w:cs="Arial" w:eastAsia="Arial" w:hAnsi="Arial"/>
          <w:sz w:val="21"/>
          <w:szCs w:val="21"/>
          <w:color w:val="auto"/>
        </w:rPr>
        <w:t>VP, Financial Planning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26035</wp:posOffset>
            </wp:positionV>
            <wp:extent cx="35318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ectPr>
          <w:pgSz w:w="11900" w:h="16838" w:orient="portrait"/>
          <w:cols w:equalWidth="0" w:num="2">
            <w:col w:w="5020" w:space="720"/>
            <w:col w:w="439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auto"/>
        </w:rPr>
        <w:t>PA 03735</w:t>
      </w:r>
      <w:r>
        <w:rPr>
          <w:sz w:val="20"/>
          <w:szCs w:val="20"/>
          <w:color w:val="auto"/>
        </w:rPr>
        <w:tab/>
      </w:r>
      <w:r>
        <w:rPr>
          <w:rFonts w:ascii="Arial" w:cs="Arial" w:eastAsia="Arial" w:hAnsi="Arial"/>
          <w:sz w:val="21"/>
          <w:szCs w:val="21"/>
          <w:color w:val="auto"/>
        </w:rPr>
        <w:t>SA-34, Page 4</w:t>
      </w:r>
    </w:p>
    <w:p>
      <w:pPr>
        <w:spacing w:after="0" w:line="272" w:lineRule="exact"/>
        <w:rPr>
          <w:sz w:val="20"/>
          <w:szCs w:val="20"/>
          <w:color w:val="auto"/>
        </w:rPr>
      </w:pPr>
    </w:p>
    <w:p>
      <w:pPr>
        <w:jc w:val="right"/>
        <w:ind w:right="2419"/>
        <w:spacing w:after="0"/>
        <w:rPr>
          <w:sz w:val="20"/>
          <w:szCs w:val="20"/>
          <w:color w:val="auto"/>
        </w:rPr>
      </w:pPr>
      <w:r>
        <w:rPr>
          <w:rFonts w:ascii="Arial" w:cs="Arial" w:eastAsia="Arial" w:hAnsi="Arial"/>
          <w:sz w:val="22"/>
          <w:szCs w:val="22"/>
          <w:b w:val="1"/>
          <w:bCs w:val="1"/>
          <w:color w:val="auto"/>
        </w:rPr>
        <w:t>BOEING AND AMERICAN PROPRIETARY</w:t>
      </w:r>
    </w:p>
    <w:p>
      <w:pPr>
        <w:sectPr>
          <w:pgSz w:w="11900" w:h="16838" w:orient="portrait"/>
          <w:cols w:equalWidth="0" w:num="1">
            <w:col w:w="10139"/>
          </w:cols>
          <w:pgMar w:left="320" w:top="1440" w:right="1440" w:bottom="1440" w:gutter="0" w:footer="0" w:header="0"/>
          <w:type w:val="continuous"/>
        </w:sectPr>
      </w:pPr>
    </w:p>
    <w:bookmarkStart w:id="73" w:name="page74"/>
    <w:bookmarkEnd w:id="73"/>
    <w:tbl>
      <w:tblPr>
        <w:tblLayout w:type="fixed"/>
        <w:tblInd w:w="160" w:type="dxa"/>
        <w:tblCellMar>
          <w:top w:w="0" w:type="dxa"/>
          <w:left w:w="0" w:type="dxa"/>
          <w:bottom w:w="0" w:type="dxa"/>
          <w:right w:w="0" w:type="dxa"/>
        </w:tblCellMar>
      </w:tblPr>
      <w:tr>
        <w:trPr>
          <w:trHeight w:val="297"/>
        </w:trPr>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720" w:type="dxa"/>
            <w:vAlign w:val="bottom"/>
          </w:tcPr>
          <w:p>
            <w:pPr>
              <w:ind w:left="2400"/>
              <w:spacing w:after="0"/>
              <w:rPr>
                <w:sz w:val="20"/>
                <w:szCs w:val="20"/>
                <w:color w:val="auto"/>
              </w:rPr>
            </w:pPr>
            <w:r>
              <w:rPr>
                <w:rFonts w:ascii="Arial" w:cs="Arial" w:eastAsia="Arial" w:hAnsi="Arial"/>
                <w:sz w:val="22"/>
                <w:szCs w:val="22"/>
                <w:b w:val="1"/>
                <w:bCs w:val="1"/>
                <w:color w:val="auto"/>
                <w:w w:val="96"/>
              </w:rPr>
              <w:t>TABLE OF CONTENTS</w:t>
            </w:r>
          </w:p>
        </w:tc>
      </w:tr>
      <w:tr>
        <w:trPr>
          <w:trHeight w:val="433"/>
        </w:trPr>
        <w:tc>
          <w:tcPr>
            <w:tcW w:w="1080" w:type="dxa"/>
            <w:vAlign w:val="bottom"/>
            <w:tcBorders>
              <w:bottom w:val="single" w:sz="8" w:color="auto"/>
            </w:tcBorders>
            <w:gridSpan w:val="3"/>
          </w:tcPr>
          <w:p>
            <w:pPr>
              <w:spacing w:after="0"/>
              <w:rPr>
                <w:sz w:val="20"/>
                <w:szCs w:val="20"/>
                <w:color w:val="auto"/>
              </w:rPr>
            </w:pPr>
            <w:r>
              <w:rPr>
                <w:rFonts w:ascii="Arial" w:cs="Arial" w:eastAsia="Arial" w:hAnsi="Arial"/>
                <w:sz w:val="22"/>
                <w:szCs w:val="22"/>
                <w:b w:val="1"/>
                <w:bCs w:val="1"/>
                <w:color w:val="auto"/>
                <w:w w:val="96"/>
              </w:rPr>
              <w:t>ARTICLES</w:t>
            </w:r>
          </w:p>
        </w:tc>
        <w:tc>
          <w:tcPr>
            <w:tcW w:w="58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628"/>
        </w:trPr>
        <w:tc>
          <w:tcPr>
            <w:tcW w:w="160" w:type="dxa"/>
            <w:vAlign w:val="bottom"/>
          </w:tcPr>
          <w:p>
            <w:pPr>
              <w:spacing w:after="0"/>
              <w:rPr>
                <w:sz w:val="24"/>
                <w:szCs w:val="24"/>
                <w:color w:val="auto"/>
              </w:rPr>
            </w:pPr>
          </w:p>
        </w:tc>
        <w:tc>
          <w:tcPr>
            <w:tcW w:w="1500" w:type="dxa"/>
            <w:vAlign w:val="bottom"/>
            <w:gridSpan w:val="3"/>
          </w:tcPr>
          <w:p>
            <w:pPr>
              <w:ind w:left="220"/>
              <w:spacing w:after="0"/>
              <w:rPr>
                <w:sz w:val="20"/>
                <w:szCs w:val="20"/>
                <w:color w:val="auto"/>
              </w:rPr>
            </w:pPr>
            <w:r>
              <w:rPr>
                <w:rFonts w:ascii="Arial" w:cs="Arial" w:eastAsia="Arial" w:hAnsi="Arial"/>
                <w:sz w:val="22"/>
                <w:szCs w:val="22"/>
                <w:color w:val="auto"/>
              </w:rPr>
              <w:t>Article 1.</w:t>
            </w:r>
          </w:p>
        </w:tc>
        <w:tc>
          <w:tcPr>
            <w:tcW w:w="4720" w:type="dxa"/>
            <w:vAlign w:val="bottom"/>
          </w:tcPr>
          <w:p>
            <w:pPr>
              <w:ind w:left="420"/>
              <w:spacing w:after="0"/>
              <w:rPr>
                <w:sz w:val="20"/>
                <w:szCs w:val="20"/>
                <w:color w:val="auto"/>
              </w:rPr>
            </w:pPr>
            <w:r>
              <w:rPr>
                <w:rFonts w:ascii="Arial" w:cs="Arial" w:eastAsia="Arial" w:hAnsi="Arial"/>
                <w:sz w:val="22"/>
                <w:szCs w:val="22"/>
                <w:color w:val="auto"/>
              </w:rPr>
              <w:t>Quantity, Model and Description</w:t>
            </w:r>
          </w:p>
        </w:tc>
      </w:tr>
      <w:tr>
        <w:trPr>
          <w:trHeight w:val="311"/>
        </w:trPr>
        <w:tc>
          <w:tcPr>
            <w:tcW w:w="160" w:type="dxa"/>
            <w:vAlign w:val="bottom"/>
          </w:tcPr>
          <w:p>
            <w:pPr>
              <w:spacing w:after="0"/>
              <w:rPr>
                <w:sz w:val="24"/>
                <w:szCs w:val="24"/>
                <w:color w:val="auto"/>
              </w:rPr>
            </w:pPr>
          </w:p>
        </w:tc>
        <w:tc>
          <w:tcPr>
            <w:tcW w:w="1500" w:type="dxa"/>
            <w:vAlign w:val="bottom"/>
            <w:gridSpan w:val="3"/>
          </w:tcPr>
          <w:p>
            <w:pPr>
              <w:ind w:left="220"/>
              <w:spacing w:after="0"/>
              <w:rPr>
                <w:sz w:val="20"/>
                <w:szCs w:val="20"/>
                <w:color w:val="auto"/>
              </w:rPr>
            </w:pPr>
            <w:r>
              <w:rPr>
                <w:rFonts w:ascii="Arial" w:cs="Arial" w:eastAsia="Arial" w:hAnsi="Arial"/>
                <w:sz w:val="22"/>
                <w:szCs w:val="22"/>
                <w:color w:val="auto"/>
              </w:rPr>
              <w:t>Article 2.</w:t>
            </w:r>
          </w:p>
        </w:tc>
        <w:tc>
          <w:tcPr>
            <w:tcW w:w="4720" w:type="dxa"/>
            <w:vAlign w:val="bottom"/>
          </w:tcPr>
          <w:p>
            <w:pPr>
              <w:ind w:left="420"/>
              <w:spacing w:after="0"/>
              <w:rPr>
                <w:sz w:val="20"/>
                <w:szCs w:val="20"/>
                <w:color w:val="auto"/>
              </w:rPr>
            </w:pPr>
            <w:r>
              <w:rPr>
                <w:rFonts w:ascii="Arial" w:cs="Arial" w:eastAsia="Arial" w:hAnsi="Arial"/>
                <w:sz w:val="22"/>
                <w:szCs w:val="22"/>
                <w:color w:val="auto"/>
              </w:rPr>
              <w:t>Delivery Schedule</w:t>
            </w:r>
          </w:p>
        </w:tc>
      </w:tr>
      <w:tr>
        <w:trPr>
          <w:trHeight w:val="310"/>
        </w:trPr>
        <w:tc>
          <w:tcPr>
            <w:tcW w:w="160" w:type="dxa"/>
            <w:vAlign w:val="bottom"/>
          </w:tcPr>
          <w:p>
            <w:pPr>
              <w:spacing w:after="0"/>
              <w:rPr>
                <w:sz w:val="24"/>
                <w:szCs w:val="24"/>
                <w:color w:val="auto"/>
              </w:rPr>
            </w:pPr>
          </w:p>
        </w:tc>
        <w:tc>
          <w:tcPr>
            <w:tcW w:w="1500" w:type="dxa"/>
            <w:vAlign w:val="bottom"/>
            <w:gridSpan w:val="3"/>
          </w:tcPr>
          <w:p>
            <w:pPr>
              <w:ind w:left="220"/>
              <w:spacing w:after="0"/>
              <w:rPr>
                <w:sz w:val="20"/>
                <w:szCs w:val="20"/>
                <w:color w:val="auto"/>
              </w:rPr>
            </w:pPr>
            <w:r>
              <w:rPr>
                <w:rFonts w:ascii="Arial" w:cs="Arial" w:eastAsia="Arial" w:hAnsi="Arial"/>
                <w:sz w:val="22"/>
                <w:szCs w:val="22"/>
                <w:color w:val="auto"/>
              </w:rPr>
              <w:t>Article 3.</w:t>
            </w:r>
          </w:p>
        </w:tc>
        <w:tc>
          <w:tcPr>
            <w:tcW w:w="4720" w:type="dxa"/>
            <w:vAlign w:val="bottom"/>
          </w:tcPr>
          <w:p>
            <w:pPr>
              <w:ind w:left="420"/>
              <w:spacing w:after="0"/>
              <w:rPr>
                <w:sz w:val="20"/>
                <w:szCs w:val="20"/>
                <w:color w:val="auto"/>
              </w:rPr>
            </w:pPr>
            <w:r>
              <w:rPr>
                <w:rFonts w:ascii="Arial" w:cs="Arial" w:eastAsia="Arial" w:hAnsi="Arial"/>
                <w:sz w:val="22"/>
                <w:szCs w:val="22"/>
                <w:color w:val="auto"/>
              </w:rPr>
              <w:t>Price</w:t>
            </w:r>
          </w:p>
        </w:tc>
      </w:tr>
      <w:tr>
        <w:trPr>
          <w:trHeight w:val="311"/>
        </w:trPr>
        <w:tc>
          <w:tcPr>
            <w:tcW w:w="160" w:type="dxa"/>
            <w:vAlign w:val="bottom"/>
          </w:tcPr>
          <w:p>
            <w:pPr>
              <w:spacing w:after="0"/>
              <w:rPr>
                <w:sz w:val="24"/>
                <w:szCs w:val="24"/>
                <w:color w:val="auto"/>
              </w:rPr>
            </w:pPr>
          </w:p>
        </w:tc>
        <w:tc>
          <w:tcPr>
            <w:tcW w:w="1500" w:type="dxa"/>
            <w:vAlign w:val="bottom"/>
            <w:gridSpan w:val="3"/>
          </w:tcPr>
          <w:p>
            <w:pPr>
              <w:ind w:left="220"/>
              <w:spacing w:after="0"/>
              <w:rPr>
                <w:sz w:val="20"/>
                <w:szCs w:val="20"/>
                <w:color w:val="auto"/>
              </w:rPr>
            </w:pPr>
            <w:r>
              <w:rPr>
                <w:rFonts w:ascii="Arial" w:cs="Arial" w:eastAsia="Arial" w:hAnsi="Arial"/>
                <w:sz w:val="22"/>
                <w:szCs w:val="22"/>
                <w:color w:val="auto"/>
              </w:rPr>
              <w:t>Article 4.</w:t>
            </w:r>
          </w:p>
        </w:tc>
        <w:tc>
          <w:tcPr>
            <w:tcW w:w="4720" w:type="dxa"/>
            <w:vAlign w:val="bottom"/>
          </w:tcPr>
          <w:p>
            <w:pPr>
              <w:ind w:left="420"/>
              <w:spacing w:after="0"/>
              <w:rPr>
                <w:sz w:val="20"/>
                <w:szCs w:val="20"/>
                <w:color w:val="auto"/>
              </w:rPr>
            </w:pPr>
            <w:r>
              <w:rPr>
                <w:rFonts w:ascii="Arial" w:cs="Arial" w:eastAsia="Arial" w:hAnsi="Arial"/>
                <w:sz w:val="22"/>
                <w:szCs w:val="22"/>
                <w:color w:val="auto"/>
              </w:rPr>
              <w:t>Payment</w:t>
            </w:r>
          </w:p>
        </w:tc>
      </w:tr>
      <w:tr>
        <w:trPr>
          <w:trHeight w:val="311"/>
        </w:trPr>
        <w:tc>
          <w:tcPr>
            <w:tcW w:w="160" w:type="dxa"/>
            <w:vAlign w:val="bottom"/>
          </w:tcPr>
          <w:p>
            <w:pPr>
              <w:spacing w:after="0"/>
              <w:rPr>
                <w:sz w:val="24"/>
                <w:szCs w:val="24"/>
                <w:color w:val="auto"/>
              </w:rPr>
            </w:pPr>
          </w:p>
        </w:tc>
        <w:tc>
          <w:tcPr>
            <w:tcW w:w="1500" w:type="dxa"/>
            <w:vAlign w:val="bottom"/>
            <w:gridSpan w:val="3"/>
          </w:tcPr>
          <w:p>
            <w:pPr>
              <w:ind w:left="220"/>
              <w:spacing w:after="0"/>
              <w:rPr>
                <w:sz w:val="20"/>
                <w:szCs w:val="20"/>
                <w:color w:val="auto"/>
              </w:rPr>
            </w:pPr>
            <w:r>
              <w:rPr>
                <w:rFonts w:ascii="Arial" w:cs="Arial" w:eastAsia="Arial" w:hAnsi="Arial"/>
                <w:sz w:val="22"/>
                <w:szCs w:val="22"/>
                <w:color w:val="auto"/>
              </w:rPr>
              <w:t>Article 5.</w:t>
            </w:r>
          </w:p>
        </w:tc>
        <w:tc>
          <w:tcPr>
            <w:tcW w:w="4720" w:type="dxa"/>
            <w:vAlign w:val="bottom"/>
          </w:tcPr>
          <w:p>
            <w:pPr>
              <w:ind w:left="420"/>
              <w:spacing w:after="0"/>
              <w:rPr>
                <w:sz w:val="20"/>
                <w:szCs w:val="20"/>
                <w:color w:val="auto"/>
              </w:rPr>
            </w:pPr>
            <w:r>
              <w:rPr>
                <w:rFonts w:ascii="Arial" w:cs="Arial" w:eastAsia="Arial" w:hAnsi="Arial"/>
                <w:sz w:val="22"/>
                <w:szCs w:val="22"/>
                <w:color w:val="auto"/>
              </w:rPr>
              <w:t>Additional Terms</w:t>
            </w:r>
          </w:p>
        </w:tc>
      </w:tr>
      <w:tr>
        <w:trPr>
          <w:trHeight w:val="309"/>
        </w:trPr>
        <w:tc>
          <w:tcPr>
            <w:tcW w:w="160" w:type="dxa"/>
            <w:vAlign w:val="bottom"/>
          </w:tcPr>
          <w:p>
            <w:pPr>
              <w:spacing w:after="0"/>
              <w:rPr>
                <w:sz w:val="24"/>
                <w:szCs w:val="24"/>
                <w:color w:val="auto"/>
              </w:rPr>
            </w:pPr>
          </w:p>
        </w:tc>
        <w:tc>
          <w:tcPr>
            <w:tcW w:w="1500" w:type="dxa"/>
            <w:vAlign w:val="bottom"/>
            <w:gridSpan w:val="3"/>
          </w:tcPr>
          <w:p>
            <w:pPr>
              <w:ind w:left="220"/>
              <w:spacing w:after="0"/>
              <w:rPr>
                <w:sz w:val="20"/>
                <w:szCs w:val="20"/>
                <w:color w:val="auto"/>
              </w:rPr>
            </w:pPr>
            <w:r>
              <w:rPr>
                <w:rFonts w:ascii="Arial" w:cs="Arial" w:eastAsia="Arial" w:hAnsi="Arial"/>
                <w:sz w:val="22"/>
                <w:szCs w:val="22"/>
                <w:color w:val="auto"/>
              </w:rPr>
              <w:t>Article 6.</w:t>
            </w:r>
          </w:p>
        </w:tc>
        <w:tc>
          <w:tcPr>
            <w:tcW w:w="4720" w:type="dxa"/>
            <w:vAlign w:val="bottom"/>
          </w:tcPr>
          <w:p>
            <w:pPr>
              <w:ind w:left="420"/>
              <w:spacing w:after="0"/>
              <w:rPr>
                <w:sz w:val="20"/>
                <w:szCs w:val="20"/>
                <w:color w:val="auto"/>
              </w:rPr>
            </w:pPr>
            <w:r>
              <w:rPr>
                <w:rFonts w:ascii="Arial" w:cs="Arial" w:eastAsia="Arial" w:hAnsi="Arial"/>
                <w:sz w:val="22"/>
                <w:szCs w:val="22"/>
                <w:color w:val="auto"/>
              </w:rPr>
              <w:t>Confidentiality</w:t>
            </w:r>
          </w:p>
        </w:tc>
      </w:tr>
      <w:tr>
        <w:trPr>
          <w:trHeight w:val="231"/>
        </w:trPr>
        <w:tc>
          <w:tcPr>
            <w:tcW w:w="160" w:type="dxa"/>
            <w:vAlign w:val="bottom"/>
          </w:tcPr>
          <w:p>
            <w:pPr>
              <w:spacing w:after="0"/>
              <w:rPr>
                <w:sz w:val="20"/>
                <w:szCs w:val="20"/>
                <w:color w:val="auto"/>
              </w:rPr>
            </w:pPr>
          </w:p>
        </w:tc>
        <w:tc>
          <w:tcPr>
            <w:tcW w:w="1500" w:type="dxa"/>
            <w:vAlign w:val="bottom"/>
            <w:gridSpan w:val="3"/>
          </w:tcPr>
          <w:p>
            <w:pPr>
              <w:spacing w:after="0" w:line="231" w:lineRule="exact"/>
              <w:rPr>
                <w:sz w:val="20"/>
                <w:szCs w:val="20"/>
                <w:color w:val="auto"/>
              </w:rPr>
            </w:pPr>
            <w:r>
              <w:rPr>
                <w:rFonts w:ascii="Arial" w:cs="Arial" w:eastAsia="Arial" w:hAnsi="Arial"/>
                <w:sz w:val="22"/>
                <w:szCs w:val="22"/>
                <w:b w:val="1"/>
                <w:bCs w:val="1"/>
                <w:color w:val="auto"/>
              </w:rPr>
              <w:t>TABLE</w:t>
            </w:r>
          </w:p>
        </w:tc>
        <w:tc>
          <w:tcPr>
            <w:tcW w:w="4720" w:type="dxa"/>
            <w:vAlign w:val="bottom"/>
          </w:tcPr>
          <w:p>
            <w:pPr>
              <w:spacing w:after="0"/>
              <w:rPr>
                <w:sz w:val="20"/>
                <w:szCs w:val="20"/>
                <w:color w:val="auto"/>
              </w:rPr>
            </w:pPr>
          </w:p>
        </w:tc>
      </w:tr>
      <w:tr>
        <w:trPr>
          <w:trHeight w:val="20"/>
        </w:trPr>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SA</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NUMBER</w:t>
      </w:r>
    </w:p>
    <w:p>
      <w:pPr>
        <w:spacing w:after="0" w:line="2222" w:lineRule="exact"/>
        <w:rPr>
          <w:sz w:val="20"/>
          <w:szCs w:val="20"/>
          <w:color w:val="auto"/>
        </w:rPr>
      </w:pPr>
    </w:p>
    <w:p>
      <w:pPr>
        <w:sectPr>
          <w:pgSz w:w="11900" w:h="16838" w:orient="portrait"/>
          <w:cols w:equalWidth="0" w:num="2">
            <w:col w:w="9060" w:space="720"/>
            <w:col w:w="960"/>
          </w:cols>
          <w:pgMar w:left="560" w:top="1340" w:right="599" w:bottom="1440" w:gutter="0" w:footer="0" w:header="0"/>
        </w:sectPr>
      </w:pPr>
    </w:p>
    <w:p>
      <w:pPr>
        <w:ind w:left="720"/>
        <w:spacing w:after="0"/>
        <w:rPr>
          <w:sz w:val="20"/>
          <w:szCs w:val="20"/>
          <w:color w:val="auto"/>
        </w:rPr>
      </w:pPr>
      <w:r>
        <w:rPr>
          <w:rFonts w:ascii="Arial" w:cs="Arial" w:eastAsia="Arial" w:hAnsi="Arial"/>
          <w:sz w:val="22"/>
          <w:szCs w:val="22"/>
          <w:color w:val="auto"/>
        </w:rPr>
        <w:t>1R12</w:t>
      </w:r>
    </w:p>
    <w:p>
      <w:pPr>
        <w:spacing w:after="0" w:line="31" w:lineRule="exact"/>
        <w:rPr>
          <w:sz w:val="20"/>
          <w:szCs w:val="20"/>
          <w:color w:val="auto"/>
        </w:rPr>
      </w:pPr>
    </w:p>
    <w:p>
      <w:pPr>
        <w:jc w:val="right"/>
        <w:ind w:right="260"/>
        <w:spacing w:after="0"/>
        <w:rPr>
          <w:sz w:val="20"/>
          <w:szCs w:val="20"/>
          <w:color w:val="auto"/>
        </w:rPr>
      </w:pPr>
      <w:r>
        <w:rPr>
          <w:rFonts w:ascii="Arial" w:cs="Arial" w:eastAsia="Arial" w:hAnsi="Arial"/>
          <w:sz w:val="22"/>
          <w:szCs w:val="22"/>
          <w:color w:val="auto"/>
        </w:rPr>
        <w:t>1-2R1</w:t>
      </w:r>
    </w:p>
    <w:p>
      <w:pPr>
        <w:spacing w:after="0" w:line="10" w:lineRule="exact"/>
        <w:rPr>
          <w:sz w:val="20"/>
          <w:szCs w:val="20"/>
          <w:color w:val="auto"/>
        </w:rPr>
      </w:pPr>
    </w:p>
    <w:p>
      <w:pPr>
        <w:jc w:val="right"/>
        <w:ind w:right="260"/>
        <w:spacing w:after="0"/>
        <w:rPr>
          <w:sz w:val="20"/>
          <w:szCs w:val="20"/>
          <w:color w:val="auto"/>
        </w:rPr>
      </w:pPr>
      <w:r>
        <w:rPr>
          <w:rFonts w:ascii="Arial" w:cs="Arial" w:eastAsia="Arial" w:hAnsi="Arial"/>
          <w:sz w:val="22"/>
          <w:szCs w:val="22"/>
          <w:color w:val="auto"/>
        </w:rPr>
        <w:t>1-3R6</w:t>
      </w:r>
    </w:p>
    <w:p>
      <w:pPr>
        <w:spacing w:after="0" w:line="227" w:lineRule="exact"/>
        <w:rPr>
          <w:sz w:val="20"/>
          <w:szCs w:val="20"/>
          <w:color w:val="auto"/>
        </w:rPr>
      </w:pPr>
    </w:p>
    <w:p>
      <w:pPr>
        <w:jc w:val="right"/>
        <w:ind w:right="260"/>
        <w:spacing w:after="0"/>
        <w:rPr>
          <w:sz w:val="20"/>
          <w:szCs w:val="20"/>
          <w:color w:val="auto"/>
        </w:rPr>
      </w:pPr>
      <w:r>
        <w:rPr>
          <w:rFonts w:ascii="Arial" w:cs="Arial" w:eastAsia="Arial" w:hAnsi="Arial"/>
          <w:sz w:val="22"/>
          <w:szCs w:val="22"/>
          <w:color w:val="auto"/>
        </w:rPr>
        <w:t>1-4R7</w:t>
      </w:r>
    </w:p>
    <w:p>
      <w:pPr>
        <w:spacing w:after="0" w:line="247" w:lineRule="exact"/>
        <w:rPr>
          <w:sz w:val="20"/>
          <w:szCs w:val="20"/>
          <w:color w:val="auto"/>
        </w:rPr>
      </w:pPr>
    </w:p>
    <w:p>
      <w:pPr>
        <w:ind w:left="680"/>
        <w:spacing w:after="0"/>
        <w:rPr>
          <w:sz w:val="20"/>
          <w:szCs w:val="20"/>
          <w:color w:val="auto"/>
        </w:rPr>
      </w:pPr>
      <w:r>
        <w:rPr>
          <w:rFonts w:ascii="Arial" w:cs="Arial" w:eastAsia="Arial" w:hAnsi="Arial"/>
          <w:sz w:val="21"/>
          <w:szCs w:val="21"/>
          <w:color w:val="auto"/>
        </w:rPr>
        <w:t>1-5R3</w:t>
      </w:r>
    </w:p>
    <w:p>
      <w:pPr>
        <w:spacing w:after="0" w:line="258" w:lineRule="exact"/>
        <w:rPr>
          <w:sz w:val="20"/>
          <w:szCs w:val="20"/>
          <w:color w:val="auto"/>
        </w:rPr>
      </w:pPr>
    </w:p>
    <w:p>
      <w:pPr>
        <w:ind w:left="820"/>
        <w:spacing w:after="0"/>
        <w:rPr>
          <w:sz w:val="20"/>
          <w:szCs w:val="20"/>
          <w:color w:val="auto"/>
        </w:rPr>
      </w:pPr>
      <w:r>
        <w:rPr>
          <w:rFonts w:ascii="Arial" w:cs="Arial" w:eastAsia="Arial" w:hAnsi="Arial"/>
          <w:sz w:val="22"/>
          <w:szCs w:val="22"/>
          <w:color w:val="auto"/>
        </w:rPr>
        <w:t>1-6</w:t>
      </w:r>
    </w:p>
    <w:p>
      <w:pPr>
        <w:spacing w:after="0" w:line="260" w:lineRule="exact"/>
        <w:rPr>
          <w:sz w:val="20"/>
          <w:szCs w:val="20"/>
          <w:color w:val="auto"/>
        </w:rPr>
      </w:pPr>
    </w:p>
    <w:p>
      <w:pPr>
        <w:jc w:val="right"/>
        <w:ind w:right="400"/>
        <w:spacing w:after="0"/>
        <w:rPr>
          <w:sz w:val="20"/>
          <w:szCs w:val="20"/>
          <w:color w:val="auto"/>
        </w:rPr>
      </w:pPr>
      <w:r>
        <w:rPr>
          <w:rFonts w:ascii="Arial" w:cs="Arial" w:eastAsia="Arial" w:hAnsi="Arial"/>
          <w:sz w:val="22"/>
          <w:szCs w:val="22"/>
          <w:color w:val="auto"/>
        </w:rPr>
        <w:t>1-7</w:t>
      </w:r>
    </w:p>
    <w:p>
      <w:pPr>
        <w:spacing w:after="0" w:line="31" w:lineRule="exact"/>
        <w:rPr>
          <w:sz w:val="20"/>
          <w:szCs w:val="20"/>
          <w:color w:val="auto"/>
        </w:rPr>
      </w:pPr>
    </w:p>
    <w:p>
      <w:pPr>
        <w:jc w:val="right"/>
        <w:ind w:right="360"/>
        <w:spacing w:after="0"/>
        <w:rPr>
          <w:sz w:val="20"/>
          <w:szCs w:val="20"/>
          <w:color w:val="auto"/>
        </w:rPr>
      </w:pPr>
      <w:r>
        <w:rPr>
          <w:rFonts w:ascii="Arial" w:cs="Arial" w:eastAsia="Arial" w:hAnsi="Arial"/>
          <w:sz w:val="21"/>
          <w:szCs w:val="21"/>
          <w:b w:val="1"/>
          <w:bCs w:val="1"/>
          <w:u w:val="single" w:color="auto"/>
          <w:color w:val="auto"/>
        </w:rPr>
        <w:t>EXHIBITS</w:t>
      </w:r>
    </w:p>
    <w:p>
      <w:pPr>
        <w:spacing w:after="0" w:line="4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AR1</w:t>
      </w:r>
    </w:p>
    <w:p>
      <w:pPr>
        <w:spacing w:after="0" w:line="31" w:lineRule="exact"/>
        <w:rPr>
          <w:sz w:val="20"/>
          <w:szCs w:val="20"/>
          <w:color w:val="auto"/>
        </w:rPr>
      </w:pPr>
    </w:p>
    <w:p>
      <w:pPr>
        <w:ind w:left="840"/>
        <w:spacing w:after="0"/>
        <w:rPr>
          <w:sz w:val="20"/>
          <w:szCs w:val="20"/>
          <w:color w:val="auto"/>
        </w:rPr>
      </w:pPr>
      <w:r>
        <w:rPr>
          <w:rFonts w:ascii="Arial" w:cs="Arial" w:eastAsia="Arial" w:hAnsi="Arial"/>
          <w:sz w:val="22"/>
          <w:szCs w:val="22"/>
          <w:color w:val="auto"/>
        </w:rPr>
        <w:t>A2</w:t>
      </w:r>
    </w:p>
    <w:p>
      <w:pPr>
        <w:spacing w:after="0" w:line="10" w:lineRule="exact"/>
        <w:rPr>
          <w:sz w:val="20"/>
          <w:szCs w:val="20"/>
          <w:color w:val="auto"/>
        </w:rPr>
      </w:pPr>
    </w:p>
    <w:p>
      <w:pPr>
        <w:ind w:left="840"/>
        <w:spacing w:after="0"/>
        <w:rPr>
          <w:sz w:val="20"/>
          <w:szCs w:val="20"/>
          <w:color w:val="auto"/>
        </w:rPr>
      </w:pPr>
      <w:r>
        <w:rPr>
          <w:rFonts w:ascii="Arial" w:cs="Arial" w:eastAsia="Arial" w:hAnsi="Arial"/>
          <w:sz w:val="22"/>
          <w:szCs w:val="22"/>
          <w:color w:val="auto"/>
        </w:rPr>
        <w:t>A3</w:t>
      </w:r>
    </w:p>
    <w:p>
      <w:pPr>
        <w:spacing w:after="0" w:line="4" w:lineRule="exact"/>
        <w:rPr>
          <w:sz w:val="20"/>
          <w:szCs w:val="20"/>
          <w:color w:val="auto"/>
        </w:rPr>
      </w:pPr>
    </w:p>
    <w:p>
      <w:pPr>
        <w:ind w:left="840"/>
        <w:spacing w:after="0"/>
        <w:rPr>
          <w:sz w:val="20"/>
          <w:szCs w:val="20"/>
          <w:color w:val="auto"/>
        </w:rPr>
      </w:pPr>
      <w:r>
        <w:rPr>
          <w:rFonts w:ascii="Arial" w:cs="Arial" w:eastAsia="Arial" w:hAnsi="Arial"/>
          <w:sz w:val="22"/>
          <w:szCs w:val="22"/>
          <w:color w:val="auto"/>
        </w:rPr>
        <w:t>A4</w:t>
      </w:r>
    </w:p>
    <w:p>
      <w:pPr>
        <w:spacing w:after="0" w:line="78" w:lineRule="exact"/>
        <w:rPr>
          <w:sz w:val="20"/>
          <w:szCs w:val="20"/>
          <w:color w:val="auto"/>
        </w:rPr>
      </w:pPr>
    </w:p>
    <w:p>
      <w:pPr>
        <w:ind w:left="860"/>
        <w:spacing w:after="0"/>
        <w:rPr>
          <w:sz w:val="20"/>
          <w:szCs w:val="20"/>
          <w:color w:val="auto"/>
        </w:rPr>
      </w:pPr>
      <w:r>
        <w:rPr>
          <w:rFonts w:ascii="Arial" w:cs="Arial" w:eastAsia="Arial" w:hAnsi="Arial"/>
          <w:sz w:val="22"/>
          <w:szCs w:val="22"/>
          <w:color w:val="auto"/>
        </w:rPr>
        <w:t>B.</w:t>
      </w:r>
    </w:p>
    <w:p>
      <w:pPr>
        <w:spacing w:after="0" w:line="58" w:lineRule="exact"/>
        <w:rPr>
          <w:sz w:val="20"/>
          <w:szCs w:val="20"/>
          <w:color w:val="auto"/>
        </w:rPr>
      </w:pPr>
    </w:p>
    <w:p>
      <w:pPr>
        <w:ind w:left="860"/>
        <w:spacing w:after="0"/>
        <w:rPr>
          <w:sz w:val="20"/>
          <w:szCs w:val="20"/>
          <w:color w:val="auto"/>
        </w:rPr>
      </w:pPr>
      <w:r>
        <w:rPr>
          <w:rFonts w:ascii="Arial" w:cs="Arial" w:eastAsia="Arial" w:hAnsi="Arial"/>
          <w:sz w:val="22"/>
          <w:szCs w:val="22"/>
          <w:color w:val="auto"/>
        </w:rPr>
        <w:t>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Aircraft Information Table</w:t>
      </w:r>
    </w:p>
    <w:p>
      <w:pPr>
        <w:spacing w:after="0" w:line="31" w:lineRule="exact"/>
        <w:rPr>
          <w:sz w:val="20"/>
          <w:szCs w:val="20"/>
          <w:color w:val="auto"/>
        </w:rPr>
      </w:pPr>
    </w:p>
    <w:p>
      <w:pPr>
        <w:spacing w:after="0"/>
        <w:rPr>
          <w:sz w:val="20"/>
          <w:szCs w:val="20"/>
          <w:color w:val="auto"/>
        </w:rPr>
      </w:pPr>
      <w:r>
        <w:rPr>
          <w:rFonts w:ascii="Consolas" w:cs="Consolas" w:eastAsia="Consolas" w:hAnsi="Consolas"/>
          <w:sz w:val="19"/>
          <w:szCs w:val="19"/>
          <w:color w:val="auto"/>
        </w:rPr>
        <w:t xml:space="preserve">[****] </w:t>
      </w:r>
      <w:r>
        <w:rPr>
          <w:rFonts w:ascii="Arial" w:cs="Arial" w:eastAsia="Arial" w:hAnsi="Arial"/>
          <w:sz w:val="21"/>
          <w:szCs w:val="21"/>
          <w:color w:val="auto"/>
        </w:rPr>
        <w:t>Aircraft Information Table</w:t>
      </w:r>
    </w:p>
    <w:p>
      <w:pPr>
        <w:spacing w:after="0" w:line="20" w:lineRule="exact"/>
        <w:rPr>
          <w:sz w:val="20"/>
          <w:szCs w:val="20"/>
          <w:color w:val="auto"/>
        </w:rPr>
      </w:pPr>
    </w:p>
    <w:p>
      <w:pPr>
        <w:ind w:right="160"/>
        <w:spacing w:after="0" w:line="284" w:lineRule="auto"/>
        <w:rPr>
          <w:sz w:val="20"/>
          <w:szCs w:val="20"/>
          <w:color w:val="auto"/>
        </w:rPr>
      </w:pPr>
      <w:r>
        <w:rPr>
          <w:rFonts w:ascii="Consolas" w:cs="Consolas" w:eastAsia="Consolas" w:hAnsi="Consolas"/>
          <w:sz w:val="19"/>
          <w:szCs w:val="19"/>
          <w:color w:val="auto"/>
        </w:rPr>
        <w:t xml:space="preserve">[****] </w:t>
      </w:r>
      <w:r>
        <w:rPr>
          <w:rFonts w:ascii="Arial" w:cs="Arial" w:eastAsia="Arial" w:hAnsi="Arial"/>
          <w:sz w:val="21"/>
          <w:szCs w:val="21"/>
          <w:color w:val="auto"/>
        </w:rPr>
        <w:t>Aircraft Delivery, Description, Price, and Advance Payments</w:t>
      </w:r>
      <w:r>
        <w:rPr>
          <w:rFonts w:ascii="Consolas" w:cs="Consolas" w:eastAsia="Consolas" w:hAnsi="Consolas"/>
          <w:sz w:val="19"/>
          <w:szCs w:val="19"/>
          <w:color w:val="auto"/>
        </w:rPr>
        <w:t xml:space="preserve"> </w:t>
      </w:r>
      <w:r>
        <w:rPr>
          <w:rFonts w:ascii="Arial" w:cs="Arial" w:eastAsia="Arial" w:hAnsi="Arial"/>
          <w:sz w:val="21"/>
          <w:szCs w:val="21"/>
          <w:color w:val="auto"/>
        </w:rPr>
        <w:t xml:space="preserve">737-8 </w:t>
      </w:r>
      <w:r>
        <w:rPr>
          <w:rFonts w:ascii="Consolas" w:cs="Consolas" w:eastAsia="Consolas" w:hAnsi="Consolas"/>
          <w:sz w:val="18"/>
          <w:szCs w:val="18"/>
          <w:color w:val="auto"/>
        </w:rPr>
        <w:t>[****]</w:t>
      </w:r>
      <w:r>
        <w:rPr>
          <w:rFonts w:ascii="Arial" w:cs="Arial" w:eastAsia="Arial" w:hAnsi="Arial"/>
          <w:sz w:val="21"/>
          <w:szCs w:val="21"/>
          <w:color w:val="auto"/>
        </w:rPr>
        <w:t xml:space="preserve"> Aircraft Delivery, Description, Price, and Advance Payments </w:t>
      </w:r>
      <w:r>
        <w:rPr>
          <w:rFonts w:ascii="Consolas" w:cs="Consolas" w:eastAsia="Consolas" w:hAnsi="Consolas"/>
          <w:sz w:val="18"/>
          <w:szCs w:val="18"/>
          <w:color w:val="auto"/>
        </w:rPr>
        <w:t xml:space="preserve">[****] </w:t>
      </w:r>
      <w:r>
        <w:rPr>
          <w:rFonts w:ascii="Arial" w:cs="Arial" w:eastAsia="Arial" w:hAnsi="Arial"/>
          <w:sz w:val="21"/>
          <w:szCs w:val="21"/>
          <w:color w:val="auto"/>
        </w:rPr>
        <w:t>737-8</w:t>
      </w:r>
      <w:r>
        <w:rPr>
          <w:rFonts w:ascii="Consolas" w:cs="Consolas" w:eastAsia="Consolas" w:hAnsi="Consolas"/>
          <w:sz w:val="18"/>
          <w:szCs w:val="18"/>
          <w:color w:val="auto"/>
        </w:rPr>
        <w:t xml:space="preserve"> [****] </w:t>
      </w:r>
      <w:r>
        <w:rPr>
          <w:rFonts w:ascii="Arial" w:cs="Arial" w:eastAsia="Arial" w:hAnsi="Arial"/>
          <w:sz w:val="21"/>
          <w:szCs w:val="21"/>
          <w:color w:val="auto"/>
        </w:rPr>
        <w:t>Aircraft Delivery, Description, Price, and Advance</w:t>
      </w:r>
      <w:r>
        <w:rPr>
          <w:rFonts w:ascii="Consolas" w:cs="Consolas" w:eastAsia="Consolas" w:hAnsi="Consolas"/>
          <w:sz w:val="18"/>
          <w:szCs w:val="18"/>
          <w:color w:val="auto"/>
        </w:rPr>
        <w:t xml:space="preserve"> </w:t>
      </w:r>
      <w:r>
        <w:rPr>
          <w:rFonts w:ascii="Arial" w:cs="Arial" w:eastAsia="Arial" w:hAnsi="Arial"/>
          <w:sz w:val="21"/>
          <w:szCs w:val="21"/>
          <w:color w:val="auto"/>
        </w:rPr>
        <w:t>Payments</w:t>
      </w:r>
    </w:p>
    <w:p>
      <w:pPr>
        <w:spacing w:after="0" w:line="236" w:lineRule="exact"/>
        <w:rPr>
          <w:sz w:val="20"/>
          <w:szCs w:val="20"/>
          <w:color w:val="auto"/>
        </w:rPr>
      </w:pPr>
    </w:p>
    <w:p>
      <w:pPr>
        <w:spacing w:after="0"/>
        <w:rPr>
          <w:sz w:val="20"/>
          <w:szCs w:val="20"/>
          <w:color w:val="auto"/>
        </w:rPr>
      </w:pPr>
      <w:r>
        <w:rPr>
          <w:rFonts w:ascii="Consolas" w:cs="Consolas" w:eastAsia="Consolas" w:hAnsi="Consolas"/>
          <w:sz w:val="19"/>
          <w:szCs w:val="19"/>
          <w:color w:val="auto"/>
        </w:rPr>
        <w:t xml:space="preserve">[****] </w:t>
      </w:r>
      <w:r>
        <w:rPr>
          <w:rFonts w:ascii="Arial" w:cs="Arial" w:eastAsia="Arial" w:hAnsi="Arial"/>
          <w:sz w:val="21"/>
          <w:szCs w:val="21"/>
          <w:color w:val="auto"/>
        </w:rPr>
        <w:t>Aircraft Delivery, Description, Price, and Advance Payments</w:t>
      </w:r>
    </w:p>
    <w:p>
      <w:pPr>
        <w:spacing w:after="0" w:line="14" w:lineRule="exact"/>
        <w:rPr>
          <w:sz w:val="20"/>
          <w:szCs w:val="20"/>
          <w:color w:val="auto"/>
        </w:rPr>
      </w:pPr>
    </w:p>
    <w:p>
      <w:pPr>
        <w:spacing w:after="0"/>
        <w:rPr>
          <w:sz w:val="20"/>
          <w:szCs w:val="20"/>
          <w:color w:val="auto"/>
        </w:rPr>
      </w:pPr>
      <w:r>
        <w:rPr>
          <w:rFonts w:ascii="Consolas" w:cs="Consolas" w:eastAsia="Consolas" w:hAnsi="Consolas"/>
          <w:sz w:val="19"/>
          <w:szCs w:val="19"/>
          <w:color w:val="auto"/>
        </w:rPr>
        <w:t xml:space="preserve">[****] </w:t>
      </w:r>
      <w:r>
        <w:rPr>
          <w:rFonts w:ascii="Arial" w:cs="Arial" w:eastAsia="Arial" w:hAnsi="Arial"/>
          <w:sz w:val="21"/>
          <w:szCs w:val="21"/>
          <w:color w:val="auto"/>
        </w:rPr>
        <w:t>Aircraft Delivery, Description, Price, and Advance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color w:val="auto"/>
        </w:rPr>
        <w:t>Aircraft Configuration</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Revised Delivery Aircraft Configuration</w:t>
      </w:r>
    </w:p>
    <w:p>
      <w:pPr>
        <w:spacing w:after="0" w:line="10" w:lineRule="exact"/>
        <w:rPr>
          <w:sz w:val="20"/>
          <w:szCs w:val="20"/>
          <w:color w:val="auto"/>
        </w:rPr>
      </w:pPr>
    </w:p>
    <w:p>
      <w:pPr>
        <w:spacing w:after="0"/>
        <w:rPr>
          <w:sz w:val="20"/>
          <w:szCs w:val="20"/>
          <w:color w:val="auto"/>
        </w:rPr>
      </w:pPr>
      <w:r>
        <w:rPr>
          <w:rFonts w:ascii="Consolas" w:cs="Consolas" w:eastAsia="Consolas" w:hAnsi="Consolas"/>
          <w:sz w:val="19"/>
          <w:szCs w:val="19"/>
          <w:color w:val="auto"/>
        </w:rPr>
        <w:t xml:space="preserve">[****] </w:t>
      </w:r>
      <w:r>
        <w:rPr>
          <w:rFonts w:ascii="Arial" w:cs="Arial" w:eastAsia="Arial" w:hAnsi="Arial"/>
          <w:sz w:val="21"/>
          <w:szCs w:val="21"/>
          <w:color w:val="auto"/>
        </w:rPr>
        <w:t>Delivery Aircraft Configuration</w:t>
      </w:r>
    </w:p>
    <w:p>
      <w:pPr>
        <w:spacing w:after="0" w:line="14" w:lineRule="exact"/>
        <w:rPr>
          <w:sz w:val="20"/>
          <w:szCs w:val="20"/>
          <w:color w:val="auto"/>
        </w:rPr>
      </w:pPr>
    </w:p>
    <w:p>
      <w:pPr>
        <w:spacing w:after="0"/>
        <w:rPr>
          <w:sz w:val="20"/>
          <w:szCs w:val="20"/>
          <w:color w:val="auto"/>
        </w:rPr>
      </w:pPr>
      <w:r>
        <w:rPr>
          <w:rFonts w:ascii="Consolas" w:cs="Consolas" w:eastAsia="Consolas" w:hAnsi="Consolas"/>
          <w:sz w:val="19"/>
          <w:szCs w:val="19"/>
          <w:color w:val="auto"/>
        </w:rPr>
        <w:t xml:space="preserve">[****] </w:t>
      </w:r>
      <w:r>
        <w:rPr>
          <w:rFonts w:ascii="Arial" w:cs="Arial" w:eastAsia="Arial" w:hAnsi="Arial"/>
          <w:sz w:val="21"/>
          <w:szCs w:val="21"/>
          <w:color w:val="auto"/>
        </w:rPr>
        <w:t>Aircraft Configuration</w:t>
      </w:r>
    </w:p>
    <w:p>
      <w:pPr>
        <w:spacing w:after="0" w:line="47" w:lineRule="exact"/>
        <w:rPr>
          <w:sz w:val="20"/>
          <w:szCs w:val="20"/>
          <w:color w:val="auto"/>
        </w:rPr>
      </w:pPr>
    </w:p>
    <w:p>
      <w:pPr>
        <w:ind w:right="2280"/>
        <w:spacing w:after="0" w:line="294" w:lineRule="auto"/>
        <w:rPr>
          <w:sz w:val="20"/>
          <w:szCs w:val="20"/>
          <w:color w:val="auto"/>
        </w:rPr>
      </w:pPr>
      <w:r>
        <w:rPr>
          <w:rFonts w:ascii="Arial" w:cs="Arial" w:eastAsia="Arial" w:hAnsi="Arial"/>
          <w:sz w:val="22"/>
          <w:szCs w:val="22"/>
          <w:color w:val="auto"/>
        </w:rPr>
        <w:t>Aircraft Delivery Requirements and Responsibilities Definitions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19</w:t>
      </w:r>
    </w:p>
    <w:p>
      <w:pPr>
        <w:spacing w:after="0" w:line="42" w:lineRule="exact"/>
        <w:rPr>
          <w:sz w:val="20"/>
          <w:szCs w:val="20"/>
          <w:color w:val="auto"/>
        </w:rPr>
      </w:pPr>
    </w:p>
    <w:p>
      <w:pPr>
        <w:spacing w:after="0"/>
        <w:rPr>
          <w:sz w:val="20"/>
          <w:szCs w:val="20"/>
          <w:color w:val="auto"/>
        </w:rPr>
      </w:pPr>
      <w:r>
        <w:rPr>
          <w:rFonts w:ascii="Arial" w:cs="Arial" w:eastAsia="Arial" w:hAnsi="Arial"/>
          <w:sz w:val="21"/>
          <w:szCs w:val="21"/>
          <w:color w:val="auto"/>
        </w:rPr>
        <w:t>32</w:t>
      </w:r>
    </w:p>
    <w:p>
      <w:pPr>
        <w:spacing w:after="0" w:line="22" w:lineRule="exact"/>
        <w:rPr>
          <w:sz w:val="20"/>
          <w:szCs w:val="20"/>
          <w:color w:val="auto"/>
        </w:rPr>
      </w:pPr>
    </w:p>
    <w:p>
      <w:pPr>
        <w:spacing w:after="0"/>
        <w:rPr>
          <w:sz w:val="20"/>
          <w:szCs w:val="20"/>
          <w:color w:val="auto"/>
        </w:rPr>
      </w:pPr>
      <w:r>
        <w:rPr>
          <w:rFonts w:ascii="Arial" w:cs="Arial" w:eastAsia="Arial" w:hAnsi="Arial"/>
          <w:sz w:val="21"/>
          <w:szCs w:val="21"/>
          <w:color w:val="auto"/>
        </w:rPr>
        <w:t>19</w:t>
      </w:r>
    </w:p>
    <w:p>
      <w:pPr>
        <w:spacing w:after="0" w:line="238" w:lineRule="exact"/>
        <w:rPr>
          <w:sz w:val="20"/>
          <w:szCs w:val="20"/>
          <w:color w:val="auto"/>
        </w:rPr>
      </w:pPr>
    </w:p>
    <w:p>
      <w:pPr>
        <w:spacing w:after="0"/>
        <w:rPr>
          <w:sz w:val="20"/>
          <w:szCs w:val="20"/>
          <w:color w:val="auto"/>
        </w:rPr>
      </w:pPr>
      <w:r>
        <w:rPr>
          <w:rFonts w:ascii="Arial" w:cs="Arial" w:eastAsia="Arial" w:hAnsi="Arial"/>
          <w:sz w:val="21"/>
          <w:szCs w:val="21"/>
          <w:color w:val="auto"/>
        </w:rPr>
        <w:t>29</w:t>
      </w:r>
    </w:p>
    <w:p>
      <w:pPr>
        <w:spacing w:after="0" w:line="258" w:lineRule="exact"/>
        <w:rPr>
          <w:sz w:val="20"/>
          <w:szCs w:val="20"/>
          <w:color w:val="auto"/>
        </w:rPr>
      </w:pPr>
    </w:p>
    <w:p>
      <w:pPr>
        <w:spacing w:after="0"/>
        <w:rPr>
          <w:sz w:val="20"/>
          <w:szCs w:val="20"/>
          <w:color w:val="auto"/>
        </w:rPr>
      </w:pPr>
      <w:r>
        <w:rPr>
          <w:rFonts w:ascii="Arial" w:cs="Arial" w:eastAsia="Arial" w:hAnsi="Arial"/>
          <w:sz w:val="21"/>
          <w:szCs w:val="21"/>
          <w:color w:val="auto"/>
        </w:rPr>
        <w:t>32</w:t>
      </w:r>
    </w:p>
    <w:p>
      <w:pPr>
        <w:spacing w:after="0" w:line="258" w:lineRule="exact"/>
        <w:rPr>
          <w:sz w:val="20"/>
          <w:szCs w:val="20"/>
          <w:color w:val="auto"/>
        </w:rPr>
      </w:pPr>
    </w:p>
    <w:p>
      <w:pPr>
        <w:spacing w:after="0"/>
        <w:rPr>
          <w:sz w:val="20"/>
          <w:szCs w:val="20"/>
          <w:color w:val="auto"/>
        </w:rPr>
      </w:pPr>
      <w:r>
        <w:rPr>
          <w:rFonts w:ascii="Arial" w:cs="Arial" w:eastAsia="Arial" w:hAnsi="Arial"/>
          <w:sz w:val="21"/>
          <w:szCs w:val="21"/>
          <w:color w:val="auto"/>
        </w:rPr>
        <w:t>32</w:t>
      </w:r>
    </w:p>
    <w:p>
      <w:pPr>
        <w:spacing w:after="0" w:line="272" w:lineRule="exact"/>
        <w:rPr>
          <w:sz w:val="20"/>
          <w:szCs w:val="20"/>
          <w:color w:val="auto"/>
        </w:rPr>
      </w:pPr>
    </w:p>
    <w:p>
      <w:pPr>
        <w:spacing w:after="0"/>
        <w:rPr>
          <w:sz w:val="20"/>
          <w:szCs w:val="20"/>
          <w:color w:val="auto"/>
        </w:rPr>
      </w:pPr>
      <w:r>
        <w:rPr>
          <w:rFonts w:ascii="Arial" w:cs="Arial" w:eastAsia="Arial" w:hAnsi="Arial"/>
          <w:sz w:val="21"/>
          <w:szCs w:val="21"/>
          <w:color w:val="auto"/>
        </w:rPr>
        <w:t>32</w:t>
      </w:r>
    </w:p>
    <w:p>
      <w:pPr>
        <w:spacing w:after="0" w:line="326" w:lineRule="exact"/>
        <w:rPr>
          <w:sz w:val="20"/>
          <w:szCs w:val="20"/>
          <w:color w:val="auto"/>
        </w:rPr>
      </w:pPr>
    </w:p>
    <w:p>
      <w:pPr>
        <w:ind w:left="60"/>
        <w:spacing w:after="0"/>
        <w:rPr>
          <w:sz w:val="20"/>
          <w:szCs w:val="20"/>
          <w:color w:val="auto"/>
        </w:rPr>
      </w:pPr>
      <w:r>
        <w:rPr>
          <w:rFonts w:ascii="Arial" w:cs="Arial" w:eastAsia="Arial" w:hAnsi="Arial"/>
          <w:sz w:val="22"/>
          <w:szCs w:val="22"/>
          <w:color w:val="auto"/>
        </w:rPr>
        <w:t>6</w:t>
      </w:r>
    </w:p>
    <w:p>
      <w:pPr>
        <w:spacing w:after="0" w:line="31" w:lineRule="exact"/>
        <w:rPr>
          <w:sz w:val="20"/>
          <w:szCs w:val="20"/>
          <w:color w:val="auto"/>
        </w:rPr>
      </w:pPr>
    </w:p>
    <w:p>
      <w:pPr>
        <w:ind w:left="60"/>
        <w:spacing w:after="0"/>
        <w:rPr>
          <w:sz w:val="20"/>
          <w:szCs w:val="20"/>
          <w:color w:val="auto"/>
        </w:rPr>
      </w:pPr>
      <w:r>
        <w:rPr>
          <w:rFonts w:ascii="Arial" w:cs="Arial" w:eastAsia="Arial" w:hAnsi="Arial"/>
          <w:sz w:val="22"/>
          <w:szCs w:val="22"/>
          <w:color w:val="auto"/>
        </w:rPr>
        <w:t>9</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color w:val="auto"/>
        </w:rPr>
        <w:t>29</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32</w:t>
      </w:r>
    </w:p>
    <w:p>
      <w:pPr>
        <w:spacing w:after="0" w:line="683" w:lineRule="exact"/>
        <w:rPr>
          <w:sz w:val="20"/>
          <w:szCs w:val="20"/>
          <w:color w:val="auto"/>
        </w:rPr>
      </w:pPr>
    </w:p>
    <w:p>
      <w:pPr>
        <w:sectPr>
          <w:pgSz w:w="11900" w:h="16838" w:orient="portrait"/>
          <w:cols w:equalWidth="0" w:num="3">
            <w:col w:w="1520" w:space="720"/>
            <w:col w:w="7180" w:space="720"/>
            <w:col w:w="600"/>
          </w:cols>
          <w:pgMar w:left="560" w:top="1340" w:right="599" w:bottom="1440" w:gutter="0" w:footer="0" w:header="0"/>
          <w:type w:val="continuous"/>
        </w:sectPr>
      </w:pPr>
    </w:p>
    <w:p>
      <w:pPr>
        <w:ind w:left="260"/>
        <w:spacing w:after="0"/>
        <w:rPr>
          <w:sz w:val="20"/>
          <w:szCs w:val="20"/>
          <w:color w:val="auto"/>
        </w:rPr>
      </w:pPr>
      <w:r>
        <w:rPr>
          <w:rFonts w:ascii="Arial" w:cs="Arial" w:eastAsia="Arial" w:hAnsi="Arial"/>
          <w:sz w:val="22"/>
          <w:szCs w:val="22"/>
          <w:b w:val="1"/>
          <w:bCs w:val="1"/>
          <w:u w:val="single" w:color="auto"/>
          <w:color w:val="auto"/>
        </w:rPr>
        <w:t>SUPPLEMENTAL EXHIBITS</w:t>
      </w:r>
    </w:p>
    <w:p>
      <w:pPr>
        <w:spacing w:after="0" w:line="43" w:lineRule="exact"/>
        <w:rPr>
          <w:sz w:val="20"/>
          <w:szCs w:val="20"/>
          <w:color w:val="auto"/>
        </w:rPr>
      </w:pPr>
    </w:p>
    <w:tbl>
      <w:tblPr>
        <w:tblLayout w:type="fixed"/>
        <w:tblInd w:w="600" w:type="dxa"/>
        <w:tblCellMar>
          <w:top w:w="0" w:type="dxa"/>
          <w:left w:w="0" w:type="dxa"/>
          <w:bottom w:w="0" w:type="dxa"/>
          <w:right w:w="0" w:type="dxa"/>
        </w:tblCellMar>
      </w:tblPr>
      <w:tr>
        <w:trPr>
          <w:trHeight w:val="285"/>
        </w:trPr>
        <w:tc>
          <w:tcPr>
            <w:tcW w:w="1200" w:type="dxa"/>
            <w:vAlign w:val="bottom"/>
          </w:tcPr>
          <w:p>
            <w:pPr>
              <w:jc w:val="center"/>
              <w:ind w:right="352"/>
              <w:spacing w:after="0"/>
              <w:rPr>
                <w:sz w:val="20"/>
                <w:szCs w:val="20"/>
                <w:color w:val="auto"/>
              </w:rPr>
            </w:pPr>
            <w:r>
              <w:rPr>
                <w:rFonts w:ascii="Arial" w:cs="Arial" w:eastAsia="Arial" w:hAnsi="Arial"/>
                <w:sz w:val="22"/>
                <w:szCs w:val="22"/>
                <w:color w:val="auto"/>
                <w:w w:val="96"/>
              </w:rPr>
              <w:t>AE1.</w:t>
            </w:r>
          </w:p>
        </w:tc>
        <w:tc>
          <w:tcPr>
            <w:tcW w:w="3500" w:type="dxa"/>
            <w:vAlign w:val="bottom"/>
          </w:tcPr>
          <w:p>
            <w:pPr>
              <w:ind w:left="440"/>
              <w:spacing w:after="0"/>
              <w:rPr>
                <w:sz w:val="20"/>
                <w:szCs w:val="20"/>
                <w:color w:val="auto"/>
              </w:rPr>
            </w:pPr>
            <w:r>
              <w:rPr>
                <w:rFonts w:ascii="Consolas" w:cs="Consolas" w:eastAsia="Consolas" w:hAnsi="Consolas"/>
                <w:sz w:val="19"/>
                <w:szCs w:val="19"/>
                <w:color w:val="auto"/>
              </w:rPr>
              <w:t>[****]</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200" w:type="dxa"/>
            <w:vAlign w:val="bottom"/>
          </w:tcPr>
          <w:p>
            <w:pPr>
              <w:jc w:val="center"/>
              <w:ind w:right="372"/>
              <w:spacing w:after="0"/>
              <w:rPr>
                <w:sz w:val="20"/>
                <w:szCs w:val="20"/>
                <w:color w:val="auto"/>
              </w:rPr>
            </w:pPr>
            <w:r>
              <w:rPr>
                <w:rFonts w:ascii="Arial" w:cs="Arial" w:eastAsia="Arial" w:hAnsi="Arial"/>
                <w:sz w:val="22"/>
                <w:szCs w:val="22"/>
                <w:color w:val="auto"/>
                <w:w w:val="98"/>
              </w:rPr>
              <w:t>BFE1.</w:t>
            </w:r>
          </w:p>
        </w:tc>
        <w:tc>
          <w:tcPr>
            <w:tcW w:w="3500" w:type="dxa"/>
            <w:vAlign w:val="bottom"/>
          </w:tcPr>
          <w:p>
            <w:pPr>
              <w:ind w:left="440"/>
              <w:spacing w:after="0"/>
              <w:rPr>
                <w:sz w:val="20"/>
                <w:szCs w:val="20"/>
                <w:color w:val="auto"/>
              </w:rPr>
            </w:pPr>
            <w:r>
              <w:rPr>
                <w:rFonts w:ascii="Arial" w:cs="Arial" w:eastAsia="Arial" w:hAnsi="Arial"/>
                <w:sz w:val="22"/>
                <w:szCs w:val="22"/>
                <w:color w:val="auto"/>
              </w:rPr>
              <w:t xml:space="preserve">BFE Variables – </w:t>
            </w:r>
            <w:r>
              <w:rPr>
                <w:rFonts w:ascii="Consolas" w:cs="Consolas" w:eastAsia="Consolas" w:hAnsi="Consolas"/>
                <w:sz w:val="18"/>
                <w:szCs w:val="18"/>
                <w:color w:val="auto"/>
              </w:rPr>
              <w:t>[****]</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200" w:type="dxa"/>
            <w:vAlign w:val="bottom"/>
          </w:tcPr>
          <w:p>
            <w:pPr>
              <w:jc w:val="center"/>
              <w:ind w:right="372"/>
              <w:spacing w:after="0"/>
              <w:rPr>
                <w:sz w:val="20"/>
                <w:szCs w:val="20"/>
                <w:color w:val="auto"/>
              </w:rPr>
            </w:pPr>
            <w:r>
              <w:rPr>
                <w:rFonts w:ascii="Arial" w:cs="Arial" w:eastAsia="Arial" w:hAnsi="Arial"/>
                <w:sz w:val="22"/>
                <w:szCs w:val="22"/>
                <w:color w:val="auto"/>
                <w:w w:val="98"/>
              </w:rPr>
              <w:t>BFE2.</w:t>
            </w:r>
          </w:p>
        </w:tc>
        <w:tc>
          <w:tcPr>
            <w:tcW w:w="3500" w:type="dxa"/>
            <w:vAlign w:val="bottom"/>
          </w:tcPr>
          <w:p>
            <w:pPr>
              <w:ind w:left="440"/>
              <w:spacing w:after="0"/>
              <w:rPr>
                <w:sz w:val="20"/>
                <w:szCs w:val="20"/>
                <w:color w:val="auto"/>
              </w:rPr>
            </w:pPr>
            <w:r>
              <w:rPr>
                <w:rFonts w:ascii="Arial" w:cs="Arial" w:eastAsia="Arial" w:hAnsi="Arial"/>
                <w:sz w:val="22"/>
                <w:szCs w:val="22"/>
                <w:color w:val="auto"/>
              </w:rPr>
              <w:t xml:space="preserve">BFE Variables – </w:t>
            </w:r>
            <w:r>
              <w:rPr>
                <w:rFonts w:ascii="Consolas" w:cs="Consolas" w:eastAsia="Consolas" w:hAnsi="Consolas"/>
                <w:sz w:val="18"/>
                <w:szCs w:val="18"/>
                <w:color w:val="auto"/>
              </w:rPr>
              <w:t>[****]</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00" w:type="dxa"/>
            <w:vAlign w:val="bottom"/>
          </w:tcPr>
          <w:p>
            <w:pPr>
              <w:jc w:val="center"/>
              <w:ind w:right="352"/>
              <w:spacing w:after="0"/>
              <w:rPr>
                <w:sz w:val="20"/>
                <w:szCs w:val="20"/>
                <w:color w:val="auto"/>
              </w:rPr>
            </w:pPr>
            <w:r>
              <w:rPr>
                <w:rFonts w:ascii="Arial" w:cs="Arial" w:eastAsia="Arial" w:hAnsi="Arial"/>
                <w:sz w:val="22"/>
                <w:szCs w:val="22"/>
                <w:color w:val="auto"/>
                <w:w w:val="96"/>
              </w:rPr>
              <w:t>CS1R1.</w:t>
            </w:r>
          </w:p>
        </w:tc>
        <w:tc>
          <w:tcPr>
            <w:tcW w:w="3500" w:type="dxa"/>
            <w:vAlign w:val="bottom"/>
          </w:tcPr>
          <w:p>
            <w:pPr>
              <w:ind w:left="440"/>
              <w:spacing w:after="0"/>
              <w:rPr>
                <w:sz w:val="20"/>
                <w:szCs w:val="20"/>
                <w:color w:val="auto"/>
              </w:rPr>
            </w:pPr>
            <w:r>
              <w:rPr>
                <w:rFonts w:ascii="Arial" w:cs="Arial" w:eastAsia="Arial" w:hAnsi="Arial"/>
                <w:sz w:val="22"/>
                <w:szCs w:val="22"/>
                <w:color w:val="auto"/>
              </w:rPr>
              <w:t>Customer Support Variables</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200" w:type="dxa"/>
            <w:vAlign w:val="bottom"/>
          </w:tcPr>
          <w:p>
            <w:pPr>
              <w:jc w:val="center"/>
              <w:ind w:right="352"/>
              <w:spacing w:after="0"/>
              <w:rPr>
                <w:sz w:val="20"/>
                <w:szCs w:val="20"/>
                <w:color w:val="auto"/>
              </w:rPr>
            </w:pPr>
            <w:r>
              <w:rPr>
                <w:rFonts w:ascii="Arial" w:cs="Arial" w:eastAsia="Arial" w:hAnsi="Arial"/>
                <w:sz w:val="22"/>
                <w:szCs w:val="22"/>
                <w:color w:val="auto"/>
                <w:w w:val="96"/>
              </w:rPr>
              <w:t>CS1-2.</w:t>
            </w:r>
          </w:p>
        </w:tc>
        <w:tc>
          <w:tcPr>
            <w:tcW w:w="4840" w:type="dxa"/>
            <w:vAlign w:val="bottom"/>
            <w:gridSpan w:val="2"/>
          </w:tcPr>
          <w:p>
            <w:pPr>
              <w:ind w:left="440"/>
              <w:spacing w:after="0"/>
              <w:rPr>
                <w:sz w:val="20"/>
                <w:szCs w:val="20"/>
                <w:color w:val="auto"/>
              </w:rPr>
            </w:pPr>
            <w:r>
              <w:rPr>
                <w:rFonts w:ascii="Arial" w:cs="Arial" w:eastAsia="Arial" w:hAnsi="Arial"/>
                <w:sz w:val="22"/>
                <w:szCs w:val="22"/>
                <w:color w:val="auto"/>
              </w:rPr>
              <w:t xml:space="preserve">Customer Support Variables </w:t>
            </w:r>
            <w:r>
              <w:rPr>
                <w:rFonts w:ascii="Consolas" w:cs="Consolas" w:eastAsia="Consolas" w:hAnsi="Consolas"/>
                <w:sz w:val="18"/>
                <w:szCs w:val="18"/>
                <w:color w:val="auto"/>
              </w:rPr>
              <w:t>[****]</w:t>
            </w:r>
          </w:p>
        </w:tc>
        <w:tc>
          <w:tcPr>
            <w:tcW w:w="0" w:type="dxa"/>
            <w:vAlign w:val="bottom"/>
          </w:tcPr>
          <w:p>
            <w:pPr>
              <w:spacing w:after="0"/>
              <w:rPr>
                <w:sz w:val="1"/>
                <w:szCs w:val="1"/>
                <w:color w:val="auto"/>
              </w:rPr>
            </w:pPr>
          </w:p>
        </w:tc>
      </w:tr>
      <w:tr>
        <w:trPr>
          <w:trHeight w:val="256"/>
        </w:trPr>
        <w:tc>
          <w:tcPr>
            <w:tcW w:w="1200" w:type="dxa"/>
            <w:vAlign w:val="bottom"/>
          </w:tcPr>
          <w:p>
            <w:pPr>
              <w:jc w:val="center"/>
              <w:ind w:right="352"/>
              <w:spacing w:after="0"/>
              <w:rPr>
                <w:sz w:val="20"/>
                <w:szCs w:val="20"/>
                <w:color w:val="auto"/>
              </w:rPr>
            </w:pPr>
            <w:r>
              <w:rPr>
                <w:rFonts w:ascii="Arial" w:cs="Arial" w:eastAsia="Arial" w:hAnsi="Arial"/>
                <w:sz w:val="22"/>
                <w:szCs w:val="22"/>
                <w:color w:val="auto"/>
                <w:w w:val="96"/>
              </w:rPr>
              <w:t>EE1.</w:t>
            </w:r>
          </w:p>
        </w:tc>
        <w:tc>
          <w:tcPr>
            <w:tcW w:w="3500" w:type="dxa"/>
            <w:vAlign w:val="bottom"/>
          </w:tcPr>
          <w:p>
            <w:pPr>
              <w:ind w:left="440"/>
              <w:spacing w:after="0"/>
              <w:rPr>
                <w:sz w:val="20"/>
                <w:szCs w:val="20"/>
                <w:color w:val="auto"/>
              </w:rPr>
            </w:pPr>
            <w:r>
              <w:rPr>
                <w:rFonts w:ascii="Consolas" w:cs="Consolas" w:eastAsia="Consolas" w:hAnsi="Consolas"/>
                <w:sz w:val="19"/>
                <w:szCs w:val="19"/>
                <w:color w:val="auto"/>
              </w:rPr>
              <w:t>[****]</w:t>
            </w: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1200" w:type="dxa"/>
            <w:vAlign w:val="bottom"/>
            <w:vMerge w:val="restart"/>
          </w:tcPr>
          <w:p>
            <w:pPr>
              <w:jc w:val="center"/>
              <w:ind w:right="352"/>
              <w:spacing w:after="0"/>
              <w:rPr>
                <w:sz w:val="20"/>
                <w:szCs w:val="20"/>
                <w:color w:val="auto"/>
              </w:rPr>
            </w:pPr>
            <w:r>
              <w:rPr>
                <w:rFonts w:ascii="Arial" w:cs="Arial" w:eastAsia="Arial" w:hAnsi="Arial"/>
                <w:sz w:val="22"/>
                <w:szCs w:val="22"/>
                <w:color w:val="auto"/>
                <w:w w:val="98"/>
              </w:rPr>
              <w:t>EE1-2.</w:t>
            </w:r>
          </w:p>
        </w:tc>
        <w:tc>
          <w:tcPr>
            <w:tcW w:w="3500" w:type="dxa"/>
            <w:vAlign w:val="bottom"/>
          </w:tcPr>
          <w:p>
            <w:pPr>
              <w:ind w:left="440"/>
              <w:spacing w:after="0"/>
              <w:rPr>
                <w:sz w:val="20"/>
                <w:szCs w:val="20"/>
                <w:color w:val="auto"/>
              </w:rPr>
            </w:pPr>
            <w:r>
              <w:rPr>
                <w:rFonts w:ascii="Consolas" w:cs="Consolas" w:eastAsia="Consolas" w:hAnsi="Consolas"/>
                <w:sz w:val="19"/>
                <w:szCs w:val="19"/>
                <w:color w:val="auto"/>
              </w:rPr>
              <w:t>[****]</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1200" w:type="dxa"/>
            <w:vAlign w:val="bottom"/>
            <w:vMerge w:val="continue"/>
          </w:tcPr>
          <w:p>
            <w:pPr>
              <w:spacing w:after="0"/>
              <w:rPr>
                <w:sz w:val="9"/>
                <w:szCs w:val="9"/>
                <w:color w:val="auto"/>
              </w:rPr>
            </w:pPr>
          </w:p>
        </w:tc>
        <w:tc>
          <w:tcPr>
            <w:tcW w:w="3500" w:type="dxa"/>
            <w:vAlign w:val="bottom"/>
            <w:vMerge w:val="restart"/>
          </w:tcPr>
          <w:p>
            <w:pPr>
              <w:ind w:left="440"/>
              <w:spacing w:after="0"/>
              <w:rPr>
                <w:sz w:val="20"/>
                <w:szCs w:val="20"/>
                <w:color w:val="auto"/>
              </w:rPr>
            </w:pPr>
            <w:r>
              <w:rPr>
                <w:rFonts w:ascii="Consolas" w:cs="Consolas" w:eastAsia="Consolas" w:hAnsi="Consolas"/>
                <w:sz w:val="19"/>
                <w:szCs w:val="19"/>
                <w:color w:val="auto"/>
              </w:rPr>
              <w:t>[****]</w:t>
            </w: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7"/>
        </w:trPr>
        <w:tc>
          <w:tcPr>
            <w:tcW w:w="1200" w:type="dxa"/>
            <w:vAlign w:val="bottom"/>
          </w:tcPr>
          <w:p>
            <w:pPr>
              <w:jc w:val="center"/>
              <w:ind w:right="352"/>
              <w:spacing w:after="0"/>
              <w:rPr>
                <w:sz w:val="20"/>
                <w:szCs w:val="20"/>
                <w:color w:val="auto"/>
              </w:rPr>
            </w:pPr>
            <w:r>
              <w:rPr>
                <w:rFonts w:ascii="Arial" w:cs="Arial" w:eastAsia="Arial" w:hAnsi="Arial"/>
                <w:sz w:val="22"/>
                <w:szCs w:val="22"/>
                <w:color w:val="auto"/>
                <w:w w:val="96"/>
              </w:rPr>
              <w:t>SLP1.</w:t>
            </w:r>
          </w:p>
        </w:tc>
        <w:tc>
          <w:tcPr>
            <w:tcW w:w="350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5"/>
        </w:trPr>
        <w:tc>
          <w:tcPr>
            <w:tcW w:w="1200" w:type="dxa"/>
            <w:vAlign w:val="bottom"/>
          </w:tcPr>
          <w:p>
            <w:pPr>
              <w:spacing w:after="0"/>
              <w:rPr>
                <w:sz w:val="24"/>
                <w:szCs w:val="24"/>
                <w:color w:val="auto"/>
              </w:rPr>
            </w:pPr>
          </w:p>
        </w:tc>
        <w:tc>
          <w:tcPr>
            <w:tcW w:w="3500" w:type="dxa"/>
            <w:vAlign w:val="bottom"/>
          </w:tcPr>
          <w:p>
            <w:pPr>
              <w:ind w:left="2320"/>
              <w:spacing w:after="0"/>
              <w:rPr>
                <w:sz w:val="20"/>
                <w:szCs w:val="20"/>
                <w:color w:val="auto"/>
              </w:rPr>
            </w:pPr>
            <w:r>
              <w:rPr>
                <w:rFonts w:ascii="Arial" w:cs="Arial" w:eastAsia="Arial" w:hAnsi="Arial"/>
                <w:sz w:val="22"/>
                <w:szCs w:val="22"/>
                <w:color w:val="auto"/>
              </w:rPr>
              <w:t>PA-03735</w:t>
            </w:r>
          </w:p>
        </w:tc>
        <w:tc>
          <w:tcPr>
            <w:tcW w:w="1340" w:type="dxa"/>
            <w:vAlign w:val="bottom"/>
          </w:tcPr>
          <w:p>
            <w:pPr>
              <w:ind w:left="240"/>
              <w:spacing w:after="0"/>
              <w:rPr>
                <w:sz w:val="20"/>
                <w:szCs w:val="20"/>
                <w:color w:val="auto"/>
              </w:rPr>
            </w:pPr>
            <w:r>
              <w:rPr>
                <w:rFonts w:ascii="Arial" w:cs="Arial" w:eastAsia="Arial" w:hAnsi="Arial"/>
                <w:sz w:val="22"/>
                <w:szCs w:val="22"/>
                <w:color w:val="auto"/>
                <w:w w:val="95"/>
              </w:rPr>
              <w:t>Page 1 of 3</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22"/>
          <w:szCs w:val="22"/>
          <w:color w:val="auto"/>
        </w:rPr>
        <w:t>SA-34</w:t>
      </w:r>
    </w:p>
    <w:p>
      <w:pPr>
        <w:spacing w:after="0" w:line="10" w:lineRule="exact"/>
        <w:rPr>
          <w:sz w:val="20"/>
          <w:szCs w:val="20"/>
          <w:color w:val="auto"/>
        </w:rPr>
      </w:pPr>
    </w:p>
    <w:p>
      <w:pPr>
        <w:jc w:val="right"/>
        <w:ind w:right="1960"/>
        <w:spacing w:after="0"/>
        <w:rPr>
          <w:sz w:val="20"/>
          <w:szCs w:val="20"/>
          <w:color w:val="auto"/>
        </w:rPr>
      </w:pPr>
      <w:r>
        <w:rPr>
          <w:rFonts w:ascii="Arial" w:cs="Arial" w:eastAsia="Arial" w:hAnsi="Arial"/>
          <w:sz w:val="22"/>
          <w:szCs w:val="22"/>
          <w:color w:val="auto"/>
        </w:rPr>
        <w:t>BOEING AND AMERICAN PROPRIETARY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1"/>
          <w:szCs w:val="21"/>
          <w:color w:val="auto"/>
        </w:rPr>
        <w:t>32</w:t>
      </w:r>
    </w:p>
    <w:p>
      <w:pPr>
        <w:spacing w:after="0" w:line="137" w:lineRule="exact"/>
        <w:rPr>
          <w:sz w:val="20"/>
          <w:szCs w:val="20"/>
          <w:color w:val="auto"/>
        </w:rPr>
      </w:pPr>
    </w:p>
    <w:p>
      <w:pPr>
        <w:ind w:left="60"/>
        <w:spacing w:after="0"/>
        <w:rPr>
          <w:sz w:val="20"/>
          <w:szCs w:val="20"/>
          <w:color w:val="auto"/>
        </w:rPr>
      </w:pPr>
      <w:r>
        <w:rPr>
          <w:rFonts w:ascii="Arial" w:cs="Arial" w:eastAsia="Arial" w:hAnsi="Arial"/>
          <w:sz w:val="22"/>
          <w:szCs w:val="22"/>
          <w:color w:val="auto"/>
        </w:rPr>
        <w:t>4</w:t>
      </w:r>
    </w:p>
    <w:p>
      <w:pPr>
        <w:spacing w:after="0" w:line="31" w:lineRule="exact"/>
        <w:rPr>
          <w:sz w:val="20"/>
          <w:szCs w:val="20"/>
          <w:color w:val="auto"/>
        </w:rPr>
      </w:pPr>
    </w:p>
    <w:p>
      <w:pPr>
        <w:spacing w:after="0"/>
        <w:rPr>
          <w:sz w:val="20"/>
          <w:szCs w:val="20"/>
          <w:color w:val="auto"/>
        </w:rPr>
      </w:pPr>
      <w:r>
        <w:rPr>
          <w:rFonts w:ascii="Arial" w:cs="Arial" w:eastAsia="Arial" w:hAnsi="Arial"/>
          <w:sz w:val="21"/>
          <w:szCs w:val="21"/>
          <w:color w:val="auto"/>
        </w:rPr>
        <w:t>33</w:t>
      </w:r>
    </w:p>
    <w:p>
      <w:pPr>
        <w:spacing w:after="0" w:line="312" w:lineRule="exact"/>
        <w:rPr>
          <w:sz w:val="20"/>
          <w:szCs w:val="20"/>
          <w:color w:val="auto"/>
        </w:rPr>
      </w:pPr>
    </w:p>
    <w:p>
      <w:pPr>
        <w:spacing w:after="0"/>
        <w:rPr>
          <w:sz w:val="20"/>
          <w:szCs w:val="20"/>
          <w:color w:val="auto"/>
        </w:rPr>
      </w:pPr>
      <w:r>
        <w:rPr>
          <w:rFonts w:ascii="Arial" w:cs="Arial" w:eastAsia="Arial" w:hAnsi="Arial"/>
          <w:sz w:val="21"/>
          <w:szCs w:val="21"/>
          <w:color w:val="auto"/>
        </w:rPr>
        <w:t>33</w:t>
      </w:r>
    </w:p>
    <w:p>
      <w:pPr>
        <w:sectPr>
          <w:pgSz w:w="11900" w:h="16838" w:orient="portrait"/>
          <w:cols w:equalWidth="0" w:num="2">
            <w:col w:w="9420" w:space="720"/>
            <w:col w:w="600"/>
          </w:cols>
          <w:pgMar w:left="560" w:top="1340" w:right="599" w:bottom="1440" w:gutter="0" w:footer="0" w:header="0"/>
          <w:type w:val="continuous"/>
        </w:sectPr>
      </w:pPr>
    </w:p>
    <w:bookmarkStart w:id="74" w:name="page75"/>
    <w:bookmarkEnd w:id="74"/>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40180" cy="3771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clrChange>
                        <a:clrFrom>
                          <a:srgbClr val="FFFFFF"/>
                        </a:clrFrom>
                        <a:clrTo>
                          <a:srgbClr val="FFFFFF">
                            <a:alpha val="0"/>
                          </a:srgbClr>
                        </a:clrTo>
                      </a:clrChange>
                      <a:extLst>
                        <a:ext uri="{28A0092B-C50C-407E-A947-70E740481C1C}"/>
                      </a:extLst>
                    </a:blip>
                    <a:srcRect/>
                    <a:stretch>
                      <a:fillRect/>
                    </a:stretch>
                  </pic:blipFill>
                  <pic:spPr bwMode="auto">
                    <a:xfrm>
                      <a:off x="0" y="0"/>
                      <a:ext cx="1440180" cy="377190"/>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b w:val="1"/>
          <w:bCs w:val="1"/>
          <w:u w:val="single" w:color="auto"/>
          <w:color w:val="auto"/>
        </w:rPr>
        <w:t>LETTER AGREEMENTS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22"/>
          <w:szCs w:val="22"/>
          <w:b w:val="1"/>
          <w:bCs w:val="1"/>
          <w:color w:val="auto"/>
        </w:rPr>
        <w:t>SA</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NUMBER</w:t>
      </w:r>
    </w:p>
    <w:p>
      <w:pPr>
        <w:spacing w:after="0" w:line="34" w:lineRule="exact"/>
        <w:rPr>
          <w:sz w:val="20"/>
          <w:szCs w:val="20"/>
          <w:color w:val="auto"/>
        </w:rPr>
      </w:pPr>
    </w:p>
    <w:p>
      <w:pPr>
        <w:sectPr>
          <w:pgSz w:w="11900" w:h="16838" w:orient="portrait"/>
          <w:cols w:equalWidth="0" w:num="2">
            <w:col w:w="9220" w:space="720"/>
            <w:col w:w="960"/>
          </w:cols>
          <w:pgMar w:left="400" w:top="1394" w:right="599" w:bottom="1440" w:gutter="0" w:footer="0" w:header="0"/>
        </w:sectPr>
      </w:pPr>
    </w:p>
    <w:p>
      <w:pPr>
        <w:spacing w:after="0"/>
        <w:rPr>
          <w:sz w:val="20"/>
          <w:szCs w:val="20"/>
          <w:color w:val="auto"/>
        </w:rPr>
      </w:pPr>
      <w:r>
        <w:rPr>
          <w:rFonts w:ascii="Arial" w:cs="Arial" w:eastAsia="Arial" w:hAnsi="Arial"/>
          <w:sz w:val="22"/>
          <w:szCs w:val="22"/>
          <w:color w:val="auto"/>
        </w:rPr>
        <w:t>LA-1106648R1</w:t>
      </w:r>
    </w:p>
    <w:p>
      <w:pPr>
        <w:spacing w:after="0" w:line="19" w:lineRule="exact"/>
        <w:rPr>
          <w:sz w:val="20"/>
          <w:szCs w:val="20"/>
          <w:color w:val="auto"/>
        </w:rPr>
      </w:pPr>
    </w:p>
    <w:p>
      <w:pPr>
        <w:spacing w:after="0"/>
        <w:rPr>
          <w:sz w:val="20"/>
          <w:szCs w:val="20"/>
          <w:color w:val="auto"/>
        </w:rPr>
      </w:pPr>
      <w:r>
        <w:rPr>
          <w:rFonts w:ascii="Arial" w:cs="Arial" w:eastAsia="Arial" w:hAnsi="Arial"/>
          <w:sz w:val="22"/>
          <w:szCs w:val="22"/>
          <w:color w:val="auto"/>
        </w:rPr>
        <w:t>LA-1106649</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LA-1106650R8</w:t>
      </w:r>
    </w:p>
    <w:p>
      <w:pPr>
        <w:spacing w:after="0" w:line="29" w:lineRule="exact"/>
        <w:rPr>
          <w:sz w:val="20"/>
          <w:szCs w:val="20"/>
          <w:color w:val="auto"/>
        </w:rPr>
      </w:pPr>
    </w:p>
    <w:p>
      <w:pPr>
        <w:spacing w:after="0"/>
        <w:rPr>
          <w:sz w:val="20"/>
          <w:szCs w:val="20"/>
          <w:color w:val="auto"/>
        </w:rPr>
      </w:pPr>
      <w:r>
        <w:rPr>
          <w:rFonts w:ascii="Arial" w:cs="Arial" w:eastAsia="Arial" w:hAnsi="Arial"/>
          <w:sz w:val="21"/>
          <w:szCs w:val="21"/>
          <w:color w:val="auto"/>
        </w:rPr>
        <w:t>LA1106651R</w:t>
      </w:r>
      <w:r>
        <w:rPr>
          <w:rFonts w:ascii="Arial" w:cs="Arial" w:eastAsia="Arial" w:hAnsi="Arial"/>
          <w:sz w:val="21"/>
          <w:szCs w:val="21"/>
          <w:b w:val="1"/>
          <w:bCs w:val="1"/>
          <w:color w:val="auto"/>
        </w:rPr>
        <w:t>15</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LA-1106652R3</w:t>
      </w:r>
    </w:p>
    <w:p>
      <w:pPr>
        <w:spacing w:after="0" w:line="19" w:lineRule="exact"/>
        <w:rPr>
          <w:sz w:val="20"/>
          <w:szCs w:val="20"/>
          <w:color w:val="auto"/>
        </w:rPr>
      </w:pPr>
    </w:p>
    <w:p>
      <w:pPr>
        <w:spacing w:after="0"/>
        <w:rPr>
          <w:sz w:val="20"/>
          <w:szCs w:val="20"/>
          <w:color w:val="auto"/>
        </w:rPr>
      </w:pPr>
      <w:r>
        <w:rPr>
          <w:rFonts w:ascii="Arial" w:cs="Arial" w:eastAsia="Arial" w:hAnsi="Arial"/>
          <w:sz w:val="22"/>
          <w:szCs w:val="22"/>
          <w:color w:val="auto"/>
        </w:rPr>
        <w:t>LA-1106654R1</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strike w:val="1"/>
        </w:rPr>
        <w:t>LA-1106655</w:t>
      </w:r>
    </w:p>
    <w:p>
      <w:pPr>
        <w:spacing w:after="0" w:line="44" w:lineRule="exact"/>
        <w:rPr>
          <w:sz w:val="20"/>
          <w:szCs w:val="20"/>
          <w:color w:val="auto"/>
        </w:rPr>
      </w:pPr>
    </w:p>
    <w:p>
      <w:pPr>
        <w:ind w:right="160"/>
        <w:spacing w:after="0" w:line="269" w:lineRule="auto"/>
        <w:rPr>
          <w:sz w:val="20"/>
          <w:szCs w:val="20"/>
          <w:color w:val="auto"/>
        </w:rPr>
      </w:pPr>
      <w:r>
        <w:rPr>
          <w:rFonts w:ascii="Arial" w:cs="Arial" w:eastAsia="Arial" w:hAnsi="Arial"/>
          <w:sz w:val="21"/>
          <w:szCs w:val="21"/>
          <w:color w:val="auto"/>
        </w:rPr>
        <w:t>LA-1106656R1 LA-1106657R1 LA-1106663 R1 LA-1106664 R1 LA-1106658 LA-1106659R4 LA-1106660R1 LA-1106661R2 LA-1106667 LA-1106668R1 LA-1106669 LA-1106670R1 LA-1106671R2 LA-1106672 LA-1106673R1* LA-1106677 LA-1600073 LA-1600852 LA-1603773 LA-1605402R1 LA-1700919 LA-1801206 LA-2002704 LA-2002743 LA-2003342 LA-2003486 LA-2204032R1 LA-2306974 LA-2306975 LA-2306976 LA-2306977 LA-2306978 LA-2306979 LA-2306980 LA-2306981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60"/>
        <w:spacing w:after="0"/>
        <w:rPr>
          <w:sz w:val="20"/>
          <w:szCs w:val="20"/>
          <w:color w:val="auto"/>
        </w:rPr>
      </w:pPr>
      <w:r>
        <w:rPr>
          <w:rFonts w:ascii="Arial" w:cs="Arial" w:eastAsia="Arial" w:hAnsi="Arial"/>
          <w:sz w:val="22"/>
          <w:szCs w:val="22"/>
          <w:color w:val="auto"/>
        </w:rPr>
        <w:t>SA-34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Special Matters</w:t>
      </w:r>
    </w:p>
    <w:p>
      <w:pPr>
        <w:spacing w:after="0" w:line="6" w:lineRule="exact"/>
        <w:rPr>
          <w:sz w:val="20"/>
          <w:szCs w:val="20"/>
          <w:color w:val="auto"/>
        </w:rPr>
      </w:pPr>
    </w:p>
    <w:p>
      <w:pPr>
        <w:spacing w:after="0"/>
        <w:rPr>
          <w:sz w:val="20"/>
          <w:szCs w:val="20"/>
          <w:color w:val="auto"/>
        </w:rPr>
      </w:pPr>
      <w:r>
        <w:rPr>
          <w:rFonts w:ascii="Consolas" w:cs="Consolas" w:eastAsia="Consolas" w:hAnsi="Consolas"/>
          <w:sz w:val="19"/>
          <w:szCs w:val="19"/>
          <w:color w:val="auto"/>
        </w:rPr>
        <w:t>[****]</w:t>
      </w:r>
    </w:p>
    <w:p>
      <w:pPr>
        <w:spacing w:after="0" w:line="44" w:lineRule="exact"/>
        <w:rPr>
          <w:sz w:val="20"/>
          <w:szCs w:val="20"/>
          <w:color w:val="auto"/>
        </w:rPr>
      </w:pPr>
    </w:p>
    <w:p>
      <w:pPr>
        <w:spacing w:after="0"/>
        <w:rPr>
          <w:sz w:val="20"/>
          <w:szCs w:val="20"/>
          <w:color w:val="auto"/>
        </w:rPr>
      </w:pPr>
      <w:r>
        <w:rPr>
          <w:rFonts w:ascii="Consolas" w:cs="Consolas" w:eastAsia="Consolas" w:hAnsi="Consolas"/>
          <w:sz w:val="19"/>
          <w:szCs w:val="19"/>
          <w:color w:val="auto"/>
        </w:rPr>
        <w:t>[****]</w:t>
      </w:r>
    </w:p>
    <w:p>
      <w:pPr>
        <w:spacing w:after="0" w:line="48" w:lineRule="exact"/>
        <w:rPr>
          <w:sz w:val="20"/>
          <w:szCs w:val="20"/>
          <w:color w:val="auto"/>
        </w:rPr>
      </w:pPr>
    </w:p>
    <w:p>
      <w:pPr>
        <w:spacing w:after="0"/>
        <w:rPr>
          <w:sz w:val="20"/>
          <w:szCs w:val="20"/>
          <w:color w:val="auto"/>
        </w:rPr>
      </w:pPr>
      <w:r>
        <w:rPr>
          <w:rFonts w:ascii="Consolas" w:cs="Consolas" w:eastAsia="Consolas" w:hAnsi="Consolas"/>
          <w:sz w:val="19"/>
          <w:szCs w:val="19"/>
          <w:color w:val="auto"/>
        </w:rPr>
        <w:t>[****]</w:t>
      </w:r>
    </w:p>
    <w:p>
      <w:pPr>
        <w:spacing w:after="0" w:line="88" w:lineRule="exact"/>
        <w:rPr>
          <w:sz w:val="20"/>
          <w:szCs w:val="20"/>
          <w:color w:val="auto"/>
        </w:rPr>
      </w:pPr>
    </w:p>
    <w:p>
      <w:pPr>
        <w:spacing w:after="0"/>
        <w:rPr>
          <w:sz w:val="20"/>
          <w:szCs w:val="20"/>
          <w:color w:val="auto"/>
        </w:rPr>
      </w:pPr>
      <w:r>
        <w:rPr>
          <w:rFonts w:ascii="Consolas" w:cs="Consolas" w:eastAsia="Consolas" w:hAnsi="Consolas"/>
          <w:sz w:val="19"/>
          <w:szCs w:val="19"/>
          <w:color w:val="auto"/>
        </w:rPr>
        <w:t>[****]</w:t>
      </w:r>
    </w:p>
    <w:p>
      <w:pPr>
        <w:spacing w:after="0" w:line="48" w:lineRule="exact"/>
        <w:rPr>
          <w:sz w:val="20"/>
          <w:szCs w:val="20"/>
          <w:color w:val="auto"/>
        </w:rPr>
      </w:pPr>
    </w:p>
    <w:p>
      <w:pPr>
        <w:spacing w:after="0"/>
        <w:rPr>
          <w:sz w:val="20"/>
          <w:szCs w:val="20"/>
          <w:color w:val="auto"/>
        </w:rPr>
      </w:pPr>
      <w:r>
        <w:rPr>
          <w:rFonts w:ascii="Consolas" w:cs="Consolas" w:eastAsia="Consolas" w:hAnsi="Consolas"/>
          <w:sz w:val="19"/>
          <w:szCs w:val="19"/>
          <w:color w:val="auto"/>
        </w:rPr>
        <w:t>[****]</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color w:val="auto"/>
          <w:strike w:val="1"/>
        </w:rPr>
        <w:t>Open Matters – 737 MAX</w:t>
      </w:r>
      <w:r>
        <w:rPr>
          <w:rFonts w:ascii="Arial" w:cs="Arial" w:eastAsia="Arial" w:hAnsi="Arial"/>
          <w:sz w:val="22"/>
          <w:szCs w:val="22"/>
          <w:color w:val="auto"/>
        </w:rPr>
        <w:t xml:space="preserve"> Withdrawn</w:t>
      </w:r>
    </w:p>
    <w:p>
      <w:pPr>
        <w:spacing w:after="0" w:line="31" w:lineRule="exact"/>
        <w:rPr>
          <w:sz w:val="20"/>
          <w:szCs w:val="20"/>
          <w:color w:val="auto"/>
        </w:rPr>
      </w:pPr>
    </w:p>
    <w:p>
      <w:pPr>
        <w:spacing w:after="0"/>
        <w:rPr>
          <w:sz w:val="20"/>
          <w:szCs w:val="20"/>
          <w:color w:val="auto"/>
        </w:rPr>
      </w:pPr>
      <w:r>
        <w:rPr>
          <w:rFonts w:ascii="Consolas" w:cs="Consolas" w:eastAsia="Consolas" w:hAnsi="Consolas"/>
          <w:sz w:val="19"/>
          <w:szCs w:val="19"/>
          <w:color w:val="auto"/>
        </w:rPr>
        <w:t>[****]</w:t>
      </w:r>
    </w:p>
    <w:p>
      <w:pPr>
        <w:spacing w:after="0" w:line="44" w:lineRule="exact"/>
        <w:rPr>
          <w:sz w:val="20"/>
          <w:szCs w:val="20"/>
          <w:color w:val="auto"/>
        </w:rPr>
      </w:pPr>
    </w:p>
    <w:p>
      <w:pPr>
        <w:spacing w:after="0"/>
        <w:rPr>
          <w:sz w:val="20"/>
          <w:szCs w:val="20"/>
          <w:color w:val="auto"/>
        </w:rPr>
      </w:pPr>
      <w:r>
        <w:rPr>
          <w:rFonts w:ascii="Consolas" w:cs="Consolas" w:eastAsia="Consolas" w:hAnsi="Consolas"/>
          <w:sz w:val="19"/>
          <w:szCs w:val="19"/>
          <w:color w:val="auto"/>
        </w:rPr>
        <w:t>[****]</w:t>
      </w:r>
    </w:p>
    <w:p>
      <w:pPr>
        <w:spacing w:after="0" w:line="48" w:lineRule="exact"/>
        <w:rPr>
          <w:sz w:val="20"/>
          <w:szCs w:val="20"/>
          <w:color w:val="auto"/>
        </w:rPr>
      </w:pPr>
    </w:p>
    <w:p>
      <w:pPr>
        <w:spacing w:after="0"/>
        <w:rPr>
          <w:sz w:val="20"/>
          <w:szCs w:val="20"/>
          <w:color w:val="auto"/>
        </w:rPr>
      </w:pPr>
      <w:r>
        <w:rPr>
          <w:rFonts w:ascii="Consolas" w:cs="Consolas" w:eastAsia="Consolas" w:hAnsi="Consolas"/>
          <w:sz w:val="19"/>
          <w:szCs w:val="19"/>
          <w:color w:val="auto"/>
        </w:rPr>
        <w:t>[****]</w:t>
      </w:r>
    </w:p>
    <w:p>
      <w:pPr>
        <w:spacing w:after="0" w:line="48" w:lineRule="exact"/>
        <w:rPr>
          <w:sz w:val="20"/>
          <w:szCs w:val="20"/>
          <w:color w:val="auto"/>
        </w:rPr>
      </w:pPr>
    </w:p>
    <w:p>
      <w:pPr>
        <w:spacing w:after="0"/>
        <w:rPr>
          <w:sz w:val="20"/>
          <w:szCs w:val="20"/>
          <w:color w:val="auto"/>
        </w:rPr>
      </w:pPr>
      <w:r>
        <w:rPr>
          <w:rFonts w:ascii="Consolas" w:cs="Consolas" w:eastAsia="Consolas" w:hAnsi="Consolas"/>
          <w:sz w:val="19"/>
          <w:szCs w:val="19"/>
          <w:color w:val="auto"/>
        </w:rPr>
        <w:t>[****]</w:t>
      </w:r>
    </w:p>
    <w:p>
      <w:pPr>
        <w:spacing w:after="0" w:line="48" w:lineRule="exact"/>
        <w:rPr>
          <w:sz w:val="20"/>
          <w:szCs w:val="20"/>
          <w:color w:val="auto"/>
        </w:rPr>
      </w:pPr>
    </w:p>
    <w:p>
      <w:pPr>
        <w:spacing w:after="0"/>
        <w:rPr>
          <w:sz w:val="20"/>
          <w:szCs w:val="20"/>
          <w:color w:val="auto"/>
        </w:rPr>
      </w:pPr>
      <w:r>
        <w:rPr>
          <w:rFonts w:ascii="Consolas" w:cs="Consolas" w:eastAsia="Consolas" w:hAnsi="Consolas"/>
          <w:sz w:val="19"/>
          <w:szCs w:val="19"/>
          <w:color w:val="auto"/>
        </w:rPr>
        <w:t>[****]</w:t>
      </w:r>
    </w:p>
    <w:p>
      <w:pPr>
        <w:spacing w:after="0" w:line="48" w:lineRule="exact"/>
        <w:rPr>
          <w:sz w:val="20"/>
          <w:szCs w:val="20"/>
          <w:color w:val="auto"/>
        </w:rPr>
      </w:pPr>
    </w:p>
    <w:p>
      <w:pPr>
        <w:spacing w:after="0"/>
        <w:rPr>
          <w:sz w:val="20"/>
          <w:szCs w:val="20"/>
          <w:color w:val="auto"/>
        </w:rPr>
      </w:pPr>
      <w:r>
        <w:rPr>
          <w:rFonts w:ascii="Consolas" w:cs="Consolas" w:eastAsia="Consolas" w:hAnsi="Consolas"/>
          <w:sz w:val="19"/>
          <w:szCs w:val="19"/>
          <w:color w:val="auto"/>
        </w:rPr>
        <w:t>[****]</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color w:val="auto"/>
        </w:rPr>
        <w:t>Spare Parts Initial Provisioning</w:t>
      </w:r>
    </w:p>
    <w:p>
      <w:pPr>
        <w:spacing w:after="0" w:line="18" w:lineRule="exact"/>
        <w:rPr>
          <w:sz w:val="20"/>
          <w:szCs w:val="20"/>
          <w:color w:val="auto"/>
        </w:rPr>
      </w:pPr>
    </w:p>
    <w:p>
      <w:pPr>
        <w:spacing w:after="0"/>
        <w:rPr>
          <w:sz w:val="20"/>
          <w:szCs w:val="20"/>
          <w:color w:val="auto"/>
        </w:rPr>
      </w:pPr>
      <w:r>
        <w:rPr>
          <w:rFonts w:ascii="Consolas" w:cs="Consolas" w:eastAsia="Consolas" w:hAnsi="Consolas"/>
          <w:sz w:val="19"/>
          <w:szCs w:val="19"/>
          <w:color w:val="auto"/>
        </w:rPr>
        <w:t>[****]</w:t>
      </w:r>
    </w:p>
    <w:p>
      <w:pPr>
        <w:spacing w:after="0" w:line="44" w:lineRule="exact"/>
        <w:rPr>
          <w:sz w:val="20"/>
          <w:szCs w:val="20"/>
          <w:color w:val="auto"/>
        </w:rPr>
      </w:pPr>
    </w:p>
    <w:p>
      <w:pPr>
        <w:spacing w:after="0"/>
        <w:rPr>
          <w:sz w:val="20"/>
          <w:szCs w:val="20"/>
          <w:color w:val="auto"/>
        </w:rPr>
      </w:pPr>
      <w:r>
        <w:rPr>
          <w:rFonts w:ascii="Consolas" w:cs="Consolas" w:eastAsia="Consolas" w:hAnsi="Consolas"/>
          <w:sz w:val="19"/>
          <w:szCs w:val="19"/>
          <w:color w:val="auto"/>
        </w:rPr>
        <w:t>[****]</w:t>
      </w:r>
    </w:p>
    <w:p>
      <w:pPr>
        <w:spacing w:after="0" w:line="48" w:lineRule="exact"/>
        <w:rPr>
          <w:sz w:val="20"/>
          <w:szCs w:val="20"/>
          <w:color w:val="auto"/>
        </w:rPr>
      </w:pPr>
    </w:p>
    <w:p>
      <w:pPr>
        <w:spacing w:after="0"/>
        <w:rPr>
          <w:sz w:val="20"/>
          <w:szCs w:val="20"/>
          <w:color w:val="auto"/>
        </w:rPr>
      </w:pPr>
      <w:r>
        <w:rPr>
          <w:rFonts w:ascii="Consolas" w:cs="Consolas" w:eastAsia="Consolas" w:hAnsi="Consolas"/>
          <w:sz w:val="19"/>
          <w:szCs w:val="19"/>
          <w:color w:val="auto"/>
        </w:rPr>
        <w:t>[****]</w:t>
      </w:r>
    </w:p>
    <w:p>
      <w:pPr>
        <w:spacing w:after="0" w:line="48" w:lineRule="exact"/>
        <w:rPr>
          <w:sz w:val="20"/>
          <w:szCs w:val="20"/>
          <w:color w:val="auto"/>
        </w:rPr>
      </w:pPr>
    </w:p>
    <w:p>
      <w:pPr>
        <w:spacing w:after="0"/>
        <w:rPr>
          <w:sz w:val="20"/>
          <w:szCs w:val="20"/>
          <w:color w:val="auto"/>
        </w:rPr>
      </w:pPr>
      <w:r>
        <w:rPr>
          <w:rFonts w:ascii="Consolas" w:cs="Consolas" w:eastAsia="Consolas" w:hAnsi="Consolas"/>
          <w:sz w:val="19"/>
          <w:szCs w:val="19"/>
          <w:color w:val="auto"/>
        </w:rPr>
        <w:t>[****]</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color w:val="auto"/>
        </w:rPr>
        <w:t>Confidentiality</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Miscellaneous Commitments</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Extended Warranty Option</w:t>
      </w:r>
    </w:p>
    <w:p>
      <w:pPr>
        <w:spacing w:after="0" w:line="4" w:lineRule="exact"/>
        <w:rPr>
          <w:sz w:val="20"/>
          <w:szCs w:val="20"/>
          <w:color w:val="auto"/>
        </w:rPr>
      </w:pPr>
    </w:p>
    <w:p>
      <w:pPr>
        <w:spacing w:after="0"/>
        <w:rPr>
          <w:sz w:val="20"/>
          <w:szCs w:val="20"/>
          <w:color w:val="auto"/>
        </w:rPr>
      </w:pPr>
      <w:r>
        <w:rPr>
          <w:rFonts w:ascii="Consolas" w:cs="Consolas" w:eastAsia="Consolas" w:hAnsi="Consolas"/>
          <w:sz w:val="19"/>
          <w:szCs w:val="19"/>
          <w:color w:val="auto"/>
        </w:rPr>
        <w:t>[****]</w:t>
      </w: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Optional Features Comfort Letter</w:t>
      </w:r>
    </w:p>
    <w:p>
      <w:pPr>
        <w:spacing w:after="0" w:line="18" w:lineRule="exact"/>
        <w:rPr>
          <w:sz w:val="20"/>
          <w:szCs w:val="20"/>
          <w:color w:val="auto"/>
        </w:rPr>
      </w:pPr>
    </w:p>
    <w:p>
      <w:pPr>
        <w:spacing w:after="0"/>
        <w:rPr>
          <w:sz w:val="20"/>
          <w:szCs w:val="20"/>
          <w:color w:val="auto"/>
        </w:rPr>
      </w:pPr>
      <w:r>
        <w:rPr>
          <w:rFonts w:ascii="Consolas" w:cs="Consolas" w:eastAsia="Consolas" w:hAnsi="Consolas"/>
          <w:sz w:val="19"/>
          <w:szCs w:val="19"/>
          <w:color w:val="auto"/>
        </w:rPr>
        <w:t>[****]</w:t>
      </w:r>
    </w:p>
    <w:p>
      <w:pPr>
        <w:spacing w:after="0" w:line="44" w:lineRule="exact"/>
        <w:rPr>
          <w:sz w:val="20"/>
          <w:szCs w:val="20"/>
          <w:color w:val="auto"/>
        </w:rPr>
      </w:pPr>
    </w:p>
    <w:p>
      <w:pPr>
        <w:spacing w:after="0"/>
        <w:rPr>
          <w:sz w:val="20"/>
          <w:szCs w:val="20"/>
          <w:color w:val="auto"/>
        </w:rPr>
      </w:pPr>
      <w:r>
        <w:rPr>
          <w:rFonts w:ascii="Consolas" w:cs="Consolas" w:eastAsia="Consolas" w:hAnsi="Consolas"/>
          <w:sz w:val="19"/>
          <w:szCs w:val="19"/>
          <w:color w:val="auto"/>
        </w:rPr>
        <w:t>[****]</w:t>
      </w:r>
    </w:p>
    <w:p>
      <w:pPr>
        <w:spacing w:after="0" w:line="48" w:lineRule="exact"/>
        <w:rPr>
          <w:sz w:val="20"/>
          <w:szCs w:val="20"/>
          <w:color w:val="auto"/>
        </w:rPr>
      </w:pPr>
    </w:p>
    <w:p>
      <w:pPr>
        <w:spacing w:after="0"/>
        <w:rPr>
          <w:sz w:val="20"/>
          <w:szCs w:val="20"/>
          <w:color w:val="auto"/>
        </w:rPr>
      </w:pPr>
      <w:r>
        <w:rPr>
          <w:rFonts w:ascii="Consolas" w:cs="Consolas" w:eastAsia="Consolas" w:hAnsi="Consolas"/>
          <w:sz w:val="19"/>
          <w:szCs w:val="19"/>
          <w:color w:val="auto"/>
        </w:rPr>
        <w:t>[****]</w:t>
      </w:r>
    </w:p>
    <w:p>
      <w:pPr>
        <w:spacing w:after="0" w:line="48" w:lineRule="exact"/>
        <w:rPr>
          <w:sz w:val="20"/>
          <w:szCs w:val="20"/>
          <w:color w:val="auto"/>
        </w:rPr>
      </w:pPr>
    </w:p>
    <w:p>
      <w:pPr>
        <w:spacing w:after="0"/>
        <w:rPr>
          <w:sz w:val="20"/>
          <w:szCs w:val="20"/>
          <w:color w:val="auto"/>
        </w:rPr>
      </w:pPr>
      <w:r>
        <w:rPr>
          <w:rFonts w:ascii="Consolas" w:cs="Consolas" w:eastAsia="Consolas" w:hAnsi="Consolas"/>
          <w:sz w:val="19"/>
          <w:szCs w:val="19"/>
          <w:color w:val="auto"/>
        </w:rPr>
        <w:t>[****]</w:t>
      </w:r>
    </w:p>
    <w:p>
      <w:pPr>
        <w:spacing w:after="0" w:line="48" w:lineRule="exact"/>
        <w:rPr>
          <w:sz w:val="20"/>
          <w:szCs w:val="20"/>
          <w:color w:val="auto"/>
        </w:rPr>
      </w:pPr>
    </w:p>
    <w:p>
      <w:pPr>
        <w:spacing w:after="0"/>
        <w:rPr>
          <w:sz w:val="20"/>
          <w:szCs w:val="20"/>
          <w:color w:val="auto"/>
        </w:rPr>
      </w:pPr>
      <w:r>
        <w:rPr>
          <w:rFonts w:ascii="Consolas" w:cs="Consolas" w:eastAsia="Consolas" w:hAnsi="Consolas"/>
          <w:sz w:val="19"/>
          <w:szCs w:val="19"/>
          <w:color w:val="auto"/>
        </w:rPr>
        <w:t>[****]</w:t>
      </w:r>
    </w:p>
    <w:p>
      <w:pPr>
        <w:spacing w:after="0" w:line="48" w:lineRule="exact"/>
        <w:rPr>
          <w:sz w:val="20"/>
          <w:szCs w:val="20"/>
          <w:color w:val="auto"/>
        </w:rPr>
      </w:pPr>
    </w:p>
    <w:p>
      <w:pPr>
        <w:spacing w:after="0"/>
        <w:rPr>
          <w:sz w:val="20"/>
          <w:szCs w:val="20"/>
          <w:color w:val="auto"/>
        </w:rPr>
      </w:pPr>
      <w:r>
        <w:rPr>
          <w:rFonts w:ascii="Consolas" w:cs="Consolas" w:eastAsia="Consolas" w:hAnsi="Consolas"/>
          <w:sz w:val="19"/>
          <w:szCs w:val="19"/>
          <w:color w:val="auto"/>
        </w:rPr>
        <w:t>[****]</w:t>
      </w:r>
    </w:p>
    <w:p>
      <w:pPr>
        <w:spacing w:after="0" w:line="48" w:lineRule="exact"/>
        <w:rPr>
          <w:sz w:val="20"/>
          <w:szCs w:val="20"/>
          <w:color w:val="auto"/>
        </w:rPr>
      </w:pPr>
    </w:p>
    <w:p>
      <w:pPr>
        <w:spacing w:after="0"/>
        <w:rPr>
          <w:sz w:val="20"/>
          <w:szCs w:val="20"/>
          <w:color w:val="auto"/>
        </w:rPr>
      </w:pPr>
      <w:r>
        <w:rPr>
          <w:rFonts w:ascii="Consolas" w:cs="Consolas" w:eastAsia="Consolas" w:hAnsi="Consolas"/>
          <w:sz w:val="19"/>
          <w:szCs w:val="19"/>
          <w:color w:val="auto"/>
        </w:rPr>
        <w:t>[****]</w:t>
      </w:r>
    </w:p>
    <w:p>
      <w:pPr>
        <w:spacing w:after="0" w:line="48" w:lineRule="exact"/>
        <w:rPr>
          <w:sz w:val="20"/>
          <w:szCs w:val="20"/>
          <w:color w:val="auto"/>
        </w:rPr>
      </w:pPr>
    </w:p>
    <w:p>
      <w:pPr>
        <w:spacing w:after="0"/>
        <w:rPr>
          <w:sz w:val="20"/>
          <w:szCs w:val="20"/>
          <w:color w:val="auto"/>
        </w:rPr>
      </w:pPr>
      <w:r>
        <w:rPr>
          <w:rFonts w:ascii="Consolas" w:cs="Consolas" w:eastAsia="Consolas" w:hAnsi="Consolas"/>
          <w:sz w:val="19"/>
          <w:szCs w:val="19"/>
          <w:color w:val="auto"/>
        </w:rPr>
        <w:t>[****]</w:t>
      </w:r>
    </w:p>
    <w:p>
      <w:pPr>
        <w:spacing w:after="0" w:line="48" w:lineRule="exact"/>
        <w:rPr>
          <w:sz w:val="20"/>
          <w:szCs w:val="20"/>
          <w:color w:val="auto"/>
        </w:rPr>
      </w:pPr>
    </w:p>
    <w:p>
      <w:pPr>
        <w:spacing w:after="0"/>
        <w:rPr>
          <w:sz w:val="20"/>
          <w:szCs w:val="20"/>
          <w:color w:val="auto"/>
        </w:rPr>
      </w:pPr>
      <w:r>
        <w:rPr>
          <w:rFonts w:ascii="Consolas" w:cs="Consolas" w:eastAsia="Consolas" w:hAnsi="Consolas"/>
          <w:sz w:val="19"/>
          <w:szCs w:val="19"/>
          <w:color w:val="auto"/>
        </w:rPr>
        <w:t>[****]</w:t>
      </w:r>
    </w:p>
    <w:p>
      <w:pPr>
        <w:spacing w:after="0" w:line="48" w:lineRule="exact"/>
        <w:rPr>
          <w:sz w:val="20"/>
          <w:szCs w:val="20"/>
          <w:color w:val="auto"/>
        </w:rPr>
      </w:pPr>
    </w:p>
    <w:p>
      <w:pPr>
        <w:spacing w:after="0"/>
        <w:rPr>
          <w:sz w:val="20"/>
          <w:szCs w:val="20"/>
          <w:color w:val="auto"/>
        </w:rPr>
      </w:pPr>
      <w:r>
        <w:rPr>
          <w:rFonts w:ascii="Consolas" w:cs="Consolas" w:eastAsia="Consolas" w:hAnsi="Consolas"/>
          <w:sz w:val="19"/>
          <w:szCs w:val="19"/>
          <w:color w:val="auto"/>
        </w:rPr>
        <w:t>[****]</w:t>
      </w:r>
    </w:p>
    <w:p>
      <w:pPr>
        <w:spacing w:after="0" w:line="48" w:lineRule="exact"/>
        <w:rPr>
          <w:sz w:val="20"/>
          <w:szCs w:val="20"/>
          <w:color w:val="auto"/>
        </w:rPr>
      </w:pPr>
    </w:p>
    <w:p>
      <w:pPr>
        <w:spacing w:after="0"/>
        <w:rPr>
          <w:sz w:val="20"/>
          <w:szCs w:val="20"/>
          <w:color w:val="auto"/>
        </w:rPr>
      </w:pPr>
      <w:r>
        <w:rPr>
          <w:rFonts w:ascii="Consolas" w:cs="Consolas" w:eastAsia="Consolas" w:hAnsi="Consolas"/>
          <w:sz w:val="19"/>
          <w:szCs w:val="19"/>
          <w:color w:val="auto"/>
        </w:rPr>
        <w:t>[****]</w:t>
      </w:r>
    </w:p>
    <w:p>
      <w:pPr>
        <w:spacing w:after="0" w:line="48" w:lineRule="exact"/>
        <w:rPr>
          <w:sz w:val="20"/>
          <w:szCs w:val="20"/>
          <w:color w:val="auto"/>
        </w:rPr>
      </w:pPr>
    </w:p>
    <w:p>
      <w:pPr>
        <w:spacing w:after="0"/>
        <w:rPr>
          <w:sz w:val="20"/>
          <w:szCs w:val="20"/>
          <w:color w:val="auto"/>
        </w:rPr>
      </w:pPr>
      <w:r>
        <w:rPr>
          <w:rFonts w:ascii="Consolas" w:cs="Consolas" w:eastAsia="Consolas" w:hAnsi="Consolas"/>
          <w:sz w:val="19"/>
          <w:szCs w:val="19"/>
          <w:color w:val="auto"/>
        </w:rPr>
        <w:t>[****]</w:t>
      </w:r>
    </w:p>
    <w:p>
      <w:pPr>
        <w:spacing w:after="0" w:line="48" w:lineRule="exact"/>
        <w:rPr>
          <w:sz w:val="20"/>
          <w:szCs w:val="20"/>
          <w:color w:val="auto"/>
        </w:rPr>
      </w:pPr>
    </w:p>
    <w:p>
      <w:pPr>
        <w:spacing w:after="0"/>
        <w:rPr>
          <w:sz w:val="20"/>
          <w:szCs w:val="20"/>
          <w:color w:val="auto"/>
        </w:rPr>
      </w:pPr>
      <w:r>
        <w:rPr>
          <w:rFonts w:ascii="Consolas" w:cs="Consolas" w:eastAsia="Consolas" w:hAnsi="Consolas"/>
          <w:sz w:val="19"/>
          <w:szCs w:val="19"/>
          <w:color w:val="auto"/>
        </w:rPr>
        <w:t>[****]</w:t>
      </w:r>
    </w:p>
    <w:p>
      <w:pPr>
        <w:spacing w:after="0" w:line="48" w:lineRule="exact"/>
        <w:rPr>
          <w:sz w:val="20"/>
          <w:szCs w:val="20"/>
          <w:color w:val="auto"/>
        </w:rPr>
      </w:pPr>
    </w:p>
    <w:p>
      <w:pPr>
        <w:spacing w:after="0"/>
        <w:rPr>
          <w:sz w:val="20"/>
          <w:szCs w:val="20"/>
          <w:color w:val="auto"/>
        </w:rPr>
      </w:pPr>
      <w:r>
        <w:rPr>
          <w:rFonts w:ascii="Consolas" w:cs="Consolas" w:eastAsia="Consolas" w:hAnsi="Consolas"/>
          <w:sz w:val="19"/>
          <w:szCs w:val="19"/>
          <w:color w:val="auto"/>
        </w:rPr>
        <w:t>[****]</w:t>
      </w:r>
    </w:p>
    <w:p>
      <w:pPr>
        <w:spacing w:after="0" w:line="48" w:lineRule="exact"/>
        <w:rPr>
          <w:sz w:val="20"/>
          <w:szCs w:val="20"/>
          <w:color w:val="auto"/>
        </w:rPr>
      </w:pPr>
    </w:p>
    <w:p>
      <w:pPr>
        <w:spacing w:after="0"/>
        <w:rPr>
          <w:sz w:val="20"/>
          <w:szCs w:val="20"/>
          <w:color w:val="auto"/>
        </w:rPr>
      </w:pPr>
      <w:r>
        <w:rPr>
          <w:rFonts w:ascii="Consolas" w:cs="Consolas" w:eastAsia="Consolas" w:hAnsi="Consolas"/>
          <w:sz w:val="19"/>
          <w:szCs w:val="19"/>
          <w:color w:val="auto"/>
        </w:rPr>
        <w:t>[****]</w:t>
      </w:r>
    </w:p>
    <w:p>
      <w:pPr>
        <w:spacing w:after="0" w:line="48" w:lineRule="exact"/>
        <w:rPr>
          <w:sz w:val="20"/>
          <w:szCs w:val="20"/>
          <w:color w:val="auto"/>
        </w:rPr>
      </w:pPr>
    </w:p>
    <w:p>
      <w:pPr>
        <w:spacing w:after="0"/>
        <w:rPr>
          <w:sz w:val="20"/>
          <w:szCs w:val="20"/>
          <w:color w:val="auto"/>
        </w:rPr>
      </w:pPr>
      <w:r>
        <w:rPr>
          <w:rFonts w:ascii="Consolas" w:cs="Consolas" w:eastAsia="Consolas" w:hAnsi="Consolas"/>
          <w:sz w:val="19"/>
          <w:szCs w:val="19"/>
          <w:color w:val="auto"/>
        </w:rPr>
        <w:t>[****]</w:t>
      </w:r>
    </w:p>
    <w:p>
      <w:pPr>
        <w:spacing w:after="0" w:line="48" w:lineRule="exact"/>
        <w:rPr>
          <w:sz w:val="20"/>
          <w:szCs w:val="20"/>
          <w:color w:val="auto"/>
        </w:rPr>
      </w:pPr>
    </w:p>
    <w:p>
      <w:pPr>
        <w:spacing w:after="0"/>
        <w:rPr>
          <w:sz w:val="20"/>
          <w:szCs w:val="20"/>
          <w:color w:val="auto"/>
        </w:rPr>
      </w:pPr>
      <w:r>
        <w:rPr>
          <w:rFonts w:ascii="Consolas" w:cs="Consolas" w:eastAsia="Consolas" w:hAnsi="Consolas"/>
          <w:sz w:val="19"/>
          <w:szCs w:val="19"/>
          <w:color w:val="auto"/>
        </w:rPr>
        <w:t>[****]</w:t>
      </w:r>
    </w:p>
    <w:p>
      <w:pPr>
        <w:spacing w:after="0" w:line="48" w:lineRule="exact"/>
        <w:rPr>
          <w:sz w:val="20"/>
          <w:szCs w:val="20"/>
          <w:color w:val="auto"/>
        </w:rPr>
      </w:pPr>
    </w:p>
    <w:p>
      <w:pPr>
        <w:spacing w:after="0"/>
        <w:rPr>
          <w:sz w:val="20"/>
          <w:szCs w:val="20"/>
          <w:color w:val="auto"/>
        </w:rPr>
      </w:pPr>
      <w:r>
        <w:rPr>
          <w:rFonts w:ascii="Consolas" w:cs="Consolas" w:eastAsia="Consolas" w:hAnsi="Consolas"/>
          <w:sz w:val="19"/>
          <w:szCs w:val="19"/>
          <w:color w:val="auto"/>
        </w:rPr>
        <w:t>[****]</w:t>
      </w:r>
    </w:p>
    <w:p>
      <w:pPr>
        <w:spacing w:after="0" w:line="48" w:lineRule="exact"/>
        <w:rPr>
          <w:sz w:val="20"/>
          <w:szCs w:val="20"/>
          <w:color w:val="auto"/>
        </w:rPr>
      </w:pPr>
    </w:p>
    <w:p>
      <w:pPr>
        <w:spacing w:after="0"/>
        <w:rPr>
          <w:sz w:val="20"/>
          <w:szCs w:val="20"/>
          <w:color w:val="auto"/>
        </w:rPr>
      </w:pPr>
      <w:r>
        <w:rPr>
          <w:rFonts w:ascii="Consolas" w:cs="Consolas" w:eastAsia="Consolas" w:hAnsi="Consolas"/>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880"/>
        <w:spacing w:after="0"/>
        <w:tabs>
          <w:tab w:leader="none" w:pos="3280" w:val="left"/>
        </w:tabs>
        <w:rPr>
          <w:sz w:val="20"/>
          <w:szCs w:val="20"/>
          <w:color w:val="auto"/>
        </w:rPr>
      </w:pPr>
      <w:r>
        <w:rPr>
          <w:rFonts w:ascii="Arial" w:cs="Arial" w:eastAsia="Arial" w:hAnsi="Arial"/>
          <w:sz w:val="22"/>
          <w:szCs w:val="22"/>
          <w:color w:val="auto"/>
        </w:rPr>
        <w:t>PA-03735</w:t>
      </w:r>
      <w:r>
        <w:rPr>
          <w:sz w:val="20"/>
          <w:szCs w:val="20"/>
          <w:color w:val="auto"/>
        </w:rPr>
        <w:tab/>
      </w:r>
      <w:r>
        <w:rPr>
          <w:rFonts w:ascii="Arial" w:cs="Arial" w:eastAsia="Arial" w:hAnsi="Arial"/>
          <w:sz w:val="21"/>
          <w:szCs w:val="21"/>
          <w:color w:val="auto"/>
        </w:rPr>
        <w:t>Page 2 of 3</w:t>
      </w:r>
    </w:p>
    <w:p>
      <w:pPr>
        <w:spacing w:after="0" w:line="274" w:lineRule="exact"/>
        <w:rPr>
          <w:sz w:val="20"/>
          <w:szCs w:val="20"/>
          <w:color w:val="auto"/>
        </w:rPr>
      </w:pPr>
    </w:p>
    <w:p>
      <w:pPr>
        <w:jc w:val="right"/>
        <w:ind w:right="1960"/>
        <w:spacing w:after="0"/>
        <w:rPr>
          <w:sz w:val="20"/>
          <w:szCs w:val="20"/>
          <w:color w:val="auto"/>
        </w:rPr>
      </w:pPr>
      <w:r>
        <w:rPr>
          <w:rFonts w:ascii="Arial" w:cs="Arial" w:eastAsia="Arial" w:hAnsi="Arial"/>
          <w:sz w:val="22"/>
          <w:szCs w:val="22"/>
          <w:color w:val="auto"/>
        </w:rPr>
        <w:t>BOEING AND AMERICAN PROPRIETARY</w:t>
      </w:r>
    </w:p>
    <w:p>
      <w:pPr>
        <w:spacing w:after="0" w:line="20" w:lineRule="exact"/>
        <w:rPr>
          <w:sz w:val="20"/>
          <w:szCs w:val="20"/>
          <w:color w:val="auto"/>
        </w:rPr>
      </w:pPr>
      <w:r>
        <w:rPr>
          <w:sz w:val="20"/>
          <w:szCs w:val="20"/>
          <w:color w:val="auto"/>
        </w:rPr>
        <w:br w:type="column"/>
      </w:r>
    </w:p>
    <w:p>
      <w:pPr>
        <w:ind w:left="60"/>
        <w:spacing w:after="0"/>
        <w:rPr>
          <w:sz w:val="20"/>
          <w:szCs w:val="20"/>
          <w:color w:val="auto"/>
        </w:rPr>
      </w:pPr>
      <w:r>
        <w:rPr>
          <w:rFonts w:ascii="Arial" w:cs="Arial" w:eastAsia="Arial" w:hAnsi="Arial"/>
          <w:sz w:val="22"/>
          <w:szCs w:val="22"/>
          <w:color w:val="auto"/>
        </w:rPr>
        <w:t>6</w:t>
      </w:r>
    </w:p>
    <w:p>
      <w:pPr>
        <w:spacing w:after="0" w:line="275" w:lineRule="exact"/>
        <w:rPr>
          <w:sz w:val="20"/>
          <w:szCs w:val="20"/>
          <w:color w:val="auto"/>
        </w:rPr>
      </w:pPr>
    </w:p>
    <w:p>
      <w:pPr>
        <w:spacing w:after="0"/>
        <w:rPr>
          <w:sz w:val="20"/>
          <w:szCs w:val="20"/>
          <w:color w:val="auto"/>
        </w:rPr>
      </w:pPr>
      <w:r>
        <w:rPr>
          <w:rFonts w:ascii="Arial" w:cs="Arial" w:eastAsia="Arial" w:hAnsi="Arial"/>
          <w:sz w:val="21"/>
          <w:szCs w:val="21"/>
          <w:color w:val="auto"/>
        </w:rPr>
        <w:t>32</w:t>
      </w:r>
    </w:p>
    <w:p>
      <w:pPr>
        <w:spacing w:after="0" w:line="4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34</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color w:val="auto"/>
        </w:rPr>
        <w:t>32</w:t>
      </w:r>
    </w:p>
    <w:p>
      <w:pPr>
        <w:spacing w:after="0" w:line="42" w:lineRule="exact"/>
        <w:rPr>
          <w:sz w:val="20"/>
          <w:szCs w:val="20"/>
          <w:color w:val="auto"/>
        </w:rPr>
      </w:pPr>
    </w:p>
    <w:p>
      <w:pPr>
        <w:spacing w:after="0"/>
        <w:rPr>
          <w:sz w:val="20"/>
          <w:szCs w:val="20"/>
          <w:color w:val="auto"/>
        </w:rPr>
      </w:pPr>
      <w:r>
        <w:rPr>
          <w:rFonts w:ascii="Arial" w:cs="Arial" w:eastAsia="Arial" w:hAnsi="Arial"/>
          <w:sz w:val="21"/>
          <w:szCs w:val="21"/>
          <w:color w:val="auto"/>
        </w:rPr>
        <w:t>32</w:t>
      </w:r>
    </w:p>
    <w:p>
      <w:pPr>
        <w:spacing w:after="0" w:line="29" w:lineRule="exact"/>
        <w:rPr>
          <w:sz w:val="20"/>
          <w:szCs w:val="20"/>
          <w:color w:val="auto"/>
        </w:rPr>
      </w:pPr>
    </w:p>
    <w:p>
      <w:pPr>
        <w:ind w:left="60"/>
        <w:spacing w:after="0"/>
        <w:rPr>
          <w:sz w:val="20"/>
          <w:szCs w:val="20"/>
          <w:color w:val="auto"/>
        </w:rPr>
      </w:pPr>
      <w:r>
        <w:rPr>
          <w:rFonts w:ascii="Arial" w:cs="Arial" w:eastAsia="Arial" w:hAnsi="Arial"/>
          <w:sz w:val="22"/>
          <w:szCs w:val="22"/>
          <w:color w:val="auto"/>
        </w:rPr>
        <w:t>6</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1</w:t>
      </w:r>
    </w:p>
    <w:p>
      <w:pPr>
        <w:spacing w:after="0" w:line="31" w:lineRule="exact"/>
        <w:rPr>
          <w:sz w:val="20"/>
          <w:szCs w:val="20"/>
          <w:color w:val="auto"/>
        </w:rPr>
      </w:pPr>
    </w:p>
    <w:p>
      <w:pPr>
        <w:ind w:left="60"/>
        <w:spacing w:after="0"/>
        <w:rPr>
          <w:sz w:val="20"/>
          <w:szCs w:val="20"/>
          <w:color w:val="auto"/>
        </w:rPr>
      </w:pPr>
      <w:r>
        <w:rPr>
          <w:rFonts w:ascii="Arial" w:cs="Arial" w:eastAsia="Arial" w:hAnsi="Arial"/>
          <w:sz w:val="22"/>
          <w:szCs w:val="22"/>
          <w:color w:val="auto"/>
        </w:rPr>
        <w:t>2</w:t>
      </w:r>
    </w:p>
    <w:p>
      <w:pPr>
        <w:spacing w:after="0" w:line="17" w:lineRule="exact"/>
        <w:rPr>
          <w:sz w:val="20"/>
          <w:szCs w:val="20"/>
          <w:color w:val="auto"/>
        </w:rPr>
      </w:pPr>
    </w:p>
    <w:p>
      <w:pPr>
        <w:ind w:left="60"/>
        <w:spacing w:after="0"/>
        <w:rPr>
          <w:sz w:val="20"/>
          <w:szCs w:val="20"/>
          <w:color w:val="auto"/>
        </w:rPr>
      </w:pPr>
      <w:r>
        <w:rPr>
          <w:rFonts w:ascii="Arial" w:cs="Arial" w:eastAsia="Arial" w:hAnsi="Arial"/>
          <w:sz w:val="22"/>
          <w:szCs w:val="22"/>
          <w:color w:val="auto"/>
        </w:rPr>
        <w:t>2</w:t>
      </w:r>
    </w:p>
    <w:p>
      <w:pPr>
        <w:spacing w:after="0" w:line="17" w:lineRule="exact"/>
        <w:rPr>
          <w:sz w:val="20"/>
          <w:szCs w:val="20"/>
          <w:color w:val="auto"/>
        </w:rPr>
      </w:pPr>
    </w:p>
    <w:p>
      <w:pPr>
        <w:ind w:left="60"/>
        <w:spacing w:after="0"/>
        <w:rPr>
          <w:sz w:val="20"/>
          <w:szCs w:val="20"/>
          <w:color w:val="auto"/>
        </w:rPr>
      </w:pPr>
      <w:r>
        <w:rPr>
          <w:rFonts w:ascii="Arial" w:cs="Arial" w:eastAsia="Arial" w:hAnsi="Arial"/>
          <w:sz w:val="22"/>
          <w:szCs w:val="22"/>
          <w:color w:val="auto"/>
        </w:rPr>
        <w:t>2</w:t>
      </w:r>
    </w:p>
    <w:p>
      <w:pPr>
        <w:spacing w:after="0" w:line="274" w:lineRule="exact"/>
        <w:rPr>
          <w:sz w:val="20"/>
          <w:szCs w:val="20"/>
          <w:color w:val="auto"/>
        </w:rPr>
      </w:pPr>
    </w:p>
    <w:p>
      <w:pPr>
        <w:spacing w:after="0"/>
        <w:rPr>
          <w:sz w:val="20"/>
          <w:szCs w:val="20"/>
          <w:color w:val="auto"/>
        </w:rPr>
      </w:pPr>
      <w:r>
        <w:rPr>
          <w:rFonts w:ascii="Arial" w:cs="Arial" w:eastAsia="Arial" w:hAnsi="Arial"/>
          <w:sz w:val="21"/>
          <w:szCs w:val="21"/>
          <w:color w:val="auto"/>
        </w:rPr>
        <w:t>32</w:t>
      </w:r>
    </w:p>
    <w:p>
      <w:pPr>
        <w:spacing w:after="0" w:line="42" w:lineRule="exact"/>
        <w:rPr>
          <w:sz w:val="20"/>
          <w:szCs w:val="20"/>
          <w:color w:val="auto"/>
        </w:rPr>
      </w:pPr>
    </w:p>
    <w:p>
      <w:pPr>
        <w:spacing w:after="0"/>
        <w:rPr>
          <w:sz w:val="20"/>
          <w:szCs w:val="20"/>
          <w:color w:val="auto"/>
        </w:rPr>
      </w:pPr>
      <w:r>
        <w:rPr>
          <w:rFonts w:ascii="Arial" w:cs="Arial" w:eastAsia="Arial" w:hAnsi="Arial"/>
          <w:sz w:val="21"/>
          <w:szCs w:val="21"/>
          <w:color w:val="auto"/>
        </w:rPr>
        <w:t>33</w:t>
      </w:r>
    </w:p>
    <w:p>
      <w:pPr>
        <w:spacing w:after="0" w:line="29" w:lineRule="exact"/>
        <w:rPr>
          <w:sz w:val="20"/>
          <w:szCs w:val="20"/>
          <w:color w:val="auto"/>
        </w:rPr>
      </w:pPr>
    </w:p>
    <w:p>
      <w:pPr>
        <w:ind w:left="60"/>
        <w:spacing w:after="0"/>
        <w:rPr>
          <w:sz w:val="20"/>
          <w:szCs w:val="20"/>
          <w:color w:val="auto"/>
        </w:rPr>
      </w:pPr>
      <w:r>
        <w:rPr>
          <w:rFonts w:ascii="Arial" w:cs="Arial" w:eastAsia="Arial" w:hAnsi="Arial"/>
          <w:sz w:val="22"/>
          <w:szCs w:val="22"/>
          <w:color w:val="auto"/>
        </w:rPr>
        <w:t>2</w:t>
      </w:r>
    </w:p>
    <w:p>
      <w:pPr>
        <w:spacing w:after="0" w:line="274" w:lineRule="exact"/>
        <w:rPr>
          <w:sz w:val="20"/>
          <w:szCs w:val="20"/>
          <w:color w:val="auto"/>
        </w:rPr>
      </w:pPr>
    </w:p>
    <w:p>
      <w:pPr>
        <w:ind w:left="60"/>
        <w:spacing w:after="0"/>
        <w:rPr>
          <w:sz w:val="20"/>
          <w:szCs w:val="20"/>
          <w:color w:val="auto"/>
        </w:rPr>
      </w:pPr>
      <w:r>
        <w:rPr>
          <w:rFonts w:ascii="Arial" w:cs="Arial" w:eastAsia="Arial" w:hAnsi="Arial"/>
          <w:sz w:val="22"/>
          <w:szCs w:val="22"/>
          <w:color w:val="auto"/>
        </w:rPr>
        <w:t>8</w:t>
      </w:r>
    </w:p>
    <w:p>
      <w:pPr>
        <w:spacing w:after="0" w:line="287" w:lineRule="exact"/>
        <w:rPr>
          <w:sz w:val="20"/>
          <w:szCs w:val="20"/>
          <w:color w:val="auto"/>
        </w:rPr>
      </w:pPr>
    </w:p>
    <w:p>
      <w:pPr>
        <w:spacing w:after="0"/>
        <w:rPr>
          <w:sz w:val="20"/>
          <w:szCs w:val="20"/>
          <w:color w:val="auto"/>
        </w:rPr>
      </w:pPr>
      <w:r>
        <w:rPr>
          <w:rFonts w:ascii="Arial" w:cs="Arial" w:eastAsia="Arial" w:hAnsi="Arial"/>
          <w:sz w:val="21"/>
          <w:szCs w:val="21"/>
          <w:color w:val="auto"/>
        </w:rPr>
        <w:t>32</w:t>
      </w:r>
    </w:p>
    <w:p>
      <w:pPr>
        <w:spacing w:after="0" w:line="42" w:lineRule="exact"/>
        <w:rPr>
          <w:sz w:val="20"/>
          <w:szCs w:val="20"/>
          <w:color w:val="auto"/>
        </w:rPr>
      </w:pPr>
    </w:p>
    <w:p>
      <w:pPr>
        <w:spacing w:after="0"/>
        <w:rPr>
          <w:sz w:val="20"/>
          <w:szCs w:val="20"/>
          <w:color w:val="auto"/>
        </w:rPr>
      </w:pPr>
      <w:r>
        <w:rPr>
          <w:rFonts w:ascii="Arial" w:cs="Arial" w:eastAsia="Arial" w:hAnsi="Arial"/>
          <w:sz w:val="21"/>
          <w:szCs w:val="21"/>
          <w:color w:val="auto"/>
        </w:rPr>
        <w:t>32</w:t>
      </w:r>
    </w:p>
    <w:p>
      <w:pPr>
        <w:spacing w:after="0" w:line="285" w:lineRule="exact"/>
        <w:rPr>
          <w:sz w:val="20"/>
          <w:szCs w:val="20"/>
          <w:color w:val="auto"/>
        </w:rPr>
      </w:pPr>
    </w:p>
    <w:p>
      <w:pPr>
        <w:ind w:left="60"/>
        <w:spacing w:after="0"/>
        <w:rPr>
          <w:sz w:val="20"/>
          <w:szCs w:val="20"/>
          <w:color w:val="auto"/>
        </w:rPr>
      </w:pPr>
      <w:r>
        <w:rPr>
          <w:rFonts w:ascii="Arial" w:cs="Arial" w:eastAsia="Arial" w:hAnsi="Arial"/>
          <w:sz w:val="22"/>
          <w:szCs w:val="22"/>
          <w:color w:val="auto"/>
        </w:rPr>
        <w:t>4</w:t>
      </w:r>
    </w:p>
    <w:p>
      <w:pPr>
        <w:spacing w:after="0" w:line="287" w:lineRule="exact"/>
        <w:rPr>
          <w:sz w:val="20"/>
          <w:szCs w:val="20"/>
          <w:color w:val="auto"/>
        </w:rPr>
      </w:pPr>
    </w:p>
    <w:p>
      <w:pPr>
        <w:ind w:left="60"/>
        <w:spacing w:after="0"/>
        <w:rPr>
          <w:sz w:val="20"/>
          <w:szCs w:val="20"/>
          <w:color w:val="auto"/>
        </w:rPr>
      </w:pPr>
      <w:r>
        <w:rPr>
          <w:rFonts w:ascii="Arial" w:cs="Arial" w:eastAsia="Arial" w:hAnsi="Arial"/>
          <w:sz w:val="22"/>
          <w:szCs w:val="22"/>
          <w:color w:val="auto"/>
        </w:rPr>
        <w:t>4</w:t>
      </w:r>
    </w:p>
    <w:p>
      <w:pPr>
        <w:spacing w:after="0" w:line="287" w:lineRule="exact"/>
        <w:rPr>
          <w:sz w:val="20"/>
          <w:szCs w:val="20"/>
          <w:color w:val="auto"/>
        </w:rPr>
      </w:pPr>
    </w:p>
    <w:p>
      <w:pPr>
        <w:ind w:left="60"/>
        <w:spacing w:after="0"/>
        <w:rPr>
          <w:sz w:val="20"/>
          <w:szCs w:val="20"/>
          <w:color w:val="auto"/>
        </w:rPr>
      </w:pPr>
      <w:r>
        <w:rPr>
          <w:rFonts w:ascii="Arial" w:cs="Arial" w:eastAsia="Arial" w:hAnsi="Arial"/>
          <w:sz w:val="22"/>
          <w:szCs w:val="22"/>
          <w:color w:val="auto"/>
        </w:rPr>
        <w:t>5</w:t>
      </w:r>
    </w:p>
    <w:p>
      <w:pPr>
        <w:spacing w:after="0" w:line="31" w:lineRule="exact"/>
        <w:rPr>
          <w:sz w:val="20"/>
          <w:szCs w:val="20"/>
          <w:color w:val="auto"/>
        </w:rPr>
      </w:pPr>
    </w:p>
    <w:p>
      <w:pPr>
        <w:spacing w:after="0"/>
        <w:rPr>
          <w:sz w:val="20"/>
          <w:szCs w:val="20"/>
          <w:color w:val="auto"/>
        </w:rPr>
      </w:pPr>
      <w:r>
        <w:rPr>
          <w:rFonts w:ascii="Arial" w:cs="Arial" w:eastAsia="Arial" w:hAnsi="Arial"/>
          <w:sz w:val="21"/>
          <w:szCs w:val="21"/>
          <w:color w:val="auto"/>
        </w:rPr>
        <w:t>23</w:t>
      </w:r>
    </w:p>
    <w:p>
      <w:pPr>
        <w:spacing w:after="0" w:line="29" w:lineRule="exact"/>
        <w:rPr>
          <w:sz w:val="20"/>
          <w:szCs w:val="20"/>
          <w:color w:val="auto"/>
        </w:rPr>
      </w:pPr>
    </w:p>
    <w:p>
      <w:pPr>
        <w:ind w:left="60"/>
        <w:spacing w:after="0"/>
        <w:rPr>
          <w:sz w:val="20"/>
          <w:szCs w:val="20"/>
          <w:color w:val="auto"/>
        </w:rPr>
      </w:pPr>
      <w:r>
        <w:rPr>
          <w:rFonts w:ascii="Arial" w:cs="Arial" w:eastAsia="Arial" w:hAnsi="Arial"/>
          <w:sz w:val="22"/>
          <w:szCs w:val="22"/>
          <w:color w:val="auto"/>
        </w:rPr>
        <w:t>7</w:t>
      </w:r>
    </w:p>
    <w:p>
      <w:pPr>
        <w:spacing w:after="0" w:line="17" w:lineRule="exact"/>
        <w:rPr>
          <w:sz w:val="20"/>
          <w:szCs w:val="20"/>
          <w:color w:val="auto"/>
        </w:rPr>
      </w:pPr>
    </w:p>
    <w:p>
      <w:pPr>
        <w:ind w:left="60"/>
        <w:spacing w:after="0"/>
        <w:rPr>
          <w:sz w:val="20"/>
          <w:szCs w:val="20"/>
          <w:color w:val="auto"/>
        </w:rPr>
      </w:pPr>
      <w:r>
        <w:rPr>
          <w:rFonts w:ascii="Arial" w:cs="Arial" w:eastAsia="Arial" w:hAnsi="Arial"/>
          <w:sz w:val="22"/>
          <w:szCs w:val="22"/>
          <w:color w:val="auto"/>
        </w:rPr>
        <w:t>9</w:t>
      </w:r>
    </w:p>
    <w:p>
      <w:pPr>
        <w:spacing w:after="0" w:line="17" w:lineRule="exact"/>
        <w:rPr>
          <w:sz w:val="20"/>
          <w:szCs w:val="20"/>
          <w:color w:val="auto"/>
        </w:rPr>
      </w:pPr>
    </w:p>
    <w:p>
      <w:pPr>
        <w:spacing w:after="0"/>
        <w:rPr>
          <w:sz w:val="20"/>
          <w:szCs w:val="20"/>
          <w:color w:val="auto"/>
        </w:rPr>
      </w:pPr>
      <w:r>
        <w:rPr>
          <w:rFonts w:ascii="Arial" w:cs="Arial" w:eastAsia="Arial" w:hAnsi="Arial"/>
          <w:sz w:val="21"/>
          <w:szCs w:val="21"/>
          <w:color w:val="auto"/>
        </w:rPr>
        <w:t>11</w:t>
      </w:r>
    </w:p>
    <w:p>
      <w:pPr>
        <w:spacing w:after="0" w:line="29" w:lineRule="exact"/>
        <w:rPr>
          <w:sz w:val="20"/>
          <w:szCs w:val="20"/>
          <w:color w:val="auto"/>
        </w:rPr>
      </w:pPr>
    </w:p>
    <w:p>
      <w:pPr>
        <w:spacing w:after="0"/>
        <w:rPr>
          <w:sz w:val="20"/>
          <w:szCs w:val="20"/>
          <w:color w:val="auto"/>
        </w:rPr>
      </w:pPr>
      <w:r>
        <w:rPr>
          <w:rFonts w:ascii="Arial" w:cs="Arial" w:eastAsia="Arial" w:hAnsi="Arial"/>
          <w:sz w:val="21"/>
          <w:szCs w:val="21"/>
          <w:color w:val="auto"/>
        </w:rPr>
        <w:t>11</w:t>
      </w:r>
    </w:p>
    <w:p>
      <w:pPr>
        <w:spacing w:after="0" w:line="29" w:lineRule="exact"/>
        <w:rPr>
          <w:sz w:val="20"/>
          <w:szCs w:val="20"/>
          <w:color w:val="auto"/>
        </w:rPr>
      </w:pPr>
    </w:p>
    <w:p>
      <w:pPr>
        <w:spacing w:after="0"/>
        <w:rPr>
          <w:sz w:val="20"/>
          <w:szCs w:val="20"/>
          <w:color w:val="auto"/>
        </w:rPr>
      </w:pPr>
      <w:r>
        <w:rPr>
          <w:rFonts w:ascii="Arial" w:cs="Arial" w:eastAsia="Arial" w:hAnsi="Arial"/>
          <w:sz w:val="21"/>
          <w:szCs w:val="21"/>
          <w:color w:val="auto"/>
        </w:rPr>
        <w:t>11</w:t>
      </w:r>
    </w:p>
    <w:p>
      <w:pPr>
        <w:spacing w:after="0" w:line="29" w:lineRule="exact"/>
        <w:rPr>
          <w:sz w:val="20"/>
          <w:szCs w:val="20"/>
          <w:color w:val="auto"/>
        </w:rPr>
      </w:pPr>
    </w:p>
    <w:p>
      <w:pPr>
        <w:spacing w:after="0"/>
        <w:rPr>
          <w:sz w:val="20"/>
          <w:szCs w:val="20"/>
          <w:color w:val="auto"/>
        </w:rPr>
      </w:pPr>
      <w:r>
        <w:rPr>
          <w:rFonts w:ascii="Arial" w:cs="Arial" w:eastAsia="Arial" w:hAnsi="Arial"/>
          <w:sz w:val="21"/>
          <w:szCs w:val="21"/>
          <w:color w:val="auto"/>
        </w:rPr>
        <w:t>14</w:t>
      </w:r>
    </w:p>
    <w:p>
      <w:pPr>
        <w:spacing w:after="0" w:line="29" w:lineRule="exact"/>
        <w:rPr>
          <w:sz w:val="20"/>
          <w:szCs w:val="20"/>
          <w:color w:val="auto"/>
        </w:rPr>
      </w:pPr>
    </w:p>
    <w:p>
      <w:pPr>
        <w:spacing w:after="0"/>
        <w:rPr>
          <w:sz w:val="20"/>
          <w:szCs w:val="20"/>
          <w:color w:val="auto"/>
        </w:rPr>
      </w:pPr>
      <w:r>
        <w:rPr>
          <w:rFonts w:ascii="Arial" w:cs="Arial" w:eastAsia="Arial" w:hAnsi="Arial"/>
          <w:sz w:val="21"/>
          <w:szCs w:val="21"/>
          <w:color w:val="auto"/>
        </w:rPr>
        <w:t>32</w:t>
      </w:r>
    </w:p>
    <w:p>
      <w:pPr>
        <w:spacing w:after="0" w:line="29" w:lineRule="exact"/>
        <w:rPr>
          <w:sz w:val="20"/>
          <w:szCs w:val="20"/>
          <w:color w:val="auto"/>
        </w:rPr>
      </w:pPr>
    </w:p>
    <w:p>
      <w:pPr>
        <w:spacing w:after="0"/>
        <w:rPr>
          <w:sz w:val="20"/>
          <w:szCs w:val="20"/>
          <w:color w:val="auto"/>
        </w:rPr>
      </w:pPr>
      <w:r>
        <w:rPr>
          <w:rFonts w:ascii="Arial" w:cs="Arial" w:eastAsia="Arial" w:hAnsi="Arial"/>
          <w:sz w:val="21"/>
          <w:szCs w:val="21"/>
          <w:color w:val="auto"/>
        </w:rPr>
        <w:t>32</w:t>
      </w:r>
    </w:p>
    <w:p>
      <w:pPr>
        <w:spacing w:after="0" w:line="29" w:lineRule="exact"/>
        <w:rPr>
          <w:sz w:val="20"/>
          <w:szCs w:val="20"/>
          <w:color w:val="auto"/>
        </w:rPr>
      </w:pPr>
    </w:p>
    <w:p>
      <w:pPr>
        <w:spacing w:after="0"/>
        <w:rPr>
          <w:sz w:val="20"/>
          <w:szCs w:val="20"/>
          <w:color w:val="auto"/>
        </w:rPr>
      </w:pPr>
      <w:r>
        <w:rPr>
          <w:rFonts w:ascii="Arial" w:cs="Arial" w:eastAsia="Arial" w:hAnsi="Arial"/>
          <w:sz w:val="21"/>
          <w:szCs w:val="21"/>
          <w:color w:val="auto"/>
        </w:rPr>
        <w:t>32</w:t>
      </w:r>
    </w:p>
    <w:p>
      <w:pPr>
        <w:spacing w:after="0" w:line="29" w:lineRule="exact"/>
        <w:rPr>
          <w:sz w:val="20"/>
          <w:szCs w:val="20"/>
          <w:color w:val="auto"/>
        </w:rPr>
      </w:pPr>
    </w:p>
    <w:p>
      <w:pPr>
        <w:spacing w:after="0"/>
        <w:rPr>
          <w:sz w:val="20"/>
          <w:szCs w:val="20"/>
          <w:color w:val="auto"/>
        </w:rPr>
      </w:pPr>
      <w:r>
        <w:rPr>
          <w:rFonts w:ascii="Arial" w:cs="Arial" w:eastAsia="Arial" w:hAnsi="Arial"/>
          <w:sz w:val="21"/>
          <w:szCs w:val="21"/>
          <w:color w:val="auto"/>
        </w:rPr>
        <w:t>32</w:t>
      </w:r>
    </w:p>
    <w:p>
      <w:pPr>
        <w:spacing w:after="0" w:line="29" w:lineRule="exact"/>
        <w:rPr>
          <w:sz w:val="20"/>
          <w:szCs w:val="20"/>
          <w:color w:val="auto"/>
        </w:rPr>
      </w:pPr>
    </w:p>
    <w:p>
      <w:pPr>
        <w:spacing w:after="0"/>
        <w:rPr>
          <w:sz w:val="20"/>
          <w:szCs w:val="20"/>
          <w:color w:val="auto"/>
        </w:rPr>
      </w:pPr>
      <w:r>
        <w:rPr>
          <w:rFonts w:ascii="Arial" w:cs="Arial" w:eastAsia="Arial" w:hAnsi="Arial"/>
          <w:sz w:val="21"/>
          <w:szCs w:val="21"/>
          <w:color w:val="auto"/>
        </w:rPr>
        <w:t>32</w:t>
      </w:r>
    </w:p>
    <w:p>
      <w:pPr>
        <w:spacing w:after="0" w:line="29" w:lineRule="exact"/>
        <w:rPr>
          <w:sz w:val="20"/>
          <w:szCs w:val="20"/>
          <w:color w:val="auto"/>
        </w:rPr>
      </w:pPr>
    </w:p>
    <w:p>
      <w:pPr>
        <w:spacing w:after="0"/>
        <w:rPr>
          <w:sz w:val="20"/>
          <w:szCs w:val="20"/>
          <w:color w:val="auto"/>
        </w:rPr>
      </w:pPr>
      <w:r>
        <w:rPr>
          <w:rFonts w:ascii="Arial" w:cs="Arial" w:eastAsia="Arial" w:hAnsi="Arial"/>
          <w:sz w:val="21"/>
          <w:szCs w:val="21"/>
          <w:color w:val="auto"/>
        </w:rPr>
        <w:t>32</w:t>
      </w:r>
    </w:p>
    <w:p>
      <w:pPr>
        <w:spacing w:after="0" w:line="29" w:lineRule="exact"/>
        <w:rPr>
          <w:sz w:val="20"/>
          <w:szCs w:val="20"/>
          <w:color w:val="auto"/>
        </w:rPr>
      </w:pPr>
    </w:p>
    <w:p>
      <w:pPr>
        <w:spacing w:after="0"/>
        <w:rPr>
          <w:sz w:val="20"/>
          <w:szCs w:val="20"/>
          <w:color w:val="auto"/>
        </w:rPr>
      </w:pPr>
      <w:r>
        <w:rPr>
          <w:rFonts w:ascii="Arial" w:cs="Arial" w:eastAsia="Arial" w:hAnsi="Arial"/>
          <w:sz w:val="21"/>
          <w:szCs w:val="21"/>
          <w:color w:val="auto"/>
        </w:rPr>
        <w:t>32</w:t>
      </w:r>
    </w:p>
    <w:p>
      <w:pPr>
        <w:spacing w:after="0" w:line="29" w:lineRule="exact"/>
        <w:rPr>
          <w:sz w:val="20"/>
          <w:szCs w:val="20"/>
          <w:color w:val="auto"/>
        </w:rPr>
      </w:pPr>
    </w:p>
    <w:p>
      <w:pPr>
        <w:spacing w:after="0"/>
        <w:rPr>
          <w:sz w:val="20"/>
          <w:szCs w:val="20"/>
          <w:color w:val="auto"/>
        </w:rPr>
      </w:pPr>
      <w:r>
        <w:rPr>
          <w:rFonts w:ascii="Arial" w:cs="Arial" w:eastAsia="Arial" w:hAnsi="Arial"/>
          <w:sz w:val="21"/>
          <w:szCs w:val="21"/>
          <w:color w:val="auto"/>
        </w:rPr>
        <w:t>32</w:t>
      </w:r>
    </w:p>
    <w:p>
      <w:pPr>
        <w:spacing w:after="0" w:line="29" w:lineRule="exact"/>
        <w:rPr>
          <w:sz w:val="20"/>
          <w:szCs w:val="20"/>
          <w:color w:val="auto"/>
        </w:rPr>
      </w:pPr>
    </w:p>
    <w:p>
      <w:pPr>
        <w:spacing w:after="0"/>
        <w:rPr>
          <w:sz w:val="20"/>
          <w:szCs w:val="20"/>
          <w:color w:val="auto"/>
        </w:rPr>
      </w:pPr>
      <w:r>
        <w:rPr>
          <w:rFonts w:ascii="Arial" w:cs="Arial" w:eastAsia="Arial" w:hAnsi="Arial"/>
          <w:sz w:val="21"/>
          <w:szCs w:val="21"/>
          <w:color w:val="auto"/>
        </w:rPr>
        <w:t>32</w:t>
      </w:r>
    </w:p>
    <w:p>
      <w:pPr>
        <w:sectPr>
          <w:pgSz w:w="11900" w:h="16838" w:orient="portrait"/>
          <w:cols w:equalWidth="0" w:num="3">
            <w:col w:w="1680" w:space="720"/>
            <w:col w:w="7180" w:space="720"/>
            <w:col w:w="600"/>
          </w:cols>
          <w:pgMar w:left="400" w:top="1394" w:right="599" w:bottom="1440" w:gutter="0" w:footer="0" w:header="0"/>
          <w:type w:val="continuous"/>
        </w:sectPr>
      </w:pPr>
    </w:p>
    <w:bookmarkStart w:id="75" w:name="page76"/>
    <w:bookmarkEnd w:id="75"/>
    <w:tbl>
      <w:tblPr>
        <w:tblLayout w:type="fixed"/>
        <w:tblInd w:w="72" w:type="dxa"/>
        <w:tblCellMar>
          <w:top w:w="0" w:type="dxa"/>
          <w:left w:w="0" w:type="dxa"/>
          <w:bottom w:w="0" w:type="dxa"/>
          <w:right w:w="0" w:type="dxa"/>
        </w:tblCellMar>
      </w:tblPr>
      <w:tr>
        <w:trPr>
          <w:trHeight w:val="257"/>
        </w:trPr>
        <w:tc>
          <w:tcPr>
            <w:tcW w:w="19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636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22"/>
                <w:szCs w:val="22"/>
                <w:b w:val="1"/>
                <w:bCs w:val="1"/>
                <w:color w:val="auto"/>
                <w:w w:val="98"/>
              </w:rPr>
              <w:t>SA</w:t>
            </w:r>
          </w:p>
        </w:tc>
      </w:tr>
      <w:tr>
        <w:trPr>
          <w:trHeight w:val="238"/>
        </w:trPr>
        <w:tc>
          <w:tcPr>
            <w:tcW w:w="9940" w:type="dxa"/>
            <w:vAlign w:val="bottom"/>
            <w:gridSpan w:val="3"/>
          </w:tcPr>
          <w:p>
            <w:pPr>
              <w:spacing w:after="0" w:line="211" w:lineRule="exact"/>
              <w:rPr>
                <w:sz w:val="20"/>
                <w:szCs w:val="20"/>
                <w:color w:val="auto"/>
              </w:rPr>
            </w:pPr>
            <w:r>
              <w:rPr>
                <w:rFonts w:ascii="Arial" w:cs="Arial" w:eastAsia="Arial" w:hAnsi="Arial"/>
                <w:sz w:val="22"/>
                <w:szCs w:val="22"/>
                <w:b w:val="1"/>
                <w:bCs w:val="1"/>
                <w:color w:val="auto"/>
              </w:rPr>
              <w:t>LETTER AGREEMENTS, continued</w:t>
            </w:r>
          </w:p>
        </w:tc>
        <w:tc>
          <w:tcPr>
            <w:tcW w:w="960" w:type="dxa"/>
            <w:vAlign w:val="bottom"/>
          </w:tcPr>
          <w:p>
            <w:pPr>
              <w:jc w:val="center"/>
              <w:spacing w:after="0" w:line="211" w:lineRule="exact"/>
              <w:rPr>
                <w:sz w:val="20"/>
                <w:szCs w:val="20"/>
                <w:color w:val="auto"/>
              </w:rPr>
            </w:pPr>
            <w:r>
              <w:rPr>
                <w:rFonts w:ascii="Arial" w:cs="Arial" w:eastAsia="Arial" w:hAnsi="Arial"/>
                <w:sz w:val="22"/>
                <w:szCs w:val="22"/>
                <w:b w:val="1"/>
                <w:bCs w:val="1"/>
                <w:color w:val="auto"/>
                <w:w w:val="99"/>
              </w:rPr>
              <w:t>NUMBER</w:t>
            </w:r>
          </w:p>
        </w:tc>
      </w:tr>
      <w:tr>
        <w:trPr>
          <w:trHeight w:val="294"/>
        </w:trPr>
        <w:tc>
          <w:tcPr>
            <w:tcW w:w="192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LA-2306982</w:t>
            </w:r>
          </w:p>
        </w:tc>
        <w:tc>
          <w:tcPr>
            <w:tcW w:w="1660" w:type="dxa"/>
            <w:vAlign w:val="bottom"/>
            <w:tcBorders>
              <w:top w:val="single" w:sz="8" w:color="auto"/>
            </w:tcBorders>
          </w:tcPr>
          <w:p>
            <w:pPr>
              <w:jc w:val="right"/>
              <w:ind w:right="466"/>
              <w:spacing w:after="0"/>
              <w:rPr>
                <w:sz w:val="20"/>
                <w:szCs w:val="20"/>
                <w:color w:val="auto"/>
              </w:rPr>
            </w:pPr>
            <w:r>
              <w:rPr>
                <w:rFonts w:ascii="Consolas" w:cs="Consolas" w:eastAsia="Consolas" w:hAnsi="Consolas"/>
                <w:sz w:val="19"/>
                <w:szCs w:val="19"/>
                <w:color w:val="auto"/>
              </w:rPr>
              <w:t>[****]</w:t>
            </w:r>
          </w:p>
        </w:tc>
        <w:tc>
          <w:tcPr>
            <w:tcW w:w="6360" w:type="dxa"/>
            <w:vAlign w:val="bottom"/>
          </w:tcPr>
          <w:p>
            <w:pPr>
              <w:spacing w:after="0"/>
              <w:rPr>
                <w:sz w:val="24"/>
                <w:szCs w:val="24"/>
                <w:color w:val="auto"/>
              </w:rPr>
            </w:pPr>
          </w:p>
        </w:tc>
        <w:tc>
          <w:tcPr>
            <w:tcW w:w="960" w:type="dxa"/>
            <w:vAlign w:val="bottom"/>
            <w:tcBorders>
              <w:top w:val="single" w:sz="8" w:color="auto"/>
            </w:tcBorders>
          </w:tcPr>
          <w:p>
            <w:pPr>
              <w:jc w:val="center"/>
              <w:spacing w:after="0"/>
              <w:rPr>
                <w:sz w:val="20"/>
                <w:szCs w:val="20"/>
                <w:color w:val="auto"/>
              </w:rPr>
            </w:pPr>
            <w:r>
              <w:rPr>
                <w:rFonts w:ascii="Arial" w:cs="Arial" w:eastAsia="Arial" w:hAnsi="Arial"/>
                <w:sz w:val="22"/>
                <w:szCs w:val="22"/>
                <w:color w:val="auto"/>
                <w:w w:val="97"/>
              </w:rPr>
              <w:t>32</w:t>
            </w:r>
          </w:p>
        </w:tc>
      </w:tr>
      <w:tr>
        <w:trPr>
          <w:trHeight w:val="310"/>
        </w:trPr>
        <w:tc>
          <w:tcPr>
            <w:tcW w:w="1920" w:type="dxa"/>
            <w:vAlign w:val="bottom"/>
          </w:tcPr>
          <w:p>
            <w:pPr>
              <w:spacing w:after="0"/>
              <w:rPr>
                <w:sz w:val="20"/>
                <w:szCs w:val="20"/>
                <w:color w:val="auto"/>
              </w:rPr>
            </w:pPr>
            <w:r>
              <w:rPr>
                <w:rFonts w:ascii="Arial" w:cs="Arial" w:eastAsia="Arial" w:hAnsi="Arial"/>
                <w:sz w:val="22"/>
                <w:szCs w:val="22"/>
                <w:color w:val="auto"/>
              </w:rPr>
              <w:t>LA-2306983</w:t>
            </w:r>
            <w:r>
              <w:rPr>
                <w:rFonts w:ascii="Arial" w:cs="Arial" w:eastAsia="Arial" w:hAnsi="Arial"/>
                <w:sz w:val="22"/>
                <w:szCs w:val="22"/>
                <w:b w:val="1"/>
                <w:bCs w:val="1"/>
                <w:color w:val="auto"/>
              </w:rPr>
              <w:t>R1</w:t>
            </w:r>
          </w:p>
        </w:tc>
        <w:tc>
          <w:tcPr>
            <w:tcW w:w="1660" w:type="dxa"/>
            <w:vAlign w:val="bottom"/>
          </w:tcPr>
          <w:p>
            <w:pPr>
              <w:jc w:val="right"/>
              <w:ind w:right="466"/>
              <w:spacing w:after="0"/>
              <w:rPr>
                <w:sz w:val="20"/>
                <w:szCs w:val="20"/>
                <w:color w:val="auto"/>
              </w:rPr>
            </w:pPr>
            <w:r>
              <w:rPr>
                <w:rFonts w:ascii="Consolas" w:cs="Consolas" w:eastAsia="Consolas" w:hAnsi="Consolas"/>
                <w:sz w:val="19"/>
                <w:szCs w:val="19"/>
                <w:color w:val="auto"/>
              </w:rPr>
              <w:t>[****]</w:t>
            </w:r>
          </w:p>
        </w:tc>
        <w:tc>
          <w:tcPr>
            <w:tcW w:w="636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22"/>
                <w:szCs w:val="22"/>
                <w:b w:val="1"/>
                <w:bCs w:val="1"/>
                <w:color w:val="auto"/>
                <w:w w:val="97"/>
              </w:rPr>
              <w:t>34</w:t>
            </w:r>
          </w:p>
        </w:tc>
      </w:tr>
      <w:tr>
        <w:trPr>
          <w:trHeight w:val="270"/>
        </w:trPr>
        <w:tc>
          <w:tcPr>
            <w:tcW w:w="1920" w:type="dxa"/>
            <w:vAlign w:val="bottom"/>
          </w:tcPr>
          <w:p>
            <w:pPr>
              <w:spacing w:after="0"/>
              <w:rPr>
                <w:sz w:val="20"/>
                <w:szCs w:val="20"/>
                <w:color w:val="auto"/>
              </w:rPr>
            </w:pPr>
            <w:r>
              <w:rPr>
                <w:rFonts w:ascii="Arial" w:cs="Arial" w:eastAsia="Arial" w:hAnsi="Arial"/>
                <w:sz w:val="22"/>
                <w:szCs w:val="22"/>
                <w:color w:val="auto"/>
              </w:rPr>
              <w:t>LA-2306984</w:t>
            </w:r>
          </w:p>
        </w:tc>
        <w:tc>
          <w:tcPr>
            <w:tcW w:w="1660" w:type="dxa"/>
            <w:vAlign w:val="bottom"/>
          </w:tcPr>
          <w:p>
            <w:pPr>
              <w:jc w:val="right"/>
              <w:ind w:right="466"/>
              <w:spacing w:after="0"/>
              <w:rPr>
                <w:sz w:val="20"/>
                <w:szCs w:val="20"/>
                <w:color w:val="auto"/>
              </w:rPr>
            </w:pPr>
            <w:r>
              <w:rPr>
                <w:rFonts w:ascii="Consolas" w:cs="Consolas" w:eastAsia="Consolas" w:hAnsi="Consolas"/>
                <w:sz w:val="19"/>
                <w:szCs w:val="19"/>
                <w:color w:val="auto"/>
              </w:rPr>
              <w:t>[****]</w:t>
            </w:r>
          </w:p>
        </w:tc>
        <w:tc>
          <w:tcPr>
            <w:tcW w:w="636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32</w:t>
            </w:r>
          </w:p>
        </w:tc>
      </w:tr>
      <w:tr>
        <w:trPr>
          <w:trHeight w:val="270"/>
        </w:trPr>
        <w:tc>
          <w:tcPr>
            <w:tcW w:w="1920" w:type="dxa"/>
            <w:vAlign w:val="bottom"/>
          </w:tcPr>
          <w:p>
            <w:pPr>
              <w:spacing w:after="0"/>
              <w:rPr>
                <w:sz w:val="20"/>
                <w:szCs w:val="20"/>
                <w:color w:val="auto"/>
              </w:rPr>
            </w:pPr>
            <w:r>
              <w:rPr>
                <w:rFonts w:ascii="Arial" w:cs="Arial" w:eastAsia="Arial" w:hAnsi="Arial"/>
                <w:sz w:val="22"/>
                <w:szCs w:val="22"/>
                <w:color w:val="auto"/>
              </w:rPr>
              <w:t>LA-2306985</w:t>
            </w:r>
          </w:p>
        </w:tc>
        <w:tc>
          <w:tcPr>
            <w:tcW w:w="1660" w:type="dxa"/>
            <w:vAlign w:val="bottom"/>
          </w:tcPr>
          <w:p>
            <w:pPr>
              <w:jc w:val="right"/>
              <w:ind w:right="466"/>
              <w:spacing w:after="0"/>
              <w:rPr>
                <w:sz w:val="20"/>
                <w:szCs w:val="20"/>
                <w:color w:val="auto"/>
              </w:rPr>
            </w:pPr>
            <w:r>
              <w:rPr>
                <w:rFonts w:ascii="Consolas" w:cs="Consolas" w:eastAsia="Consolas" w:hAnsi="Consolas"/>
                <w:sz w:val="19"/>
                <w:szCs w:val="19"/>
                <w:color w:val="auto"/>
              </w:rPr>
              <w:t>[****]</w:t>
            </w:r>
          </w:p>
        </w:tc>
        <w:tc>
          <w:tcPr>
            <w:tcW w:w="636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32</w:t>
            </w:r>
          </w:p>
        </w:tc>
      </w:tr>
      <w:tr>
        <w:trPr>
          <w:trHeight w:val="270"/>
        </w:trPr>
        <w:tc>
          <w:tcPr>
            <w:tcW w:w="1920" w:type="dxa"/>
            <w:vAlign w:val="bottom"/>
          </w:tcPr>
          <w:p>
            <w:pPr>
              <w:spacing w:after="0"/>
              <w:rPr>
                <w:sz w:val="20"/>
                <w:szCs w:val="20"/>
                <w:color w:val="auto"/>
              </w:rPr>
            </w:pPr>
            <w:r>
              <w:rPr>
                <w:rFonts w:ascii="Arial" w:cs="Arial" w:eastAsia="Arial" w:hAnsi="Arial"/>
                <w:sz w:val="22"/>
                <w:szCs w:val="22"/>
                <w:color w:val="auto"/>
              </w:rPr>
              <w:t>LA-2306986</w:t>
            </w:r>
          </w:p>
        </w:tc>
        <w:tc>
          <w:tcPr>
            <w:tcW w:w="1660" w:type="dxa"/>
            <w:vAlign w:val="bottom"/>
          </w:tcPr>
          <w:p>
            <w:pPr>
              <w:jc w:val="right"/>
              <w:ind w:right="466"/>
              <w:spacing w:after="0"/>
              <w:rPr>
                <w:sz w:val="20"/>
                <w:szCs w:val="20"/>
                <w:color w:val="auto"/>
              </w:rPr>
            </w:pPr>
            <w:r>
              <w:rPr>
                <w:rFonts w:ascii="Consolas" w:cs="Consolas" w:eastAsia="Consolas" w:hAnsi="Consolas"/>
                <w:sz w:val="19"/>
                <w:szCs w:val="19"/>
                <w:color w:val="auto"/>
              </w:rPr>
              <w:t>[****]</w:t>
            </w:r>
          </w:p>
        </w:tc>
        <w:tc>
          <w:tcPr>
            <w:tcW w:w="636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32</w:t>
            </w:r>
          </w:p>
        </w:tc>
      </w:tr>
      <w:tr>
        <w:trPr>
          <w:trHeight w:val="287"/>
        </w:trPr>
        <w:tc>
          <w:tcPr>
            <w:tcW w:w="1920" w:type="dxa"/>
            <w:vAlign w:val="bottom"/>
          </w:tcPr>
          <w:p>
            <w:pPr>
              <w:spacing w:after="0"/>
              <w:rPr>
                <w:sz w:val="20"/>
                <w:szCs w:val="20"/>
                <w:color w:val="auto"/>
              </w:rPr>
            </w:pPr>
            <w:r>
              <w:rPr>
                <w:rFonts w:ascii="Arial" w:cs="Arial" w:eastAsia="Arial" w:hAnsi="Arial"/>
                <w:sz w:val="22"/>
                <w:szCs w:val="22"/>
                <w:color w:val="auto"/>
              </w:rPr>
              <w:t>LA-2402910</w:t>
            </w:r>
          </w:p>
        </w:tc>
        <w:tc>
          <w:tcPr>
            <w:tcW w:w="1660" w:type="dxa"/>
            <w:vAlign w:val="bottom"/>
          </w:tcPr>
          <w:p>
            <w:pPr>
              <w:jc w:val="right"/>
              <w:ind w:right="466"/>
              <w:spacing w:after="0"/>
              <w:rPr>
                <w:sz w:val="20"/>
                <w:szCs w:val="20"/>
                <w:color w:val="auto"/>
              </w:rPr>
            </w:pPr>
            <w:r>
              <w:rPr>
                <w:rFonts w:ascii="Consolas" w:cs="Consolas" w:eastAsia="Consolas" w:hAnsi="Consolas"/>
                <w:sz w:val="19"/>
                <w:szCs w:val="19"/>
                <w:color w:val="auto"/>
              </w:rPr>
              <w:t>[****]</w:t>
            </w:r>
          </w:p>
        </w:tc>
        <w:tc>
          <w:tcPr>
            <w:tcW w:w="636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33</w:t>
            </w:r>
          </w:p>
        </w:tc>
      </w:tr>
    </w:tbl>
    <w:p>
      <w:pPr>
        <w:spacing w:after="0" w:line="3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40180" cy="3771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clrChange>
                        <a:clrFrom>
                          <a:srgbClr val="FFFFFF"/>
                        </a:clrFrom>
                        <a:clrTo>
                          <a:srgbClr val="FFFFFF">
                            <a:alpha val="0"/>
                          </a:srgbClr>
                        </a:clrTo>
                      </a:clrChange>
                      <a:extLst>
                        <a:ext uri="{28A0092B-C50C-407E-A947-70E740481C1C}"/>
                      </a:extLst>
                    </a:blip>
                    <a:srcRect/>
                    <a:stretch>
                      <a:fillRect/>
                    </a:stretch>
                  </pic:blipFill>
                  <pic:spPr bwMode="auto">
                    <a:xfrm>
                      <a:off x="0" y="0"/>
                      <a:ext cx="1440180" cy="377190"/>
                    </a:xfrm>
                    <a:prstGeom prst="rect">
                      <a:avLst/>
                    </a:prstGeom>
                    <a:noFill/>
                  </pic:spPr>
                </pic:pic>
              </a:graphicData>
            </a:graphic>
          </wp:anchor>
        </w:drawing>
      </w:r>
    </w:p>
    <w:p>
      <w:pPr>
        <w:ind w:left="-8" w:firstLine="8"/>
        <w:spacing w:after="0" w:line="272" w:lineRule="auto"/>
        <w:tabs>
          <w:tab w:leader="none" w:pos="136" w:val="left"/>
        </w:tabs>
        <w:numPr>
          <w:ilvl w:val="0"/>
          <w:numId w:val="60"/>
        </w:numPr>
        <w:rPr>
          <w:rFonts w:ascii="Arial" w:cs="Arial" w:eastAsia="Arial" w:hAnsi="Arial"/>
          <w:sz w:val="22"/>
          <w:szCs w:val="22"/>
          <w:color w:val="auto"/>
        </w:rPr>
      </w:pPr>
      <w:r>
        <w:rPr>
          <w:rFonts w:ascii="Arial" w:cs="Arial" w:eastAsia="Arial" w:hAnsi="Arial"/>
          <w:sz w:val="22"/>
          <w:szCs w:val="22"/>
          <w:color w:val="auto"/>
        </w:rPr>
        <w:t>- This is an intended gap as there are no Letter Agreements LA-1106674 through LA-1106676 incorporated by the Purchase Agreement.</w:t>
      </w:r>
    </w:p>
    <w:p>
      <w:pPr>
        <w:spacing w:after="0" w:line="200" w:lineRule="exact"/>
        <w:rPr>
          <w:sz w:val="20"/>
          <w:szCs w:val="20"/>
          <w:color w:val="auto"/>
        </w:rPr>
      </w:pPr>
    </w:p>
    <w:p>
      <w:pPr>
        <w:spacing w:after="0" w:line="361" w:lineRule="exact"/>
        <w:rPr>
          <w:sz w:val="20"/>
          <w:szCs w:val="20"/>
          <w:color w:val="auto"/>
        </w:rPr>
      </w:pPr>
    </w:p>
    <w:p>
      <w:pPr>
        <w:ind w:left="4352"/>
        <w:spacing w:after="0"/>
        <w:tabs>
          <w:tab w:leader="none" w:pos="5752" w:val="left"/>
        </w:tabs>
        <w:rPr>
          <w:sz w:val="20"/>
          <w:szCs w:val="20"/>
          <w:color w:val="auto"/>
        </w:rPr>
      </w:pPr>
      <w:r>
        <w:rPr>
          <w:rFonts w:ascii="Arial" w:cs="Arial" w:eastAsia="Arial" w:hAnsi="Arial"/>
          <w:sz w:val="22"/>
          <w:szCs w:val="22"/>
          <w:color w:val="auto"/>
        </w:rPr>
        <w:t>PA-03735</w:t>
      </w:r>
      <w:r>
        <w:rPr>
          <w:sz w:val="20"/>
          <w:szCs w:val="20"/>
          <w:color w:val="auto"/>
        </w:rPr>
        <w:tab/>
      </w:r>
      <w:r>
        <w:rPr>
          <w:rFonts w:ascii="Arial" w:cs="Arial" w:eastAsia="Arial" w:hAnsi="Arial"/>
          <w:sz w:val="21"/>
          <w:szCs w:val="21"/>
          <w:color w:val="auto"/>
        </w:rPr>
        <w:t>Page 3 of 3</w:t>
      </w:r>
    </w:p>
    <w:p>
      <w:pPr>
        <w:spacing w:after="0" w:line="24" w:lineRule="exact"/>
        <w:rPr>
          <w:sz w:val="20"/>
          <w:szCs w:val="20"/>
          <w:color w:val="auto"/>
        </w:rPr>
      </w:pPr>
    </w:p>
    <w:p>
      <w:pPr>
        <w:ind w:left="232"/>
        <w:spacing w:after="0"/>
        <w:rPr>
          <w:sz w:val="20"/>
          <w:szCs w:val="20"/>
          <w:color w:val="auto"/>
        </w:rPr>
      </w:pPr>
      <w:r>
        <w:rPr>
          <w:rFonts w:ascii="Arial" w:cs="Arial" w:eastAsia="Arial" w:hAnsi="Arial"/>
          <w:sz w:val="22"/>
          <w:szCs w:val="22"/>
          <w:color w:val="auto"/>
        </w:rPr>
        <w:t>SA-34</w:t>
      </w:r>
    </w:p>
    <w:p>
      <w:pPr>
        <w:spacing w:after="0" w:line="4" w:lineRule="exact"/>
        <w:rPr>
          <w:sz w:val="20"/>
          <w:szCs w:val="20"/>
          <w:color w:val="auto"/>
        </w:rPr>
      </w:pPr>
    </w:p>
    <w:p>
      <w:pPr>
        <w:jc w:val="center"/>
        <w:ind w:right="-231"/>
        <w:spacing w:after="0"/>
        <w:rPr>
          <w:sz w:val="20"/>
          <w:szCs w:val="20"/>
          <w:color w:val="auto"/>
        </w:rPr>
      </w:pPr>
      <w:r>
        <w:rPr>
          <w:rFonts w:ascii="Arial" w:cs="Arial" w:eastAsia="Arial" w:hAnsi="Arial"/>
          <w:sz w:val="22"/>
          <w:szCs w:val="22"/>
          <w:color w:val="auto"/>
        </w:rPr>
        <w:t>BOEING AND AMERICAN PROPRIETARY</w:t>
      </w:r>
    </w:p>
    <w:p>
      <w:pPr>
        <w:sectPr>
          <w:pgSz w:w="11900" w:h="16838" w:orient="portrait"/>
          <w:cols w:equalWidth="0" w:num="1">
            <w:col w:w="11012"/>
          </w:cols>
          <w:pgMar w:left="328" w:top="1394" w:right="559" w:bottom="1440" w:gutter="0" w:footer="0" w:header="0"/>
        </w:sectPr>
      </w:pPr>
    </w:p>
    <w:bookmarkStart w:id="76" w:name="page77"/>
    <w:bookmarkEnd w:id="76"/>
    <w:p>
      <w:pPr>
        <w:ind w:left="2917"/>
        <w:spacing w:after="0"/>
        <w:rPr>
          <w:sz w:val="20"/>
          <w:szCs w:val="20"/>
          <w:color w:val="auto"/>
        </w:rPr>
      </w:pPr>
      <w:r>
        <w:rPr>
          <w:rFonts w:ascii="Arial" w:cs="Arial" w:eastAsia="Arial" w:hAnsi="Arial"/>
          <w:sz w:val="13"/>
          <w:szCs w:val="13"/>
          <w:color w:val="808080"/>
        </w:rPr>
        <w:drawing>
          <wp:anchor simplePos="0" relativeHeight="251657728" behindDoc="1" locked="0" layoutInCell="0" allowOverlap="1">
            <wp:simplePos x="0" y="0"/>
            <wp:positionH relativeFrom="page">
              <wp:posOffset>208280</wp:posOffset>
            </wp:positionH>
            <wp:positionV relativeFrom="page">
              <wp:posOffset>243205</wp:posOffset>
            </wp:positionV>
            <wp:extent cx="1491615" cy="3429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clrChange>
                        <a:clrFrom>
                          <a:srgbClr val="FFFFFF"/>
                        </a:clrFrom>
                        <a:clrTo>
                          <a:srgbClr val="FFFFFF">
                            <a:alpha val="0"/>
                          </a:srgbClr>
                        </a:clrTo>
                      </a:clrChange>
                      <a:extLst>
                        <a:ext uri="{28A0092B-C50C-407E-A947-70E740481C1C}"/>
                      </a:extLst>
                    </a:blip>
                    <a:srcRect/>
                    <a:stretch>
                      <a:fillRect/>
                    </a:stretch>
                  </pic:blipFill>
                  <pic:spPr bwMode="auto">
                    <a:xfrm>
                      <a:off x="0" y="0"/>
                      <a:ext cx="1491615" cy="342900"/>
                    </a:xfrm>
                    <a:prstGeom prst="rect">
                      <a:avLst/>
                    </a:prstGeom>
                    <a:noFill/>
                  </pic:spPr>
                </pic:pic>
              </a:graphicData>
            </a:graphic>
          </wp:anchor>
        </w:drawing>
        <w:t>The Boeing Company</w:t>
      </w:r>
    </w:p>
    <w:p>
      <w:pPr>
        <w:spacing w:after="0" w:line="25" w:lineRule="exact"/>
        <w:rPr>
          <w:sz w:val="20"/>
          <w:szCs w:val="20"/>
          <w:color w:val="auto"/>
        </w:rPr>
      </w:pPr>
    </w:p>
    <w:p>
      <w:pPr>
        <w:ind w:left="2917"/>
        <w:spacing w:after="0"/>
        <w:rPr>
          <w:sz w:val="20"/>
          <w:szCs w:val="20"/>
          <w:color w:val="auto"/>
        </w:rPr>
      </w:pPr>
      <w:r>
        <w:rPr>
          <w:rFonts w:ascii="Arial" w:cs="Arial" w:eastAsia="Arial" w:hAnsi="Arial"/>
          <w:sz w:val="13"/>
          <w:szCs w:val="13"/>
          <w:color w:val="808080"/>
        </w:rPr>
        <w:t>P.O. Box 3707</w:t>
      </w:r>
    </w:p>
    <w:p>
      <w:pPr>
        <w:spacing w:after="0" w:line="13" w:lineRule="exact"/>
        <w:rPr>
          <w:sz w:val="20"/>
          <w:szCs w:val="20"/>
          <w:color w:val="auto"/>
        </w:rPr>
      </w:pPr>
    </w:p>
    <w:p>
      <w:pPr>
        <w:ind w:left="2917"/>
        <w:spacing w:after="0"/>
        <w:rPr>
          <w:sz w:val="20"/>
          <w:szCs w:val="20"/>
          <w:color w:val="auto"/>
        </w:rPr>
      </w:pPr>
      <w:r>
        <w:rPr>
          <w:rFonts w:ascii="Arial" w:cs="Arial" w:eastAsia="Arial" w:hAnsi="Arial"/>
          <w:sz w:val="13"/>
          <w:szCs w:val="13"/>
          <w:color w:val="808080"/>
        </w:rPr>
        <w:t>Seattle, WA 98124-2207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7"/>
        <w:spacing w:after="0"/>
        <w:rPr>
          <w:sz w:val="20"/>
          <w:szCs w:val="20"/>
          <w:color w:val="auto"/>
        </w:rPr>
      </w:pPr>
      <w:r>
        <w:rPr>
          <w:rFonts w:ascii="Arial" w:cs="Arial" w:eastAsia="Arial" w:hAnsi="Arial"/>
          <w:sz w:val="22"/>
          <w:szCs w:val="22"/>
          <w:color w:val="auto"/>
        </w:rPr>
        <w:t>AAL-PA-03735-LA-1106651</w:t>
      </w:r>
      <w:r>
        <w:rPr>
          <w:rFonts w:ascii="Arial" w:cs="Arial" w:eastAsia="Arial" w:hAnsi="Arial"/>
          <w:sz w:val="22"/>
          <w:szCs w:val="22"/>
          <w:b w:val="1"/>
          <w:bCs w:val="1"/>
          <w:color w:val="auto"/>
        </w:rPr>
        <w:t>R15</w:t>
      </w:r>
    </w:p>
    <w:p>
      <w:pPr>
        <w:spacing w:after="0" w:line="330" w:lineRule="exact"/>
        <w:rPr>
          <w:sz w:val="20"/>
          <w:szCs w:val="20"/>
          <w:color w:val="auto"/>
        </w:rPr>
      </w:pPr>
    </w:p>
    <w:p>
      <w:pPr>
        <w:ind w:left="57"/>
        <w:spacing w:after="0"/>
        <w:rPr>
          <w:sz w:val="20"/>
          <w:szCs w:val="20"/>
          <w:color w:val="auto"/>
        </w:rPr>
      </w:pPr>
      <w:r>
        <w:rPr>
          <w:rFonts w:ascii="Arial" w:cs="Arial" w:eastAsia="Arial" w:hAnsi="Arial"/>
          <w:sz w:val="22"/>
          <w:szCs w:val="22"/>
          <w:color w:val="auto"/>
        </w:rPr>
        <w:t>American Airlines, Inc.</w:t>
      </w:r>
    </w:p>
    <w:p>
      <w:pPr>
        <w:spacing w:after="0" w:line="24" w:lineRule="exact"/>
        <w:rPr>
          <w:sz w:val="20"/>
          <w:szCs w:val="20"/>
          <w:color w:val="auto"/>
        </w:rPr>
      </w:pPr>
    </w:p>
    <w:p>
      <w:pPr>
        <w:ind w:left="57"/>
        <w:spacing w:after="0"/>
        <w:rPr>
          <w:sz w:val="20"/>
          <w:szCs w:val="20"/>
          <w:color w:val="auto"/>
        </w:rPr>
      </w:pPr>
      <w:r>
        <w:rPr>
          <w:rFonts w:ascii="Arial" w:cs="Arial" w:eastAsia="Arial" w:hAnsi="Arial"/>
          <w:sz w:val="22"/>
          <w:szCs w:val="22"/>
          <w:color w:val="auto"/>
        </w:rPr>
        <w:t>P.O. Box 619616</w:t>
      </w:r>
    </w:p>
    <w:p>
      <w:pPr>
        <w:spacing w:after="0" w:line="4" w:lineRule="exact"/>
        <w:rPr>
          <w:sz w:val="20"/>
          <w:szCs w:val="20"/>
          <w:color w:val="auto"/>
        </w:rPr>
      </w:pPr>
    </w:p>
    <w:p>
      <w:pPr>
        <w:ind w:left="57"/>
        <w:spacing w:after="0"/>
        <w:rPr>
          <w:sz w:val="20"/>
          <w:szCs w:val="20"/>
          <w:color w:val="auto"/>
        </w:rPr>
      </w:pPr>
      <w:r>
        <w:rPr>
          <w:rFonts w:ascii="Arial" w:cs="Arial" w:eastAsia="Arial" w:hAnsi="Arial"/>
          <w:sz w:val="22"/>
          <w:szCs w:val="22"/>
          <w:color w:val="auto"/>
        </w:rPr>
        <w:t>Dallas-Fort Worth Airport, Texas 75261-9616</w:t>
      </w:r>
    </w:p>
    <w:p>
      <w:pPr>
        <w:spacing w:after="0" w:line="321" w:lineRule="exact"/>
        <w:rPr>
          <w:sz w:val="20"/>
          <w:szCs w:val="20"/>
          <w:color w:val="auto"/>
        </w:rPr>
      </w:pPr>
    </w:p>
    <w:p>
      <w:pPr>
        <w:ind w:left="57"/>
        <w:spacing w:after="0"/>
        <w:tabs>
          <w:tab w:leader="none" w:pos="1056" w:val="left"/>
        </w:tabs>
        <w:rPr>
          <w:sz w:val="20"/>
          <w:szCs w:val="20"/>
          <w:color w:val="auto"/>
        </w:rPr>
      </w:pPr>
      <w:r>
        <w:rPr>
          <w:rFonts w:ascii="Arial" w:cs="Arial" w:eastAsia="Arial" w:hAnsi="Arial"/>
          <w:sz w:val="22"/>
          <w:szCs w:val="22"/>
          <w:color w:val="auto"/>
        </w:rPr>
        <w:t>Subject:</w:t>
        <w:tab/>
        <w:t>[****]</w:t>
      </w:r>
    </w:p>
    <w:p>
      <w:pPr>
        <w:spacing w:after="0" w:line="220" w:lineRule="exact"/>
        <w:rPr>
          <w:sz w:val="20"/>
          <w:szCs w:val="20"/>
          <w:color w:val="auto"/>
        </w:rPr>
      </w:pPr>
    </w:p>
    <w:p>
      <w:pPr>
        <w:ind w:left="1397" w:hanging="1538"/>
        <w:spacing w:after="0" w:line="283" w:lineRule="auto"/>
        <w:tabs>
          <w:tab w:leader="none" w:pos="1376" w:val="left"/>
        </w:tabs>
        <w:rPr>
          <w:sz w:val="20"/>
          <w:szCs w:val="20"/>
          <w:color w:val="auto"/>
        </w:rPr>
      </w:pPr>
      <w:r>
        <w:rPr>
          <w:rFonts w:ascii="Arial" w:cs="Arial" w:eastAsia="Arial" w:hAnsi="Arial"/>
          <w:sz w:val="22"/>
          <w:szCs w:val="22"/>
          <w:color w:val="auto"/>
        </w:rPr>
        <w:t>Reference:</w:t>
        <w:tab/>
        <w:t>Purchase Agreement No. 03735 (</w:t>
      </w:r>
      <w:r>
        <w:rPr>
          <w:rFonts w:ascii="Arial" w:cs="Arial" w:eastAsia="Arial" w:hAnsi="Arial"/>
          <w:sz w:val="22"/>
          <w:szCs w:val="22"/>
          <w:b w:val="1"/>
          <w:bCs w:val="1"/>
          <w:i w:val="1"/>
          <w:iCs w:val="1"/>
          <w:color w:val="auto"/>
        </w:rPr>
        <w:t>Purchase Agreement</w:t>
      </w:r>
      <w:r>
        <w:rPr>
          <w:rFonts w:ascii="Arial" w:cs="Arial" w:eastAsia="Arial" w:hAnsi="Arial"/>
          <w:sz w:val="22"/>
          <w:szCs w:val="22"/>
          <w:color w:val="auto"/>
        </w:rPr>
        <w:t>) between The Boeing Company (</w:t>
      </w:r>
      <w:r>
        <w:rPr>
          <w:rFonts w:ascii="Arial" w:cs="Arial" w:eastAsia="Arial" w:hAnsi="Arial"/>
          <w:sz w:val="22"/>
          <w:szCs w:val="22"/>
          <w:b w:val="1"/>
          <w:bCs w:val="1"/>
          <w:i w:val="1"/>
          <w:iCs w:val="1"/>
          <w:color w:val="auto"/>
        </w:rPr>
        <w:t>Boeing</w:t>
      </w:r>
      <w:r>
        <w:rPr>
          <w:rFonts w:ascii="Arial" w:cs="Arial" w:eastAsia="Arial" w:hAnsi="Arial"/>
          <w:sz w:val="22"/>
          <w:szCs w:val="22"/>
          <w:color w:val="auto"/>
        </w:rPr>
        <w:t>) and American Airlines, Inc. (</w:t>
      </w:r>
      <w:r>
        <w:rPr>
          <w:rFonts w:ascii="Arial" w:cs="Arial" w:eastAsia="Arial" w:hAnsi="Arial"/>
          <w:sz w:val="22"/>
          <w:szCs w:val="22"/>
          <w:b w:val="1"/>
          <w:bCs w:val="1"/>
          <w:i w:val="1"/>
          <w:iCs w:val="1"/>
          <w:color w:val="auto"/>
        </w:rPr>
        <w:t>Customer</w:t>
      </w:r>
      <w:r>
        <w:rPr>
          <w:rFonts w:ascii="Arial" w:cs="Arial" w:eastAsia="Arial" w:hAnsi="Arial"/>
          <w:sz w:val="22"/>
          <w:szCs w:val="22"/>
          <w:color w:val="auto"/>
        </w:rPr>
        <w:t>) relating to Model 737 MAX aircraft (</w:t>
      </w:r>
      <w:r>
        <w:rPr>
          <w:rFonts w:ascii="Arial" w:cs="Arial" w:eastAsia="Arial" w:hAnsi="Arial"/>
          <w:sz w:val="22"/>
          <w:szCs w:val="22"/>
          <w:b w:val="1"/>
          <w:bCs w:val="1"/>
          <w:i w:val="1"/>
          <w:iCs w:val="1"/>
          <w:color w:val="auto"/>
        </w:rPr>
        <w:t>Aircraft</w:t>
      </w:r>
      <w:r>
        <w:rPr>
          <w:rFonts w:ascii="Arial" w:cs="Arial" w:eastAsia="Arial" w:hAnsi="Arial"/>
          <w:sz w:val="22"/>
          <w:szCs w:val="22"/>
          <w:color w:val="auto"/>
        </w:rPr>
        <w:t>)</w:t>
      </w:r>
    </w:p>
    <w:p>
      <w:pPr>
        <w:spacing w:after="0" w:line="132" w:lineRule="exact"/>
        <w:rPr>
          <w:sz w:val="20"/>
          <w:szCs w:val="20"/>
          <w:color w:val="auto"/>
        </w:rPr>
      </w:pPr>
    </w:p>
    <w:p>
      <w:pPr>
        <w:ind w:left="57" w:right="20" w:firstLine="648"/>
        <w:spacing w:after="0" w:line="272" w:lineRule="auto"/>
        <w:rPr>
          <w:sz w:val="20"/>
          <w:szCs w:val="20"/>
          <w:color w:val="auto"/>
        </w:rPr>
      </w:pPr>
      <w:r>
        <w:rPr>
          <w:rFonts w:ascii="Arial" w:cs="Arial" w:eastAsia="Arial" w:hAnsi="Arial"/>
          <w:sz w:val="22"/>
          <w:szCs w:val="22"/>
          <w:color w:val="auto"/>
        </w:rPr>
        <w:t>This letter agreement (</w:t>
      </w:r>
      <w:r>
        <w:rPr>
          <w:rFonts w:ascii="Arial" w:cs="Arial" w:eastAsia="Arial" w:hAnsi="Arial"/>
          <w:sz w:val="22"/>
          <w:szCs w:val="22"/>
          <w:b w:val="1"/>
          <w:bCs w:val="1"/>
          <w:i w:val="1"/>
          <w:iCs w:val="1"/>
          <w:color w:val="auto"/>
        </w:rPr>
        <w:t>Letter Agreement</w:t>
      </w:r>
      <w:r>
        <w:rPr>
          <w:rFonts w:ascii="Arial" w:cs="Arial" w:eastAsia="Arial" w:hAnsi="Arial"/>
          <w:sz w:val="22"/>
          <w:szCs w:val="22"/>
          <w:color w:val="auto"/>
        </w:rPr>
        <w:t>) amends and supplements the Purchase Agreement. All terms used but not defined in this Letter Agreement shall have the same meaning as in the Purchase Agreement.</w:t>
      </w:r>
    </w:p>
    <w:p>
      <w:pPr>
        <w:spacing w:after="0" w:line="129" w:lineRule="exact"/>
        <w:rPr>
          <w:sz w:val="20"/>
          <w:szCs w:val="20"/>
          <w:color w:val="auto"/>
        </w:rPr>
      </w:pPr>
    </w:p>
    <w:p>
      <w:pPr>
        <w:ind w:left="697" w:hanging="632"/>
        <w:spacing w:after="0"/>
        <w:tabs>
          <w:tab w:leader="none" w:pos="697"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Right to Purchase [****].</w:t>
      </w:r>
    </w:p>
    <w:p>
      <w:pPr>
        <w:spacing w:after="0" w:line="206" w:lineRule="exact"/>
        <w:rPr>
          <w:sz w:val="20"/>
          <w:szCs w:val="20"/>
          <w:color w:val="auto"/>
        </w:rPr>
      </w:pPr>
    </w:p>
    <w:p>
      <w:pPr>
        <w:jc w:val="both"/>
        <w:ind w:left="57" w:firstLine="648"/>
        <w:spacing w:after="0" w:line="257" w:lineRule="auto"/>
        <w:rPr>
          <w:sz w:val="20"/>
          <w:szCs w:val="20"/>
          <w:color w:val="auto"/>
        </w:rPr>
      </w:pPr>
      <w:r>
        <w:rPr>
          <w:rFonts w:ascii="Arial" w:cs="Arial" w:eastAsia="Arial" w:hAnsi="Arial"/>
          <w:sz w:val="22"/>
          <w:szCs w:val="22"/>
          <w:color w:val="auto"/>
        </w:rPr>
        <w:t>Subject to the terms and conditions contained in this Letter Agreement, in addition to the Aircraft described in [****] to the Purchase Agreement as of the date of execution of this Letter Agreement, [****] ([****] and [****] ([****]). As of the Effective Date (as defined in Supplemental Agreement No. 34 to the Purchase Agreement (</w:t>
      </w:r>
      <w:r>
        <w:rPr>
          <w:rFonts w:ascii="Arial" w:cs="Arial" w:eastAsia="Arial" w:hAnsi="Arial"/>
          <w:sz w:val="22"/>
          <w:szCs w:val="22"/>
          <w:b w:val="1"/>
          <w:bCs w:val="1"/>
          <w:i w:val="1"/>
          <w:iCs w:val="1"/>
          <w:color w:val="auto"/>
        </w:rPr>
        <w:t>SA-34</w:t>
      </w:r>
      <w:r>
        <w:rPr>
          <w:rFonts w:ascii="Arial" w:cs="Arial" w:eastAsia="Arial" w:hAnsi="Arial"/>
          <w:sz w:val="22"/>
          <w:szCs w:val="22"/>
          <w:color w:val="auto"/>
        </w:rPr>
        <w:t>)) of SA-34 to the Purchase Agreement, there are [****].</w:t>
      </w:r>
    </w:p>
    <w:p>
      <w:pPr>
        <w:spacing w:after="0" w:line="145" w:lineRule="exact"/>
        <w:rPr>
          <w:sz w:val="20"/>
          <w:szCs w:val="20"/>
          <w:color w:val="auto"/>
        </w:rPr>
      </w:pPr>
    </w:p>
    <w:p>
      <w:pPr>
        <w:ind w:left="377" w:hanging="377"/>
        <w:spacing w:after="0"/>
        <w:tabs>
          <w:tab w:leader="none" w:pos="377"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w:t>
      </w:r>
    </w:p>
    <w:p>
      <w:pPr>
        <w:spacing w:after="0" w:line="71" w:lineRule="exact"/>
        <w:rPr>
          <w:sz w:val="20"/>
          <w:szCs w:val="20"/>
          <w:color w:val="auto"/>
        </w:rPr>
      </w:pPr>
    </w:p>
    <w:p>
      <w:pPr>
        <w:ind w:left="717"/>
        <w:spacing w:after="0"/>
        <w:tabs>
          <w:tab w:leader="none" w:pos="1336"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21"/>
          <w:szCs w:val="21"/>
          <w:color w:val="auto"/>
        </w:rPr>
        <w:t>Intentionally Omitted.</w:t>
      </w:r>
    </w:p>
    <w:p>
      <w:pPr>
        <w:spacing w:after="0" w:line="71" w:lineRule="exact"/>
        <w:rPr>
          <w:sz w:val="20"/>
          <w:szCs w:val="20"/>
          <w:color w:val="auto"/>
        </w:rPr>
      </w:pPr>
    </w:p>
    <w:p>
      <w:pPr>
        <w:ind w:left="717"/>
        <w:spacing w:after="0"/>
        <w:tabs>
          <w:tab w:leader="none" w:pos="1336"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21"/>
          <w:szCs w:val="21"/>
          <w:color w:val="auto"/>
        </w:rPr>
        <w:t>Intentionally Omitted.</w:t>
      </w:r>
    </w:p>
    <w:p>
      <w:pPr>
        <w:spacing w:after="0" w:line="71" w:lineRule="exact"/>
        <w:rPr>
          <w:sz w:val="20"/>
          <w:szCs w:val="20"/>
          <w:color w:val="auto"/>
        </w:rPr>
      </w:pPr>
    </w:p>
    <w:p>
      <w:pPr>
        <w:jc w:val="both"/>
        <w:ind w:left="57" w:firstLine="648"/>
        <w:spacing w:after="0" w:line="220" w:lineRule="auto"/>
        <w:rPr>
          <w:sz w:val="20"/>
          <w:szCs w:val="20"/>
          <w:color w:val="auto"/>
        </w:rPr>
      </w:pPr>
      <w:r>
        <w:rPr>
          <w:rFonts w:ascii="Arial" w:cs="Arial" w:eastAsia="Arial" w:hAnsi="Arial"/>
          <w:sz w:val="22"/>
          <w:szCs w:val="22"/>
          <w:color w:val="auto"/>
        </w:rPr>
        <w:t>2.3 [****]. The [****] with [****] ([****]) in [****] ([****]) [****] for each [****] are listed in Attachment B to this Letter Agreement. No later than [****] to the [****] in each calendar [****] for years [****], Boeing will provide written notice setting forth [****] with [****] in such calendar [****] ([****]). However, [****], the [****] for such [****] will be [****]. Such notice will constitute an amendment to Attachment B to this Letter Agreement.</w:t>
      </w:r>
    </w:p>
    <w:p>
      <w:pPr>
        <w:spacing w:after="0" w:line="152" w:lineRule="exact"/>
        <w:rPr>
          <w:sz w:val="20"/>
          <w:szCs w:val="20"/>
          <w:color w:val="auto"/>
        </w:rPr>
      </w:pPr>
    </w:p>
    <w:p>
      <w:pPr>
        <w:ind w:left="377" w:hanging="377"/>
        <w:spacing w:after="0"/>
        <w:tabs>
          <w:tab w:leader="none" w:pos="377"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Configuration.</w:t>
      </w:r>
    </w:p>
    <w:p>
      <w:pPr>
        <w:spacing w:after="0" w:line="179" w:lineRule="exact"/>
        <w:rPr>
          <w:sz w:val="20"/>
          <w:szCs w:val="20"/>
          <w:color w:val="auto"/>
        </w:rPr>
      </w:pPr>
    </w:p>
    <w:p>
      <w:pPr>
        <w:ind w:left="57" w:firstLine="648"/>
        <w:spacing w:after="0" w:line="236" w:lineRule="auto"/>
        <w:rPr>
          <w:sz w:val="20"/>
          <w:szCs w:val="20"/>
          <w:color w:val="auto"/>
        </w:rPr>
      </w:pPr>
      <w:r>
        <w:rPr>
          <w:rFonts w:ascii="Arial" w:cs="Arial" w:eastAsia="Arial" w:hAnsi="Arial"/>
          <w:sz w:val="22"/>
          <w:szCs w:val="22"/>
          <w:color w:val="auto"/>
        </w:rPr>
        <w:t>3.1 Subject to the provisions of Section 3.2 below, [****] the Detail Specification for the Aircraft [****] at the time of [****] (as defined in Section 8 below). Such Detail Specification will be revised to include:</w:t>
      </w:r>
    </w:p>
    <w:p>
      <w:pPr>
        <w:spacing w:after="0" w:line="43" w:lineRule="exact"/>
        <w:rPr>
          <w:sz w:val="20"/>
          <w:szCs w:val="20"/>
          <w:color w:val="auto"/>
        </w:rPr>
      </w:pPr>
    </w:p>
    <w:p>
      <w:pPr>
        <w:ind w:left="1997" w:hanging="636"/>
        <w:spacing w:after="0"/>
        <w:tabs>
          <w:tab w:leader="none" w:pos="1997" w:val="left"/>
        </w:tabs>
        <w:numPr>
          <w:ilvl w:val="0"/>
          <w:numId w:val="64"/>
        </w:numPr>
        <w:rPr>
          <w:rFonts w:ascii="Arial" w:cs="Arial" w:eastAsia="Arial" w:hAnsi="Arial"/>
          <w:sz w:val="22"/>
          <w:szCs w:val="22"/>
          <w:color w:val="auto"/>
        </w:rPr>
      </w:pP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1997" w:hanging="636"/>
        <w:spacing w:after="0"/>
        <w:tabs>
          <w:tab w:leader="none" w:pos="1997" w:val="left"/>
        </w:tabs>
        <w:numPr>
          <w:ilvl w:val="0"/>
          <w:numId w:val="64"/>
        </w:numPr>
        <w:rPr>
          <w:rFonts w:ascii="Arial" w:cs="Arial" w:eastAsia="Arial" w:hAnsi="Arial"/>
          <w:sz w:val="22"/>
          <w:szCs w:val="22"/>
          <w:color w:val="auto"/>
        </w:rPr>
      </w:pPr>
      <w:r>
        <w:rPr>
          <w:rFonts w:ascii="Arial" w:cs="Arial" w:eastAsia="Arial" w:hAnsi="Arial"/>
          <w:sz w:val="22"/>
          <w:szCs w:val="22"/>
          <w:color w:val="auto"/>
        </w:rPr>
        <w:t>[****], and</w:t>
      </w:r>
    </w:p>
    <w:p>
      <w:pPr>
        <w:spacing w:after="0" w:line="200" w:lineRule="exact"/>
        <w:rPr>
          <w:sz w:val="20"/>
          <w:szCs w:val="20"/>
          <w:color w:val="auto"/>
        </w:rPr>
      </w:pPr>
    </w:p>
    <w:p>
      <w:pPr>
        <w:spacing w:after="0" w:line="315" w:lineRule="exact"/>
        <w:rPr>
          <w:sz w:val="20"/>
          <w:szCs w:val="20"/>
          <w:color w:val="auto"/>
        </w:rPr>
      </w:pPr>
    </w:p>
    <w:p>
      <w:pPr>
        <w:ind w:left="57"/>
        <w:spacing w:after="0"/>
        <w:tabs>
          <w:tab w:leader="none" w:pos="3336" w:val="left"/>
        </w:tabs>
        <w:rPr>
          <w:sz w:val="20"/>
          <w:szCs w:val="20"/>
          <w:color w:val="auto"/>
        </w:rPr>
      </w:pPr>
      <w:r>
        <w:rPr>
          <w:rFonts w:ascii="Arial" w:cs="Arial" w:eastAsia="Arial" w:hAnsi="Arial"/>
          <w:sz w:val="22"/>
          <w:szCs w:val="22"/>
          <w:color w:val="auto"/>
        </w:rPr>
        <w:t>AAL-PA-03735-LA-1106651</w:t>
      </w:r>
      <w:r>
        <w:rPr>
          <w:rFonts w:ascii="Arial" w:cs="Arial" w:eastAsia="Arial" w:hAnsi="Arial"/>
          <w:sz w:val="22"/>
          <w:szCs w:val="22"/>
          <w:b w:val="1"/>
          <w:bCs w:val="1"/>
          <w:color w:val="auto"/>
        </w:rPr>
        <w:t>R15</w:t>
      </w:r>
      <w:r>
        <w:rPr>
          <w:sz w:val="20"/>
          <w:szCs w:val="20"/>
          <w:color w:val="auto"/>
        </w:rPr>
        <w:tab/>
      </w:r>
      <w:r>
        <w:rPr>
          <w:rFonts w:ascii="Arial" w:cs="Arial" w:eastAsia="Arial" w:hAnsi="Arial"/>
          <w:sz w:val="21"/>
          <w:szCs w:val="21"/>
          <w:color w:val="auto"/>
        </w:rPr>
        <w:t>SA-34</w:t>
      </w:r>
    </w:p>
    <w:p>
      <w:pPr>
        <w:spacing w:after="0" w:line="26" w:lineRule="exact"/>
        <w:rPr>
          <w:sz w:val="20"/>
          <w:szCs w:val="20"/>
          <w:color w:val="auto"/>
        </w:rPr>
      </w:pPr>
    </w:p>
    <w:p>
      <w:pPr>
        <w:ind w:left="57"/>
        <w:spacing w:after="0"/>
        <w:tabs>
          <w:tab w:leader="none" w:pos="736" w:val="left"/>
        </w:tabs>
        <w:rPr>
          <w:sz w:val="20"/>
          <w:szCs w:val="20"/>
          <w:color w:val="auto"/>
        </w:rPr>
      </w:pPr>
      <w:r>
        <w:rPr>
          <w:rFonts w:ascii="Arial" w:cs="Arial" w:eastAsia="Arial" w:hAnsi="Arial"/>
          <w:sz w:val="22"/>
          <w:szCs w:val="22"/>
          <w:color w:val="auto"/>
        </w:rPr>
        <w:t>[****]</w:t>
        <w:tab/>
        <w:t>Page 1 of 5</w:t>
      </w:r>
    </w:p>
    <w:p>
      <w:pPr>
        <w:spacing w:after="0" w:line="4" w:lineRule="exact"/>
        <w:rPr>
          <w:sz w:val="20"/>
          <w:szCs w:val="20"/>
          <w:color w:val="auto"/>
        </w:rPr>
      </w:pPr>
    </w:p>
    <w:p>
      <w:pPr>
        <w:jc w:val="center"/>
        <w:ind w:right="-56"/>
        <w:spacing w:after="0"/>
        <w:rPr>
          <w:sz w:val="20"/>
          <w:szCs w:val="20"/>
          <w:color w:val="auto"/>
        </w:rPr>
      </w:pPr>
      <w:r>
        <w:rPr>
          <w:rFonts w:ascii="Arial" w:cs="Arial" w:eastAsia="Arial" w:hAnsi="Arial"/>
          <w:sz w:val="22"/>
          <w:szCs w:val="22"/>
          <w:b w:val="1"/>
          <w:bCs w:val="1"/>
          <w:color w:val="auto"/>
        </w:rPr>
        <w:t>BOEING AND AMERICAN PROPRIETARY</w:t>
      </w:r>
    </w:p>
    <w:p>
      <w:pPr>
        <w:sectPr>
          <w:pgSz w:w="11900" w:h="16838" w:orient="portrait"/>
          <w:cols w:equalWidth="0" w:num="1">
            <w:col w:w="11297"/>
          </w:cols>
          <w:pgMar w:left="263" w:top="397" w:right="339" w:bottom="1440" w:gutter="0" w:footer="0" w:header="0"/>
        </w:sectPr>
      </w:pPr>
    </w:p>
    <w:bookmarkStart w:id="77" w:name="page78"/>
    <w:bookmarkEnd w:id="7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08760" cy="3429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clrChange>
                        <a:clrFrom>
                          <a:srgbClr val="FFFFFF"/>
                        </a:clrFrom>
                        <a:clrTo>
                          <a:srgbClr val="FFFFFF">
                            <a:alpha val="0"/>
                          </a:srgbClr>
                        </a:clrTo>
                      </a:clrChange>
                      <a:extLst>
                        <a:ext uri="{28A0092B-C50C-407E-A947-70E740481C1C}"/>
                      </a:extLst>
                    </a:blip>
                    <a:srcRect/>
                    <a:stretch>
                      <a:fillRect/>
                    </a:stretch>
                  </pic:blipFill>
                  <pic:spPr bwMode="auto">
                    <a:xfrm>
                      <a:off x="0" y="0"/>
                      <a:ext cx="1508760" cy="342900"/>
                    </a:xfrm>
                    <a:prstGeom prst="rect">
                      <a:avLst/>
                    </a:prstGeom>
                    <a:noFill/>
                  </pic:spPr>
                </pic:pic>
              </a:graphicData>
            </a:graphic>
          </wp:anchor>
        </w:drawing>
      </w:r>
    </w:p>
    <w:p>
      <w:pPr>
        <w:spacing w:after="0" w:line="269" w:lineRule="exact"/>
        <w:rPr>
          <w:sz w:val="20"/>
          <w:szCs w:val="20"/>
          <w:color w:val="auto"/>
        </w:rPr>
      </w:pPr>
    </w:p>
    <w:p>
      <w:pPr>
        <w:ind w:left="2060" w:hanging="696"/>
        <w:spacing w:after="0"/>
        <w:tabs>
          <w:tab w:leader="none" w:pos="2060" w:val="left"/>
        </w:tabs>
        <w:numPr>
          <w:ilvl w:val="0"/>
          <w:numId w:val="65"/>
        </w:numPr>
        <w:rPr>
          <w:rFonts w:ascii="Arial" w:cs="Arial" w:eastAsia="Arial" w:hAnsi="Arial"/>
          <w:sz w:val="22"/>
          <w:szCs w:val="22"/>
          <w:color w:val="auto"/>
        </w:rPr>
      </w:pPr>
      <w:r>
        <w:rPr>
          <w:rFonts w:ascii="Arial" w:cs="Arial" w:eastAsia="Arial" w:hAnsi="Arial"/>
          <w:sz w:val="22"/>
          <w:szCs w:val="22"/>
          <w:color w:val="auto"/>
        </w:rPr>
        <w:t>[****].</w:t>
      </w:r>
    </w:p>
    <w:p>
      <w:pPr>
        <w:spacing w:after="0" w:line="179" w:lineRule="exact"/>
        <w:rPr>
          <w:sz w:val="20"/>
          <w:szCs w:val="20"/>
          <w:color w:val="auto"/>
        </w:rPr>
      </w:pPr>
    </w:p>
    <w:p>
      <w:pPr>
        <w:ind w:left="60" w:firstLine="648"/>
        <w:spacing w:after="0" w:line="236" w:lineRule="auto"/>
        <w:rPr>
          <w:sz w:val="20"/>
          <w:szCs w:val="20"/>
          <w:color w:val="auto"/>
        </w:rPr>
      </w:pPr>
      <w:r>
        <w:rPr>
          <w:rFonts w:ascii="Arial" w:cs="Arial" w:eastAsia="Arial" w:hAnsi="Arial"/>
          <w:sz w:val="22"/>
          <w:szCs w:val="22"/>
          <w:color w:val="auto"/>
        </w:rPr>
        <w:t>3.2 [****] the right to [****] the [****] starting from a [****]; [****] which would result pursuant to the provisions of Section 3.1 above.</w:t>
      </w:r>
    </w:p>
    <w:p>
      <w:pPr>
        <w:spacing w:after="0" w:line="151" w:lineRule="exact"/>
        <w:rPr>
          <w:sz w:val="20"/>
          <w:szCs w:val="20"/>
          <w:color w:val="auto"/>
        </w:rPr>
      </w:pPr>
    </w:p>
    <w:p>
      <w:pPr>
        <w:ind w:left="380" w:hanging="377"/>
        <w:spacing w:after="0"/>
        <w:tabs>
          <w:tab w:leader="none" w:pos="380"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Price.</w:t>
      </w:r>
    </w:p>
    <w:p>
      <w:pPr>
        <w:spacing w:after="0" w:line="179" w:lineRule="exact"/>
        <w:rPr>
          <w:sz w:val="20"/>
          <w:szCs w:val="20"/>
          <w:color w:val="auto"/>
        </w:rPr>
      </w:pPr>
    </w:p>
    <w:p>
      <w:pPr>
        <w:ind w:left="720"/>
        <w:spacing w:after="0"/>
        <w:tabs>
          <w:tab w:leader="none" w:pos="134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21"/>
          <w:szCs w:val="21"/>
          <w:color w:val="auto"/>
        </w:rPr>
        <w:t>The [****] for each of the [****] to this Letter Agreement.</w:t>
      </w:r>
    </w:p>
    <w:p>
      <w:pPr>
        <w:spacing w:after="0" w:line="179" w:lineRule="exact"/>
        <w:rPr>
          <w:sz w:val="20"/>
          <w:szCs w:val="20"/>
          <w:color w:val="auto"/>
        </w:rPr>
      </w:pPr>
    </w:p>
    <w:p>
      <w:pPr>
        <w:ind w:left="720"/>
        <w:spacing w:after="0"/>
        <w:tabs>
          <w:tab w:leader="none" w:pos="134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21"/>
          <w:szCs w:val="21"/>
          <w:color w:val="auto"/>
        </w:rPr>
        <w:t>The [****] for each of the [****] shall be [****] ([****]) [****].</w:t>
      </w:r>
    </w:p>
    <w:p>
      <w:pPr>
        <w:spacing w:after="0" w:line="179" w:lineRule="exact"/>
        <w:rPr>
          <w:sz w:val="20"/>
          <w:szCs w:val="20"/>
          <w:color w:val="auto"/>
        </w:rPr>
      </w:pPr>
    </w:p>
    <w:p>
      <w:pPr>
        <w:ind w:left="60" w:firstLine="648"/>
        <w:spacing w:after="0" w:line="236" w:lineRule="auto"/>
        <w:rPr>
          <w:sz w:val="20"/>
          <w:szCs w:val="20"/>
          <w:color w:val="auto"/>
        </w:rPr>
      </w:pPr>
      <w:r>
        <w:rPr>
          <w:rFonts w:ascii="Arial" w:cs="Arial" w:eastAsia="Arial" w:hAnsi="Arial"/>
          <w:sz w:val="22"/>
          <w:szCs w:val="22"/>
          <w:color w:val="auto"/>
        </w:rPr>
        <w:t>4.3 The [****] shall be developed in accordance with the terms of the Purchase Agreement and determined at the time of [****].</w:t>
      </w:r>
    </w:p>
    <w:p>
      <w:pPr>
        <w:spacing w:after="0" w:line="151" w:lineRule="exact"/>
        <w:rPr>
          <w:sz w:val="20"/>
          <w:szCs w:val="20"/>
          <w:color w:val="auto"/>
        </w:rPr>
      </w:pPr>
    </w:p>
    <w:p>
      <w:pPr>
        <w:ind w:left="380" w:hanging="377"/>
        <w:spacing w:after="0"/>
        <w:tabs>
          <w:tab w:leader="none" w:pos="380"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Payment.</w:t>
      </w:r>
    </w:p>
    <w:p>
      <w:pPr>
        <w:spacing w:after="0" w:line="179" w:lineRule="exact"/>
        <w:rPr>
          <w:sz w:val="20"/>
          <w:szCs w:val="20"/>
          <w:color w:val="auto"/>
        </w:rPr>
      </w:pPr>
    </w:p>
    <w:p>
      <w:pPr>
        <w:ind w:left="720"/>
        <w:spacing w:after="0"/>
        <w:tabs>
          <w:tab w:leader="none" w:pos="134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21"/>
          <w:szCs w:val="21"/>
          <w:color w:val="auto"/>
        </w:rPr>
        <w:t>[****].</w:t>
      </w:r>
    </w:p>
    <w:p>
      <w:pPr>
        <w:spacing w:after="0" w:line="179" w:lineRule="exact"/>
        <w:rPr>
          <w:sz w:val="20"/>
          <w:szCs w:val="20"/>
          <w:color w:val="auto"/>
        </w:rPr>
      </w:pPr>
    </w:p>
    <w:p>
      <w:pPr>
        <w:ind w:left="720"/>
        <w:spacing w:after="0"/>
        <w:tabs>
          <w:tab w:leader="none" w:pos="134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21"/>
          <w:szCs w:val="21"/>
          <w:color w:val="auto"/>
        </w:rPr>
        <w:t>[****].</w:t>
      </w:r>
    </w:p>
    <w:p>
      <w:pPr>
        <w:spacing w:after="0" w:line="179" w:lineRule="exact"/>
        <w:rPr>
          <w:sz w:val="20"/>
          <w:szCs w:val="20"/>
          <w:color w:val="auto"/>
        </w:rPr>
      </w:pPr>
    </w:p>
    <w:p>
      <w:pPr>
        <w:ind w:left="720"/>
        <w:spacing w:after="0"/>
        <w:tabs>
          <w:tab w:leader="none" w:pos="134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21"/>
          <w:szCs w:val="21"/>
          <w:color w:val="auto"/>
        </w:rPr>
        <w:t>[****].</w:t>
      </w:r>
    </w:p>
    <w:p>
      <w:pPr>
        <w:spacing w:after="0" w:line="71" w:lineRule="exact"/>
        <w:rPr>
          <w:sz w:val="20"/>
          <w:szCs w:val="20"/>
          <w:color w:val="auto"/>
        </w:rPr>
      </w:pPr>
    </w:p>
    <w:p>
      <w:pPr>
        <w:ind w:left="380" w:hanging="377"/>
        <w:spacing w:after="0"/>
        <w:tabs>
          <w:tab w:leader="none" w:pos="380"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Reserved.</w:t>
      </w:r>
    </w:p>
    <w:p>
      <w:pPr>
        <w:spacing w:after="0" w:line="179" w:lineRule="exact"/>
        <w:rPr>
          <w:rFonts w:ascii="Arial" w:cs="Arial" w:eastAsia="Arial" w:hAnsi="Arial"/>
          <w:sz w:val="22"/>
          <w:szCs w:val="22"/>
          <w:color w:val="auto"/>
        </w:rPr>
      </w:pPr>
    </w:p>
    <w:p>
      <w:pPr>
        <w:ind w:left="380" w:hanging="377"/>
        <w:spacing w:after="0"/>
        <w:tabs>
          <w:tab w:leader="none" w:pos="380"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260" w:type="dxa"/>
            <w:vAlign w:val="bottom"/>
            <w:gridSpan w:val="3"/>
          </w:tcPr>
          <w:p>
            <w:pPr>
              <w:ind w:left="720"/>
              <w:spacing w:after="0"/>
              <w:rPr>
                <w:sz w:val="20"/>
                <w:szCs w:val="20"/>
                <w:color w:val="auto"/>
              </w:rPr>
            </w:pPr>
            <w:r>
              <w:rPr>
                <w:rFonts w:ascii="Arial" w:cs="Arial" w:eastAsia="Arial" w:hAnsi="Arial"/>
                <w:sz w:val="22"/>
                <w:szCs w:val="22"/>
                <w:color w:val="auto"/>
              </w:rPr>
              <w:t>7.1</w:t>
            </w:r>
          </w:p>
        </w:tc>
        <w:tc>
          <w:tcPr>
            <w:tcW w:w="4220" w:type="dxa"/>
            <w:vAlign w:val="bottom"/>
          </w:tcPr>
          <w:p>
            <w:pPr>
              <w:ind w:left="100"/>
              <w:spacing w:after="0"/>
              <w:rPr>
                <w:sz w:val="20"/>
                <w:szCs w:val="20"/>
                <w:color w:val="auto"/>
              </w:rPr>
            </w:pPr>
            <w:r>
              <w:rPr>
                <w:rFonts w:ascii="Arial" w:cs="Arial" w:eastAsia="Arial" w:hAnsi="Arial"/>
                <w:sz w:val="22"/>
                <w:szCs w:val="22"/>
                <w:color w:val="auto"/>
                <w:w w:val="97"/>
              </w:rPr>
              <w:t>Customer may [****] to Boeing [****] ([****]):</w:t>
            </w:r>
          </w:p>
        </w:tc>
      </w:tr>
      <w:tr>
        <w:trPr>
          <w:trHeight w:val="324"/>
        </w:trPr>
        <w:tc>
          <w:tcPr>
            <w:tcW w:w="1260" w:type="dxa"/>
            <w:vAlign w:val="bottom"/>
            <w:gridSpan w:val="3"/>
          </w:tcPr>
          <w:p>
            <w:pPr>
              <w:ind w:left="720"/>
              <w:spacing w:after="0"/>
              <w:rPr>
                <w:sz w:val="20"/>
                <w:szCs w:val="20"/>
                <w:color w:val="auto"/>
              </w:rPr>
            </w:pPr>
            <w:r>
              <w:rPr>
                <w:rFonts w:ascii="Arial" w:cs="Arial" w:eastAsia="Arial" w:hAnsi="Arial"/>
                <w:sz w:val="22"/>
                <w:szCs w:val="22"/>
                <w:color w:val="auto"/>
              </w:rPr>
              <w:t>7.1.1</w:t>
            </w:r>
          </w:p>
        </w:tc>
        <w:tc>
          <w:tcPr>
            <w:tcW w:w="4220" w:type="dxa"/>
            <w:vAlign w:val="bottom"/>
          </w:tcPr>
          <w:p>
            <w:pPr>
              <w:ind w:left="100"/>
              <w:spacing w:after="0"/>
              <w:rPr>
                <w:sz w:val="20"/>
                <w:szCs w:val="20"/>
                <w:color w:val="auto"/>
              </w:rPr>
            </w:pPr>
            <w:r>
              <w:rPr>
                <w:rFonts w:ascii="Arial" w:cs="Arial" w:eastAsia="Arial" w:hAnsi="Arial"/>
                <w:sz w:val="22"/>
                <w:szCs w:val="22"/>
                <w:color w:val="auto"/>
              </w:rPr>
              <w:t>Intentionally Omitted.</w:t>
            </w:r>
          </w:p>
        </w:tc>
      </w:tr>
      <w:tr>
        <w:trPr>
          <w:trHeight w:val="324"/>
        </w:trPr>
        <w:tc>
          <w:tcPr>
            <w:tcW w:w="1260" w:type="dxa"/>
            <w:vAlign w:val="bottom"/>
            <w:gridSpan w:val="3"/>
          </w:tcPr>
          <w:p>
            <w:pPr>
              <w:ind w:left="720"/>
              <w:spacing w:after="0"/>
              <w:rPr>
                <w:sz w:val="20"/>
                <w:szCs w:val="20"/>
                <w:color w:val="auto"/>
              </w:rPr>
            </w:pPr>
            <w:r>
              <w:rPr>
                <w:rFonts w:ascii="Arial" w:cs="Arial" w:eastAsia="Arial" w:hAnsi="Arial"/>
                <w:sz w:val="22"/>
                <w:szCs w:val="22"/>
                <w:color w:val="auto"/>
              </w:rPr>
              <w:t>7.1.2</w:t>
            </w:r>
          </w:p>
        </w:tc>
        <w:tc>
          <w:tcPr>
            <w:tcW w:w="4220" w:type="dxa"/>
            <w:vAlign w:val="bottom"/>
          </w:tcPr>
          <w:p>
            <w:pPr>
              <w:ind w:left="100"/>
              <w:spacing w:after="0"/>
              <w:rPr>
                <w:sz w:val="20"/>
                <w:szCs w:val="20"/>
                <w:color w:val="auto"/>
              </w:rPr>
            </w:pPr>
            <w:r>
              <w:rPr>
                <w:rFonts w:ascii="Arial" w:cs="Arial" w:eastAsia="Arial" w:hAnsi="Arial"/>
                <w:sz w:val="22"/>
                <w:szCs w:val="22"/>
                <w:color w:val="auto"/>
              </w:rPr>
              <w:t>[****].</w:t>
            </w:r>
          </w:p>
        </w:tc>
      </w:tr>
      <w:tr>
        <w:trPr>
          <w:trHeight w:val="324"/>
        </w:trPr>
        <w:tc>
          <w:tcPr>
            <w:tcW w:w="1260" w:type="dxa"/>
            <w:vAlign w:val="bottom"/>
            <w:gridSpan w:val="3"/>
          </w:tcPr>
          <w:p>
            <w:pPr>
              <w:ind w:left="720"/>
              <w:spacing w:after="0"/>
              <w:rPr>
                <w:sz w:val="20"/>
                <w:szCs w:val="20"/>
                <w:color w:val="auto"/>
              </w:rPr>
            </w:pPr>
            <w:r>
              <w:rPr>
                <w:rFonts w:ascii="Arial" w:cs="Arial" w:eastAsia="Arial" w:hAnsi="Arial"/>
                <w:sz w:val="22"/>
                <w:szCs w:val="22"/>
                <w:color w:val="auto"/>
              </w:rPr>
              <w:t>7.2</w:t>
            </w:r>
          </w:p>
        </w:tc>
        <w:tc>
          <w:tcPr>
            <w:tcW w:w="4220" w:type="dxa"/>
            <w:vAlign w:val="bottom"/>
          </w:tcPr>
          <w:p>
            <w:pPr>
              <w:ind w:left="100"/>
              <w:spacing w:after="0"/>
              <w:rPr>
                <w:sz w:val="20"/>
                <w:szCs w:val="20"/>
                <w:color w:val="auto"/>
              </w:rPr>
            </w:pPr>
            <w:r>
              <w:rPr>
                <w:rFonts w:ascii="Arial" w:cs="Arial" w:eastAsia="Arial" w:hAnsi="Arial"/>
                <w:sz w:val="22"/>
                <w:szCs w:val="22"/>
                <w:color w:val="auto"/>
              </w:rPr>
              <w:t>Reserved.</w:t>
            </w:r>
          </w:p>
        </w:tc>
      </w:tr>
      <w:tr>
        <w:trPr>
          <w:trHeight w:val="378"/>
        </w:trPr>
        <w:tc>
          <w:tcPr>
            <w:tcW w:w="900" w:type="dxa"/>
            <w:vAlign w:val="bottom"/>
            <w:gridSpan w:val="2"/>
          </w:tcPr>
          <w:p>
            <w:pPr>
              <w:jc w:val="right"/>
              <w:spacing w:after="0"/>
              <w:rPr>
                <w:sz w:val="20"/>
                <w:szCs w:val="20"/>
                <w:color w:val="auto"/>
              </w:rPr>
            </w:pPr>
            <w:r>
              <w:rPr>
                <w:rFonts w:ascii="Arial" w:cs="Arial" w:eastAsia="Arial" w:hAnsi="Arial"/>
                <w:sz w:val="22"/>
                <w:szCs w:val="22"/>
                <w:color w:val="auto"/>
              </w:rPr>
              <w:t>8.  [****].</w:t>
            </w:r>
          </w:p>
        </w:tc>
        <w:tc>
          <w:tcPr>
            <w:tcW w:w="360" w:type="dxa"/>
            <w:vAlign w:val="bottom"/>
          </w:tcPr>
          <w:p>
            <w:pPr>
              <w:spacing w:after="0"/>
              <w:rPr>
                <w:sz w:val="24"/>
                <w:szCs w:val="24"/>
                <w:color w:val="auto"/>
              </w:rPr>
            </w:pPr>
          </w:p>
        </w:tc>
        <w:tc>
          <w:tcPr>
            <w:tcW w:w="4220" w:type="dxa"/>
            <w:vAlign w:val="bottom"/>
          </w:tcPr>
          <w:p>
            <w:pPr>
              <w:spacing w:after="0"/>
              <w:rPr>
                <w:sz w:val="24"/>
                <w:szCs w:val="24"/>
                <w:color w:val="auto"/>
              </w:rPr>
            </w:pPr>
          </w:p>
        </w:tc>
      </w:tr>
      <w:tr>
        <w:trPr>
          <w:trHeight w:val="20"/>
        </w:trPr>
        <w:tc>
          <w:tcPr>
            <w:tcW w:w="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r>
      <w:tr>
        <w:trPr>
          <w:trHeight w:val="358"/>
        </w:trPr>
        <w:tc>
          <w:tcPr>
            <w:tcW w:w="380" w:type="dxa"/>
            <w:vAlign w:val="bottom"/>
          </w:tcPr>
          <w:p>
            <w:pPr>
              <w:spacing w:after="0"/>
              <w:rPr>
                <w:sz w:val="24"/>
                <w:szCs w:val="24"/>
                <w:color w:val="auto"/>
              </w:rPr>
            </w:pPr>
          </w:p>
        </w:tc>
        <w:tc>
          <w:tcPr>
            <w:tcW w:w="880" w:type="dxa"/>
            <w:vAlign w:val="bottom"/>
            <w:gridSpan w:val="2"/>
          </w:tcPr>
          <w:p>
            <w:pPr>
              <w:ind w:left="340"/>
              <w:spacing w:after="0"/>
              <w:rPr>
                <w:sz w:val="20"/>
                <w:szCs w:val="20"/>
                <w:color w:val="auto"/>
              </w:rPr>
            </w:pPr>
            <w:r>
              <w:rPr>
                <w:rFonts w:ascii="Arial" w:cs="Arial" w:eastAsia="Arial" w:hAnsi="Arial"/>
                <w:sz w:val="22"/>
                <w:szCs w:val="22"/>
                <w:color w:val="auto"/>
              </w:rPr>
              <w:t>8.1</w:t>
            </w:r>
          </w:p>
        </w:tc>
        <w:tc>
          <w:tcPr>
            <w:tcW w:w="4220" w:type="dxa"/>
            <w:vAlign w:val="bottom"/>
          </w:tcPr>
          <w:p>
            <w:pPr>
              <w:ind w:left="100"/>
              <w:spacing w:after="0"/>
              <w:rPr>
                <w:sz w:val="20"/>
                <w:szCs w:val="20"/>
                <w:color w:val="auto"/>
              </w:rPr>
            </w:pPr>
            <w:r>
              <w:rPr>
                <w:rFonts w:ascii="Arial" w:cs="Arial" w:eastAsia="Arial" w:hAnsi="Arial"/>
                <w:sz w:val="22"/>
                <w:szCs w:val="22"/>
                <w:color w:val="auto"/>
              </w:rPr>
              <w:t>[****].</w:t>
            </w:r>
          </w:p>
        </w:tc>
      </w:tr>
      <w:tr>
        <w:trPr>
          <w:trHeight w:val="324"/>
        </w:trPr>
        <w:tc>
          <w:tcPr>
            <w:tcW w:w="1260" w:type="dxa"/>
            <w:vAlign w:val="bottom"/>
            <w:gridSpan w:val="3"/>
          </w:tcPr>
          <w:p>
            <w:pPr>
              <w:ind w:left="720"/>
              <w:spacing w:after="0"/>
              <w:rPr>
                <w:sz w:val="20"/>
                <w:szCs w:val="20"/>
                <w:color w:val="auto"/>
              </w:rPr>
            </w:pPr>
            <w:r>
              <w:rPr>
                <w:rFonts w:ascii="Arial" w:cs="Arial" w:eastAsia="Arial" w:hAnsi="Arial"/>
                <w:sz w:val="22"/>
                <w:szCs w:val="22"/>
                <w:color w:val="auto"/>
              </w:rPr>
              <w:t>8.2</w:t>
            </w:r>
          </w:p>
        </w:tc>
        <w:tc>
          <w:tcPr>
            <w:tcW w:w="4220" w:type="dxa"/>
            <w:vAlign w:val="bottom"/>
          </w:tcPr>
          <w:p>
            <w:pPr>
              <w:ind w:left="100"/>
              <w:spacing w:after="0"/>
              <w:rPr>
                <w:sz w:val="20"/>
                <w:szCs w:val="20"/>
                <w:color w:val="auto"/>
              </w:rPr>
            </w:pPr>
            <w:r>
              <w:rPr>
                <w:rFonts w:ascii="Arial" w:cs="Arial" w:eastAsia="Arial" w:hAnsi="Arial"/>
                <w:sz w:val="22"/>
                <w:szCs w:val="22"/>
                <w:color w:val="auto"/>
              </w:rPr>
              <w:t>Reserved.</w:t>
            </w:r>
          </w:p>
        </w:tc>
      </w:tr>
      <w:tr>
        <w:trPr>
          <w:trHeight w:val="324"/>
        </w:trPr>
        <w:tc>
          <w:tcPr>
            <w:tcW w:w="1260" w:type="dxa"/>
            <w:vAlign w:val="bottom"/>
            <w:gridSpan w:val="3"/>
          </w:tcPr>
          <w:p>
            <w:pPr>
              <w:ind w:left="720"/>
              <w:spacing w:after="0"/>
              <w:rPr>
                <w:sz w:val="20"/>
                <w:szCs w:val="20"/>
                <w:color w:val="auto"/>
              </w:rPr>
            </w:pPr>
            <w:r>
              <w:rPr>
                <w:rFonts w:ascii="Arial" w:cs="Arial" w:eastAsia="Arial" w:hAnsi="Arial"/>
                <w:sz w:val="22"/>
                <w:szCs w:val="22"/>
                <w:color w:val="auto"/>
              </w:rPr>
              <w:t>8.2.1</w:t>
            </w:r>
          </w:p>
        </w:tc>
        <w:tc>
          <w:tcPr>
            <w:tcW w:w="4220" w:type="dxa"/>
            <w:vAlign w:val="bottom"/>
          </w:tcPr>
          <w:p>
            <w:pPr>
              <w:ind w:left="100"/>
              <w:spacing w:after="0"/>
              <w:rPr>
                <w:sz w:val="20"/>
                <w:szCs w:val="20"/>
                <w:color w:val="auto"/>
              </w:rPr>
            </w:pPr>
            <w:r>
              <w:rPr>
                <w:rFonts w:ascii="Arial" w:cs="Arial" w:eastAsia="Arial" w:hAnsi="Arial"/>
                <w:sz w:val="22"/>
                <w:szCs w:val="22"/>
                <w:color w:val="auto"/>
              </w:rPr>
              <w:t>Reserved.</w:t>
            </w:r>
          </w:p>
        </w:tc>
      </w:tr>
      <w:tr>
        <w:trPr>
          <w:trHeight w:val="459"/>
        </w:trPr>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20" w:type="dxa"/>
            <w:vAlign w:val="bottom"/>
          </w:tcPr>
          <w:p>
            <w:pPr>
              <w:ind w:left="100"/>
              <w:spacing w:after="0"/>
              <w:rPr>
                <w:sz w:val="20"/>
                <w:szCs w:val="20"/>
                <w:color w:val="auto"/>
              </w:rPr>
            </w:pPr>
            <w:r>
              <w:rPr>
                <w:rFonts w:ascii="Arial" w:cs="Arial" w:eastAsia="Arial" w:hAnsi="Arial"/>
                <w:sz w:val="22"/>
                <w:szCs w:val="22"/>
                <w:color w:val="auto"/>
              </w:rPr>
              <w:t>8.2.2  Reserved.</w:t>
            </w:r>
          </w:p>
        </w:tc>
      </w:tr>
      <w:tr>
        <w:trPr>
          <w:trHeight w:val="473"/>
        </w:trPr>
        <w:tc>
          <w:tcPr>
            <w:tcW w:w="1260" w:type="dxa"/>
            <w:vAlign w:val="bottom"/>
            <w:gridSpan w:val="3"/>
          </w:tcPr>
          <w:p>
            <w:pPr>
              <w:ind w:left="720"/>
              <w:spacing w:after="0"/>
              <w:rPr>
                <w:sz w:val="20"/>
                <w:szCs w:val="20"/>
                <w:color w:val="auto"/>
              </w:rPr>
            </w:pPr>
            <w:r>
              <w:rPr>
                <w:rFonts w:ascii="Arial" w:cs="Arial" w:eastAsia="Arial" w:hAnsi="Arial"/>
                <w:sz w:val="22"/>
                <w:szCs w:val="22"/>
                <w:color w:val="auto"/>
              </w:rPr>
              <w:t>8.3</w:t>
            </w:r>
          </w:p>
        </w:tc>
        <w:tc>
          <w:tcPr>
            <w:tcW w:w="4220" w:type="dxa"/>
            <w:vAlign w:val="bottom"/>
          </w:tcPr>
          <w:p>
            <w:pPr>
              <w:ind w:left="60"/>
              <w:spacing w:after="0"/>
              <w:rPr>
                <w:sz w:val="20"/>
                <w:szCs w:val="20"/>
                <w:color w:val="auto"/>
              </w:rPr>
            </w:pPr>
            <w:r>
              <w:rPr>
                <w:rFonts w:ascii="Arial" w:cs="Arial" w:eastAsia="Arial" w:hAnsi="Arial"/>
                <w:sz w:val="22"/>
                <w:szCs w:val="22"/>
                <w:color w:val="auto"/>
              </w:rPr>
              <w:t>Reserved.</w:t>
            </w:r>
          </w:p>
        </w:tc>
      </w:tr>
    </w:tbl>
    <w:p>
      <w:pPr>
        <w:spacing w:after="0" w:line="189" w:lineRule="exact"/>
        <w:rPr>
          <w:sz w:val="20"/>
          <w:szCs w:val="20"/>
          <w:color w:val="auto"/>
        </w:rPr>
      </w:pPr>
    </w:p>
    <w:p>
      <w:pPr>
        <w:ind w:left="960"/>
        <w:spacing w:after="0"/>
        <w:tabs>
          <w:tab w:leader="none" w:pos="1660" w:val="left"/>
        </w:tabs>
        <w:rPr>
          <w:sz w:val="20"/>
          <w:szCs w:val="20"/>
          <w:color w:val="auto"/>
        </w:rPr>
      </w:pPr>
      <w:r>
        <w:rPr>
          <w:rFonts w:ascii="Arial" w:cs="Arial" w:eastAsia="Arial" w:hAnsi="Arial"/>
          <w:sz w:val="22"/>
          <w:szCs w:val="22"/>
          <w:color w:val="auto"/>
        </w:rPr>
        <w:t>8.3.1</w:t>
      </w:r>
      <w:r>
        <w:rPr>
          <w:sz w:val="20"/>
          <w:szCs w:val="20"/>
          <w:color w:val="auto"/>
        </w:rPr>
        <w:tab/>
      </w:r>
      <w:r>
        <w:rPr>
          <w:rFonts w:ascii="Arial" w:cs="Arial" w:eastAsia="Arial" w:hAnsi="Arial"/>
          <w:sz w:val="21"/>
          <w:szCs w:val="21"/>
          <w:color w:val="auto"/>
        </w:rPr>
        <w:t>Reserved.</w:t>
      </w:r>
    </w:p>
    <w:p>
      <w:pPr>
        <w:spacing w:after="0" w:line="200" w:lineRule="exact"/>
        <w:rPr>
          <w:sz w:val="20"/>
          <w:szCs w:val="20"/>
          <w:color w:val="auto"/>
        </w:rPr>
      </w:pPr>
    </w:p>
    <w:p>
      <w:pPr>
        <w:spacing w:after="0" w:line="328" w:lineRule="exact"/>
        <w:rPr>
          <w:sz w:val="20"/>
          <w:szCs w:val="20"/>
          <w:color w:val="auto"/>
        </w:rPr>
      </w:pPr>
    </w:p>
    <w:p>
      <w:pPr>
        <w:ind w:left="60"/>
        <w:spacing w:after="0"/>
        <w:tabs>
          <w:tab w:leader="none" w:pos="3340" w:val="left"/>
        </w:tabs>
        <w:rPr>
          <w:sz w:val="20"/>
          <w:szCs w:val="20"/>
          <w:color w:val="auto"/>
        </w:rPr>
      </w:pPr>
      <w:r>
        <w:rPr>
          <w:rFonts w:ascii="Arial" w:cs="Arial" w:eastAsia="Arial" w:hAnsi="Arial"/>
          <w:sz w:val="22"/>
          <w:szCs w:val="22"/>
          <w:color w:val="auto"/>
        </w:rPr>
        <w:t>AAL-PA-03735-LA-1106651</w:t>
      </w:r>
      <w:r>
        <w:rPr>
          <w:rFonts w:ascii="Arial" w:cs="Arial" w:eastAsia="Arial" w:hAnsi="Arial"/>
          <w:sz w:val="22"/>
          <w:szCs w:val="22"/>
          <w:b w:val="1"/>
          <w:bCs w:val="1"/>
          <w:color w:val="auto"/>
        </w:rPr>
        <w:t>R15</w:t>
      </w:r>
      <w:r>
        <w:rPr>
          <w:sz w:val="20"/>
          <w:szCs w:val="20"/>
          <w:color w:val="auto"/>
        </w:rPr>
        <w:tab/>
      </w:r>
      <w:r>
        <w:rPr>
          <w:rFonts w:ascii="Arial" w:cs="Arial" w:eastAsia="Arial" w:hAnsi="Arial"/>
          <w:sz w:val="21"/>
          <w:szCs w:val="21"/>
          <w:color w:val="auto"/>
        </w:rPr>
        <w:t>SA-34</w:t>
      </w:r>
    </w:p>
    <w:p>
      <w:pPr>
        <w:spacing w:after="0" w:line="26" w:lineRule="exact"/>
        <w:rPr>
          <w:sz w:val="20"/>
          <w:szCs w:val="20"/>
          <w:color w:val="auto"/>
        </w:rPr>
      </w:pPr>
    </w:p>
    <w:p>
      <w:pPr>
        <w:ind w:left="60"/>
        <w:spacing w:after="0"/>
        <w:tabs>
          <w:tab w:leader="none" w:pos="740" w:val="left"/>
        </w:tabs>
        <w:rPr>
          <w:sz w:val="20"/>
          <w:szCs w:val="20"/>
          <w:color w:val="auto"/>
        </w:rPr>
      </w:pPr>
      <w:r>
        <w:rPr>
          <w:rFonts w:ascii="Arial" w:cs="Arial" w:eastAsia="Arial" w:hAnsi="Arial"/>
          <w:sz w:val="22"/>
          <w:szCs w:val="22"/>
          <w:color w:val="auto"/>
        </w:rPr>
        <w:t>[****]</w:t>
        <w:tab/>
        <w:t>Page 2 of 5</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BOEING AND AMERICAN PROPRIETARY</w:t>
      </w:r>
    </w:p>
    <w:p>
      <w:pPr>
        <w:sectPr>
          <w:pgSz w:w="11900" w:h="16838" w:orient="portrait"/>
          <w:cols w:equalWidth="0" w:num="1">
            <w:col w:w="11300"/>
          </w:cols>
          <w:pgMar w:left="260" w:top="1440" w:right="339" w:bottom="1440" w:gutter="0" w:footer="0" w:header="0"/>
        </w:sectPr>
      </w:pPr>
    </w:p>
    <w:bookmarkStart w:id="78" w:name="page79"/>
    <w:bookmarkEnd w:id="7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08760" cy="3429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clrChange>
                        <a:clrFrom>
                          <a:srgbClr val="FFFFFF"/>
                        </a:clrFrom>
                        <a:clrTo>
                          <a:srgbClr val="FFFFFF">
                            <a:alpha val="0"/>
                          </a:srgbClr>
                        </a:clrTo>
                      </a:clrChange>
                      <a:extLst>
                        <a:ext uri="{28A0092B-C50C-407E-A947-70E740481C1C}"/>
                      </a:extLst>
                    </a:blip>
                    <a:srcRect/>
                    <a:stretch>
                      <a:fillRect/>
                    </a:stretch>
                  </pic:blipFill>
                  <pic:spPr bwMode="auto">
                    <a:xfrm>
                      <a:off x="0" y="0"/>
                      <a:ext cx="150876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77" w:hanging="377"/>
        <w:spacing w:after="0"/>
        <w:tabs>
          <w:tab w:leader="none" w:pos="377"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Assignment.</w:t>
      </w:r>
    </w:p>
    <w:p>
      <w:pPr>
        <w:spacing w:after="0" w:line="206" w:lineRule="exact"/>
        <w:rPr>
          <w:sz w:val="20"/>
          <w:szCs w:val="20"/>
          <w:color w:val="auto"/>
        </w:rPr>
      </w:pPr>
    </w:p>
    <w:p>
      <w:pPr>
        <w:jc w:val="both"/>
        <w:ind w:left="57" w:firstLine="648"/>
        <w:spacing w:after="0" w:line="257" w:lineRule="auto"/>
        <w:rPr>
          <w:sz w:val="20"/>
          <w:szCs w:val="20"/>
          <w:color w:val="auto"/>
        </w:rPr>
      </w:pPr>
      <w:r>
        <w:rPr>
          <w:rFonts w:ascii="Arial" w:cs="Arial" w:eastAsia="Arial" w:hAnsi="Arial"/>
          <w:sz w:val="22"/>
          <w:szCs w:val="22"/>
          <w:color w:val="auto"/>
        </w:rPr>
        <w:t>Notwithstanding any other provisions of the Purchase Agreement, the rights and obligations described in this Letter Agreement are provided to Customer in consideration of Customer’s becoming the operator of the Aircraft and cannot be assigned in whole or, in part, without the prior written consent of Boeing.</w:t>
      </w:r>
    </w:p>
    <w:p>
      <w:pPr>
        <w:spacing w:after="0" w:line="146" w:lineRule="exact"/>
        <w:rPr>
          <w:sz w:val="20"/>
          <w:szCs w:val="20"/>
          <w:color w:val="auto"/>
        </w:rPr>
      </w:pPr>
    </w:p>
    <w:p>
      <w:pPr>
        <w:ind w:left="377" w:hanging="377"/>
        <w:spacing w:after="0"/>
        <w:tabs>
          <w:tab w:leader="none" w:pos="377"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Confidential Treatment.</w:t>
      </w:r>
    </w:p>
    <w:p>
      <w:pPr>
        <w:spacing w:after="0" w:line="206" w:lineRule="exact"/>
        <w:rPr>
          <w:sz w:val="20"/>
          <w:szCs w:val="20"/>
          <w:color w:val="auto"/>
        </w:rPr>
      </w:pPr>
    </w:p>
    <w:p>
      <w:pPr>
        <w:jc w:val="both"/>
        <w:ind w:left="57" w:firstLine="648"/>
        <w:spacing w:after="0" w:line="264" w:lineRule="auto"/>
        <w:rPr>
          <w:sz w:val="20"/>
          <w:szCs w:val="20"/>
          <w:color w:val="auto"/>
        </w:rPr>
      </w:pPr>
      <w:r>
        <w:rPr>
          <w:rFonts w:ascii="Arial" w:cs="Arial" w:eastAsia="Arial" w:hAnsi="Arial"/>
          <w:sz w:val="22"/>
          <w:szCs w:val="22"/>
          <w:color w:val="auto"/>
        </w:rPr>
        <w:t>The information contained herein represents confidential business information and has value precisely because it is not available generally or to other parties. This Letter Agreement shall be subject to the terms and conditions of Letter Agreement No. AAL-PA-03735-LA-1106670R1 entitled “</w:t>
      </w:r>
      <w:r>
        <w:rPr>
          <w:rFonts w:ascii="Arial" w:cs="Arial" w:eastAsia="Arial" w:hAnsi="Arial"/>
          <w:sz w:val="22"/>
          <w:szCs w:val="22"/>
          <w:u w:val="single" w:color="auto"/>
          <w:color w:val="auto"/>
        </w:rPr>
        <w:t>Confidentiality</w:t>
      </w:r>
      <w:r>
        <w:rPr>
          <w:rFonts w:ascii="Arial" w:cs="Arial" w:eastAsia="Arial" w:hAnsi="Arial"/>
          <w:sz w:val="22"/>
          <w:szCs w:val="22"/>
          <w:color w:val="auto"/>
        </w:rPr>
        <w:t>”.</w:t>
      </w:r>
    </w:p>
    <w:p>
      <w:pPr>
        <w:spacing w:after="0" w:line="272" w:lineRule="exact"/>
        <w:rPr>
          <w:sz w:val="20"/>
          <w:szCs w:val="20"/>
          <w:color w:val="auto"/>
        </w:rPr>
      </w:pPr>
    </w:p>
    <w:p>
      <w:pPr>
        <w:ind w:left="57"/>
        <w:spacing w:after="0"/>
        <w:rPr>
          <w:sz w:val="20"/>
          <w:szCs w:val="20"/>
          <w:color w:val="auto"/>
        </w:rPr>
      </w:pPr>
      <w:r>
        <w:rPr>
          <w:rFonts w:ascii="Arial" w:cs="Arial" w:eastAsia="Arial" w:hAnsi="Arial"/>
          <w:sz w:val="22"/>
          <w:szCs w:val="22"/>
          <w:color w:val="auto"/>
        </w:rPr>
        <w:t>Very truly yours,</w:t>
      </w:r>
    </w:p>
    <w:p>
      <w:pPr>
        <w:spacing w:after="0" w:line="299" w:lineRule="exact"/>
        <w:rPr>
          <w:sz w:val="20"/>
          <w:szCs w:val="20"/>
          <w:color w:val="auto"/>
        </w:rPr>
      </w:pPr>
    </w:p>
    <w:p>
      <w:pPr>
        <w:ind w:left="237"/>
        <w:spacing w:after="0"/>
        <w:rPr>
          <w:sz w:val="20"/>
          <w:szCs w:val="20"/>
          <w:color w:val="auto"/>
        </w:rPr>
      </w:pPr>
      <w:r>
        <w:rPr>
          <w:rFonts w:ascii="Arial" w:cs="Arial" w:eastAsia="Arial" w:hAnsi="Arial"/>
          <w:sz w:val="22"/>
          <w:szCs w:val="22"/>
          <w:b w:val="1"/>
          <w:bCs w:val="1"/>
          <w:color w:val="auto"/>
        </w:rPr>
        <w:t>THE BOEING COMPANY</w:t>
      </w:r>
    </w:p>
    <w:p>
      <w:pPr>
        <w:spacing w:after="0" w:line="303" w:lineRule="exact"/>
        <w:rPr>
          <w:sz w:val="20"/>
          <w:szCs w:val="20"/>
          <w:color w:val="auto"/>
        </w:rPr>
      </w:pPr>
    </w:p>
    <w:p>
      <w:pPr>
        <w:ind w:left="237"/>
        <w:spacing w:after="0"/>
        <w:tabs>
          <w:tab w:leader="none" w:pos="956"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572770</wp:posOffset>
            </wp:positionH>
            <wp:positionV relativeFrom="paragraph">
              <wp:posOffset>19050</wp:posOffset>
            </wp:positionV>
            <wp:extent cx="333438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spacing w:after="0" w:line="267" w:lineRule="exact"/>
        <w:rPr>
          <w:sz w:val="20"/>
          <w:szCs w:val="20"/>
          <w:color w:val="auto"/>
        </w:rPr>
      </w:pPr>
    </w:p>
    <w:p>
      <w:pPr>
        <w:ind w:left="237"/>
        <w:spacing w:after="0"/>
        <w:tabs>
          <w:tab w:leader="none" w:pos="956"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22"/>
          <w:szCs w:val="22"/>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572770</wp:posOffset>
            </wp:positionH>
            <wp:positionV relativeFrom="paragraph">
              <wp:posOffset>19050</wp:posOffset>
            </wp:positionV>
            <wp:extent cx="333438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7"/>
        <w:spacing w:after="0"/>
        <w:tabs>
          <w:tab w:leader="none" w:pos="3336" w:val="left"/>
        </w:tabs>
        <w:rPr>
          <w:sz w:val="20"/>
          <w:szCs w:val="20"/>
          <w:color w:val="auto"/>
        </w:rPr>
      </w:pPr>
      <w:r>
        <w:rPr>
          <w:rFonts w:ascii="Arial" w:cs="Arial" w:eastAsia="Arial" w:hAnsi="Arial"/>
          <w:sz w:val="22"/>
          <w:szCs w:val="22"/>
          <w:color w:val="auto"/>
        </w:rPr>
        <w:t>AAL-PA-03735-LA-1106651</w:t>
      </w:r>
      <w:r>
        <w:rPr>
          <w:rFonts w:ascii="Arial" w:cs="Arial" w:eastAsia="Arial" w:hAnsi="Arial"/>
          <w:sz w:val="22"/>
          <w:szCs w:val="22"/>
          <w:b w:val="1"/>
          <w:bCs w:val="1"/>
          <w:color w:val="auto"/>
        </w:rPr>
        <w:t>R15</w:t>
      </w:r>
      <w:r>
        <w:rPr>
          <w:sz w:val="20"/>
          <w:szCs w:val="20"/>
          <w:color w:val="auto"/>
        </w:rPr>
        <w:tab/>
      </w:r>
      <w:r>
        <w:rPr>
          <w:rFonts w:ascii="Arial" w:cs="Arial" w:eastAsia="Arial" w:hAnsi="Arial"/>
          <w:sz w:val="21"/>
          <w:szCs w:val="21"/>
          <w:color w:val="auto"/>
        </w:rPr>
        <w:t>SA-34</w:t>
      </w:r>
    </w:p>
    <w:p>
      <w:pPr>
        <w:spacing w:after="0" w:line="39" w:lineRule="exact"/>
        <w:rPr>
          <w:sz w:val="20"/>
          <w:szCs w:val="20"/>
          <w:color w:val="auto"/>
        </w:rPr>
      </w:pPr>
    </w:p>
    <w:p>
      <w:pPr>
        <w:ind w:left="57"/>
        <w:spacing w:after="0"/>
        <w:tabs>
          <w:tab w:leader="none" w:pos="736" w:val="left"/>
        </w:tabs>
        <w:rPr>
          <w:sz w:val="20"/>
          <w:szCs w:val="20"/>
          <w:color w:val="auto"/>
        </w:rPr>
      </w:pPr>
      <w:r>
        <w:rPr>
          <w:rFonts w:ascii="Arial" w:cs="Arial" w:eastAsia="Arial" w:hAnsi="Arial"/>
          <w:sz w:val="22"/>
          <w:szCs w:val="22"/>
          <w:color w:val="auto"/>
        </w:rPr>
        <w:t>[****]</w:t>
        <w:tab/>
        <w:t>Page 3 of 5</w:t>
      </w:r>
    </w:p>
    <w:p>
      <w:pPr>
        <w:spacing w:after="0" w:line="4" w:lineRule="exact"/>
        <w:rPr>
          <w:sz w:val="20"/>
          <w:szCs w:val="20"/>
          <w:color w:val="auto"/>
        </w:rPr>
      </w:pPr>
    </w:p>
    <w:p>
      <w:pPr>
        <w:jc w:val="center"/>
        <w:ind w:right="-76"/>
        <w:spacing w:after="0"/>
        <w:rPr>
          <w:sz w:val="20"/>
          <w:szCs w:val="20"/>
          <w:color w:val="auto"/>
        </w:rPr>
      </w:pPr>
      <w:r>
        <w:rPr>
          <w:rFonts w:ascii="Arial" w:cs="Arial" w:eastAsia="Arial" w:hAnsi="Arial"/>
          <w:sz w:val="22"/>
          <w:szCs w:val="22"/>
          <w:b w:val="1"/>
          <w:bCs w:val="1"/>
          <w:color w:val="auto"/>
        </w:rPr>
        <w:t>BOEING AND AMERICAN PROPRIETARY</w:t>
      </w:r>
    </w:p>
    <w:p>
      <w:pPr>
        <w:sectPr>
          <w:pgSz w:w="11900" w:h="16838" w:orient="portrait"/>
          <w:cols w:equalWidth="0" w:num="1">
            <w:col w:w="11297"/>
          </w:cols>
          <w:pgMar w:left="263" w:top="1440" w:right="339" w:bottom="1440" w:gutter="0" w:footer="0" w:header="0"/>
        </w:sectPr>
      </w:pPr>
    </w:p>
    <w:bookmarkStart w:id="79" w:name="page80"/>
    <w:bookmarkEnd w:id="79"/>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80"/>
        <w:spacing w:after="0"/>
        <w:rPr>
          <w:sz w:val="20"/>
          <w:szCs w:val="20"/>
          <w:color w:val="auto"/>
        </w:rPr>
      </w:pPr>
      <w:r>
        <w:rPr>
          <w:rFonts w:ascii="Arial" w:cs="Arial" w:eastAsia="Arial" w:hAnsi="Arial"/>
          <w:sz w:val="22"/>
          <w:szCs w:val="22"/>
          <w:color w:val="auto"/>
        </w:rPr>
        <w:t>ACCEPTED AND AGREED TO this</w:t>
      </w:r>
    </w:p>
    <w:p>
      <w:pPr>
        <w:spacing w:after="0" w:line="125" w:lineRule="exact"/>
        <w:rPr>
          <w:sz w:val="20"/>
          <w:szCs w:val="20"/>
          <w:color w:val="auto"/>
        </w:rPr>
      </w:pPr>
    </w:p>
    <w:tbl>
      <w:tblPr>
        <w:tblLayout w:type="fixed"/>
        <w:tblInd w:w="80" w:type="dxa"/>
        <w:tblCellMar>
          <w:top w:w="0" w:type="dxa"/>
          <w:left w:w="0" w:type="dxa"/>
          <w:bottom w:w="0" w:type="dxa"/>
          <w:right w:w="0" w:type="dxa"/>
        </w:tblCellMar>
      </w:tblPr>
      <w:tr>
        <w:trPr>
          <w:trHeight w:val="283"/>
        </w:trPr>
        <w:tc>
          <w:tcPr>
            <w:tcW w:w="680" w:type="dxa"/>
            <w:vAlign w:val="bottom"/>
          </w:tcPr>
          <w:p>
            <w:pPr>
              <w:spacing w:after="0"/>
              <w:rPr>
                <w:sz w:val="20"/>
                <w:szCs w:val="20"/>
                <w:color w:val="auto"/>
              </w:rPr>
            </w:pPr>
            <w:r>
              <w:rPr>
                <w:rFonts w:ascii="Arial" w:cs="Arial" w:eastAsia="Arial" w:hAnsi="Arial"/>
                <w:sz w:val="22"/>
                <w:szCs w:val="22"/>
                <w:color w:val="auto"/>
              </w:rPr>
              <w:t>Date:</w:t>
            </w:r>
          </w:p>
        </w:tc>
        <w:tc>
          <w:tcPr>
            <w:tcW w:w="1160" w:type="dxa"/>
            <w:vAlign w:val="bottom"/>
          </w:tcPr>
          <w:p>
            <w:pPr>
              <w:spacing w:after="0"/>
              <w:rPr>
                <w:sz w:val="24"/>
                <w:szCs w:val="24"/>
                <w:color w:val="auto"/>
              </w:rPr>
            </w:pPr>
          </w:p>
        </w:tc>
        <w:tc>
          <w:tcPr>
            <w:tcW w:w="412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March 19, 2025</w:t>
            </w:r>
          </w:p>
        </w:tc>
      </w:tr>
      <w:tr>
        <w:trPr>
          <w:trHeight w:val="533"/>
        </w:trPr>
        <w:tc>
          <w:tcPr>
            <w:tcW w:w="5960" w:type="dxa"/>
            <w:vAlign w:val="bottom"/>
            <w:gridSpan w:val="3"/>
          </w:tcPr>
          <w:p>
            <w:pPr>
              <w:spacing w:after="0"/>
              <w:rPr>
                <w:sz w:val="20"/>
                <w:szCs w:val="20"/>
                <w:color w:val="auto"/>
              </w:rPr>
            </w:pPr>
            <w:r>
              <w:rPr>
                <w:rFonts w:ascii="Arial" w:cs="Arial" w:eastAsia="Arial" w:hAnsi="Arial"/>
                <w:sz w:val="22"/>
                <w:szCs w:val="22"/>
                <w:b w:val="1"/>
                <w:bCs w:val="1"/>
                <w:color w:val="auto"/>
              </w:rPr>
              <w:t>AMERICAN AIRLINES, INC.</w:t>
            </w:r>
          </w:p>
        </w:tc>
      </w:tr>
      <w:tr>
        <w:trPr>
          <w:trHeight w:val="312"/>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5280" w:type="dxa"/>
            <w:vAlign w:val="bottom"/>
            <w:tcBorders>
              <w:bottom w:val="single" w:sz="8" w:color="auto"/>
            </w:tcBorders>
            <w:gridSpan w:val="2"/>
          </w:tcPr>
          <w:p>
            <w:pPr>
              <w:ind w:left="60"/>
              <w:spacing w:after="0"/>
              <w:rPr>
                <w:sz w:val="20"/>
                <w:szCs w:val="20"/>
                <w:color w:val="auto"/>
              </w:rPr>
            </w:pPr>
            <w:r>
              <w:rPr>
                <w:rFonts w:ascii="Arial" w:cs="Arial" w:eastAsia="Arial" w:hAnsi="Arial"/>
                <w:sz w:val="22"/>
                <w:szCs w:val="22"/>
                <w:color w:val="auto"/>
              </w:rPr>
              <w:t>/s/ American Airlines, Inc.</w:t>
            </w:r>
          </w:p>
        </w:tc>
      </w:tr>
      <w:tr>
        <w:trPr>
          <w:trHeight w:val="520"/>
        </w:trPr>
        <w:tc>
          <w:tcPr>
            <w:tcW w:w="680" w:type="dxa"/>
            <w:vAlign w:val="bottom"/>
          </w:tcPr>
          <w:p>
            <w:pPr>
              <w:spacing w:after="0"/>
              <w:rPr>
                <w:sz w:val="20"/>
                <w:szCs w:val="20"/>
                <w:color w:val="auto"/>
              </w:rPr>
            </w:pPr>
            <w:r>
              <w:rPr>
                <w:rFonts w:ascii="Arial" w:cs="Arial" w:eastAsia="Arial" w:hAnsi="Arial"/>
                <w:sz w:val="22"/>
                <w:szCs w:val="22"/>
                <w:color w:val="auto"/>
              </w:rPr>
              <w:t>Its:</w:t>
            </w:r>
          </w:p>
        </w:tc>
        <w:tc>
          <w:tcPr>
            <w:tcW w:w="5280" w:type="dxa"/>
            <w:vAlign w:val="bottom"/>
            <w:tcBorders>
              <w:bottom w:val="single" w:sz="8" w:color="auto"/>
            </w:tcBorders>
            <w:gridSpan w:val="2"/>
          </w:tcPr>
          <w:p>
            <w:pPr>
              <w:ind w:left="60"/>
              <w:spacing w:after="0"/>
              <w:rPr>
                <w:sz w:val="20"/>
                <w:szCs w:val="20"/>
                <w:color w:val="auto"/>
              </w:rPr>
            </w:pPr>
            <w:r>
              <w:rPr>
                <w:rFonts w:ascii="Arial" w:cs="Arial" w:eastAsia="Arial" w:hAnsi="Arial"/>
                <w:sz w:val="22"/>
                <w:szCs w:val="22"/>
                <w:color w:val="auto"/>
              </w:rPr>
              <w:t>VP, Financial Planning &amp; Analysis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Attachments:</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Attachment A – Intentionally Omitted.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Attachment B – 737-10 [****] Aircraft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300" w:type="dxa"/>
            <w:vAlign w:val="bottom"/>
          </w:tcPr>
          <w:p>
            <w:pPr>
              <w:spacing w:after="0"/>
              <w:rPr>
                <w:sz w:val="20"/>
                <w:szCs w:val="20"/>
                <w:color w:val="auto"/>
              </w:rPr>
            </w:pPr>
            <w:r>
              <w:rPr>
                <w:rFonts w:ascii="Arial" w:cs="Arial" w:eastAsia="Arial" w:hAnsi="Arial"/>
                <w:sz w:val="22"/>
                <w:szCs w:val="22"/>
                <w:color w:val="auto"/>
              </w:rPr>
              <w:t>AAL-PA-03735-LA-1106651</w:t>
            </w:r>
            <w:r>
              <w:rPr>
                <w:rFonts w:ascii="Arial" w:cs="Arial" w:eastAsia="Arial" w:hAnsi="Arial"/>
                <w:sz w:val="22"/>
                <w:szCs w:val="22"/>
                <w:b w:val="1"/>
                <w:bCs w:val="1"/>
                <w:color w:val="auto"/>
              </w:rPr>
              <w:t>R15</w:t>
            </w:r>
          </w:p>
        </w:tc>
        <w:tc>
          <w:tcPr>
            <w:tcW w:w="4420" w:type="dxa"/>
            <w:vAlign w:val="bottom"/>
          </w:tcPr>
          <w:p>
            <w:pPr>
              <w:ind w:left="240"/>
              <w:spacing w:after="0"/>
              <w:rPr>
                <w:sz w:val="20"/>
                <w:szCs w:val="20"/>
                <w:color w:val="auto"/>
              </w:rPr>
            </w:pPr>
            <w:r>
              <w:rPr>
                <w:rFonts w:ascii="Arial" w:cs="Arial" w:eastAsia="Arial" w:hAnsi="Arial"/>
                <w:sz w:val="22"/>
                <w:szCs w:val="22"/>
                <w:color w:val="auto"/>
              </w:rPr>
              <w:t>SA-34</w:t>
            </w:r>
          </w:p>
        </w:tc>
        <w:tc>
          <w:tcPr>
            <w:tcW w:w="0" w:type="dxa"/>
            <w:vAlign w:val="bottom"/>
          </w:tcPr>
          <w:p>
            <w:pPr>
              <w:spacing w:after="0"/>
              <w:rPr>
                <w:sz w:val="1"/>
                <w:szCs w:val="1"/>
                <w:color w:val="auto"/>
              </w:rPr>
            </w:pPr>
          </w:p>
        </w:tc>
      </w:tr>
      <w:tr>
        <w:trPr>
          <w:trHeight w:val="283"/>
        </w:trPr>
        <w:tc>
          <w:tcPr>
            <w:tcW w:w="3300" w:type="dxa"/>
            <w:vAlign w:val="bottom"/>
          </w:tcPr>
          <w:p>
            <w:pPr>
              <w:spacing w:after="0"/>
              <w:rPr>
                <w:sz w:val="20"/>
                <w:szCs w:val="20"/>
                <w:color w:val="auto"/>
              </w:rPr>
            </w:pPr>
            <w:r>
              <w:rPr>
                <w:rFonts w:ascii="Arial" w:cs="Arial" w:eastAsia="Arial" w:hAnsi="Arial"/>
                <w:sz w:val="22"/>
                <w:szCs w:val="22"/>
                <w:color w:val="auto"/>
              </w:rPr>
              <w:t>[****]  Page 4 of 5</w:t>
            </w:r>
          </w:p>
        </w:tc>
        <w:tc>
          <w:tcPr>
            <w:tcW w:w="44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97"/>
              </w:rPr>
              <w:t>BOEING AND AMERICAN PROPRIETARY</w:t>
            </w:r>
          </w:p>
        </w:tc>
        <w:tc>
          <w:tcPr>
            <w:tcW w:w="0" w:type="dxa"/>
            <w:vAlign w:val="bottom"/>
          </w:tcPr>
          <w:p>
            <w:pPr>
              <w:spacing w:after="0"/>
              <w:rPr>
                <w:sz w:val="1"/>
                <w:szCs w:val="1"/>
                <w:color w:val="auto"/>
              </w:rPr>
            </w:pPr>
          </w:p>
        </w:tc>
      </w:tr>
      <w:tr>
        <w:trPr>
          <w:trHeight w:val="268"/>
        </w:trPr>
        <w:tc>
          <w:tcPr>
            <w:tcW w:w="3300" w:type="dxa"/>
            <w:vAlign w:val="bottom"/>
          </w:tcPr>
          <w:p>
            <w:pPr>
              <w:spacing w:after="0"/>
              <w:rPr>
                <w:sz w:val="23"/>
                <w:szCs w:val="23"/>
                <w:color w:val="auto"/>
              </w:rPr>
            </w:pPr>
          </w:p>
        </w:tc>
        <w:tc>
          <w:tcPr>
            <w:tcW w:w="44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1440" w:right="1440" w:bottom="1440" w:gutter="0" w:footer="0" w:header="0"/>
        </w:sectPr>
      </w:pPr>
    </w:p>
    <w:bookmarkStart w:id="80" w:name="page81"/>
    <w:bookmarkEnd w:id="80"/>
    <w:p>
      <w:pPr>
        <w:jc w:val="center"/>
        <w:ind w:right="-1059"/>
        <w:spacing w:after="0"/>
        <w:rPr>
          <w:sz w:val="20"/>
          <w:szCs w:val="20"/>
          <w:color w:val="auto"/>
        </w:rPr>
      </w:pPr>
      <w:r>
        <w:rPr>
          <w:rFonts w:ascii="Times New Roman" w:cs="Times New Roman" w:eastAsia="Times New Roman" w:hAnsi="Times New Roman"/>
          <w:sz w:val="22"/>
          <w:szCs w:val="22"/>
          <w:b w:val="1"/>
          <w:bCs w:val="1"/>
          <w:color w:val="auto"/>
        </w:rPr>
        <w:t>Attachment B To</w:t>
      </w:r>
    </w:p>
    <w:p>
      <w:pPr>
        <w:spacing w:after="0" w:line="33" w:lineRule="exact"/>
        <w:rPr>
          <w:sz w:val="20"/>
          <w:szCs w:val="20"/>
          <w:color w:val="auto"/>
        </w:rPr>
      </w:pPr>
    </w:p>
    <w:p>
      <w:pPr>
        <w:jc w:val="center"/>
        <w:ind w:right="-1059"/>
        <w:spacing w:after="0"/>
        <w:rPr>
          <w:sz w:val="20"/>
          <w:szCs w:val="20"/>
          <w:color w:val="auto"/>
        </w:rPr>
      </w:pPr>
      <w:r>
        <w:rPr>
          <w:rFonts w:ascii="Times New Roman" w:cs="Times New Roman" w:eastAsia="Times New Roman" w:hAnsi="Times New Roman"/>
          <w:sz w:val="22"/>
          <w:szCs w:val="22"/>
          <w:b w:val="1"/>
          <w:bCs w:val="1"/>
          <w:color w:val="auto"/>
        </w:rPr>
        <w:t>Letter Agreement No. AAL-PA-03735-LA-1106651R15</w:t>
      </w:r>
    </w:p>
    <w:p>
      <w:pPr>
        <w:spacing w:after="0" w:line="17" w:lineRule="exact"/>
        <w:rPr>
          <w:sz w:val="20"/>
          <w:szCs w:val="20"/>
          <w:color w:val="auto"/>
        </w:rPr>
      </w:pPr>
    </w:p>
    <w:p>
      <w:pPr>
        <w:jc w:val="center"/>
        <w:ind w:right="-1059"/>
        <w:spacing w:after="0"/>
        <w:rPr>
          <w:sz w:val="20"/>
          <w:szCs w:val="20"/>
          <w:color w:val="auto"/>
        </w:rPr>
      </w:pPr>
      <w:r>
        <w:rPr>
          <w:rFonts w:ascii="Times New Roman" w:cs="Times New Roman" w:eastAsia="Times New Roman" w:hAnsi="Times New Roman"/>
          <w:sz w:val="21"/>
          <w:szCs w:val="21"/>
          <w:b w:val="1"/>
          <w:bCs w:val="1"/>
          <w:color w:val="auto"/>
        </w:rPr>
        <w:t xml:space="preserve">737-10 </w:t>
      </w:r>
      <w:r>
        <w:rPr>
          <w:rFonts w:ascii="Arial" w:cs="Arial" w:eastAsia="Arial" w:hAnsi="Arial"/>
          <w:sz w:val="21"/>
          <w:szCs w:val="21"/>
          <w:color w:val="auto"/>
        </w:rPr>
        <w:t>[****]</w:t>
      </w:r>
      <w:r>
        <w:rPr>
          <w:rFonts w:ascii="Times New Roman" w:cs="Times New Roman" w:eastAsia="Times New Roman" w:hAnsi="Times New Roman"/>
          <w:sz w:val="21"/>
          <w:szCs w:val="21"/>
          <w:b w:val="1"/>
          <w:bCs w:val="1"/>
          <w:color w:val="auto"/>
        </w:rPr>
        <w:t xml:space="preserve"> Aircraft Delivery, Description, Price and Advance Payments</w:t>
      </w:r>
    </w:p>
    <w:p>
      <w:pPr>
        <w:sectPr>
          <w:pgSz w:w="11900" w:h="16838" w:orient="portrait"/>
          <w:cols w:equalWidth="0" w:num="1">
            <w:col w:w="10440"/>
          </w:cols>
          <w:pgMar w:left="340" w:top="189"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9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Airframe Model/MTOW:</w:t>
            </w:r>
          </w:p>
        </w:tc>
        <w:tc>
          <w:tcPr>
            <w:tcW w:w="100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rPr>
              <w:t>737-10</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5"/>
                <w:szCs w:val="15"/>
                <w:b w:val="1"/>
                <w:bCs w:val="1"/>
                <w:color w:val="auto"/>
              </w:rPr>
              <w:t>Configuration Specification:</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2"/>
        </w:trPr>
        <w:tc>
          <w:tcPr>
            <w:tcW w:w="198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Engine Model/Thrust:</w:t>
            </w:r>
          </w:p>
        </w:tc>
        <w:tc>
          <w:tcPr>
            <w:tcW w:w="1000" w:type="dxa"/>
            <w:vAlign w:val="bottom"/>
            <w:vMerge w:val="restart"/>
          </w:tcPr>
          <w:p>
            <w:pPr>
              <w:ind w:left="100"/>
              <w:spacing w:after="0"/>
              <w:rPr>
                <w:sz w:val="20"/>
                <w:szCs w:val="20"/>
                <w:color w:val="auto"/>
              </w:rPr>
            </w:pPr>
            <w:r>
              <w:rPr>
                <w:rFonts w:ascii="Times New Roman" w:cs="Times New Roman" w:eastAsia="Times New Roman" w:hAnsi="Times New Roman"/>
                <w:sz w:val="15"/>
                <w:szCs w:val="15"/>
                <w:color w:val="auto"/>
              </w:rPr>
              <w:t>CFMLEAP-</w:t>
            </w:r>
          </w:p>
        </w:tc>
        <w:tc>
          <w:tcPr>
            <w:tcW w:w="1240" w:type="dxa"/>
            <w:vAlign w:val="bottom"/>
            <w:gridSpan w:val="2"/>
          </w:tcPr>
          <w:p>
            <w:pPr>
              <w:jc w:val="right"/>
              <w:ind w:right="504"/>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5"/>
                <w:szCs w:val="15"/>
                <w:b w:val="1"/>
                <w:bCs w:val="1"/>
                <w:color w:val="auto"/>
              </w:rPr>
              <w:t>Airframe Price Base Year/Escalation</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198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w w:val="95"/>
              </w:rPr>
              <w:t>Formula:</w:t>
            </w:r>
          </w:p>
        </w:tc>
        <w:tc>
          <w:tcPr>
            <w:tcW w:w="1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1980" w:type="dxa"/>
            <w:vAlign w:val="bottom"/>
          </w:tcPr>
          <w:p>
            <w:pPr>
              <w:spacing w:after="0"/>
              <w:rPr>
                <w:sz w:val="7"/>
                <w:szCs w:val="7"/>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1B27</w:t>
            </w: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98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198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Airframe Price:</w:t>
            </w:r>
          </w:p>
        </w:tc>
        <w:tc>
          <w:tcPr>
            <w:tcW w:w="1000" w:type="dxa"/>
            <w:vAlign w:val="bottom"/>
          </w:tcPr>
          <w:p>
            <w:pPr>
              <w:spacing w:after="0"/>
              <w:rPr>
                <w:sz w:val="15"/>
                <w:szCs w:val="15"/>
                <w:color w:val="auto"/>
              </w:rPr>
            </w:pP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5"/>
                <w:szCs w:val="15"/>
                <w:b w:val="1"/>
                <w:bCs w:val="1"/>
                <w:color w:val="auto"/>
              </w:rPr>
              <w:t>Engine Price Base Year/Escalation</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98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w w:val="95"/>
              </w:rPr>
              <w:t>Formula:</w:t>
            </w:r>
          </w:p>
        </w:tc>
        <w:tc>
          <w:tcPr>
            <w:tcW w:w="1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9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19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Optional Features Estimate:</w:t>
            </w:r>
          </w:p>
        </w:tc>
        <w:tc>
          <w:tcPr>
            <w:tcW w:w="100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98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Sub-Total of Airframe and Features:</w:t>
            </w: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vMerge w:val="restart"/>
          </w:tcPr>
          <w:p>
            <w:pPr>
              <w:spacing w:after="0" w:line="20" w:lineRule="exact"/>
              <w:rPr>
                <w:sz w:val="1"/>
                <w:szCs w:val="1"/>
                <w:color w:val="auto"/>
              </w:rPr>
            </w:pPr>
          </w:p>
        </w:tc>
        <w:tc>
          <w:tcPr>
            <w:tcW w:w="2660" w:type="dxa"/>
            <w:vAlign w:val="bottom"/>
            <w:gridSpan w:val="4"/>
            <w:vMerge w:val="restart"/>
          </w:tcPr>
          <w:p>
            <w:pPr>
              <w:spacing w:after="0"/>
              <w:rPr>
                <w:sz w:val="20"/>
                <w:szCs w:val="20"/>
                <w:color w:val="auto"/>
              </w:rPr>
            </w:pPr>
            <w:r>
              <w:rPr>
                <w:rFonts w:ascii="Times New Roman" w:cs="Times New Roman" w:eastAsia="Times New Roman" w:hAnsi="Times New Roman"/>
                <w:sz w:val="15"/>
                <w:szCs w:val="15"/>
                <w:b w:val="1"/>
                <w:bCs w:val="1"/>
                <w:color w:val="auto"/>
              </w:rPr>
              <w:t>Airframe Escalation Data:</w:t>
            </w:r>
          </w:p>
        </w:tc>
        <w:tc>
          <w:tcPr>
            <w:tcW w:w="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980" w:type="dxa"/>
            <w:vAlign w:val="bottom"/>
            <w:gridSpan w:val="2"/>
            <w:vMerge w:val="continue"/>
          </w:tcPr>
          <w:p>
            <w:pPr>
              <w:spacing w:after="0"/>
              <w:rPr>
                <w:sz w:val="12"/>
                <w:szCs w:val="12"/>
                <w:color w:val="auto"/>
              </w:rPr>
            </w:pP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660" w:type="dxa"/>
            <w:vAlign w:val="bottom"/>
            <w:gridSpan w:val="4"/>
            <w:vMerge w:val="continue"/>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298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10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19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Engine Price (Per Aircraft):</w:t>
            </w:r>
          </w:p>
        </w:tc>
        <w:tc>
          <w:tcPr>
            <w:tcW w:w="100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60" w:type="dxa"/>
            <w:vAlign w:val="bottom"/>
            <w:gridSpan w:val="4"/>
          </w:tcPr>
          <w:p>
            <w:pPr>
              <w:ind w:left="100"/>
              <w:spacing w:after="0"/>
              <w:rPr>
                <w:sz w:val="20"/>
                <w:szCs w:val="20"/>
                <w:color w:val="auto"/>
              </w:rPr>
            </w:pPr>
            <w:r>
              <w:rPr>
                <w:rFonts w:ascii="Times New Roman" w:cs="Times New Roman" w:eastAsia="Times New Roman" w:hAnsi="Times New Roman"/>
                <w:sz w:val="15"/>
                <w:szCs w:val="15"/>
                <w:b w:val="1"/>
                <w:bCs w:val="1"/>
                <w:color w:val="auto"/>
              </w:rPr>
              <w:t>Base Year Index (ECI):</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Aircraft Basic Price (Excluding BFE/SPE):</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60" w:type="dxa"/>
            <w:vAlign w:val="bottom"/>
            <w:gridSpan w:val="4"/>
          </w:tcPr>
          <w:p>
            <w:pPr>
              <w:ind w:left="100"/>
              <w:spacing w:after="0"/>
              <w:rPr>
                <w:sz w:val="20"/>
                <w:szCs w:val="20"/>
                <w:color w:val="auto"/>
              </w:rPr>
            </w:pPr>
            <w:r>
              <w:rPr>
                <w:rFonts w:ascii="Times New Roman" w:cs="Times New Roman" w:eastAsia="Times New Roman" w:hAnsi="Times New Roman"/>
                <w:sz w:val="15"/>
                <w:szCs w:val="15"/>
                <w:b w:val="1"/>
                <w:bCs w:val="1"/>
                <w:color w:val="auto"/>
              </w:rPr>
              <w:t>Base Year Index (CPI):</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2980" w:type="dxa"/>
            <w:vAlign w:val="bottom"/>
            <w:gridSpan w:val="2"/>
            <w:vMerge w:val="continue"/>
          </w:tcPr>
          <w:p>
            <w:pPr>
              <w:spacing w:after="0"/>
              <w:rPr>
                <w:sz w:val="6"/>
                <w:szCs w:val="6"/>
                <w:color w:val="auto"/>
              </w:rPr>
            </w:pPr>
          </w:p>
        </w:tc>
        <w:tc>
          <w:tcPr>
            <w:tcW w:w="1240" w:type="dxa"/>
            <w:vAlign w:val="bottom"/>
            <w:tcBorders>
              <w:bottom w:val="single" w:sz="8" w:color="auto"/>
            </w:tcBorders>
            <w:gridSpan w:val="2"/>
            <w:vMerge w:val="continue"/>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
        </w:trPr>
        <w:tc>
          <w:tcPr>
            <w:tcW w:w="2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Buyer Furnished Equipment (BFE) Estimate:</w:t>
            </w:r>
          </w:p>
        </w:tc>
        <w:tc>
          <w:tcPr>
            <w:tcW w:w="6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2980" w:type="dxa"/>
            <w:vAlign w:val="bottom"/>
            <w:gridSpan w:val="2"/>
            <w:vMerge w:val="continue"/>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9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Seller Purchased Equipment (SPE)/In-Flight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9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Entert</w:t>
            </w: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9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Non-Refundable</w:t>
            </w:r>
          </w:p>
        </w:tc>
        <w:tc>
          <w:tcPr>
            <w:tcW w:w="100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19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Deposit/Aircraft:</w:t>
            </w: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0"/>
        </w:trPr>
        <w:tc>
          <w:tcPr>
            <w:tcW w:w="1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40" w:type="dxa"/>
            <w:vAlign w:val="bottom"/>
            <w:tcBorders>
              <w:bottom w:val="single" w:sz="8" w:color="auto"/>
            </w:tcBorders>
            <w:gridSpan w:val="2"/>
          </w:tcPr>
          <w:p>
            <w:pPr>
              <w:spacing w:after="0"/>
              <w:rPr>
                <w:sz w:val="24"/>
                <w:szCs w:val="24"/>
                <w:color w:val="auto"/>
              </w:rPr>
            </w:pPr>
          </w:p>
        </w:tc>
        <w:tc>
          <w:tcPr>
            <w:tcW w:w="1340" w:type="dxa"/>
            <w:vAlign w:val="bottom"/>
            <w:tcBorders>
              <w:bottom w:val="single" w:sz="8" w:color="auto"/>
            </w:tcBorders>
            <w:gridSpan w:val="2"/>
          </w:tcPr>
          <w:p>
            <w:pPr>
              <w:spacing w:after="0"/>
              <w:rPr>
                <w:sz w:val="24"/>
                <w:szCs w:val="24"/>
                <w:color w:val="auto"/>
              </w:rPr>
            </w:pPr>
          </w:p>
        </w:tc>
        <w:tc>
          <w:tcPr>
            <w:tcW w:w="1360" w:type="dxa"/>
            <w:vAlign w:val="bottom"/>
            <w:tcBorders>
              <w:bottom w:val="single" w:sz="8" w:color="auto"/>
            </w:tcBorders>
            <w:gridSpan w:val="2"/>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1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340" w:type="dxa"/>
            <w:vAlign w:val="bottom"/>
            <w:tcBorders>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Delivery</w:t>
            </w:r>
          </w:p>
        </w:tc>
        <w:tc>
          <w:tcPr>
            <w:tcW w:w="13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1360" w:type="dxa"/>
            <w:vAlign w:val="bottom"/>
            <w:tcBorders>
              <w:right w:val="single" w:sz="8" w:color="auto"/>
            </w:tcBorders>
            <w:gridSpan w:val="2"/>
            <w:shd w:val="clear" w:color="auto" w:fill="C0C0C0"/>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Nominal Delivery</w:t>
            </w: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19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20" w:type="dxa"/>
            <w:vAlign w:val="bottom"/>
            <w:tcBorders>
              <w:right w:val="single" w:sz="8" w:color="auto"/>
            </w:tcBorders>
          </w:tcPr>
          <w:p>
            <w:pPr>
              <w:spacing w:after="0"/>
              <w:rPr>
                <w:sz w:val="21"/>
                <w:szCs w:val="21"/>
                <w:color w:val="auto"/>
              </w:rPr>
            </w:pPr>
          </w:p>
        </w:tc>
        <w:tc>
          <w:tcPr>
            <w:tcW w:w="1340" w:type="dxa"/>
            <w:vAlign w:val="bottom"/>
            <w:tcBorders>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Date</w:t>
            </w:r>
          </w:p>
        </w:tc>
        <w:tc>
          <w:tcPr>
            <w:tcW w:w="134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Aircraft</w:t>
            </w:r>
          </w:p>
        </w:tc>
        <w:tc>
          <w:tcPr>
            <w:tcW w:w="1360" w:type="dxa"/>
            <w:vAlign w:val="bottom"/>
            <w:tcBorders>
              <w:bottom w:val="single" w:sz="8" w:color="auto"/>
              <w:right w:val="single" w:sz="8" w:color="auto"/>
            </w:tcBorders>
            <w:gridSpan w:val="2"/>
            <w:shd w:val="clear" w:color="auto" w:fill="C0C0C0"/>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Month</w:t>
            </w: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5"/>
                <w:szCs w:val="15"/>
                <w:color w:val="auto"/>
              </w:rPr>
              <w:t>[****]-2029</w:t>
            </w:r>
          </w:p>
        </w:tc>
        <w:tc>
          <w:tcPr>
            <w:tcW w:w="72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gridSpan w:val="2"/>
            <w:shd w:val="clear" w:color="auto" w:fill="C0C0C0"/>
          </w:tcPr>
          <w:p>
            <w:pPr>
              <w:jc w:val="center"/>
              <w:ind w:right="20"/>
              <w:spacing w:after="0"/>
              <w:rPr>
                <w:sz w:val="20"/>
                <w:szCs w:val="20"/>
                <w:color w:val="auto"/>
              </w:rPr>
            </w:pPr>
            <w:r>
              <w:rPr>
                <w:rFonts w:ascii="Times New Roman" w:cs="Times New Roman" w:eastAsia="Times New Roman" w:hAnsi="Times New Roman"/>
                <w:sz w:val="15"/>
                <w:szCs w:val="15"/>
                <w:color w:val="auto"/>
                <w:w w:val="97"/>
              </w:rPr>
              <w:t>No</w:t>
            </w: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5"/>
                <w:szCs w:val="15"/>
                <w:color w:val="auto"/>
              </w:rPr>
              <w:t>[****]-2029</w:t>
            </w:r>
          </w:p>
        </w:tc>
        <w:tc>
          <w:tcPr>
            <w:tcW w:w="720" w:type="dxa"/>
            <w:vAlign w:val="bottom"/>
          </w:tcPr>
          <w:p>
            <w:pPr>
              <w:jc w:val="center"/>
              <w:ind w:left="524"/>
              <w:spacing w:after="0"/>
              <w:rPr>
                <w:sz w:val="20"/>
                <w:szCs w:val="20"/>
                <w:color w:val="auto"/>
              </w:rPr>
            </w:pPr>
            <w:r>
              <w:rPr>
                <w:rFonts w:ascii="Times New Roman" w:cs="Times New Roman" w:eastAsia="Times New Roman" w:hAnsi="Times New Roman"/>
                <w:sz w:val="15"/>
                <w:szCs w:val="15"/>
                <w:color w:val="0000FF"/>
              </w:rPr>
              <w:t>2</w:t>
            </w:r>
          </w:p>
        </w:tc>
        <w:tc>
          <w:tcPr>
            <w:tcW w:w="620" w:type="dxa"/>
            <w:vAlign w:val="bottom"/>
            <w:tcBorders>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gridSpan w:val="2"/>
            <w:shd w:val="clear" w:color="auto" w:fill="C0C0C0"/>
          </w:tcPr>
          <w:p>
            <w:pPr>
              <w:jc w:val="center"/>
              <w:ind w:right="20"/>
              <w:spacing w:after="0"/>
              <w:rPr>
                <w:sz w:val="20"/>
                <w:szCs w:val="20"/>
                <w:color w:val="auto"/>
              </w:rPr>
            </w:pPr>
            <w:r>
              <w:rPr>
                <w:rFonts w:ascii="Times New Roman" w:cs="Times New Roman" w:eastAsia="Times New Roman" w:hAnsi="Times New Roman"/>
                <w:sz w:val="15"/>
                <w:szCs w:val="15"/>
                <w:color w:val="auto"/>
                <w:w w:val="94"/>
              </w:rPr>
              <w:t>Yes</w:t>
            </w: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5"/>
                <w:szCs w:val="15"/>
                <w:color w:val="auto"/>
              </w:rPr>
              <w:t>[****]-2029</w:t>
            </w:r>
          </w:p>
        </w:tc>
        <w:tc>
          <w:tcPr>
            <w:tcW w:w="720" w:type="dxa"/>
            <w:vAlign w:val="bottom"/>
            <w:tcBorders>
              <w:bottom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gridSpan w:val="2"/>
            <w:shd w:val="clear" w:color="auto" w:fill="C0C0C0"/>
          </w:tcPr>
          <w:p>
            <w:pPr>
              <w:jc w:val="center"/>
              <w:ind w:right="20"/>
              <w:spacing w:after="0"/>
              <w:rPr>
                <w:sz w:val="20"/>
                <w:szCs w:val="20"/>
                <w:color w:val="auto"/>
              </w:rPr>
            </w:pPr>
            <w:r>
              <w:rPr>
                <w:rFonts w:ascii="Times New Roman" w:cs="Times New Roman" w:eastAsia="Times New Roman" w:hAnsi="Times New Roman"/>
                <w:sz w:val="15"/>
                <w:szCs w:val="15"/>
                <w:color w:val="auto"/>
                <w:w w:val="97"/>
              </w:rPr>
              <w:t>No</w:t>
            </w: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5"/>
                <w:szCs w:val="15"/>
                <w:color w:val="auto"/>
              </w:rPr>
              <w:t>[****]-2029</w:t>
            </w:r>
          </w:p>
        </w:tc>
        <w:tc>
          <w:tcPr>
            <w:tcW w:w="72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gridSpan w:val="2"/>
            <w:shd w:val="clear" w:color="auto" w:fill="C0C0C0"/>
          </w:tcPr>
          <w:p>
            <w:pPr>
              <w:jc w:val="center"/>
              <w:ind w:right="20"/>
              <w:spacing w:after="0"/>
              <w:rPr>
                <w:sz w:val="20"/>
                <w:szCs w:val="20"/>
                <w:color w:val="auto"/>
              </w:rPr>
            </w:pPr>
            <w:r>
              <w:rPr>
                <w:rFonts w:ascii="Times New Roman" w:cs="Times New Roman" w:eastAsia="Times New Roman" w:hAnsi="Times New Roman"/>
                <w:sz w:val="15"/>
                <w:szCs w:val="15"/>
                <w:color w:val="auto"/>
                <w:w w:val="97"/>
              </w:rPr>
              <w:t>No</w:t>
            </w: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5"/>
                <w:szCs w:val="15"/>
                <w:color w:val="auto"/>
              </w:rPr>
              <w:t>[****]-2029</w:t>
            </w:r>
          </w:p>
        </w:tc>
        <w:tc>
          <w:tcPr>
            <w:tcW w:w="720" w:type="dxa"/>
            <w:vAlign w:val="bottom"/>
          </w:tcPr>
          <w:p>
            <w:pPr>
              <w:jc w:val="center"/>
              <w:ind w:left="524"/>
              <w:spacing w:after="0"/>
              <w:rPr>
                <w:sz w:val="20"/>
                <w:szCs w:val="20"/>
                <w:color w:val="auto"/>
              </w:rPr>
            </w:pPr>
            <w:r>
              <w:rPr>
                <w:rFonts w:ascii="Times New Roman" w:cs="Times New Roman" w:eastAsia="Times New Roman" w:hAnsi="Times New Roman"/>
                <w:sz w:val="15"/>
                <w:szCs w:val="15"/>
                <w:color w:val="0000FF"/>
              </w:rPr>
              <w:t>1</w:t>
            </w:r>
          </w:p>
        </w:tc>
        <w:tc>
          <w:tcPr>
            <w:tcW w:w="620" w:type="dxa"/>
            <w:vAlign w:val="bottom"/>
            <w:tcBorders>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gridSpan w:val="2"/>
            <w:shd w:val="clear" w:color="auto" w:fill="C0C0C0"/>
          </w:tcPr>
          <w:p>
            <w:pPr>
              <w:jc w:val="center"/>
              <w:ind w:right="20"/>
              <w:spacing w:after="0"/>
              <w:rPr>
                <w:sz w:val="20"/>
                <w:szCs w:val="20"/>
                <w:color w:val="auto"/>
              </w:rPr>
            </w:pPr>
            <w:r>
              <w:rPr>
                <w:rFonts w:ascii="Times New Roman" w:cs="Times New Roman" w:eastAsia="Times New Roman" w:hAnsi="Times New Roman"/>
                <w:sz w:val="15"/>
                <w:szCs w:val="15"/>
                <w:color w:val="auto"/>
                <w:w w:val="94"/>
              </w:rPr>
              <w:t>Yes</w:t>
            </w: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5"/>
                <w:szCs w:val="15"/>
                <w:color w:val="auto"/>
              </w:rPr>
              <w:t>[****]-2029</w:t>
            </w:r>
          </w:p>
        </w:tc>
        <w:tc>
          <w:tcPr>
            <w:tcW w:w="720" w:type="dxa"/>
            <w:vAlign w:val="bottom"/>
            <w:tcBorders>
              <w:bottom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gridSpan w:val="2"/>
            <w:shd w:val="clear" w:color="auto" w:fill="C0C0C0"/>
          </w:tcPr>
          <w:p>
            <w:pPr>
              <w:jc w:val="center"/>
              <w:ind w:right="20"/>
              <w:spacing w:after="0"/>
              <w:rPr>
                <w:sz w:val="20"/>
                <w:szCs w:val="20"/>
                <w:color w:val="auto"/>
              </w:rPr>
            </w:pPr>
            <w:r>
              <w:rPr>
                <w:rFonts w:ascii="Times New Roman" w:cs="Times New Roman" w:eastAsia="Times New Roman" w:hAnsi="Times New Roman"/>
                <w:sz w:val="15"/>
                <w:szCs w:val="15"/>
                <w:color w:val="auto"/>
                <w:w w:val="97"/>
              </w:rPr>
              <w:t>No</w:t>
            </w: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5"/>
                <w:szCs w:val="15"/>
                <w:color w:val="auto"/>
              </w:rPr>
              <w:t>[****]-2029</w:t>
            </w:r>
          </w:p>
        </w:tc>
        <w:tc>
          <w:tcPr>
            <w:tcW w:w="72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gridSpan w:val="2"/>
            <w:shd w:val="clear" w:color="auto" w:fill="C0C0C0"/>
          </w:tcPr>
          <w:p>
            <w:pPr>
              <w:jc w:val="center"/>
              <w:ind w:right="20"/>
              <w:spacing w:after="0"/>
              <w:rPr>
                <w:sz w:val="20"/>
                <w:szCs w:val="20"/>
                <w:color w:val="auto"/>
              </w:rPr>
            </w:pPr>
            <w:r>
              <w:rPr>
                <w:rFonts w:ascii="Times New Roman" w:cs="Times New Roman" w:eastAsia="Times New Roman" w:hAnsi="Times New Roman"/>
                <w:sz w:val="15"/>
                <w:szCs w:val="15"/>
                <w:color w:val="auto"/>
                <w:w w:val="97"/>
              </w:rPr>
              <w:t>No</w:t>
            </w: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5"/>
                <w:szCs w:val="15"/>
                <w:color w:val="auto"/>
              </w:rPr>
              <w:t>[****]-2029</w:t>
            </w:r>
          </w:p>
        </w:tc>
        <w:tc>
          <w:tcPr>
            <w:tcW w:w="720" w:type="dxa"/>
            <w:vAlign w:val="bottom"/>
          </w:tcPr>
          <w:p>
            <w:pPr>
              <w:jc w:val="center"/>
              <w:ind w:left="524"/>
              <w:spacing w:after="0"/>
              <w:rPr>
                <w:sz w:val="20"/>
                <w:szCs w:val="20"/>
                <w:color w:val="auto"/>
              </w:rPr>
            </w:pPr>
            <w:r>
              <w:rPr>
                <w:rFonts w:ascii="Times New Roman" w:cs="Times New Roman" w:eastAsia="Times New Roman" w:hAnsi="Times New Roman"/>
                <w:sz w:val="15"/>
                <w:szCs w:val="15"/>
                <w:color w:val="0000FF"/>
              </w:rPr>
              <w:t>2</w:t>
            </w:r>
          </w:p>
        </w:tc>
        <w:tc>
          <w:tcPr>
            <w:tcW w:w="620" w:type="dxa"/>
            <w:vAlign w:val="bottom"/>
            <w:tcBorders>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gridSpan w:val="2"/>
            <w:shd w:val="clear" w:color="auto" w:fill="C0C0C0"/>
          </w:tcPr>
          <w:p>
            <w:pPr>
              <w:jc w:val="center"/>
              <w:ind w:right="20"/>
              <w:spacing w:after="0"/>
              <w:rPr>
                <w:sz w:val="20"/>
                <w:szCs w:val="20"/>
                <w:color w:val="auto"/>
              </w:rPr>
            </w:pPr>
            <w:r>
              <w:rPr>
                <w:rFonts w:ascii="Times New Roman" w:cs="Times New Roman" w:eastAsia="Times New Roman" w:hAnsi="Times New Roman"/>
                <w:sz w:val="15"/>
                <w:szCs w:val="15"/>
                <w:color w:val="auto"/>
                <w:w w:val="94"/>
              </w:rPr>
              <w:t>Yes</w:t>
            </w: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5"/>
                <w:szCs w:val="15"/>
                <w:color w:val="auto"/>
              </w:rPr>
              <w:t>[****]-2029</w:t>
            </w:r>
          </w:p>
        </w:tc>
        <w:tc>
          <w:tcPr>
            <w:tcW w:w="720" w:type="dxa"/>
            <w:vAlign w:val="bottom"/>
            <w:tcBorders>
              <w:bottom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gridSpan w:val="2"/>
            <w:shd w:val="clear" w:color="auto" w:fill="C0C0C0"/>
          </w:tcPr>
          <w:p>
            <w:pPr>
              <w:jc w:val="center"/>
              <w:ind w:right="20"/>
              <w:spacing w:after="0"/>
              <w:rPr>
                <w:sz w:val="20"/>
                <w:szCs w:val="20"/>
                <w:color w:val="auto"/>
              </w:rPr>
            </w:pPr>
            <w:r>
              <w:rPr>
                <w:rFonts w:ascii="Times New Roman" w:cs="Times New Roman" w:eastAsia="Times New Roman" w:hAnsi="Times New Roman"/>
                <w:sz w:val="15"/>
                <w:szCs w:val="15"/>
                <w:color w:val="auto"/>
                <w:w w:val="97"/>
              </w:rPr>
              <w:t>No</w:t>
            </w: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5"/>
                <w:szCs w:val="15"/>
                <w:color w:val="auto"/>
              </w:rPr>
              <w:t>[****]-2029</w:t>
            </w:r>
          </w:p>
        </w:tc>
        <w:tc>
          <w:tcPr>
            <w:tcW w:w="72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gridSpan w:val="2"/>
            <w:shd w:val="clear" w:color="auto" w:fill="C0C0C0"/>
          </w:tcPr>
          <w:p>
            <w:pPr>
              <w:jc w:val="center"/>
              <w:ind w:right="20"/>
              <w:spacing w:after="0"/>
              <w:rPr>
                <w:sz w:val="20"/>
                <w:szCs w:val="20"/>
                <w:color w:val="auto"/>
              </w:rPr>
            </w:pPr>
            <w:r>
              <w:rPr>
                <w:rFonts w:ascii="Times New Roman" w:cs="Times New Roman" w:eastAsia="Times New Roman" w:hAnsi="Times New Roman"/>
                <w:sz w:val="15"/>
                <w:szCs w:val="15"/>
                <w:color w:val="auto"/>
                <w:w w:val="97"/>
              </w:rPr>
              <w:t>No</w:t>
            </w: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5"/>
                <w:szCs w:val="15"/>
                <w:color w:val="auto"/>
              </w:rPr>
              <w:t>[****]-2029</w:t>
            </w:r>
          </w:p>
        </w:tc>
        <w:tc>
          <w:tcPr>
            <w:tcW w:w="720" w:type="dxa"/>
            <w:vAlign w:val="bottom"/>
          </w:tcPr>
          <w:p>
            <w:pPr>
              <w:jc w:val="center"/>
              <w:ind w:left="524"/>
              <w:spacing w:after="0"/>
              <w:rPr>
                <w:sz w:val="20"/>
                <w:szCs w:val="20"/>
                <w:color w:val="auto"/>
              </w:rPr>
            </w:pPr>
            <w:r>
              <w:rPr>
                <w:rFonts w:ascii="Times New Roman" w:cs="Times New Roman" w:eastAsia="Times New Roman" w:hAnsi="Times New Roman"/>
                <w:sz w:val="15"/>
                <w:szCs w:val="15"/>
                <w:color w:val="0000FF"/>
              </w:rPr>
              <w:t>1</w:t>
            </w:r>
          </w:p>
        </w:tc>
        <w:tc>
          <w:tcPr>
            <w:tcW w:w="620" w:type="dxa"/>
            <w:vAlign w:val="bottom"/>
            <w:tcBorders>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gridSpan w:val="2"/>
            <w:shd w:val="clear" w:color="auto" w:fill="C0C0C0"/>
          </w:tcPr>
          <w:p>
            <w:pPr>
              <w:jc w:val="center"/>
              <w:ind w:right="20"/>
              <w:spacing w:after="0"/>
              <w:rPr>
                <w:sz w:val="20"/>
                <w:szCs w:val="20"/>
                <w:color w:val="auto"/>
              </w:rPr>
            </w:pPr>
            <w:r>
              <w:rPr>
                <w:rFonts w:ascii="Times New Roman" w:cs="Times New Roman" w:eastAsia="Times New Roman" w:hAnsi="Times New Roman"/>
                <w:sz w:val="15"/>
                <w:szCs w:val="15"/>
                <w:color w:val="auto"/>
                <w:w w:val="94"/>
              </w:rPr>
              <w:t>Yes</w:t>
            </w: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5"/>
                <w:szCs w:val="15"/>
                <w:color w:val="auto"/>
              </w:rPr>
              <w:t>[****]-2029</w:t>
            </w:r>
          </w:p>
        </w:tc>
        <w:tc>
          <w:tcPr>
            <w:tcW w:w="720" w:type="dxa"/>
            <w:vAlign w:val="bottom"/>
            <w:tcBorders>
              <w:bottom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gridSpan w:val="2"/>
            <w:shd w:val="clear" w:color="auto" w:fill="C0C0C0"/>
          </w:tcPr>
          <w:p>
            <w:pPr>
              <w:jc w:val="center"/>
              <w:ind w:right="20"/>
              <w:spacing w:after="0"/>
              <w:rPr>
                <w:sz w:val="20"/>
                <w:szCs w:val="20"/>
                <w:color w:val="auto"/>
              </w:rPr>
            </w:pPr>
            <w:r>
              <w:rPr>
                <w:rFonts w:ascii="Times New Roman" w:cs="Times New Roman" w:eastAsia="Times New Roman" w:hAnsi="Times New Roman"/>
                <w:sz w:val="15"/>
                <w:szCs w:val="15"/>
                <w:color w:val="auto"/>
                <w:w w:val="97"/>
              </w:rPr>
              <w:t>No</w:t>
            </w: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5"/>
                <w:szCs w:val="15"/>
                <w:color w:val="auto"/>
              </w:rPr>
              <w:t>[****]-2029</w:t>
            </w:r>
          </w:p>
        </w:tc>
        <w:tc>
          <w:tcPr>
            <w:tcW w:w="72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gridSpan w:val="2"/>
            <w:shd w:val="clear" w:color="auto" w:fill="C0C0C0"/>
          </w:tcPr>
          <w:p>
            <w:pPr>
              <w:jc w:val="center"/>
              <w:ind w:right="20"/>
              <w:spacing w:after="0"/>
              <w:rPr>
                <w:sz w:val="20"/>
                <w:szCs w:val="20"/>
                <w:color w:val="auto"/>
              </w:rPr>
            </w:pPr>
            <w:r>
              <w:rPr>
                <w:rFonts w:ascii="Times New Roman" w:cs="Times New Roman" w:eastAsia="Times New Roman" w:hAnsi="Times New Roman"/>
                <w:sz w:val="15"/>
                <w:szCs w:val="15"/>
                <w:color w:val="auto"/>
                <w:w w:val="97"/>
              </w:rPr>
              <w:t>No</w:t>
            </w: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5"/>
                <w:szCs w:val="15"/>
                <w:color w:val="auto"/>
              </w:rPr>
              <w:t>[****]-2029</w:t>
            </w:r>
          </w:p>
        </w:tc>
        <w:tc>
          <w:tcPr>
            <w:tcW w:w="720" w:type="dxa"/>
            <w:vAlign w:val="bottom"/>
          </w:tcPr>
          <w:p>
            <w:pPr>
              <w:jc w:val="center"/>
              <w:ind w:left="524"/>
              <w:spacing w:after="0"/>
              <w:rPr>
                <w:sz w:val="20"/>
                <w:szCs w:val="20"/>
                <w:color w:val="auto"/>
              </w:rPr>
            </w:pPr>
            <w:r>
              <w:rPr>
                <w:rFonts w:ascii="Times New Roman" w:cs="Times New Roman" w:eastAsia="Times New Roman" w:hAnsi="Times New Roman"/>
                <w:sz w:val="15"/>
                <w:szCs w:val="15"/>
                <w:color w:val="0000FF"/>
              </w:rPr>
              <w:t>1</w:t>
            </w:r>
          </w:p>
        </w:tc>
        <w:tc>
          <w:tcPr>
            <w:tcW w:w="620" w:type="dxa"/>
            <w:vAlign w:val="bottom"/>
            <w:tcBorders>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gridSpan w:val="2"/>
            <w:shd w:val="clear" w:color="auto" w:fill="C0C0C0"/>
          </w:tcPr>
          <w:p>
            <w:pPr>
              <w:jc w:val="center"/>
              <w:ind w:right="20"/>
              <w:spacing w:after="0"/>
              <w:rPr>
                <w:sz w:val="20"/>
                <w:szCs w:val="20"/>
                <w:color w:val="auto"/>
              </w:rPr>
            </w:pPr>
            <w:r>
              <w:rPr>
                <w:rFonts w:ascii="Times New Roman" w:cs="Times New Roman" w:eastAsia="Times New Roman" w:hAnsi="Times New Roman"/>
                <w:sz w:val="15"/>
                <w:szCs w:val="15"/>
                <w:color w:val="auto"/>
                <w:w w:val="94"/>
              </w:rPr>
              <w:t>Yes</w:t>
            </w: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5"/>
                <w:szCs w:val="15"/>
                <w:color w:val="auto"/>
              </w:rPr>
              <w:t>[****]-2029</w:t>
            </w:r>
          </w:p>
        </w:tc>
        <w:tc>
          <w:tcPr>
            <w:tcW w:w="720" w:type="dxa"/>
            <w:vAlign w:val="bottom"/>
            <w:tcBorders>
              <w:bottom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gridSpan w:val="2"/>
            <w:shd w:val="clear" w:color="auto" w:fill="C0C0C0"/>
          </w:tcPr>
          <w:p>
            <w:pPr>
              <w:jc w:val="center"/>
              <w:ind w:right="20"/>
              <w:spacing w:after="0"/>
              <w:rPr>
                <w:sz w:val="20"/>
                <w:szCs w:val="20"/>
                <w:color w:val="auto"/>
              </w:rPr>
            </w:pPr>
            <w:r>
              <w:rPr>
                <w:rFonts w:ascii="Times New Roman" w:cs="Times New Roman" w:eastAsia="Times New Roman" w:hAnsi="Times New Roman"/>
                <w:sz w:val="15"/>
                <w:szCs w:val="15"/>
                <w:color w:val="auto"/>
                <w:w w:val="97"/>
              </w:rPr>
              <w:t>No</w:t>
            </w: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5"/>
                <w:szCs w:val="15"/>
                <w:color w:val="auto"/>
              </w:rPr>
              <w:t>[****]-2029</w:t>
            </w:r>
          </w:p>
        </w:tc>
        <w:tc>
          <w:tcPr>
            <w:tcW w:w="72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gridSpan w:val="2"/>
            <w:shd w:val="clear" w:color="auto" w:fill="C0C0C0"/>
          </w:tcPr>
          <w:p>
            <w:pPr>
              <w:jc w:val="center"/>
              <w:ind w:right="20"/>
              <w:spacing w:after="0"/>
              <w:rPr>
                <w:sz w:val="20"/>
                <w:szCs w:val="20"/>
                <w:color w:val="auto"/>
              </w:rPr>
            </w:pPr>
            <w:r>
              <w:rPr>
                <w:rFonts w:ascii="Times New Roman" w:cs="Times New Roman" w:eastAsia="Times New Roman" w:hAnsi="Times New Roman"/>
                <w:sz w:val="15"/>
                <w:szCs w:val="15"/>
                <w:color w:val="auto"/>
                <w:w w:val="97"/>
              </w:rPr>
              <w:t>No</w:t>
            </w: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5"/>
                <w:szCs w:val="15"/>
                <w:color w:val="auto"/>
              </w:rPr>
              <w:t>[****]-2029</w:t>
            </w:r>
          </w:p>
        </w:tc>
        <w:tc>
          <w:tcPr>
            <w:tcW w:w="720" w:type="dxa"/>
            <w:vAlign w:val="bottom"/>
          </w:tcPr>
          <w:p>
            <w:pPr>
              <w:jc w:val="center"/>
              <w:ind w:left="524"/>
              <w:spacing w:after="0"/>
              <w:rPr>
                <w:sz w:val="20"/>
                <w:szCs w:val="20"/>
                <w:color w:val="auto"/>
              </w:rPr>
            </w:pPr>
            <w:r>
              <w:rPr>
                <w:rFonts w:ascii="Times New Roman" w:cs="Times New Roman" w:eastAsia="Times New Roman" w:hAnsi="Times New Roman"/>
                <w:sz w:val="15"/>
                <w:szCs w:val="15"/>
                <w:color w:val="0000FF"/>
              </w:rPr>
              <w:t>1</w:t>
            </w:r>
          </w:p>
        </w:tc>
        <w:tc>
          <w:tcPr>
            <w:tcW w:w="620" w:type="dxa"/>
            <w:vAlign w:val="bottom"/>
            <w:tcBorders>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gridSpan w:val="2"/>
            <w:shd w:val="clear" w:color="auto" w:fill="C0C0C0"/>
          </w:tcPr>
          <w:p>
            <w:pPr>
              <w:jc w:val="center"/>
              <w:ind w:right="20"/>
              <w:spacing w:after="0"/>
              <w:rPr>
                <w:sz w:val="20"/>
                <w:szCs w:val="20"/>
                <w:color w:val="auto"/>
              </w:rPr>
            </w:pPr>
            <w:r>
              <w:rPr>
                <w:rFonts w:ascii="Times New Roman" w:cs="Times New Roman" w:eastAsia="Times New Roman" w:hAnsi="Times New Roman"/>
                <w:sz w:val="15"/>
                <w:szCs w:val="15"/>
                <w:color w:val="auto"/>
                <w:w w:val="94"/>
              </w:rPr>
              <w:t>Yes</w:t>
            </w: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5"/>
                <w:szCs w:val="15"/>
                <w:color w:val="auto"/>
              </w:rPr>
              <w:t>[****]-2029</w:t>
            </w:r>
          </w:p>
        </w:tc>
        <w:tc>
          <w:tcPr>
            <w:tcW w:w="720" w:type="dxa"/>
            <w:vAlign w:val="bottom"/>
            <w:tcBorders>
              <w:bottom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gridSpan w:val="2"/>
            <w:shd w:val="clear" w:color="auto" w:fill="C0C0C0"/>
          </w:tcPr>
          <w:p>
            <w:pPr>
              <w:jc w:val="center"/>
              <w:ind w:right="20"/>
              <w:spacing w:after="0"/>
              <w:rPr>
                <w:sz w:val="20"/>
                <w:szCs w:val="20"/>
                <w:color w:val="auto"/>
              </w:rPr>
            </w:pPr>
            <w:r>
              <w:rPr>
                <w:rFonts w:ascii="Times New Roman" w:cs="Times New Roman" w:eastAsia="Times New Roman" w:hAnsi="Times New Roman"/>
                <w:sz w:val="15"/>
                <w:szCs w:val="15"/>
                <w:color w:val="auto"/>
                <w:w w:val="97"/>
              </w:rPr>
              <w:t>No</w:t>
            </w: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5"/>
                <w:szCs w:val="15"/>
                <w:color w:val="auto"/>
              </w:rPr>
              <w:t>[****]-2029</w:t>
            </w:r>
          </w:p>
        </w:tc>
        <w:tc>
          <w:tcPr>
            <w:tcW w:w="72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gridSpan w:val="2"/>
            <w:shd w:val="clear" w:color="auto" w:fill="C0C0C0"/>
          </w:tcPr>
          <w:p>
            <w:pPr>
              <w:jc w:val="center"/>
              <w:ind w:right="20"/>
              <w:spacing w:after="0"/>
              <w:rPr>
                <w:sz w:val="20"/>
                <w:szCs w:val="20"/>
                <w:color w:val="auto"/>
              </w:rPr>
            </w:pPr>
            <w:r>
              <w:rPr>
                <w:rFonts w:ascii="Times New Roman" w:cs="Times New Roman" w:eastAsia="Times New Roman" w:hAnsi="Times New Roman"/>
                <w:sz w:val="15"/>
                <w:szCs w:val="15"/>
                <w:color w:val="auto"/>
                <w:w w:val="97"/>
              </w:rPr>
              <w:t>No</w:t>
            </w: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5"/>
                <w:szCs w:val="15"/>
                <w:color w:val="auto"/>
              </w:rPr>
              <w:t>[****]-2029</w:t>
            </w:r>
          </w:p>
        </w:tc>
        <w:tc>
          <w:tcPr>
            <w:tcW w:w="720" w:type="dxa"/>
            <w:vAlign w:val="bottom"/>
          </w:tcPr>
          <w:p>
            <w:pPr>
              <w:jc w:val="center"/>
              <w:ind w:left="524"/>
              <w:spacing w:after="0"/>
              <w:rPr>
                <w:sz w:val="20"/>
                <w:szCs w:val="20"/>
                <w:color w:val="auto"/>
              </w:rPr>
            </w:pPr>
            <w:r>
              <w:rPr>
                <w:rFonts w:ascii="Times New Roman" w:cs="Times New Roman" w:eastAsia="Times New Roman" w:hAnsi="Times New Roman"/>
                <w:sz w:val="15"/>
                <w:szCs w:val="15"/>
                <w:color w:val="0000FF"/>
              </w:rPr>
              <w:t>1</w:t>
            </w:r>
          </w:p>
        </w:tc>
        <w:tc>
          <w:tcPr>
            <w:tcW w:w="620" w:type="dxa"/>
            <w:vAlign w:val="bottom"/>
            <w:tcBorders>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gridSpan w:val="2"/>
            <w:shd w:val="clear" w:color="auto" w:fill="C0C0C0"/>
          </w:tcPr>
          <w:p>
            <w:pPr>
              <w:jc w:val="center"/>
              <w:ind w:right="20"/>
              <w:spacing w:after="0"/>
              <w:rPr>
                <w:sz w:val="20"/>
                <w:szCs w:val="20"/>
                <w:color w:val="auto"/>
              </w:rPr>
            </w:pPr>
            <w:r>
              <w:rPr>
                <w:rFonts w:ascii="Times New Roman" w:cs="Times New Roman" w:eastAsia="Times New Roman" w:hAnsi="Times New Roman"/>
                <w:sz w:val="15"/>
                <w:szCs w:val="15"/>
                <w:color w:val="auto"/>
                <w:w w:val="94"/>
              </w:rPr>
              <w:t>Yes</w:t>
            </w: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5"/>
                <w:szCs w:val="15"/>
                <w:color w:val="auto"/>
              </w:rPr>
              <w:t>[****]-2029</w:t>
            </w:r>
          </w:p>
        </w:tc>
        <w:tc>
          <w:tcPr>
            <w:tcW w:w="720" w:type="dxa"/>
            <w:vAlign w:val="bottom"/>
            <w:tcBorders>
              <w:bottom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gridSpan w:val="2"/>
            <w:shd w:val="clear" w:color="auto" w:fill="C0C0C0"/>
          </w:tcPr>
          <w:p>
            <w:pPr>
              <w:jc w:val="center"/>
              <w:ind w:right="20"/>
              <w:spacing w:after="0"/>
              <w:rPr>
                <w:sz w:val="20"/>
                <w:szCs w:val="20"/>
                <w:color w:val="auto"/>
              </w:rPr>
            </w:pPr>
            <w:r>
              <w:rPr>
                <w:rFonts w:ascii="Times New Roman" w:cs="Times New Roman" w:eastAsia="Times New Roman" w:hAnsi="Times New Roman"/>
                <w:sz w:val="15"/>
                <w:szCs w:val="15"/>
                <w:color w:val="auto"/>
                <w:w w:val="97"/>
              </w:rPr>
              <w:t>No</w:t>
            </w: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5"/>
                <w:szCs w:val="15"/>
                <w:color w:val="auto"/>
              </w:rPr>
              <w:t>[****]-2029</w:t>
            </w:r>
          </w:p>
        </w:tc>
        <w:tc>
          <w:tcPr>
            <w:tcW w:w="72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gridSpan w:val="2"/>
            <w:shd w:val="clear" w:color="auto" w:fill="C0C0C0"/>
          </w:tcPr>
          <w:p>
            <w:pPr>
              <w:jc w:val="center"/>
              <w:ind w:right="20"/>
              <w:spacing w:after="0"/>
              <w:rPr>
                <w:sz w:val="20"/>
                <w:szCs w:val="20"/>
                <w:color w:val="auto"/>
              </w:rPr>
            </w:pPr>
            <w:r>
              <w:rPr>
                <w:rFonts w:ascii="Times New Roman" w:cs="Times New Roman" w:eastAsia="Times New Roman" w:hAnsi="Times New Roman"/>
                <w:sz w:val="15"/>
                <w:szCs w:val="15"/>
                <w:color w:val="auto"/>
                <w:w w:val="97"/>
              </w:rPr>
              <w:t>No</w:t>
            </w: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5"/>
                <w:szCs w:val="15"/>
                <w:color w:val="auto"/>
              </w:rPr>
              <w:t>[****]-2029</w:t>
            </w:r>
          </w:p>
        </w:tc>
        <w:tc>
          <w:tcPr>
            <w:tcW w:w="720" w:type="dxa"/>
            <w:vAlign w:val="bottom"/>
          </w:tcPr>
          <w:p>
            <w:pPr>
              <w:jc w:val="center"/>
              <w:ind w:left="524"/>
              <w:spacing w:after="0"/>
              <w:rPr>
                <w:sz w:val="20"/>
                <w:szCs w:val="20"/>
                <w:color w:val="auto"/>
              </w:rPr>
            </w:pPr>
            <w:r>
              <w:rPr>
                <w:rFonts w:ascii="Times New Roman" w:cs="Times New Roman" w:eastAsia="Times New Roman" w:hAnsi="Times New Roman"/>
                <w:sz w:val="15"/>
                <w:szCs w:val="15"/>
                <w:color w:val="0000FF"/>
              </w:rPr>
              <w:t>1</w:t>
            </w:r>
          </w:p>
        </w:tc>
        <w:tc>
          <w:tcPr>
            <w:tcW w:w="620" w:type="dxa"/>
            <w:vAlign w:val="bottom"/>
            <w:tcBorders>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gridSpan w:val="2"/>
            <w:shd w:val="clear" w:color="auto" w:fill="C0C0C0"/>
          </w:tcPr>
          <w:p>
            <w:pPr>
              <w:jc w:val="center"/>
              <w:ind w:right="20"/>
              <w:spacing w:after="0"/>
              <w:rPr>
                <w:sz w:val="20"/>
                <w:szCs w:val="20"/>
                <w:color w:val="auto"/>
              </w:rPr>
            </w:pPr>
            <w:r>
              <w:rPr>
                <w:rFonts w:ascii="Times New Roman" w:cs="Times New Roman" w:eastAsia="Times New Roman" w:hAnsi="Times New Roman"/>
                <w:sz w:val="15"/>
                <w:szCs w:val="15"/>
                <w:color w:val="auto"/>
                <w:w w:val="94"/>
              </w:rPr>
              <w:t>Yes</w:t>
            </w: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5"/>
                <w:szCs w:val="15"/>
                <w:color w:val="auto"/>
              </w:rPr>
              <w:t>[****]-2029</w:t>
            </w:r>
          </w:p>
        </w:tc>
        <w:tc>
          <w:tcPr>
            <w:tcW w:w="72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gridSpan w:val="2"/>
            <w:shd w:val="clear" w:color="auto" w:fill="C0C0C0"/>
          </w:tcPr>
          <w:p>
            <w:pPr>
              <w:jc w:val="center"/>
              <w:ind w:right="20"/>
              <w:spacing w:after="0"/>
              <w:rPr>
                <w:sz w:val="20"/>
                <w:szCs w:val="20"/>
                <w:color w:val="auto"/>
              </w:rPr>
            </w:pPr>
            <w:r>
              <w:rPr>
                <w:rFonts w:ascii="Times New Roman" w:cs="Times New Roman" w:eastAsia="Times New Roman" w:hAnsi="Times New Roman"/>
                <w:sz w:val="15"/>
                <w:szCs w:val="15"/>
                <w:color w:val="auto"/>
                <w:w w:val="97"/>
              </w:rPr>
              <w:t>No</w:t>
            </w: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2840" w:type="dxa"/>
            <w:vAlign w:val="bottom"/>
          </w:tcPr>
          <w:p>
            <w:pPr>
              <w:spacing w:after="0"/>
              <w:rPr>
                <w:sz w:val="20"/>
                <w:szCs w:val="20"/>
                <w:color w:val="auto"/>
              </w:rPr>
            </w:pPr>
            <w:r>
              <w:rPr>
                <w:rFonts w:ascii="Arial" w:cs="Arial" w:eastAsia="Arial" w:hAnsi="Arial"/>
                <w:sz w:val="15"/>
                <w:szCs w:val="15"/>
                <w:color w:val="auto"/>
              </w:rPr>
              <w:t>AAL-PA-03735-LA-1106651R15</w:t>
            </w:r>
          </w:p>
        </w:tc>
        <w:tc>
          <w:tcPr>
            <w:tcW w:w="45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840" w:type="dxa"/>
            <w:vAlign w:val="bottom"/>
          </w:tcPr>
          <w:p>
            <w:pPr>
              <w:spacing w:after="0"/>
              <w:rPr>
                <w:sz w:val="20"/>
                <w:szCs w:val="20"/>
                <w:color w:val="auto"/>
              </w:rPr>
            </w:pPr>
            <w:r>
              <w:rPr>
                <w:rFonts w:ascii="Arial" w:cs="Arial" w:eastAsia="Arial" w:hAnsi="Arial"/>
                <w:sz w:val="15"/>
                <w:szCs w:val="15"/>
                <w:color w:val="auto"/>
              </w:rPr>
              <w:t>122666-1O.txt</w:t>
            </w:r>
          </w:p>
        </w:tc>
        <w:tc>
          <w:tcPr>
            <w:tcW w:w="4540" w:type="dxa"/>
            <w:vAlign w:val="bottom"/>
            <w:vMerge w:val="restart"/>
          </w:tcPr>
          <w:p>
            <w:pPr>
              <w:ind w:left="700"/>
              <w:spacing w:after="0"/>
              <w:rPr>
                <w:sz w:val="20"/>
                <w:szCs w:val="20"/>
                <w:color w:val="auto"/>
              </w:rPr>
            </w:pPr>
            <w:r>
              <w:rPr>
                <w:rFonts w:ascii="Arial" w:cs="Arial" w:eastAsia="Arial" w:hAnsi="Arial"/>
                <w:sz w:val="19"/>
                <w:szCs w:val="19"/>
                <w:b w:val="1"/>
                <w:bCs w:val="1"/>
                <w:color w:val="auto"/>
              </w:rPr>
              <w:t>Boeing and American Proprietary</w:t>
            </w:r>
          </w:p>
        </w:tc>
        <w:tc>
          <w:tcPr>
            <w:tcW w:w="1320" w:type="dxa"/>
            <w:vAlign w:val="bottom"/>
          </w:tcPr>
          <w:p>
            <w:pPr>
              <w:jc w:val="center"/>
              <w:ind w:left="784"/>
              <w:spacing w:after="0"/>
              <w:rPr>
                <w:sz w:val="20"/>
                <w:szCs w:val="20"/>
                <w:color w:val="auto"/>
              </w:rPr>
            </w:pPr>
            <w:r>
              <w:rPr>
                <w:rFonts w:ascii="Arial" w:cs="Arial" w:eastAsia="Arial" w:hAnsi="Arial"/>
                <w:sz w:val="15"/>
                <w:szCs w:val="15"/>
                <w:color w:val="auto"/>
              </w:rPr>
              <w:t>SA-34</w:t>
            </w:r>
          </w:p>
        </w:tc>
        <w:tc>
          <w:tcPr>
            <w:tcW w:w="0" w:type="dxa"/>
            <w:vAlign w:val="bottom"/>
          </w:tcPr>
          <w:p>
            <w:pPr>
              <w:spacing w:after="0"/>
              <w:rPr>
                <w:sz w:val="1"/>
                <w:szCs w:val="1"/>
                <w:color w:val="auto"/>
              </w:rPr>
            </w:pPr>
          </w:p>
        </w:tc>
      </w:tr>
      <w:tr>
        <w:trPr>
          <w:trHeight w:val="222"/>
        </w:trPr>
        <w:tc>
          <w:tcPr>
            <w:tcW w:w="2840" w:type="dxa"/>
            <w:vAlign w:val="bottom"/>
          </w:tcPr>
          <w:p>
            <w:pPr>
              <w:spacing w:after="0"/>
              <w:rPr>
                <w:sz w:val="20"/>
                <w:szCs w:val="20"/>
                <w:color w:val="auto"/>
              </w:rPr>
            </w:pPr>
            <w:r>
              <w:rPr>
                <w:rFonts w:ascii="Arial" w:cs="Arial" w:eastAsia="Arial" w:hAnsi="Arial"/>
                <w:sz w:val="15"/>
                <w:szCs w:val="15"/>
                <w:color w:val="auto"/>
              </w:rPr>
              <w:t>Attachment B - [****] Aircraft</w:t>
            </w:r>
          </w:p>
        </w:tc>
        <w:tc>
          <w:tcPr>
            <w:tcW w:w="4540" w:type="dxa"/>
            <w:vAlign w:val="bottom"/>
            <w:vMerge w:val="continue"/>
          </w:tcPr>
          <w:p>
            <w:pPr>
              <w:spacing w:after="0"/>
              <w:rPr>
                <w:sz w:val="19"/>
                <w:szCs w:val="19"/>
                <w:color w:val="auto"/>
              </w:rPr>
            </w:pPr>
          </w:p>
        </w:tc>
        <w:tc>
          <w:tcPr>
            <w:tcW w:w="1320" w:type="dxa"/>
            <w:vAlign w:val="bottom"/>
          </w:tcPr>
          <w:p>
            <w:pPr>
              <w:jc w:val="center"/>
              <w:ind w:left="764"/>
              <w:spacing w:after="0"/>
              <w:rPr>
                <w:sz w:val="20"/>
                <w:szCs w:val="20"/>
                <w:color w:val="auto"/>
              </w:rPr>
            </w:pPr>
            <w:r>
              <w:rPr>
                <w:rFonts w:ascii="Arial" w:cs="Arial" w:eastAsia="Arial" w:hAnsi="Arial"/>
                <w:sz w:val="15"/>
                <w:szCs w:val="15"/>
                <w:color w:val="auto"/>
              </w:rPr>
              <w:t>Page 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5"/>
          <w:szCs w:val="15"/>
          <w:color w:val="auto"/>
        </w:rPr>
        <w:t>[****]</w:t>
      </w:r>
      <w:r>
        <w:rPr>
          <w:sz w:val="20"/>
          <w:szCs w:val="20"/>
          <w:color w:val="auto"/>
        </w:rPr>
        <w:tab/>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p>
    <w:p>
      <w:pPr>
        <w:spacing w:after="0" w:line="9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p>
    <w:p>
      <w:pPr>
        <w:sectPr>
          <w:pgSz w:w="11900" w:h="16838" w:orient="portrait"/>
          <w:cols w:equalWidth="0" w:num="2">
            <w:col w:w="8940" w:space="380"/>
            <w:col w:w="1120"/>
          </w:cols>
          <w:pgMar w:left="340" w:top="189" w:right="1119" w:bottom="1440" w:gutter="0" w:footer="0" w:header="0"/>
          <w:type w:val="continuous"/>
        </w:sectPr>
      </w:pPr>
    </w:p>
    <w:bookmarkStart w:id="81" w:name="page82"/>
    <w:bookmarkEnd w:id="81"/>
    <w:p>
      <w:pPr>
        <w:jc w:val="center"/>
        <w:ind w:right="-1360"/>
        <w:spacing w:after="0"/>
        <w:rPr>
          <w:sz w:val="20"/>
          <w:szCs w:val="20"/>
          <w:color w:val="auto"/>
        </w:rPr>
      </w:pPr>
      <w:r>
        <w:rPr>
          <w:rFonts w:ascii="Times New Roman" w:cs="Times New Roman" w:eastAsia="Times New Roman" w:hAnsi="Times New Roman"/>
          <w:sz w:val="22"/>
          <w:szCs w:val="22"/>
          <w:b w:val="1"/>
          <w:bCs w:val="1"/>
          <w:color w:val="auto"/>
        </w:rPr>
        <w:t>Attachment B To</w:t>
      </w:r>
    </w:p>
    <w:p>
      <w:pPr>
        <w:spacing w:after="0" w:line="33" w:lineRule="exact"/>
        <w:rPr>
          <w:sz w:val="20"/>
          <w:szCs w:val="20"/>
          <w:color w:val="auto"/>
        </w:rPr>
      </w:pPr>
    </w:p>
    <w:p>
      <w:pPr>
        <w:jc w:val="center"/>
        <w:ind w:right="-1360"/>
        <w:spacing w:after="0"/>
        <w:rPr>
          <w:sz w:val="20"/>
          <w:szCs w:val="20"/>
          <w:color w:val="auto"/>
        </w:rPr>
      </w:pPr>
      <w:r>
        <w:rPr>
          <w:rFonts w:ascii="Times New Roman" w:cs="Times New Roman" w:eastAsia="Times New Roman" w:hAnsi="Times New Roman"/>
          <w:sz w:val="22"/>
          <w:szCs w:val="22"/>
          <w:b w:val="1"/>
          <w:bCs w:val="1"/>
          <w:color w:val="auto"/>
        </w:rPr>
        <w:t>Letter Agreement No. AAL-PA-03735-LA-1106651R15</w:t>
      </w:r>
    </w:p>
    <w:p>
      <w:pPr>
        <w:spacing w:after="0" w:line="17" w:lineRule="exact"/>
        <w:rPr>
          <w:sz w:val="20"/>
          <w:szCs w:val="20"/>
          <w:color w:val="auto"/>
        </w:rPr>
      </w:pPr>
    </w:p>
    <w:p>
      <w:pPr>
        <w:jc w:val="center"/>
        <w:ind w:right="-1360"/>
        <w:spacing w:after="0"/>
        <w:rPr>
          <w:sz w:val="20"/>
          <w:szCs w:val="20"/>
          <w:color w:val="auto"/>
        </w:rPr>
      </w:pPr>
      <w:r>
        <w:rPr>
          <w:rFonts w:ascii="Times New Roman" w:cs="Times New Roman" w:eastAsia="Times New Roman" w:hAnsi="Times New Roman"/>
          <w:sz w:val="21"/>
          <w:szCs w:val="21"/>
          <w:b w:val="1"/>
          <w:bCs w:val="1"/>
          <w:color w:val="auto"/>
        </w:rPr>
        <w:t xml:space="preserve">737-10 </w:t>
      </w:r>
      <w:r>
        <w:rPr>
          <w:rFonts w:ascii="Arial" w:cs="Arial" w:eastAsia="Arial" w:hAnsi="Arial"/>
          <w:sz w:val="21"/>
          <w:szCs w:val="21"/>
          <w:color w:val="auto"/>
        </w:rPr>
        <w:t>[****]</w:t>
      </w:r>
      <w:r>
        <w:rPr>
          <w:rFonts w:ascii="Times New Roman" w:cs="Times New Roman" w:eastAsia="Times New Roman" w:hAnsi="Times New Roman"/>
          <w:sz w:val="21"/>
          <w:szCs w:val="21"/>
          <w:b w:val="1"/>
          <w:bCs w:val="1"/>
          <w:color w:val="auto"/>
        </w:rPr>
        <w:t xml:space="preserve"> Aircraft Delivery, Description, Price and Advance Payments</w:t>
      </w:r>
    </w:p>
    <w:p>
      <w:pPr>
        <w:sectPr>
          <w:pgSz w:w="11900" w:h="16838" w:orient="portrait"/>
          <w:cols w:equalWidth="0" w:num="1">
            <w:col w:w="10099"/>
          </w:cols>
          <w:pgMar w:left="360" w:top="18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660"/>
        <w:spacing w:after="0" w:line="272" w:lineRule="auto"/>
        <w:rPr>
          <w:sz w:val="20"/>
          <w:szCs w:val="20"/>
          <w:color w:val="auto"/>
        </w:rPr>
      </w:pPr>
      <w:r>
        <w:rPr>
          <w:rFonts w:ascii="Arial" w:cs="Arial" w:eastAsia="Arial" w:hAnsi="Arial"/>
          <w:sz w:val="15"/>
          <w:szCs w:val="15"/>
          <w:color w:val="auto"/>
        </w:rPr>
        <w:t>AAL-PA-03735-LA-1106651R15 122666-1O.txt</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Attachment B - [****] Aircraft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6"/>
        </w:trPr>
        <w:tc>
          <w:tcPr>
            <w:tcW w:w="1660" w:type="dxa"/>
            <w:vAlign w:val="bottom"/>
            <w:tcBorders>
              <w:right w:val="single" w:sz="8" w:color="auto"/>
            </w:tcBorders>
          </w:tcPr>
          <w:p>
            <w:pPr>
              <w:spacing w:after="0"/>
              <w:rPr>
                <w:sz w:val="24"/>
                <w:szCs w:val="24"/>
                <w:color w:val="auto"/>
              </w:rPr>
            </w:pPr>
          </w:p>
        </w:tc>
        <w:tc>
          <w:tcPr>
            <w:tcW w:w="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Delivery</w:t>
            </w:r>
          </w:p>
        </w:tc>
        <w:tc>
          <w:tcPr>
            <w:tcW w:w="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Number</w:t>
            </w:r>
          </w:p>
        </w:tc>
        <w:tc>
          <w:tcPr>
            <w:tcW w:w="680" w:type="dxa"/>
            <w:vAlign w:val="bottom"/>
            <w:tcBorders>
              <w:top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b w:val="1"/>
                <w:bCs w:val="1"/>
                <w:color w:val="auto"/>
              </w:rPr>
              <w:t>Nominal</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6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of</w:t>
            </w:r>
          </w:p>
        </w:tc>
        <w:tc>
          <w:tcPr>
            <w:tcW w:w="68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Delivery</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660" w:type="dxa"/>
            <w:vAlign w:val="bottom"/>
            <w:tcBorders>
              <w:right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Date</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Aircraft</w:t>
            </w: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b w:val="1"/>
                <w:bCs w:val="1"/>
                <w:color w:val="auto"/>
              </w:rPr>
              <w:t>Month</w:t>
            </w: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1660" w:type="dxa"/>
            <w:vAlign w:val="bottom"/>
            <w:tcBorders>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[****]-2030</w:t>
            </w:r>
          </w:p>
        </w:tc>
        <w:tc>
          <w:tcPr>
            <w:tcW w:w="660" w:type="dxa"/>
            <w:vAlign w:val="bottom"/>
            <w:tcBorders>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[****]-2030</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2</w:t>
            </w: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660" w:type="dxa"/>
            <w:vAlign w:val="bottom"/>
            <w:tcBorders>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[****]-2030</w:t>
            </w:r>
          </w:p>
        </w:tc>
        <w:tc>
          <w:tcPr>
            <w:tcW w:w="66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[****]-2030</w:t>
            </w:r>
          </w:p>
        </w:tc>
        <w:tc>
          <w:tcPr>
            <w:tcW w:w="660" w:type="dxa"/>
            <w:vAlign w:val="bottom"/>
            <w:tcBorders>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[****]-2030</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1</w:t>
            </w: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660" w:type="dxa"/>
            <w:vAlign w:val="bottom"/>
            <w:tcBorders>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[****]-2030</w:t>
            </w:r>
          </w:p>
        </w:tc>
        <w:tc>
          <w:tcPr>
            <w:tcW w:w="66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[****]-2030</w:t>
            </w:r>
          </w:p>
        </w:tc>
        <w:tc>
          <w:tcPr>
            <w:tcW w:w="660" w:type="dxa"/>
            <w:vAlign w:val="bottom"/>
            <w:tcBorders>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[****]-2030</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2</w:t>
            </w: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660" w:type="dxa"/>
            <w:vAlign w:val="bottom"/>
            <w:tcBorders>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[****]-2030</w:t>
            </w:r>
          </w:p>
        </w:tc>
        <w:tc>
          <w:tcPr>
            <w:tcW w:w="66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[****]-2030</w:t>
            </w:r>
          </w:p>
        </w:tc>
        <w:tc>
          <w:tcPr>
            <w:tcW w:w="660" w:type="dxa"/>
            <w:vAlign w:val="bottom"/>
            <w:tcBorders>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[****]-2030</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1</w:t>
            </w: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660" w:type="dxa"/>
            <w:vAlign w:val="bottom"/>
            <w:tcBorders>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[****]-2030</w:t>
            </w:r>
          </w:p>
        </w:tc>
        <w:tc>
          <w:tcPr>
            <w:tcW w:w="66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[****]-2030</w:t>
            </w:r>
          </w:p>
        </w:tc>
        <w:tc>
          <w:tcPr>
            <w:tcW w:w="660" w:type="dxa"/>
            <w:vAlign w:val="bottom"/>
            <w:tcBorders>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[****]-2030</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1</w:t>
            </w: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660" w:type="dxa"/>
            <w:vAlign w:val="bottom"/>
            <w:tcBorders>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[****]-2030</w:t>
            </w:r>
          </w:p>
        </w:tc>
        <w:tc>
          <w:tcPr>
            <w:tcW w:w="66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[****]-2030</w:t>
            </w:r>
          </w:p>
        </w:tc>
        <w:tc>
          <w:tcPr>
            <w:tcW w:w="660" w:type="dxa"/>
            <w:vAlign w:val="bottom"/>
            <w:tcBorders>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[****]-2030</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1</w:t>
            </w: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660" w:type="dxa"/>
            <w:vAlign w:val="bottom"/>
            <w:tcBorders>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[****]-2030</w:t>
            </w:r>
          </w:p>
        </w:tc>
        <w:tc>
          <w:tcPr>
            <w:tcW w:w="66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[****]-2030</w:t>
            </w:r>
          </w:p>
        </w:tc>
        <w:tc>
          <w:tcPr>
            <w:tcW w:w="660" w:type="dxa"/>
            <w:vAlign w:val="bottom"/>
            <w:tcBorders>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[****]-2030</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1</w:t>
            </w: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660" w:type="dxa"/>
            <w:vAlign w:val="bottom"/>
            <w:tcBorders>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[****]-2030</w:t>
            </w:r>
          </w:p>
        </w:tc>
        <w:tc>
          <w:tcPr>
            <w:tcW w:w="66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[****]-2030</w:t>
            </w:r>
          </w:p>
        </w:tc>
        <w:tc>
          <w:tcPr>
            <w:tcW w:w="660" w:type="dxa"/>
            <w:vAlign w:val="bottom"/>
            <w:tcBorders>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[****]-2030</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0000FF"/>
              </w:rPr>
              <w:t>2</w:t>
            </w: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660" w:type="dxa"/>
            <w:vAlign w:val="bottom"/>
            <w:tcBorders>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[****]-2030</w:t>
            </w:r>
          </w:p>
        </w:tc>
        <w:tc>
          <w:tcPr>
            <w:tcW w:w="66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[****]-2030</w:t>
            </w:r>
          </w:p>
        </w:tc>
        <w:tc>
          <w:tcPr>
            <w:tcW w:w="660" w:type="dxa"/>
            <w:vAlign w:val="bottom"/>
            <w:tcBorders>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[****]-2030</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0000FF"/>
              </w:rPr>
              <w:t>1</w:t>
            </w: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660" w:type="dxa"/>
            <w:vAlign w:val="bottom"/>
            <w:tcBorders>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[****]-2030</w:t>
            </w:r>
          </w:p>
        </w:tc>
        <w:tc>
          <w:tcPr>
            <w:tcW w:w="66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[****]-2031</w:t>
            </w:r>
          </w:p>
        </w:tc>
        <w:tc>
          <w:tcPr>
            <w:tcW w:w="660" w:type="dxa"/>
            <w:vAlign w:val="bottom"/>
            <w:tcBorders>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[****]-2031</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0000FF"/>
              </w:rPr>
              <w:t>3</w:t>
            </w: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660" w:type="dxa"/>
            <w:vAlign w:val="bottom"/>
            <w:tcBorders>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[****]-2031</w:t>
            </w:r>
          </w:p>
        </w:tc>
        <w:tc>
          <w:tcPr>
            <w:tcW w:w="66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[****]-2031</w:t>
            </w:r>
          </w:p>
        </w:tc>
        <w:tc>
          <w:tcPr>
            <w:tcW w:w="660" w:type="dxa"/>
            <w:vAlign w:val="bottom"/>
            <w:tcBorders>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[****]-2031</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1</w:t>
            </w: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660" w:type="dxa"/>
            <w:vAlign w:val="bottom"/>
            <w:tcBorders>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[****]-2031</w:t>
            </w:r>
          </w:p>
        </w:tc>
        <w:tc>
          <w:tcPr>
            <w:tcW w:w="66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[****]-2031</w:t>
            </w:r>
          </w:p>
        </w:tc>
        <w:tc>
          <w:tcPr>
            <w:tcW w:w="660" w:type="dxa"/>
            <w:vAlign w:val="bottom"/>
            <w:tcBorders>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[****]-2031</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0000FF"/>
              </w:rPr>
              <w:t>3</w:t>
            </w: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660" w:type="dxa"/>
            <w:vAlign w:val="bottom"/>
            <w:tcBorders>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[****]-2031</w:t>
            </w:r>
          </w:p>
        </w:tc>
        <w:tc>
          <w:tcPr>
            <w:tcW w:w="66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[****]-2031</w:t>
            </w:r>
          </w:p>
        </w:tc>
        <w:tc>
          <w:tcPr>
            <w:tcW w:w="660" w:type="dxa"/>
            <w:vAlign w:val="bottom"/>
            <w:tcBorders>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[****]-2031</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1</w:t>
            </w: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660" w:type="dxa"/>
            <w:vAlign w:val="bottom"/>
            <w:tcBorders>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[****]-2031</w:t>
            </w:r>
          </w:p>
        </w:tc>
        <w:tc>
          <w:tcPr>
            <w:tcW w:w="66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3160" w:type="dxa"/>
            <w:vAlign w:val="bottom"/>
            <w:gridSpan w:val="3"/>
            <w:vMerge w:val="restart"/>
          </w:tcPr>
          <w:p>
            <w:pPr>
              <w:spacing w:after="0"/>
              <w:rPr>
                <w:sz w:val="20"/>
                <w:szCs w:val="20"/>
                <w:color w:val="auto"/>
              </w:rPr>
            </w:pPr>
            <w:r>
              <w:rPr>
                <w:rFonts w:ascii="Arial" w:cs="Arial" w:eastAsia="Arial" w:hAnsi="Arial"/>
                <w:sz w:val="19"/>
                <w:szCs w:val="19"/>
                <w:b w:val="1"/>
                <w:bCs w:val="1"/>
                <w:color w:val="auto"/>
              </w:rPr>
              <w:t>Boeing and American Proprietary</w:t>
            </w:r>
          </w:p>
        </w:tc>
        <w:tc>
          <w:tcPr>
            <w:tcW w:w="680" w:type="dxa"/>
            <w:vAlign w:val="bottom"/>
          </w:tcPr>
          <w:p>
            <w:pPr>
              <w:spacing w:after="0"/>
              <w:rPr>
                <w:sz w:val="24"/>
                <w:szCs w:val="24"/>
                <w:color w:val="auto"/>
              </w:rPr>
            </w:pPr>
          </w:p>
        </w:tc>
        <w:tc>
          <w:tcPr>
            <w:tcW w:w="1320" w:type="dxa"/>
            <w:vAlign w:val="bottom"/>
          </w:tcPr>
          <w:p>
            <w:pPr>
              <w:jc w:val="center"/>
              <w:ind w:left="784"/>
              <w:spacing w:after="0"/>
              <w:rPr>
                <w:sz w:val="20"/>
                <w:szCs w:val="20"/>
                <w:color w:val="auto"/>
              </w:rPr>
            </w:pPr>
            <w:r>
              <w:rPr>
                <w:rFonts w:ascii="Arial" w:cs="Arial" w:eastAsia="Arial" w:hAnsi="Arial"/>
                <w:sz w:val="15"/>
                <w:szCs w:val="15"/>
                <w:color w:val="auto"/>
              </w:rPr>
              <w:t>SA-34</w:t>
            </w:r>
          </w:p>
        </w:tc>
        <w:tc>
          <w:tcPr>
            <w:tcW w:w="0" w:type="dxa"/>
            <w:vAlign w:val="bottom"/>
          </w:tcPr>
          <w:p>
            <w:pPr>
              <w:spacing w:after="0"/>
              <w:rPr>
                <w:sz w:val="1"/>
                <w:szCs w:val="1"/>
                <w:color w:val="auto"/>
              </w:rPr>
            </w:pPr>
          </w:p>
        </w:tc>
      </w:tr>
      <w:tr>
        <w:trPr>
          <w:trHeight w:val="211"/>
        </w:trPr>
        <w:tc>
          <w:tcPr>
            <w:tcW w:w="3160" w:type="dxa"/>
            <w:vAlign w:val="bottom"/>
            <w:gridSpan w:val="3"/>
            <w:vMerge w:val="continue"/>
          </w:tcPr>
          <w:p>
            <w:pPr>
              <w:spacing w:after="0"/>
              <w:rPr>
                <w:sz w:val="18"/>
                <w:szCs w:val="18"/>
                <w:color w:val="auto"/>
              </w:rPr>
            </w:pPr>
          </w:p>
        </w:tc>
        <w:tc>
          <w:tcPr>
            <w:tcW w:w="680" w:type="dxa"/>
            <w:vAlign w:val="bottom"/>
          </w:tcPr>
          <w:p>
            <w:pPr>
              <w:spacing w:after="0"/>
              <w:rPr>
                <w:sz w:val="18"/>
                <w:szCs w:val="18"/>
                <w:color w:val="auto"/>
              </w:rPr>
            </w:pPr>
          </w:p>
        </w:tc>
        <w:tc>
          <w:tcPr>
            <w:tcW w:w="1320" w:type="dxa"/>
            <w:vAlign w:val="bottom"/>
          </w:tcPr>
          <w:p>
            <w:pPr>
              <w:jc w:val="center"/>
              <w:ind w:left="764"/>
              <w:spacing w:after="0"/>
              <w:rPr>
                <w:sz w:val="20"/>
                <w:szCs w:val="20"/>
                <w:color w:val="auto"/>
              </w:rPr>
            </w:pPr>
            <w:r>
              <w:rPr>
                <w:rFonts w:ascii="Arial" w:cs="Arial" w:eastAsia="Arial" w:hAnsi="Arial"/>
                <w:sz w:val="15"/>
                <w:szCs w:val="15"/>
                <w:color w:val="auto"/>
              </w:rPr>
              <w:t>Page 2</w:t>
            </w:r>
          </w:p>
        </w:tc>
        <w:tc>
          <w:tcPr>
            <w:tcW w:w="0" w:type="dxa"/>
            <w:vAlign w:val="bottom"/>
          </w:tcPr>
          <w:p>
            <w:pPr>
              <w:spacing w:after="0"/>
              <w:rPr>
                <w:sz w:val="1"/>
                <w:szCs w:val="1"/>
                <w:color w:val="auto"/>
              </w:rPr>
            </w:pPr>
          </w:p>
        </w:tc>
      </w:tr>
    </w:tbl>
    <w:p>
      <w:pPr>
        <w:sectPr>
          <w:pgSz w:w="11900" w:h="16838" w:orient="portrait"/>
          <w:cols w:equalWidth="0" w:num="2">
            <w:col w:w="2820" w:space="720"/>
            <w:col w:w="6559"/>
          </w:cols>
          <w:pgMar w:left="360" w:top="189" w:right="1440" w:bottom="1440" w:gutter="0" w:footer="0" w:header="0"/>
          <w:type w:val="continuous"/>
        </w:sectPr>
      </w:pPr>
    </w:p>
    <w:bookmarkStart w:id="82" w:name="page83"/>
    <w:bookmarkEnd w:id="82"/>
    <w:p>
      <w:pPr>
        <w:jc w:val="center"/>
        <w:ind w:right="-1360"/>
        <w:spacing w:after="0"/>
        <w:rPr>
          <w:sz w:val="20"/>
          <w:szCs w:val="20"/>
          <w:color w:val="auto"/>
        </w:rPr>
      </w:pPr>
      <w:r>
        <w:rPr>
          <w:rFonts w:ascii="Times New Roman" w:cs="Times New Roman" w:eastAsia="Times New Roman" w:hAnsi="Times New Roman"/>
          <w:sz w:val="22"/>
          <w:szCs w:val="22"/>
          <w:b w:val="1"/>
          <w:bCs w:val="1"/>
          <w:color w:val="auto"/>
        </w:rPr>
        <w:t>Attachment B To</w:t>
      </w:r>
    </w:p>
    <w:p>
      <w:pPr>
        <w:spacing w:after="0" w:line="33" w:lineRule="exact"/>
        <w:rPr>
          <w:sz w:val="20"/>
          <w:szCs w:val="20"/>
          <w:color w:val="auto"/>
        </w:rPr>
      </w:pPr>
    </w:p>
    <w:p>
      <w:pPr>
        <w:jc w:val="center"/>
        <w:ind w:right="-1360"/>
        <w:spacing w:after="0"/>
        <w:rPr>
          <w:sz w:val="20"/>
          <w:szCs w:val="20"/>
          <w:color w:val="auto"/>
        </w:rPr>
      </w:pPr>
      <w:r>
        <w:rPr>
          <w:rFonts w:ascii="Times New Roman" w:cs="Times New Roman" w:eastAsia="Times New Roman" w:hAnsi="Times New Roman"/>
          <w:sz w:val="22"/>
          <w:szCs w:val="22"/>
          <w:b w:val="1"/>
          <w:bCs w:val="1"/>
          <w:color w:val="auto"/>
        </w:rPr>
        <w:t>Letter Agreement No. AAL-PA-03735-LA-1106651R15</w:t>
      </w:r>
    </w:p>
    <w:p>
      <w:pPr>
        <w:spacing w:after="0" w:line="17" w:lineRule="exact"/>
        <w:rPr>
          <w:sz w:val="20"/>
          <w:szCs w:val="20"/>
          <w:color w:val="auto"/>
        </w:rPr>
      </w:pPr>
    </w:p>
    <w:p>
      <w:pPr>
        <w:jc w:val="center"/>
        <w:ind w:right="-1360"/>
        <w:spacing w:after="0"/>
        <w:rPr>
          <w:sz w:val="20"/>
          <w:szCs w:val="20"/>
          <w:color w:val="auto"/>
        </w:rPr>
      </w:pPr>
      <w:r>
        <w:rPr>
          <w:rFonts w:ascii="Times New Roman" w:cs="Times New Roman" w:eastAsia="Times New Roman" w:hAnsi="Times New Roman"/>
          <w:sz w:val="21"/>
          <w:szCs w:val="21"/>
          <w:b w:val="1"/>
          <w:bCs w:val="1"/>
          <w:color w:val="auto"/>
        </w:rPr>
        <w:t xml:space="preserve">737-10 </w:t>
      </w:r>
      <w:r>
        <w:rPr>
          <w:rFonts w:ascii="Arial" w:cs="Arial" w:eastAsia="Arial" w:hAnsi="Arial"/>
          <w:sz w:val="21"/>
          <w:szCs w:val="21"/>
          <w:color w:val="auto"/>
        </w:rPr>
        <w:t>[****]</w:t>
      </w:r>
      <w:r>
        <w:rPr>
          <w:rFonts w:ascii="Times New Roman" w:cs="Times New Roman" w:eastAsia="Times New Roman" w:hAnsi="Times New Roman"/>
          <w:sz w:val="21"/>
          <w:szCs w:val="21"/>
          <w:b w:val="1"/>
          <w:bCs w:val="1"/>
          <w:color w:val="auto"/>
        </w:rPr>
        <w:t xml:space="preserve"> Aircraft Delivery, Description, Price and Advance Payments</w:t>
      </w:r>
    </w:p>
    <w:p>
      <w:pPr>
        <w:sectPr>
          <w:pgSz w:w="11900" w:h="16838" w:orient="portrait"/>
          <w:cols w:equalWidth="0" w:num="1">
            <w:col w:w="10099"/>
          </w:cols>
          <w:pgMar w:left="360" w:top="18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660"/>
        <w:spacing w:after="0" w:line="272" w:lineRule="auto"/>
        <w:rPr>
          <w:sz w:val="20"/>
          <w:szCs w:val="20"/>
          <w:color w:val="auto"/>
        </w:rPr>
      </w:pPr>
      <w:r>
        <w:rPr>
          <w:rFonts w:ascii="Arial" w:cs="Arial" w:eastAsia="Arial" w:hAnsi="Arial"/>
          <w:sz w:val="15"/>
          <w:szCs w:val="15"/>
          <w:color w:val="auto"/>
        </w:rPr>
        <w:t>AAL-PA-03735-LA-1106651R15 122666-1O.txt</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Attachment B - [****] Aircraft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6"/>
        </w:trPr>
        <w:tc>
          <w:tcPr>
            <w:tcW w:w="1660" w:type="dxa"/>
            <w:vAlign w:val="bottom"/>
            <w:tcBorders>
              <w:right w:val="single" w:sz="8" w:color="auto"/>
            </w:tcBorders>
          </w:tcPr>
          <w:p>
            <w:pPr>
              <w:spacing w:after="0"/>
              <w:rPr>
                <w:sz w:val="24"/>
                <w:szCs w:val="24"/>
                <w:color w:val="auto"/>
              </w:rPr>
            </w:pPr>
          </w:p>
        </w:tc>
        <w:tc>
          <w:tcPr>
            <w:tcW w:w="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Delivery</w:t>
            </w:r>
          </w:p>
        </w:tc>
        <w:tc>
          <w:tcPr>
            <w:tcW w:w="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Number</w:t>
            </w:r>
          </w:p>
        </w:tc>
        <w:tc>
          <w:tcPr>
            <w:tcW w:w="680" w:type="dxa"/>
            <w:vAlign w:val="bottom"/>
            <w:tcBorders>
              <w:top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b w:val="1"/>
                <w:bCs w:val="1"/>
                <w:color w:val="auto"/>
              </w:rPr>
              <w:t>Nominal</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6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of</w:t>
            </w:r>
          </w:p>
        </w:tc>
        <w:tc>
          <w:tcPr>
            <w:tcW w:w="68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Delivery</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660" w:type="dxa"/>
            <w:vAlign w:val="bottom"/>
            <w:tcBorders>
              <w:right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Date</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Aircraft</w:t>
            </w: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b w:val="1"/>
                <w:bCs w:val="1"/>
                <w:color w:val="auto"/>
              </w:rPr>
              <w:t>Month</w:t>
            </w: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1660" w:type="dxa"/>
            <w:vAlign w:val="bottom"/>
            <w:tcBorders>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[****]-2031</w:t>
            </w:r>
          </w:p>
        </w:tc>
        <w:tc>
          <w:tcPr>
            <w:tcW w:w="660" w:type="dxa"/>
            <w:vAlign w:val="bottom"/>
            <w:tcBorders>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[****]-2031</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0000FF"/>
              </w:rPr>
              <w:t>2</w:t>
            </w: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660" w:type="dxa"/>
            <w:vAlign w:val="bottom"/>
            <w:tcBorders>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[****]-2031</w:t>
            </w:r>
          </w:p>
        </w:tc>
        <w:tc>
          <w:tcPr>
            <w:tcW w:w="66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[****]-2031</w:t>
            </w:r>
          </w:p>
        </w:tc>
        <w:tc>
          <w:tcPr>
            <w:tcW w:w="660" w:type="dxa"/>
            <w:vAlign w:val="bottom"/>
            <w:tcBorders>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[****]-2031</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1</w:t>
            </w: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660" w:type="dxa"/>
            <w:vAlign w:val="bottom"/>
            <w:tcBorders>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[****]-2031</w:t>
            </w:r>
          </w:p>
        </w:tc>
        <w:tc>
          <w:tcPr>
            <w:tcW w:w="66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[****]-2031</w:t>
            </w:r>
          </w:p>
        </w:tc>
        <w:tc>
          <w:tcPr>
            <w:tcW w:w="660" w:type="dxa"/>
            <w:vAlign w:val="bottom"/>
            <w:tcBorders>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[****]-2031</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1</w:t>
            </w: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660" w:type="dxa"/>
            <w:vAlign w:val="bottom"/>
            <w:tcBorders>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[****]-2031</w:t>
            </w:r>
          </w:p>
        </w:tc>
        <w:tc>
          <w:tcPr>
            <w:tcW w:w="66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[****]-2031</w:t>
            </w:r>
          </w:p>
        </w:tc>
        <w:tc>
          <w:tcPr>
            <w:tcW w:w="660" w:type="dxa"/>
            <w:vAlign w:val="bottom"/>
            <w:tcBorders>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[****]-2031</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0000FF"/>
              </w:rPr>
              <w:t>2</w:t>
            </w: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660" w:type="dxa"/>
            <w:vAlign w:val="bottom"/>
            <w:tcBorders>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[****]-2031</w:t>
            </w:r>
          </w:p>
        </w:tc>
        <w:tc>
          <w:tcPr>
            <w:tcW w:w="66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[****]-2031</w:t>
            </w:r>
          </w:p>
        </w:tc>
        <w:tc>
          <w:tcPr>
            <w:tcW w:w="660" w:type="dxa"/>
            <w:vAlign w:val="bottom"/>
            <w:tcBorders>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[****]-2031</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0000FF"/>
              </w:rPr>
              <w:t>1</w:t>
            </w: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660" w:type="dxa"/>
            <w:vAlign w:val="bottom"/>
            <w:tcBorders>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[****]-2031</w:t>
            </w:r>
          </w:p>
        </w:tc>
        <w:tc>
          <w:tcPr>
            <w:tcW w:w="66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[****]-2032</w:t>
            </w:r>
          </w:p>
        </w:tc>
        <w:tc>
          <w:tcPr>
            <w:tcW w:w="660" w:type="dxa"/>
            <w:vAlign w:val="bottom"/>
            <w:tcBorders>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[****]-2032</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2</w:t>
            </w: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660" w:type="dxa"/>
            <w:vAlign w:val="bottom"/>
            <w:tcBorders>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[****]-2032</w:t>
            </w:r>
          </w:p>
        </w:tc>
        <w:tc>
          <w:tcPr>
            <w:tcW w:w="66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[****]-2032</w:t>
            </w:r>
          </w:p>
        </w:tc>
        <w:tc>
          <w:tcPr>
            <w:tcW w:w="660" w:type="dxa"/>
            <w:vAlign w:val="bottom"/>
            <w:tcBorders>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[****]-2032</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0000FF"/>
              </w:rPr>
              <w:t>2</w:t>
            </w: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660" w:type="dxa"/>
            <w:vAlign w:val="bottom"/>
            <w:tcBorders>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[****]-2032</w:t>
            </w:r>
          </w:p>
        </w:tc>
        <w:tc>
          <w:tcPr>
            <w:tcW w:w="66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[****]-2032</w:t>
            </w:r>
          </w:p>
        </w:tc>
        <w:tc>
          <w:tcPr>
            <w:tcW w:w="660" w:type="dxa"/>
            <w:vAlign w:val="bottom"/>
            <w:tcBorders>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[****]-2032</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2</w:t>
            </w: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660" w:type="dxa"/>
            <w:vAlign w:val="bottom"/>
            <w:tcBorders>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[****]-2032</w:t>
            </w:r>
          </w:p>
        </w:tc>
        <w:tc>
          <w:tcPr>
            <w:tcW w:w="66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[****]-2032</w:t>
            </w:r>
          </w:p>
        </w:tc>
        <w:tc>
          <w:tcPr>
            <w:tcW w:w="660" w:type="dxa"/>
            <w:vAlign w:val="bottom"/>
            <w:tcBorders>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[****]-2032</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0000FF"/>
              </w:rPr>
              <w:t>2</w:t>
            </w: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660" w:type="dxa"/>
            <w:vAlign w:val="bottom"/>
            <w:tcBorders>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[****]-2032</w:t>
            </w:r>
          </w:p>
        </w:tc>
        <w:tc>
          <w:tcPr>
            <w:tcW w:w="66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[****]-2032</w:t>
            </w:r>
          </w:p>
        </w:tc>
        <w:tc>
          <w:tcPr>
            <w:tcW w:w="660" w:type="dxa"/>
            <w:vAlign w:val="bottom"/>
            <w:tcBorders>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[****]-2032</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1</w:t>
            </w: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660" w:type="dxa"/>
            <w:vAlign w:val="bottom"/>
            <w:tcBorders>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[****]-2032</w:t>
            </w:r>
          </w:p>
        </w:tc>
        <w:tc>
          <w:tcPr>
            <w:tcW w:w="66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[****]-2032</w:t>
            </w:r>
          </w:p>
        </w:tc>
        <w:tc>
          <w:tcPr>
            <w:tcW w:w="660" w:type="dxa"/>
            <w:vAlign w:val="bottom"/>
            <w:tcBorders>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[****]-2032</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0000FF"/>
              </w:rPr>
              <w:t>2</w:t>
            </w: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660" w:type="dxa"/>
            <w:vAlign w:val="bottom"/>
            <w:tcBorders>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[****]-2032</w:t>
            </w:r>
          </w:p>
        </w:tc>
        <w:tc>
          <w:tcPr>
            <w:tcW w:w="66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[****]-2032</w:t>
            </w:r>
          </w:p>
        </w:tc>
        <w:tc>
          <w:tcPr>
            <w:tcW w:w="660" w:type="dxa"/>
            <w:vAlign w:val="bottom"/>
            <w:tcBorders>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[****]-2032</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1</w:t>
            </w: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660" w:type="dxa"/>
            <w:vAlign w:val="bottom"/>
            <w:tcBorders>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[****]-2032</w:t>
            </w:r>
          </w:p>
        </w:tc>
        <w:tc>
          <w:tcPr>
            <w:tcW w:w="66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[****]-2032</w:t>
            </w:r>
          </w:p>
        </w:tc>
        <w:tc>
          <w:tcPr>
            <w:tcW w:w="660" w:type="dxa"/>
            <w:vAlign w:val="bottom"/>
            <w:tcBorders>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[****]-2032</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1</w:t>
            </w: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660" w:type="dxa"/>
            <w:vAlign w:val="bottom"/>
            <w:tcBorders>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[****]-2032</w:t>
            </w:r>
          </w:p>
        </w:tc>
        <w:tc>
          <w:tcPr>
            <w:tcW w:w="66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3160" w:type="dxa"/>
            <w:vAlign w:val="bottom"/>
            <w:gridSpan w:val="3"/>
            <w:vMerge w:val="restart"/>
          </w:tcPr>
          <w:p>
            <w:pPr>
              <w:spacing w:after="0"/>
              <w:rPr>
                <w:sz w:val="20"/>
                <w:szCs w:val="20"/>
                <w:color w:val="auto"/>
              </w:rPr>
            </w:pPr>
            <w:r>
              <w:rPr>
                <w:rFonts w:ascii="Arial" w:cs="Arial" w:eastAsia="Arial" w:hAnsi="Arial"/>
                <w:sz w:val="19"/>
                <w:szCs w:val="19"/>
                <w:b w:val="1"/>
                <w:bCs w:val="1"/>
                <w:color w:val="auto"/>
              </w:rPr>
              <w:t>Boeing and American Proprietary</w:t>
            </w:r>
          </w:p>
        </w:tc>
        <w:tc>
          <w:tcPr>
            <w:tcW w:w="680" w:type="dxa"/>
            <w:vAlign w:val="bottom"/>
          </w:tcPr>
          <w:p>
            <w:pPr>
              <w:spacing w:after="0"/>
              <w:rPr>
                <w:sz w:val="24"/>
                <w:szCs w:val="24"/>
                <w:color w:val="auto"/>
              </w:rPr>
            </w:pPr>
          </w:p>
        </w:tc>
        <w:tc>
          <w:tcPr>
            <w:tcW w:w="1320" w:type="dxa"/>
            <w:vAlign w:val="bottom"/>
          </w:tcPr>
          <w:p>
            <w:pPr>
              <w:jc w:val="center"/>
              <w:ind w:left="784"/>
              <w:spacing w:after="0"/>
              <w:rPr>
                <w:sz w:val="20"/>
                <w:szCs w:val="20"/>
                <w:color w:val="auto"/>
              </w:rPr>
            </w:pPr>
            <w:r>
              <w:rPr>
                <w:rFonts w:ascii="Arial" w:cs="Arial" w:eastAsia="Arial" w:hAnsi="Arial"/>
                <w:sz w:val="15"/>
                <w:szCs w:val="15"/>
                <w:color w:val="auto"/>
              </w:rPr>
              <w:t>SA-34</w:t>
            </w:r>
          </w:p>
        </w:tc>
        <w:tc>
          <w:tcPr>
            <w:tcW w:w="0" w:type="dxa"/>
            <w:vAlign w:val="bottom"/>
          </w:tcPr>
          <w:p>
            <w:pPr>
              <w:spacing w:after="0"/>
              <w:rPr>
                <w:sz w:val="1"/>
                <w:szCs w:val="1"/>
                <w:color w:val="auto"/>
              </w:rPr>
            </w:pPr>
          </w:p>
        </w:tc>
      </w:tr>
      <w:tr>
        <w:trPr>
          <w:trHeight w:val="211"/>
        </w:trPr>
        <w:tc>
          <w:tcPr>
            <w:tcW w:w="3160" w:type="dxa"/>
            <w:vAlign w:val="bottom"/>
            <w:gridSpan w:val="3"/>
            <w:vMerge w:val="continue"/>
          </w:tcPr>
          <w:p>
            <w:pPr>
              <w:spacing w:after="0"/>
              <w:rPr>
                <w:sz w:val="18"/>
                <w:szCs w:val="18"/>
                <w:color w:val="auto"/>
              </w:rPr>
            </w:pPr>
          </w:p>
        </w:tc>
        <w:tc>
          <w:tcPr>
            <w:tcW w:w="680" w:type="dxa"/>
            <w:vAlign w:val="bottom"/>
          </w:tcPr>
          <w:p>
            <w:pPr>
              <w:spacing w:after="0"/>
              <w:rPr>
                <w:sz w:val="18"/>
                <w:szCs w:val="18"/>
                <w:color w:val="auto"/>
              </w:rPr>
            </w:pPr>
          </w:p>
        </w:tc>
        <w:tc>
          <w:tcPr>
            <w:tcW w:w="1320" w:type="dxa"/>
            <w:vAlign w:val="bottom"/>
          </w:tcPr>
          <w:p>
            <w:pPr>
              <w:jc w:val="center"/>
              <w:ind w:left="764"/>
              <w:spacing w:after="0"/>
              <w:rPr>
                <w:sz w:val="20"/>
                <w:szCs w:val="20"/>
                <w:color w:val="auto"/>
              </w:rPr>
            </w:pPr>
            <w:r>
              <w:rPr>
                <w:rFonts w:ascii="Arial" w:cs="Arial" w:eastAsia="Arial" w:hAnsi="Arial"/>
                <w:sz w:val="15"/>
                <w:szCs w:val="15"/>
                <w:color w:val="auto"/>
              </w:rPr>
              <w:t>Page 3</w:t>
            </w:r>
          </w:p>
        </w:tc>
        <w:tc>
          <w:tcPr>
            <w:tcW w:w="0" w:type="dxa"/>
            <w:vAlign w:val="bottom"/>
          </w:tcPr>
          <w:p>
            <w:pPr>
              <w:spacing w:after="0"/>
              <w:rPr>
                <w:sz w:val="1"/>
                <w:szCs w:val="1"/>
                <w:color w:val="auto"/>
              </w:rPr>
            </w:pPr>
          </w:p>
        </w:tc>
      </w:tr>
    </w:tbl>
    <w:p>
      <w:pPr>
        <w:sectPr>
          <w:pgSz w:w="11900" w:h="16838" w:orient="portrait"/>
          <w:cols w:equalWidth="0" w:num="2">
            <w:col w:w="2820" w:space="720"/>
            <w:col w:w="6559"/>
          </w:cols>
          <w:pgMar w:left="360" w:top="189" w:right="1440" w:bottom="1440" w:gutter="0" w:footer="0" w:header="0"/>
          <w:type w:val="continuous"/>
        </w:sectPr>
      </w:pPr>
    </w:p>
    <w:bookmarkStart w:id="83" w:name="page84"/>
    <w:bookmarkEnd w:id="83"/>
    <w:p>
      <w:pPr>
        <w:jc w:val="center"/>
        <w:ind w:right="-1360"/>
        <w:spacing w:after="0"/>
        <w:rPr>
          <w:sz w:val="20"/>
          <w:szCs w:val="20"/>
          <w:color w:val="auto"/>
        </w:rPr>
      </w:pPr>
      <w:r>
        <w:rPr>
          <w:rFonts w:ascii="Times New Roman" w:cs="Times New Roman" w:eastAsia="Times New Roman" w:hAnsi="Times New Roman"/>
          <w:sz w:val="22"/>
          <w:szCs w:val="22"/>
          <w:b w:val="1"/>
          <w:bCs w:val="1"/>
          <w:color w:val="auto"/>
        </w:rPr>
        <w:t>Attachment B To</w:t>
      </w:r>
    </w:p>
    <w:p>
      <w:pPr>
        <w:spacing w:after="0" w:line="33" w:lineRule="exact"/>
        <w:rPr>
          <w:sz w:val="20"/>
          <w:szCs w:val="20"/>
          <w:color w:val="auto"/>
        </w:rPr>
      </w:pPr>
    </w:p>
    <w:p>
      <w:pPr>
        <w:jc w:val="center"/>
        <w:ind w:right="-1360"/>
        <w:spacing w:after="0"/>
        <w:rPr>
          <w:sz w:val="20"/>
          <w:szCs w:val="20"/>
          <w:color w:val="auto"/>
        </w:rPr>
      </w:pPr>
      <w:r>
        <w:rPr>
          <w:rFonts w:ascii="Times New Roman" w:cs="Times New Roman" w:eastAsia="Times New Roman" w:hAnsi="Times New Roman"/>
          <w:sz w:val="22"/>
          <w:szCs w:val="22"/>
          <w:b w:val="1"/>
          <w:bCs w:val="1"/>
          <w:color w:val="auto"/>
        </w:rPr>
        <w:t>Letter Agreement No. AAL-PA-03735-LA-1106651R15</w:t>
      </w:r>
    </w:p>
    <w:p>
      <w:pPr>
        <w:spacing w:after="0" w:line="17" w:lineRule="exact"/>
        <w:rPr>
          <w:sz w:val="20"/>
          <w:szCs w:val="20"/>
          <w:color w:val="auto"/>
        </w:rPr>
      </w:pPr>
    </w:p>
    <w:p>
      <w:pPr>
        <w:jc w:val="center"/>
        <w:ind w:right="-1360"/>
        <w:spacing w:after="0"/>
        <w:rPr>
          <w:sz w:val="20"/>
          <w:szCs w:val="20"/>
          <w:color w:val="auto"/>
        </w:rPr>
      </w:pPr>
      <w:r>
        <w:rPr>
          <w:rFonts w:ascii="Times New Roman" w:cs="Times New Roman" w:eastAsia="Times New Roman" w:hAnsi="Times New Roman"/>
          <w:sz w:val="21"/>
          <w:szCs w:val="21"/>
          <w:b w:val="1"/>
          <w:bCs w:val="1"/>
          <w:color w:val="auto"/>
        </w:rPr>
        <w:t xml:space="preserve">737-10 </w:t>
      </w:r>
      <w:r>
        <w:rPr>
          <w:rFonts w:ascii="Arial" w:cs="Arial" w:eastAsia="Arial" w:hAnsi="Arial"/>
          <w:sz w:val="21"/>
          <w:szCs w:val="21"/>
          <w:color w:val="auto"/>
        </w:rPr>
        <w:t>[****]</w:t>
      </w:r>
      <w:r>
        <w:rPr>
          <w:rFonts w:ascii="Times New Roman" w:cs="Times New Roman" w:eastAsia="Times New Roman" w:hAnsi="Times New Roman"/>
          <w:sz w:val="21"/>
          <w:szCs w:val="21"/>
          <w:b w:val="1"/>
          <w:bCs w:val="1"/>
          <w:color w:val="auto"/>
        </w:rPr>
        <w:t xml:space="preserve"> Aircraft Delivery, Description, Price and Advance Payments</w:t>
      </w:r>
    </w:p>
    <w:p>
      <w:pPr>
        <w:sectPr>
          <w:pgSz w:w="11900" w:h="16838" w:orient="portrait"/>
          <w:cols w:equalWidth="0" w:num="1">
            <w:col w:w="10099"/>
          </w:cols>
          <w:pgMar w:left="360" w:top="18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660"/>
        <w:spacing w:after="0" w:line="272" w:lineRule="auto"/>
        <w:rPr>
          <w:sz w:val="20"/>
          <w:szCs w:val="20"/>
          <w:color w:val="auto"/>
        </w:rPr>
      </w:pPr>
      <w:r>
        <w:rPr>
          <w:rFonts w:ascii="Arial" w:cs="Arial" w:eastAsia="Arial" w:hAnsi="Arial"/>
          <w:sz w:val="15"/>
          <w:szCs w:val="15"/>
          <w:color w:val="auto"/>
        </w:rPr>
        <w:t>AAL-PA-03735-LA-1106651R15 122666-1O.txt</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Attachment B - [****] Aircraft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6"/>
        </w:trPr>
        <w:tc>
          <w:tcPr>
            <w:tcW w:w="1660" w:type="dxa"/>
            <w:vAlign w:val="bottom"/>
            <w:tcBorders>
              <w:right w:val="single" w:sz="8" w:color="auto"/>
            </w:tcBorders>
          </w:tcPr>
          <w:p>
            <w:pPr>
              <w:spacing w:after="0"/>
              <w:rPr>
                <w:sz w:val="24"/>
                <w:szCs w:val="24"/>
                <w:color w:val="auto"/>
              </w:rPr>
            </w:pPr>
          </w:p>
        </w:tc>
        <w:tc>
          <w:tcPr>
            <w:tcW w:w="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Delivery</w:t>
            </w:r>
          </w:p>
        </w:tc>
        <w:tc>
          <w:tcPr>
            <w:tcW w:w="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Number</w:t>
            </w:r>
          </w:p>
        </w:tc>
        <w:tc>
          <w:tcPr>
            <w:tcW w:w="680" w:type="dxa"/>
            <w:vAlign w:val="bottom"/>
            <w:tcBorders>
              <w:top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b w:val="1"/>
                <w:bCs w:val="1"/>
                <w:color w:val="auto"/>
              </w:rPr>
              <w:t>Nominal</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6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of</w:t>
            </w:r>
          </w:p>
        </w:tc>
        <w:tc>
          <w:tcPr>
            <w:tcW w:w="68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Delivery</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660" w:type="dxa"/>
            <w:vAlign w:val="bottom"/>
            <w:tcBorders>
              <w:right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Date</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Aircraft</w:t>
            </w: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b w:val="1"/>
                <w:bCs w:val="1"/>
                <w:color w:val="auto"/>
              </w:rPr>
              <w:t>Month</w:t>
            </w: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1660" w:type="dxa"/>
            <w:vAlign w:val="bottom"/>
            <w:tcBorders>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[****]-2032</w:t>
            </w:r>
          </w:p>
        </w:tc>
        <w:tc>
          <w:tcPr>
            <w:tcW w:w="660" w:type="dxa"/>
            <w:vAlign w:val="bottom"/>
            <w:tcBorders>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[****]-2032</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0000FF"/>
              </w:rPr>
              <w:t>1</w:t>
            </w: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660" w:type="dxa"/>
            <w:vAlign w:val="bottom"/>
            <w:tcBorders>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[****]-2032</w:t>
            </w:r>
          </w:p>
        </w:tc>
        <w:tc>
          <w:tcPr>
            <w:tcW w:w="66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[****]-2032</w:t>
            </w:r>
          </w:p>
        </w:tc>
        <w:tc>
          <w:tcPr>
            <w:tcW w:w="660" w:type="dxa"/>
            <w:vAlign w:val="bottom"/>
            <w:tcBorders>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[****]-2032</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0000FF"/>
              </w:rPr>
              <w:t>1</w:t>
            </w: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660" w:type="dxa"/>
            <w:vAlign w:val="bottom"/>
            <w:tcBorders>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[****]-2033</w:t>
            </w:r>
          </w:p>
        </w:tc>
        <w:tc>
          <w:tcPr>
            <w:tcW w:w="66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[****]-2033</w:t>
            </w:r>
          </w:p>
        </w:tc>
        <w:tc>
          <w:tcPr>
            <w:tcW w:w="660" w:type="dxa"/>
            <w:vAlign w:val="bottom"/>
            <w:tcBorders>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[****]-2033</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1</w:t>
            </w: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660" w:type="dxa"/>
            <w:vAlign w:val="bottom"/>
            <w:tcBorders>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[****]-2033</w:t>
            </w:r>
          </w:p>
        </w:tc>
        <w:tc>
          <w:tcPr>
            <w:tcW w:w="66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[****]-2033</w:t>
            </w:r>
          </w:p>
        </w:tc>
        <w:tc>
          <w:tcPr>
            <w:tcW w:w="660" w:type="dxa"/>
            <w:vAlign w:val="bottom"/>
            <w:tcBorders>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[****]-2033</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1</w:t>
            </w: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660" w:type="dxa"/>
            <w:vAlign w:val="bottom"/>
            <w:tcBorders>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[****]-2033</w:t>
            </w:r>
          </w:p>
        </w:tc>
        <w:tc>
          <w:tcPr>
            <w:tcW w:w="66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[****]-2033</w:t>
            </w:r>
          </w:p>
        </w:tc>
        <w:tc>
          <w:tcPr>
            <w:tcW w:w="660" w:type="dxa"/>
            <w:vAlign w:val="bottom"/>
            <w:tcBorders>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[****]-2033</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1</w:t>
            </w: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660" w:type="dxa"/>
            <w:vAlign w:val="bottom"/>
            <w:tcBorders>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[****]-2033</w:t>
            </w:r>
          </w:p>
        </w:tc>
        <w:tc>
          <w:tcPr>
            <w:tcW w:w="66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[****]-2033</w:t>
            </w:r>
          </w:p>
        </w:tc>
        <w:tc>
          <w:tcPr>
            <w:tcW w:w="660" w:type="dxa"/>
            <w:vAlign w:val="bottom"/>
            <w:tcBorders>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[****]-2033</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1</w:t>
            </w: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660" w:type="dxa"/>
            <w:vAlign w:val="bottom"/>
            <w:tcBorders>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[****]-2033</w:t>
            </w:r>
          </w:p>
        </w:tc>
        <w:tc>
          <w:tcPr>
            <w:tcW w:w="66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[****]-2033</w:t>
            </w:r>
          </w:p>
        </w:tc>
        <w:tc>
          <w:tcPr>
            <w:tcW w:w="660" w:type="dxa"/>
            <w:vAlign w:val="bottom"/>
            <w:tcBorders>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[****]-2033</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2</w:t>
            </w: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660" w:type="dxa"/>
            <w:vAlign w:val="bottom"/>
            <w:tcBorders>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[****]-2033</w:t>
            </w:r>
          </w:p>
        </w:tc>
        <w:tc>
          <w:tcPr>
            <w:tcW w:w="66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[****]-2033</w:t>
            </w:r>
          </w:p>
        </w:tc>
        <w:tc>
          <w:tcPr>
            <w:tcW w:w="660" w:type="dxa"/>
            <w:vAlign w:val="bottom"/>
            <w:tcBorders>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[****]-2033</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1</w:t>
            </w: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660" w:type="dxa"/>
            <w:vAlign w:val="bottom"/>
            <w:tcBorders>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[****]-2033</w:t>
            </w:r>
          </w:p>
        </w:tc>
        <w:tc>
          <w:tcPr>
            <w:tcW w:w="66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[****]-2033</w:t>
            </w:r>
          </w:p>
        </w:tc>
        <w:tc>
          <w:tcPr>
            <w:tcW w:w="660" w:type="dxa"/>
            <w:vAlign w:val="bottom"/>
            <w:tcBorders>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[****]-2033</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2</w:t>
            </w: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660" w:type="dxa"/>
            <w:vAlign w:val="bottom"/>
            <w:tcBorders>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[****]-2033</w:t>
            </w:r>
          </w:p>
        </w:tc>
        <w:tc>
          <w:tcPr>
            <w:tcW w:w="66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[****]-2033</w:t>
            </w:r>
          </w:p>
        </w:tc>
        <w:tc>
          <w:tcPr>
            <w:tcW w:w="660" w:type="dxa"/>
            <w:vAlign w:val="bottom"/>
            <w:tcBorders>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[****]-2033</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1</w:t>
            </w: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660" w:type="dxa"/>
            <w:vAlign w:val="bottom"/>
            <w:tcBorders>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[****]-2033</w:t>
            </w:r>
          </w:p>
        </w:tc>
        <w:tc>
          <w:tcPr>
            <w:tcW w:w="66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[****]-2034</w:t>
            </w:r>
          </w:p>
        </w:tc>
        <w:tc>
          <w:tcPr>
            <w:tcW w:w="660" w:type="dxa"/>
            <w:vAlign w:val="bottom"/>
            <w:tcBorders>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[****]-2034</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2</w:t>
            </w: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660" w:type="dxa"/>
            <w:vAlign w:val="bottom"/>
            <w:tcBorders>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[****]-2034</w:t>
            </w:r>
          </w:p>
        </w:tc>
        <w:tc>
          <w:tcPr>
            <w:tcW w:w="66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[****]-2034</w:t>
            </w:r>
          </w:p>
        </w:tc>
        <w:tc>
          <w:tcPr>
            <w:tcW w:w="660" w:type="dxa"/>
            <w:vAlign w:val="bottom"/>
            <w:tcBorders>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[****]-2034</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1</w:t>
            </w: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660" w:type="dxa"/>
            <w:vAlign w:val="bottom"/>
            <w:tcBorders>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[****]-2034</w:t>
            </w:r>
          </w:p>
        </w:tc>
        <w:tc>
          <w:tcPr>
            <w:tcW w:w="66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[****]-2034</w:t>
            </w:r>
          </w:p>
        </w:tc>
        <w:tc>
          <w:tcPr>
            <w:tcW w:w="660" w:type="dxa"/>
            <w:vAlign w:val="bottom"/>
            <w:tcBorders>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[****]-2034</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1</w:t>
            </w: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660" w:type="dxa"/>
            <w:vAlign w:val="bottom"/>
            <w:tcBorders>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[****]-2034</w:t>
            </w:r>
          </w:p>
        </w:tc>
        <w:tc>
          <w:tcPr>
            <w:tcW w:w="66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3160" w:type="dxa"/>
            <w:vAlign w:val="bottom"/>
            <w:gridSpan w:val="3"/>
            <w:vMerge w:val="restart"/>
          </w:tcPr>
          <w:p>
            <w:pPr>
              <w:spacing w:after="0"/>
              <w:rPr>
                <w:sz w:val="20"/>
                <w:szCs w:val="20"/>
                <w:color w:val="auto"/>
              </w:rPr>
            </w:pPr>
            <w:r>
              <w:rPr>
                <w:rFonts w:ascii="Arial" w:cs="Arial" w:eastAsia="Arial" w:hAnsi="Arial"/>
                <w:sz w:val="19"/>
                <w:szCs w:val="19"/>
                <w:b w:val="1"/>
                <w:bCs w:val="1"/>
                <w:color w:val="auto"/>
              </w:rPr>
              <w:t>Boeing and American Proprietary</w:t>
            </w:r>
          </w:p>
        </w:tc>
        <w:tc>
          <w:tcPr>
            <w:tcW w:w="680" w:type="dxa"/>
            <w:vAlign w:val="bottom"/>
          </w:tcPr>
          <w:p>
            <w:pPr>
              <w:spacing w:after="0"/>
              <w:rPr>
                <w:sz w:val="24"/>
                <w:szCs w:val="24"/>
                <w:color w:val="auto"/>
              </w:rPr>
            </w:pPr>
          </w:p>
        </w:tc>
        <w:tc>
          <w:tcPr>
            <w:tcW w:w="1320" w:type="dxa"/>
            <w:vAlign w:val="bottom"/>
          </w:tcPr>
          <w:p>
            <w:pPr>
              <w:jc w:val="center"/>
              <w:ind w:left="784"/>
              <w:spacing w:after="0"/>
              <w:rPr>
                <w:sz w:val="20"/>
                <w:szCs w:val="20"/>
                <w:color w:val="auto"/>
              </w:rPr>
            </w:pPr>
            <w:r>
              <w:rPr>
                <w:rFonts w:ascii="Arial" w:cs="Arial" w:eastAsia="Arial" w:hAnsi="Arial"/>
                <w:sz w:val="15"/>
                <w:szCs w:val="15"/>
                <w:color w:val="auto"/>
              </w:rPr>
              <w:t>SA-34</w:t>
            </w:r>
          </w:p>
        </w:tc>
        <w:tc>
          <w:tcPr>
            <w:tcW w:w="0" w:type="dxa"/>
            <w:vAlign w:val="bottom"/>
          </w:tcPr>
          <w:p>
            <w:pPr>
              <w:spacing w:after="0"/>
              <w:rPr>
                <w:sz w:val="1"/>
                <w:szCs w:val="1"/>
                <w:color w:val="auto"/>
              </w:rPr>
            </w:pPr>
          </w:p>
        </w:tc>
      </w:tr>
      <w:tr>
        <w:trPr>
          <w:trHeight w:val="211"/>
        </w:trPr>
        <w:tc>
          <w:tcPr>
            <w:tcW w:w="3160" w:type="dxa"/>
            <w:vAlign w:val="bottom"/>
            <w:gridSpan w:val="3"/>
            <w:vMerge w:val="continue"/>
          </w:tcPr>
          <w:p>
            <w:pPr>
              <w:spacing w:after="0"/>
              <w:rPr>
                <w:sz w:val="18"/>
                <w:szCs w:val="18"/>
                <w:color w:val="auto"/>
              </w:rPr>
            </w:pPr>
          </w:p>
        </w:tc>
        <w:tc>
          <w:tcPr>
            <w:tcW w:w="680" w:type="dxa"/>
            <w:vAlign w:val="bottom"/>
          </w:tcPr>
          <w:p>
            <w:pPr>
              <w:spacing w:after="0"/>
              <w:rPr>
                <w:sz w:val="18"/>
                <w:szCs w:val="18"/>
                <w:color w:val="auto"/>
              </w:rPr>
            </w:pPr>
          </w:p>
        </w:tc>
        <w:tc>
          <w:tcPr>
            <w:tcW w:w="1320" w:type="dxa"/>
            <w:vAlign w:val="bottom"/>
          </w:tcPr>
          <w:p>
            <w:pPr>
              <w:jc w:val="center"/>
              <w:ind w:left="764"/>
              <w:spacing w:after="0"/>
              <w:rPr>
                <w:sz w:val="20"/>
                <w:szCs w:val="20"/>
                <w:color w:val="auto"/>
              </w:rPr>
            </w:pPr>
            <w:r>
              <w:rPr>
                <w:rFonts w:ascii="Arial" w:cs="Arial" w:eastAsia="Arial" w:hAnsi="Arial"/>
                <w:sz w:val="15"/>
                <w:szCs w:val="15"/>
                <w:color w:val="auto"/>
              </w:rPr>
              <w:t>Page 4</w:t>
            </w:r>
          </w:p>
        </w:tc>
        <w:tc>
          <w:tcPr>
            <w:tcW w:w="0" w:type="dxa"/>
            <w:vAlign w:val="bottom"/>
          </w:tcPr>
          <w:p>
            <w:pPr>
              <w:spacing w:after="0"/>
              <w:rPr>
                <w:sz w:val="1"/>
                <w:szCs w:val="1"/>
                <w:color w:val="auto"/>
              </w:rPr>
            </w:pPr>
          </w:p>
        </w:tc>
      </w:tr>
    </w:tbl>
    <w:p>
      <w:pPr>
        <w:sectPr>
          <w:pgSz w:w="11900" w:h="16838" w:orient="portrait"/>
          <w:cols w:equalWidth="0" w:num="2">
            <w:col w:w="2820" w:space="720"/>
            <w:col w:w="6559"/>
          </w:cols>
          <w:pgMar w:left="360" w:top="189" w:right="1440" w:bottom="1440" w:gutter="0" w:footer="0" w:header="0"/>
          <w:type w:val="continuous"/>
        </w:sectPr>
      </w:pPr>
    </w:p>
    <w:bookmarkStart w:id="84" w:name="page85"/>
    <w:bookmarkEnd w:id="84"/>
    <w:p>
      <w:pPr>
        <w:jc w:val="center"/>
        <w:ind w:right="-1360"/>
        <w:spacing w:after="0"/>
        <w:rPr>
          <w:sz w:val="20"/>
          <w:szCs w:val="20"/>
          <w:color w:val="auto"/>
        </w:rPr>
      </w:pPr>
      <w:r>
        <w:rPr>
          <w:rFonts w:ascii="Times New Roman" w:cs="Times New Roman" w:eastAsia="Times New Roman" w:hAnsi="Times New Roman"/>
          <w:sz w:val="22"/>
          <w:szCs w:val="22"/>
          <w:b w:val="1"/>
          <w:bCs w:val="1"/>
          <w:color w:val="auto"/>
        </w:rPr>
        <w:t>Attachment B To</w:t>
      </w:r>
    </w:p>
    <w:p>
      <w:pPr>
        <w:spacing w:after="0" w:line="33" w:lineRule="exact"/>
        <w:rPr>
          <w:sz w:val="20"/>
          <w:szCs w:val="20"/>
          <w:color w:val="auto"/>
        </w:rPr>
      </w:pPr>
    </w:p>
    <w:p>
      <w:pPr>
        <w:jc w:val="center"/>
        <w:ind w:right="-1360"/>
        <w:spacing w:after="0"/>
        <w:rPr>
          <w:sz w:val="20"/>
          <w:szCs w:val="20"/>
          <w:color w:val="auto"/>
        </w:rPr>
      </w:pPr>
      <w:r>
        <w:rPr>
          <w:rFonts w:ascii="Times New Roman" w:cs="Times New Roman" w:eastAsia="Times New Roman" w:hAnsi="Times New Roman"/>
          <w:sz w:val="22"/>
          <w:szCs w:val="22"/>
          <w:b w:val="1"/>
          <w:bCs w:val="1"/>
          <w:color w:val="auto"/>
        </w:rPr>
        <w:t>Letter Agreement No. AAL-PA-03735-LA-1106651R15</w:t>
      </w:r>
    </w:p>
    <w:p>
      <w:pPr>
        <w:spacing w:after="0" w:line="17" w:lineRule="exact"/>
        <w:rPr>
          <w:sz w:val="20"/>
          <w:szCs w:val="20"/>
          <w:color w:val="auto"/>
        </w:rPr>
      </w:pPr>
    </w:p>
    <w:p>
      <w:pPr>
        <w:jc w:val="center"/>
        <w:ind w:right="-1360"/>
        <w:spacing w:after="0"/>
        <w:rPr>
          <w:sz w:val="20"/>
          <w:szCs w:val="20"/>
          <w:color w:val="auto"/>
        </w:rPr>
      </w:pPr>
      <w:r>
        <w:rPr>
          <w:rFonts w:ascii="Times New Roman" w:cs="Times New Roman" w:eastAsia="Times New Roman" w:hAnsi="Times New Roman"/>
          <w:sz w:val="21"/>
          <w:szCs w:val="21"/>
          <w:b w:val="1"/>
          <w:bCs w:val="1"/>
          <w:color w:val="auto"/>
        </w:rPr>
        <w:t xml:space="preserve">737-10 </w:t>
      </w:r>
      <w:r>
        <w:rPr>
          <w:rFonts w:ascii="Arial" w:cs="Arial" w:eastAsia="Arial" w:hAnsi="Arial"/>
          <w:sz w:val="21"/>
          <w:szCs w:val="21"/>
          <w:color w:val="auto"/>
        </w:rPr>
        <w:t>[****]</w:t>
      </w:r>
      <w:r>
        <w:rPr>
          <w:rFonts w:ascii="Times New Roman" w:cs="Times New Roman" w:eastAsia="Times New Roman" w:hAnsi="Times New Roman"/>
          <w:sz w:val="21"/>
          <w:szCs w:val="21"/>
          <w:b w:val="1"/>
          <w:bCs w:val="1"/>
          <w:color w:val="auto"/>
        </w:rPr>
        <w:t xml:space="preserve"> Aircraft Delivery, Description, Price and Advance Payments</w:t>
      </w:r>
    </w:p>
    <w:p>
      <w:pPr>
        <w:sectPr>
          <w:pgSz w:w="11900" w:h="16838" w:orient="portrait"/>
          <w:cols w:equalWidth="0" w:num="1">
            <w:col w:w="10099"/>
          </w:cols>
          <w:pgMar w:left="360" w:top="18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660"/>
        <w:spacing w:after="0" w:line="272" w:lineRule="auto"/>
        <w:rPr>
          <w:sz w:val="20"/>
          <w:szCs w:val="20"/>
          <w:color w:val="auto"/>
        </w:rPr>
      </w:pPr>
      <w:r>
        <w:rPr>
          <w:rFonts w:ascii="Arial" w:cs="Arial" w:eastAsia="Arial" w:hAnsi="Arial"/>
          <w:sz w:val="15"/>
          <w:szCs w:val="15"/>
          <w:color w:val="auto"/>
        </w:rPr>
        <w:t>AAL-PA-03735-LA-1106651R15 122666-1O.txt</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Attachment B - [****] Aircraft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6"/>
        </w:trPr>
        <w:tc>
          <w:tcPr>
            <w:tcW w:w="1660" w:type="dxa"/>
            <w:vAlign w:val="bottom"/>
            <w:tcBorders>
              <w:right w:val="single" w:sz="8" w:color="auto"/>
            </w:tcBorders>
          </w:tcPr>
          <w:p>
            <w:pPr>
              <w:spacing w:after="0"/>
              <w:rPr>
                <w:sz w:val="24"/>
                <w:szCs w:val="24"/>
                <w:color w:val="auto"/>
              </w:rPr>
            </w:pPr>
          </w:p>
        </w:tc>
        <w:tc>
          <w:tcPr>
            <w:tcW w:w="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Delivery</w:t>
            </w:r>
          </w:p>
        </w:tc>
        <w:tc>
          <w:tcPr>
            <w:tcW w:w="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Number</w:t>
            </w:r>
          </w:p>
        </w:tc>
        <w:tc>
          <w:tcPr>
            <w:tcW w:w="680" w:type="dxa"/>
            <w:vAlign w:val="bottom"/>
            <w:tcBorders>
              <w:top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b w:val="1"/>
                <w:bCs w:val="1"/>
                <w:color w:val="auto"/>
              </w:rPr>
              <w:t>Nominal</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6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of</w:t>
            </w:r>
          </w:p>
        </w:tc>
        <w:tc>
          <w:tcPr>
            <w:tcW w:w="68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Delivery</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660" w:type="dxa"/>
            <w:vAlign w:val="bottom"/>
            <w:tcBorders>
              <w:right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Date</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Aircraft</w:t>
            </w: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b w:val="1"/>
                <w:bCs w:val="1"/>
                <w:color w:val="auto"/>
              </w:rPr>
              <w:t>Month</w:t>
            </w: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1660" w:type="dxa"/>
            <w:vAlign w:val="bottom"/>
            <w:tcBorders>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[****]-2034</w:t>
            </w:r>
          </w:p>
        </w:tc>
        <w:tc>
          <w:tcPr>
            <w:tcW w:w="660" w:type="dxa"/>
            <w:vAlign w:val="bottom"/>
            <w:tcBorders>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[****]-2034</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1</w:t>
            </w: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660" w:type="dxa"/>
            <w:vAlign w:val="bottom"/>
            <w:tcBorders>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[****]-2034</w:t>
            </w:r>
          </w:p>
        </w:tc>
        <w:tc>
          <w:tcPr>
            <w:tcW w:w="66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[****]-2034</w:t>
            </w:r>
          </w:p>
        </w:tc>
        <w:tc>
          <w:tcPr>
            <w:tcW w:w="660" w:type="dxa"/>
            <w:vAlign w:val="bottom"/>
            <w:tcBorders>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[****]-2034</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1</w:t>
            </w: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660" w:type="dxa"/>
            <w:vAlign w:val="bottom"/>
            <w:tcBorders>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[****]-2034</w:t>
            </w:r>
          </w:p>
        </w:tc>
        <w:tc>
          <w:tcPr>
            <w:tcW w:w="66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[****]-2034</w:t>
            </w:r>
          </w:p>
        </w:tc>
        <w:tc>
          <w:tcPr>
            <w:tcW w:w="660" w:type="dxa"/>
            <w:vAlign w:val="bottom"/>
            <w:tcBorders>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[****]-2034</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2</w:t>
            </w: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660" w:type="dxa"/>
            <w:vAlign w:val="bottom"/>
            <w:tcBorders>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[****]-2034</w:t>
            </w:r>
          </w:p>
        </w:tc>
        <w:tc>
          <w:tcPr>
            <w:tcW w:w="66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[****]-2034</w:t>
            </w:r>
          </w:p>
        </w:tc>
        <w:tc>
          <w:tcPr>
            <w:tcW w:w="660" w:type="dxa"/>
            <w:vAlign w:val="bottom"/>
            <w:tcBorders>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[****]-2034</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1</w:t>
            </w: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660" w:type="dxa"/>
            <w:vAlign w:val="bottom"/>
            <w:tcBorders>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[****]-2034</w:t>
            </w:r>
          </w:p>
        </w:tc>
        <w:tc>
          <w:tcPr>
            <w:tcW w:w="66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[****]-2034</w:t>
            </w:r>
          </w:p>
        </w:tc>
        <w:tc>
          <w:tcPr>
            <w:tcW w:w="660" w:type="dxa"/>
            <w:vAlign w:val="bottom"/>
            <w:tcBorders>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[****]-2034</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1</w:t>
            </w: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660" w:type="dxa"/>
            <w:vAlign w:val="bottom"/>
            <w:tcBorders>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[****]-2034</w:t>
            </w:r>
          </w:p>
        </w:tc>
        <w:tc>
          <w:tcPr>
            <w:tcW w:w="66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[****]-2034</w:t>
            </w:r>
          </w:p>
        </w:tc>
        <w:tc>
          <w:tcPr>
            <w:tcW w:w="660" w:type="dxa"/>
            <w:vAlign w:val="bottom"/>
            <w:tcBorders>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[****]-2035</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1</w:t>
            </w: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660" w:type="dxa"/>
            <w:vAlign w:val="bottom"/>
            <w:tcBorders>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[****]-2035</w:t>
            </w:r>
          </w:p>
        </w:tc>
        <w:tc>
          <w:tcPr>
            <w:tcW w:w="66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[****]-2035</w:t>
            </w:r>
          </w:p>
        </w:tc>
        <w:tc>
          <w:tcPr>
            <w:tcW w:w="660" w:type="dxa"/>
            <w:vAlign w:val="bottom"/>
            <w:tcBorders>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[****]-2035</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1</w:t>
            </w: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660" w:type="dxa"/>
            <w:vAlign w:val="bottom"/>
            <w:tcBorders>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[****]-2035</w:t>
            </w:r>
          </w:p>
        </w:tc>
        <w:tc>
          <w:tcPr>
            <w:tcW w:w="66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[****]-2035</w:t>
            </w:r>
          </w:p>
        </w:tc>
        <w:tc>
          <w:tcPr>
            <w:tcW w:w="660" w:type="dxa"/>
            <w:vAlign w:val="bottom"/>
            <w:tcBorders>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[****]-2035</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2</w:t>
            </w: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660" w:type="dxa"/>
            <w:vAlign w:val="bottom"/>
            <w:tcBorders>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[****]-2035</w:t>
            </w:r>
          </w:p>
        </w:tc>
        <w:tc>
          <w:tcPr>
            <w:tcW w:w="66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[****]-2035</w:t>
            </w:r>
          </w:p>
        </w:tc>
        <w:tc>
          <w:tcPr>
            <w:tcW w:w="660" w:type="dxa"/>
            <w:vAlign w:val="bottom"/>
            <w:tcBorders>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[****]-2035</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1</w:t>
            </w: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660" w:type="dxa"/>
            <w:vAlign w:val="bottom"/>
            <w:tcBorders>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[****]-2035</w:t>
            </w:r>
          </w:p>
        </w:tc>
        <w:tc>
          <w:tcPr>
            <w:tcW w:w="66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[****]-2035</w:t>
            </w:r>
          </w:p>
        </w:tc>
        <w:tc>
          <w:tcPr>
            <w:tcW w:w="660" w:type="dxa"/>
            <w:vAlign w:val="bottom"/>
            <w:tcBorders>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[****]-2035</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2</w:t>
            </w: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660" w:type="dxa"/>
            <w:vAlign w:val="bottom"/>
            <w:tcBorders>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[****]-2035</w:t>
            </w:r>
          </w:p>
        </w:tc>
        <w:tc>
          <w:tcPr>
            <w:tcW w:w="66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[****]-2035</w:t>
            </w:r>
          </w:p>
        </w:tc>
        <w:tc>
          <w:tcPr>
            <w:tcW w:w="660" w:type="dxa"/>
            <w:vAlign w:val="bottom"/>
            <w:tcBorders>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[****]-2035</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1</w:t>
            </w: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660" w:type="dxa"/>
            <w:vAlign w:val="bottom"/>
            <w:tcBorders>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[****]-2035</w:t>
            </w:r>
          </w:p>
        </w:tc>
        <w:tc>
          <w:tcPr>
            <w:tcW w:w="66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[****]-2035</w:t>
            </w:r>
          </w:p>
        </w:tc>
        <w:tc>
          <w:tcPr>
            <w:tcW w:w="660" w:type="dxa"/>
            <w:vAlign w:val="bottom"/>
            <w:tcBorders>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[****]-2035</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3</w:t>
            </w: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660" w:type="dxa"/>
            <w:vAlign w:val="bottom"/>
            <w:tcBorders>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[****]-2035</w:t>
            </w:r>
          </w:p>
        </w:tc>
        <w:tc>
          <w:tcPr>
            <w:tcW w:w="66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[****]-2035</w:t>
            </w:r>
          </w:p>
        </w:tc>
        <w:tc>
          <w:tcPr>
            <w:tcW w:w="660" w:type="dxa"/>
            <w:vAlign w:val="bottom"/>
            <w:tcBorders>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6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[****]-2035</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2</w:t>
            </w: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660" w:type="dxa"/>
            <w:vAlign w:val="bottom"/>
            <w:tcBorders>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[****]-2035</w:t>
            </w:r>
          </w:p>
        </w:tc>
        <w:tc>
          <w:tcPr>
            <w:tcW w:w="66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3160" w:type="dxa"/>
            <w:vAlign w:val="bottom"/>
            <w:gridSpan w:val="3"/>
            <w:vMerge w:val="restart"/>
          </w:tcPr>
          <w:p>
            <w:pPr>
              <w:spacing w:after="0"/>
              <w:rPr>
                <w:sz w:val="20"/>
                <w:szCs w:val="20"/>
                <w:color w:val="auto"/>
              </w:rPr>
            </w:pPr>
            <w:r>
              <w:rPr>
                <w:rFonts w:ascii="Arial" w:cs="Arial" w:eastAsia="Arial" w:hAnsi="Arial"/>
                <w:sz w:val="19"/>
                <w:szCs w:val="19"/>
                <w:b w:val="1"/>
                <w:bCs w:val="1"/>
                <w:color w:val="auto"/>
              </w:rPr>
              <w:t>Boeing and American Proprietary</w:t>
            </w:r>
          </w:p>
        </w:tc>
        <w:tc>
          <w:tcPr>
            <w:tcW w:w="680" w:type="dxa"/>
            <w:vAlign w:val="bottom"/>
          </w:tcPr>
          <w:p>
            <w:pPr>
              <w:spacing w:after="0"/>
              <w:rPr>
                <w:sz w:val="24"/>
                <w:szCs w:val="24"/>
                <w:color w:val="auto"/>
              </w:rPr>
            </w:pPr>
          </w:p>
        </w:tc>
        <w:tc>
          <w:tcPr>
            <w:tcW w:w="1320" w:type="dxa"/>
            <w:vAlign w:val="bottom"/>
          </w:tcPr>
          <w:p>
            <w:pPr>
              <w:jc w:val="center"/>
              <w:ind w:left="784"/>
              <w:spacing w:after="0"/>
              <w:rPr>
                <w:sz w:val="20"/>
                <w:szCs w:val="20"/>
                <w:color w:val="auto"/>
              </w:rPr>
            </w:pPr>
            <w:r>
              <w:rPr>
                <w:rFonts w:ascii="Arial" w:cs="Arial" w:eastAsia="Arial" w:hAnsi="Arial"/>
                <w:sz w:val="15"/>
                <w:szCs w:val="15"/>
                <w:color w:val="auto"/>
              </w:rPr>
              <w:t>SA-34</w:t>
            </w:r>
          </w:p>
        </w:tc>
        <w:tc>
          <w:tcPr>
            <w:tcW w:w="0" w:type="dxa"/>
            <w:vAlign w:val="bottom"/>
          </w:tcPr>
          <w:p>
            <w:pPr>
              <w:spacing w:after="0"/>
              <w:rPr>
                <w:sz w:val="1"/>
                <w:szCs w:val="1"/>
                <w:color w:val="auto"/>
              </w:rPr>
            </w:pPr>
          </w:p>
        </w:tc>
      </w:tr>
      <w:tr>
        <w:trPr>
          <w:trHeight w:val="211"/>
        </w:trPr>
        <w:tc>
          <w:tcPr>
            <w:tcW w:w="3160" w:type="dxa"/>
            <w:vAlign w:val="bottom"/>
            <w:gridSpan w:val="3"/>
            <w:vMerge w:val="continue"/>
          </w:tcPr>
          <w:p>
            <w:pPr>
              <w:spacing w:after="0"/>
              <w:rPr>
                <w:sz w:val="18"/>
                <w:szCs w:val="18"/>
                <w:color w:val="auto"/>
              </w:rPr>
            </w:pPr>
          </w:p>
        </w:tc>
        <w:tc>
          <w:tcPr>
            <w:tcW w:w="680" w:type="dxa"/>
            <w:vAlign w:val="bottom"/>
          </w:tcPr>
          <w:p>
            <w:pPr>
              <w:spacing w:after="0"/>
              <w:rPr>
                <w:sz w:val="18"/>
                <w:szCs w:val="18"/>
                <w:color w:val="auto"/>
              </w:rPr>
            </w:pPr>
          </w:p>
        </w:tc>
        <w:tc>
          <w:tcPr>
            <w:tcW w:w="1320" w:type="dxa"/>
            <w:vAlign w:val="bottom"/>
          </w:tcPr>
          <w:p>
            <w:pPr>
              <w:jc w:val="center"/>
              <w:ind w:left="764"/>
              <w:spacing w:after="0"/>
              <w:rPr>
                <w:sz w:val="20"/>
                <w:szCs w:val="20"/>
                <w:color w:val="auto"/>
              </w:rPr>
            </w:pPr>
            <w:r>
              <w:rPr>
                <w:rFonts w:ascii="Arial" w:cs="Arial" w:eastAsia="Arial" w:hAnsi="Arial"/>
                <w:sz w:val="15"/>
                <w:szCs w:val="15"/>
                <w:color w:val="auto"/>
              </w:rPr>
              <w:t>Page 5</w:t>
            </w:r>
          </w:p>
        </w:tc>
        <w:tc>
          <w:tcPr>
            <w:tcW w:w="0" w:type="dxa"/>
            <w:vAlign w:val="bottom"/>
          </w:tcPr>
          <w:p>
            <w:pPr>
              <w:spacing w:after="0"/>
              <w:rPr>
                <w:sz w:val="1"/>
                <w:szCs w:val="1"/>
                <w:color w:val="auto"/>
              </w:rPr>
            </w:pPr>
          </w:p>
        </w:tc>
      </w:tr>
    </w:tbl>
    <w:p>
      <w:pPr>
        <w:sectPr>
          <w:pgSz w:w="11900" w:h="16838" w:orient="portrait"/>
          <w:cols w:equalWidth="0" w:num="2">
            <w:col w:w="2820" w:space="720"/>
            <w:col w:w="6559"/>
          </w:cols>
          <w:pgMar w:left="360" w:top="189" w:right="1440" w:bottom="1440" w:gutter="0" w:footer="0" w:header="0"/>
          <w:type w:val="continuous"/>
        </w:sectPr>
      </w:pPr>
    </w:p>
    <w:bookmarkStart w:id="85" w:name="page86"/>
    <w:bookmarkEnd w:id="85"/>
    <w:p>
      <w:pPr>
        <w:jc w:val="center"/>
        <w:ind w:right="-1360"/>
        <w:spacing w:after="0"/>
        <w:rPr>
          <w:sz w:val="20"/>
          <w:szCs w:val="20"/>
          <w:color w:val="auto"/>
        </w:rPr>
      </w:pPr>
      <w:r>
        <w:rPr>
          <w:rFonts w:ascii="Times New Roman" w:cs="Times New Roman" w:eastAsia="Times New Roman" w:hAnsi="Times New Roman"/>
          <w:sz w:val="22"/>
          <w:szCs w:val="22"/>
          <w:b w:val="1"/>
          <w:bCs w:val="1"/>
          <w:color w:val="auto"/>
        </w:rPr>
        <w:t>Attachment B To</w:t>
      </w:r>
    </w:p>
    <w:p>
      <w:pPr>
        <w:spacing w:after="0" w:line="33" w:lineRule="exact"/>
        <w:rPr>
          <w:sz w:val="20"/>
          <w:szCs w:val="20"/>
          <w:color w:val="auto"/>
        </w:rPr>
      </w:pPr>
    </w:p>
    <w:p>
      <w:pPr>
        <w:jc w:val="center"/>
        <w:ind w:right="-1360"/>
        <w:spacing w:after="0"/>
        <w:rPr>
          <w:sz w:val="20"/>
          <w:szCs w:val="20"/>
          <w:color w:val="auto"/>
        </w:rPr>
      </w:pPr>
      <w:r>
        <w:rPr>
          <w:rFonts w:ascii="Times New Roman" w:cs="Times New Roman" w:eastAsia="Times New Roman" w:hAnsi="Times New Roman"/>
          <w:sz w:val="22"/>
          <w:szCs w:val="22"/>
          <w:b w:val="1"/>
          <w:bCs w:val="1"/>
          <w:color w:val="auto"/>
        </w:rPr>
        <w:t>Letter Agreement No. AAL-PA-03735-LA-1106651R15</w:t>
      </w:r>
    </w:p>
    <w:p>
      <w:pPr>
        <w:spacing w:after="0" w:line="17" w:lineRule="exact"/>
        <w:rPr>
          <w:sz w:val="20"/>
          <w:szCs w:val="20"/>
          <w:color w:val="auto"/>
        </w:rPr>
      </w:pPr>
    </w:p>
    <w:p>
      <w:pPr>
        <w:jc w:val="center"/>
        <w:ind w:right="-1360"/>
        <w:spacing w:after="0"/>
        <w:rPr>
          <w:sz w:val="20"/>
          <w:szCs w:val="20"/>
          <w:color w:val="auto"/>
        </w:rPr>
      </w:pPr>
      <w:r>
        <w:rPr>
          <w:rFonts w:ascii="Times New Roman" w:cs="Times New Roman" w:eastAsia="Times New Roman" w:hAnsi="Times New Roman"/>
          <w:sz w:val="21"/>
          <w:szCs w:val="21"/>
          <w:b w:val="1"/>
          <w:bCs w:val="1"/>
          <w:color w:val="auto"/>
        </w:rPr>
        <w:t xml:space="preserve">737-10 </w:t>
      </w:r>
      <w:r>
        <w:rPr>
          <w:rFonts w:ascii="Arial" w:cs="Arial" w:eastAsia="Arial" w:hAnsi="Arial"/>
          <w:sz w:val="21"/>
          <w:szCs w:val="21"/>
          <w:color w:val="auto"/>
        </w:rPr>
        <w:t>[****]</w:t>
      </w:r>
      <w:r>
        <w:rPr>
          <w:rFonts w:ascii="Times New Roman" w:cs="Times New Roman" w:eastAsia="Times New Roman" w:hAnsi="Times New Roman"/>
          <w:sz w:val="21"/>
          <w:szCs w:val="21"/>
          <w:b w:val="1"/>
          <w:bCs w:val="1"/>
          <w:color w:val="auto"/>
        </w:rPr>
        <w:t xml:space="preserve"> Aircraft Delivery, Description, Price and Advance Payments</w:t>
      </w:r>
    </w:p>
    <w:p>
      <w:pPr>
        <w:sectPr>
          <w:pgSz w:w="11900" w:h="16838" w:orient="portrait"/>
          <w:cols w:equalWidth="0" w:num="1">
            <w:col w:w="10099"/>
          </w:cols>
          <w:pgMar w:left="360" w:top="18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316"/>
        </w:trPr>
        <w:tc>
          <w:tcPr>
            <w:tcW w:w="284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Delivery</w:t>
            </w:r>
          </w:p>
        </w:tc>
        <w:tc>
          <w:tcPr>
            <w:tcW w:w="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Number</w:t>
            </w:r>
          </w:p>
        </w:tc>
        <w:tc>
          <w:tcPr>
            <w:tcW w:w="680" w:type="dxa"/>
            <w:vAlign w:val="bottom"/>
            <w:tcBorders>
              <w:top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b w:val="1"/>
                <w:bCs w:val="1"/>
                <w:color w:val="auto"/>
              </w:rPr>
              <w:t>Nominal</w:t>
            </w:r>
          </w:p>
        </w:tc>
        <w:tc>
          <w:tcPr>
            <w:tcW w:w="0" w:type="dxa"/>
            <w:vAlign w:val="bottom"/>
          </w:tcPr>
          <w:p>
            <w:pPr>
              <w:spacing w:after="0"/>
              <w:rPr>
                <w:sz w:val="1"/>
                <w:szCs w:val="1"/>
                <w:color w:val="auto"/>
              </w:rPr>
            </w:pPr>
          </w:p>
        </w:tc>
      </w:tr>
      <w:tr>
        <w:trPr>
          <w:trHeight w:val="202"/>
        </w:trPr>
        <w:tc>
          <w:tcPr>
            <w:tcW w:w="2840" w:type="dxa"/>
            <w:vAlign w:val="bottom"/>
          </w:tcPr>
          <w:p>
            <w:pPr>
              <w:spacing w:after="0"/>
              <w:rPr>
                <w:sz w:val="17"/>
                <w:szCs w:val="17"/>
                <w:color w:val="auto"/>
              </w:rPr>
            </w:pPr>
          </w:p>
        </w:tc>
        <w:tc>
          <w:tcPr>
            <w:tcW w:w="23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of</w:t>
            </w:r>
          </w:p>
        </w:tc>
        <w:tc>
          <w:tcPr>
            <w:tcW w:w="68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Delivery</w:t>
            </w:r>
          </w:p>
        </w:tc>
        <w:tc>
          <w:tcPr>
            <w:tcW w:w="0" w:type="dxa"/>
            <w:vAlign w:val="bottom"/>
          </w:tcPr>
          <w:p>
            <w:pPr>
              <w:spacing w:after="0"/>
              <w:rPr>
                <w:sz w:val="1"/>
                <w:szCs w:val="1"/>
                <w:color w:val="auto"/>
              </w:rPr>
            </w:pPr>
          </w:p>
        </w:tc>
      </w:tr>
      <w:tr>
        <w:trPr>
          <w:trHeight w:val="247"/>
        </w:trPr>
        <w:tc>
          <w:tcPr>
            <w:tcW w:w="2840" w:type="dxa"/>
            <w:vAlign w:val="bottom"/>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Date</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Aircraft</w:t>
            </w: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b w:val="1"/>
                <w:bCs w:val="1"/>
                <w:color w:val="auto"/>
              </w:rPr>
              <w:t>Month</w:t>
            </w:r>
          </w:p>
        </w:tc>
        <w:tc>
          <w:tcPr>
            <w:tcW w:w="0" w:type="dxa"/>
            <w:vAlign w:val="bottom"/>
          </w:tcPr>
          <w:p>
            <w:pPr>
              <w:spacing w:after="0"/>
              <w:rPr>
                <w:sz w:val="1"/>
                <w:szCs w:val="1"/>
                <w:color w:val="auto"/>
              </w:rPr>
            </w:pPr>
          </w:p>
        </w:tc>
      </w:tr>
      <w:tr>
        <w:trPr>
          <w:trHeight w:val="210"/>
        </w:trPr>
        <w:tc>
          <w:tcPr>
            <w:tcW w:w="2840" w:type="dxa"/>
            <w:vAlign w:val="bottom"/>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[****]-2035</w:t>
            </w:r>
          </w:p>
        </w:tc>
        <w:tc>
          <w:tcPr>
            <w:tcW w:w="660" w:type="dxa"/>
            <w:vAlign w:val="bottom"/>
            <w:tcBorders>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0" w:type="dxa"/>
            <w:vAlign w:val="bottom"/>
          </w:tcPr>
          <w:p>
            <w:pPr>
              <w:spacing w:after="0"/>
              <w:rPr>
                <w:sz w:val="1"/>
                <w:szCs w:val="1"/>
                <w:color w:val="auto"/>
              </w:rPr>
            </w:pPr>
          </w:p>
        </w:tc>
      </w:tr>
      <w:tr>
        <w:trPr>
          <w:trHeight w:val="213"/>
        </w:trPr>
        <w:tc>
          <w:tcPr>
            <w:tcW w:w="2840" w:type="dxa"/>
            <w:vAlign w:val="bottom"/>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[****]-2035</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2</w:t>
            </w: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c>
          <w:tcPr>
            <w:tcW w:w="0" w:type="dxa"/>
            <w:vAlign w:val="bottom"/>
          </w:tcPr>
          <w:p>
            <w:pPr>
              <w:spacing w:after="0"/>
              <w:rPr>
                <w:sz w:val="1"/>
                <w:szCs w:val="1"/>
                <w:color w:val="auto"/>
              </w:rPr>
            </w:pPr>
          </w:p>
        </w:tc>
      </w:tr>
      <w:tr>
        <w:trPr>
          <w:trHeight w:val="205"/>
        </w:trPr>
        <w:tc>
          <w:tcPr>
            <w:tcW w:w="2840" w:type="dxa"/>
            <w:vAlign w:val="bottom"/>
          </w:tcPr>
          <w:p>
            <w:pPr>
              <w:spacing w:after="0"/>
              <w:rPr>
                <w:sz w:val="17"/>
                <w:szCs w:val="17"/>
                <w:color w:val="auto"/>
              </w:rPr>
            </w:pPr>
          </w:p>
        </w:tc>
        <w:tc>
          <w:tcPr>
            <w:tcW w:w="2360" w:type="dxa"/>
            <w:vAlign w:val="bottom"/>
            <w:tcBorders>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[****]-2035</w:t>
            </w:r>
          </w:p>
        </w:tc>
        <w:tc>
          <w:tcPr>
            <w:tcW w:w="66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0" w:type="dxa"/>
            <w:vAlign w:val="bottom"/>
          </w:tcPr>
          <w:p>
            <w:pPr>
              <w:spacing w:after="0"/>
              <w:rPr>
                <w:sz w:val="1"/>
                <w:szCs w:val="1"/>
                <w:color w:val="auto"/>
              </w:rPr>
            </w:pPr>
          </w:p>
        </w:tc>
      </w:tr>
      <w:tr>
        <w:trPr>
          <w:trHeight w:val="300"/>
        </w:trPr>
        <w:tc>
          <w:tcPr>
            <w:tcW w:w="28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Total:</w:t>
            </w:r>
          </w:p>
        </w:tc>
        <w:tc>
          <w:tcPr>
            <w:tcW w:w="66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87</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7"/>
        </w:trPr>
        <w:tc>
          <w:tcPr>
            <w:tcW w:w="6040" w:type="dxa"/>
            <w:vAlign w:val="bottom"/>
            <w:gridSpan w:val="3"/>
          </w:tcPr>
          <w:p>
            <w:pPr>
              <w:ind w:left="120"/>
              <w:spacing w:after="0"/>
              <w:rPr>
                <w:sz w:val="20"/>
                <w:szCs w:val="20"/>
                <w:color w:val="auto"/>
              </w:rPr>
            </w:pPr>
            <w:r>
              <w:rPr>
                <w:rFonts w:ascii="Arial" w:cs="Arial" w:eastAsia="Arial" w:hAnsi="Arial"/>
                <w:sz w:val="15"/>
                <w:szCs w:val="15"/>
                <w:b w:val="1"/>
                <w:bCs w:val="1"/>
                <w:color w:val="auto"/>
              </w:rPr>
              <w:t>Note: [****] to Letter Agreement No. AAL-PA-3735-11066508R8</w:t>
            </w: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840" w:type="dxa"/>
            <w:vAlign w:val="bottom"/>
          </w:tcPr>
          <w:p>
            <w:pPr>
              <w:spacing w:after="0"/>
              <w:rPr>
                <w:sz w:val="20"/>
                <w:szCs w:val="20"/>
                <w:color w:val="auto"/>
              </w:rPr>
            </w:pPr>
            <w:r>
              <w:rPr>
                <w:rFonts w:ascii="Arial" w:cs="Arial" w:eastAsia="Arial" w:hAnsi="Arial"/>
                <w:sz w:val="15"/>
                <w:szCs w:val="15"/>
                <w:color w:val="auto"/>
              </w:rPr>
              <w:t>AAL-PA-03735-LA-1106651R15</w:t>
            </w:r>
          </w:p>
        </w:tc>
        <w:tc>
          <w:tcPr>
            <w:tcW w:w="2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840" w:type="dxa"/>
            <w:vAlign w:val="bottom"/>
          </w:tcPr>
          <w:p>
            <w:pPr>
              <w:spacing w:after="0"/>
              <w:rPr>
                <w:sz w:val="20"/>
                <w:szCs w:val="20"/>
                <w:color w:val="auto"/>
              </w:rPr>
            </w:pPr>
            <w:r>
              <w:rPr>
                <w:rFonts w:ascii="Arial" w:cs="Arial" w:eastAsia="Arial" w:hAnsi="Arial"/>
                <w:sz w:val="15"/>
                <w:szCs w:val="15"/>
                <w:color w:val="auto"/>
              </w:rPr>
              <w:t>122666-1O.txt</w:t>
            </w:r>
          </w:p>
        </w:tc>
        <w:tc>
          <w:tcPr>
            <w:tcW w:w="3860" w:type="dxa"/>
            <w:vAlign w:val="bottom"/>
            <w:gridSpan w:val="3"/>
            <w:vMerge w:val="restart"/>
          </w:tcPr>
          <w:p>
            <w:pPr>
              <w:ind w:left="700"/>
              <w:spacing w:after="0"/>
              <w:rPr>
                <w:sz w:val="20"/>
                <w:szCs w:val="20"/>
                <w:color w:val="auto"/>
              </w:rPr>
            </w:pPr>
            <w:r>
              <w:rPr>
                <w:rFonts w:ascii="Arial" w:cs="Arial" w:eastAsia="Arial" w:hAnsi="Arial"/>
                <w:sz w:val="19"/>
                <w:szCs w:val="19"/>
                <w:b w:val="1"/>
                <w:bCs w:val="1"/>
                <w:color w:val="auto"/>
              </w:rPr>
              <w:t>Boeing and American Proprietary</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840" w:type="dxa"/>
            <w:vAlign w:val="bottom"/>
          </w:tcPr>
          <w:p>
            <w:pPr>
              <w:spacing w:after="0"/>
              <w:rPr>
                <w:sz w:val="20"/>
                <w:szCs w:val="20"/>
                <w:color w:val="auto"/>
              </w:rPr>
            </w:pPr>
            <w:r>
              <w:rPr>
                <w:rFonts w:ascii="Arial" w:cs="Arial" w:eastAsia="Arial" w:hAnsi="Arial"/>
                <w:sz w:val="15"/>
                <w:szCs w:val="15"/>
                <w:color w:val="auto"/>
              </w:rPr>
              <w:t>Attachment B - [****] Aircraft</w:t>
            </w:r>
          </w:p>
        </w:tc>
        <w:tc>
          <w:tcPr>
            <w:tcW w:w="3860" w:type="dxa"/>
            <w:vAlign w:val="bottom"/>
            <w:gridSpan w:val="3"/>
            <w:vMerge w:val="continue"/>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
        <w:spacing w:after="0"/>
        <w:rPr>
          <w:sz w:val="20"/>
          <w:szCs w:val="20"/>
          <w:color w:val="auto"/>
        </w:rPr>
      </w:pPr>
      <w:r>
        <w:rPr>
          <w:rFonts w:ascii="Arial" w:cs="Arial" w:eastAsia="Arial" w:hAnsi="Arial"/>
          <w:sz w:val="15"/>
          <w:szCs w:val="15"/>
          <w:color w:val="auto"/>
        </w:rPr>
        <w:t>SA-34</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Page 6</w:t>
      </w:r>
    </w:p>
    <w:p>
      <w:pPr>
        <w:sectPr>
          <w:pgSz w:w="11900" w:h="16838" w:orient="portrait"/>
          <w:cols w:equalWidth="0" w:num="2">
            <w:col w:w="7500" w:space="720"/>
            <w:col w:w="1879"/>
          </w:cols>
          <w:pgMar w:left="360" w:top="189" w:right="1440" w:bottom="1440" w:gutter="0" w:footer="0" w:header="0"/>
          <w:type w:val="continuous"/>
        </w:sectPr>
      </w:pPr>
    </w:p>
    <w:bookmarkStart w:id="86" w:name="page87"/>
    <w:bookmarkEnd w:id="86"/>
    <w:p>
      <w:pPr>
        <w:ind w:left="2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60195" cy="3600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clrChange>
                        <a:clrFrom>
                          <a:srgbClr val="FFFFFF"/>
                        </a:clrFrom>
                        <a:clrTo>
                          <a:srgbClr val="FFFFFF">
                            <a:alpha val="0"/>
                          </a:srgbClr>
                        </a:clrTo>
                      </a:clrChange>
                      <a:extLst>
                        <a:ext uri="{28A0092B-C50C-407E-A947-70E740481C1C}"/>
                      </a:extLst>
                    </a:blip>
                    <a:srcRect/>
                    <a:stretch>
                      <a:fillRect/>
                    </a:stretch>
                  </pic:blipFill>
                  <pic:spPr bwMode="auto">
                    <a:xfrm>
                      <a:off x="0" y="0"/>
                      <a:ext cx="1560195" cy="360045"/>
                    </a:xfrm>
                    <a:prstGeom prst="rect">
                      <a:avLst/>
                    </a:prstGeom>
                    <a:noFill/>
                  </pic:spPr>
                </pic:pic>
              </a:graphicData>
            </a:graphic>
          </wp:anchor>
        </w:drawing>
        <w:t>The Boeing Company</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P.O. Box 3707</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Seattle, WA 98124 2207</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AAL-PA-3735-LA-2306983R1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color w:val="auto"/>
        </w:rPr>
        <w:t>American Airlines, Inc.</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P.O. Box 619616</w:t>
      </w:r>
    </w:p>
    <w:p>
      <w:pPr>
        <w:spacing w:after="0" w:line="4" w:lineRule="exact"/>
        <w:rPr>
          <w:sz w:val="20"/>
          <w:szCs w:val="20"/>
          <w:color w:val="auto"/>
        </w:rPr>
      </w:pPr>
    </w:p>
    <w:p>
      <w:pPr>
        <w:spacing w:after="0"/>
        <w:tabs>
          <w:tab w:leader="none" w:pos="3360" w:val="left"/>
        </w:tabs>
        <w:rPr>
          <w:sz w:val="20"/>
          <w:szCs w:val="20"/>
          <w:color w:val="auto"/>
        </w:rPr>
      </w:pPr>
      <w:r>
        <w:rPr>
          <w:rFonts w:ascii="Arial" w:cs="Arial" w:eastAsia="Arial" w:hAnsi="Arial"/>
          <w:sz w:val="22"/>
          <w:szCs w:val="22"/>
          <w:color w:val="auto"/>
        </w:rPr>
        <w:t>Dallas-Fort Worth Airport, Texas</w:t>
      </w:r>
      <w:r>
        <w:rPr>
          <w:sz w:val="20"/>
          <w:szCs w:val="20"/>
          <w:color w:val="auto"/>
        </w:rPr>
        <w:tab/>
      </w:r>
      <w:r>
        <w:rPr>
          <w:rFonts w:ascii="Arial" w:cs="Arial" w:eastAsia="Arial" w:hAnsi="Arial"/>
          <w:sz w:val="21"/>
          <w:szCs w:val="21"/>
          <w:color w:val="auto"/>
        </w:rPr>
        <w:t>75261-9616</w:t>
      </w:r>
    </w:p>
    <w:p>
      <w:pPr>
        <w:spacing w:after="0" w:line="227"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color w:val="auto"/>
        </w:rPr>
        <w:t>Subject:</w:t>
        <w:tab/>
        <w:t>[****]</w:t>
      </w:r>
    </w:p>
    <w:p>
      <w:pPr>
        <w:spacing w:after="0" w:line="245" w:lineRule="exact"/>
        <w:rPr>
          <w:sz w:val="20"/>
          <w:szCs w:val="20"/>
          <w:color w:val="auto"/>
        </w:rPr>
      </w:pPr>
    </w:p>
    <w:p>
      <w:pPr>
        <w:ind w:left="1300" w:hanging="1295"/>
        <w:spacing w:after="0" w:line="285" w:lineRule="auto"/>
        <w:tabs>
          <w:tab w:leader="none" w:pos="1280" w:val="left"/>
        </w:tabs>
        <w:rPr>
          <w:sz w:val="20"/>
          <w:szCs w:val="20"/>
          <w:color w:val="auto"/>
        </w:rPr>
      </w:pPr>
      <w:r>
        <w:rPr>
          <w:rFonts w:ascii="Arial" w:cs="Arial" w:eastAsia="Arial" w:hAnsi="Arial"/>
          <w:sz w:val="22"/>
          <w:szCs w:val="22"/>
          <w:color w:val="auto"/>
        </w:rPr>
        <w:t>Reference:</w:t>
        <w:tab/>
        <w:t>Purchase Agreement No. 03735 (</w:t>
      </w:r>
      <w:r>
        <w:rPr>
          <w:rFonts w:ascii="Arial" w:cs="Arial" w:eastAsia="Arial" w:hAnsi="Arial"/>
          <w:sz w:val="22"/>
          <w:szCs w:val="22"/>
          <w:b w:val="1"/>
          <w:bCs w:val="1"/>
          <w:color w:val="auto"/>
        </w:rPr>
        <w:t>Purchase Agreement</w:t>
      </w:r>
      <w:r>
        <w:rPr>
          <w:rFonts w:ascii="Arial" w:cs="Arial" w:eastAsia="Arial" w:hAnsi="Arial"/>
          <w:sz w:val="22"/>
          <w:szCs w:val="22"/>
          <w:color w:val="auto"/>
        </w:rPr>
        <w:t>) between The Boeing Company (</w:t>
      </w:r>
      <w:r>
        <w:rPr>
          <w:rFonts w:ascii="Arial" w:cs="Arial" w:eastAsia="Arial" w:hAnsi="Arial"/>
          <w:sz w:val="22"/>
          <w:szCs w:val="22"/>
          <w:b w:val="1"/>
          <w:bCs w:val="1"/>
          <w:color w:val="auto"/>
        </w:rPr>
        <w:t>Boeing</w:t>
      </w:r>
      <w:r>
        <w:rPr>
          <w:rFonts w:ascii="Arial" w:cs="Arial" w:eastAsia="Arial" w:hAnsi="Arial"/>
          <w:sz w:val="22"/>
          <w:szCs w:val="22"/>
          <w:color w:val="auto"/>
        </w:rPr>
        <w:t>) and American Airlines, Inc. (</w:t>
      </w:r>
      <w:r>
        <w:rPr>
          <w:rFonts w:ascii="Arial" w:cs="Arial" w:eastAsia="Arial" w:hAnsi="Arial"/>
          <w:sz w:val="22"/>
          <w:szCs w:val="22"/>
          <w:b w:val="1"/>
          <w:bCs w:val="1"/>
          <w:color w:val="auto"/>
        </w:rPr>
        <w:t>Customer</w:t>
      </w:r>
      <w:r>
        <w:rPr>
          <w:rFonts w:ascii="Arial" w:cs="Arial" w:eastAsia="Arial" w:hAnsi="Arial"/>
          <w:sz w:val="22"/>
          <w:szCs w:val="22"/>
          <w:color w:val="auto"/>
        </w:rPr>
        <w:t>) relating to model 737 MAX aircraft (</w:t>
      </w:r>
      <w:r>
        <w:rPr>
          <w:rFonts w:ascii="Arial" w:cs="Arial" w:eastAsia="Arial" w:hAnsi="Arial"/>
          <w:sz w:val="22"/>
          <w:szCs w:val="22"/>
          <w:b w:val="1"/>
          <w:bCs w:val="1"/>
          <w:color w:val="auto"/>
        </w:rPr>
        <w:t>Aircraft</w:t>
      </w:r>
      <w:r>
        <w:rPr>
          <w:rFonts w:ascii="Arial" w:cs="Arial" w:eastAsia="Arial" w:hAnsi="Arial"/>
          <w:sz w:val="22"/>
          <w:szCs w:val="22"/>
          <w:color w:val="auto"/>
        </w:rPr>
        <w:t>)</w:t>
      </w:r>
    </w:p>
    <w:p>
      <w:pPr>
        <w:spacing w:after="0" w:line="385" w:lineRule="exact"/>
        <w:rPr>
          <w:sz w:val="20"/>
          <w:szCs w:val="20"/>
          <w:color w:val="auto"/>
        </w:rPr>
      </w:pPr>
    </w:p>
    <w:p>
      <w:pPr>
        <w:ind w:right="20" w:firstLine="648"/>
        <w:spacing w:after="0" w:line="274" w:lineRule="auto"/>
        <w:rPr>
          <w:sz w:val="20"/>
          <w:szCs w:val="20"/>
          <w:color w:val="auto"/>
        </w:rPr>
      </w:pPr>
      <w:r>
        <w:rPr>
          <w:rFonts w:ascii="Arial" w:cs="Arial" w:eastAsia="Arial" w:hAnsi="Arial"/>
          <w:sz w:val="22"/>
          <w:szCs w:val="22"/>
          <w:color w:val="auto"/>
        </w:rPr>
        <w:t>This letter agreement (</w:t>
      </w:r>
      <w:r>
        <w:rPr>
          <w:rFonts w:ascii="Arial" w:cs="Arial" w:eastAsia="Arial" w:hAnsi="Arial"/>
          <w:sz w:val="22"/>
          <w:szCs w:val="22"/>
          <w:b w:val="1"/>
          <w:bCs w:val="1"/>
          <w:color w:val="auto"/>
        </w:rPr>
        <w:t>Letter Agreement</w:t>
      </w:r>
      <w:r>
        <w:rPr>
          <w:rFonts w:ascii="Arial" w:cs="Arial" w:eastAsia="Arial" w:hAnsi="Arial"/>
          <w:sz w:val="22"/>
          <w:szCs w:val="22"/>
          <w:color w:val="auto"/>
        </w:rPr>
        <w:t>) amends and supplements the Purchase Agreement. All terms used but not defined in this Letter Agreement will have the same meaning as in the Purchase Agreement.</w:t>
      </w:r>
    </w:p>
    <w:p>
      <w:pPr>
        <w:spacing w:after="0" w:line="126" w:lineRule="exact"/>
        <w:rPr>
          <w:sz w:val="20"/>
          <w:szCs w:val="20"/>
          <w:color w:val="auto"/>
        </w:rPr>
      </w:pPr>
    </w:p>
    <w:p>
      <w:pPr>
        <w:ind w:left="640" w:hanging="632"/>
        <w:spacing w:after="0"/>
        <w:tabs>
          <w:tab w:leader="none" w:pos="640"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w:t>
      </w:r>
    </w:p>
    <w:p>
      <w:pPr>
        <w:spacing w:after="0" w:line="98" w:lineRule="exact"/>
        <w:rPr>
          <w:sz w:val="20"/>
          <w:szCs w:val="20"/>
          <w:color w:val="auto"/>
        </w:rPr>
      </w:pPr>
    </w:p>
    <w:p>
      <w:pPr>
        <w:ind w:firstLine="648"/>
        <w:spacing w:after="0" w:line="272" w:lineRule="auto"/>
        <w:rPr>
          <w:sz w:val="20"/>
          <w:szCs w:val="20"/>
          <w:color w:val="auto"/>
        </w:rPr>
      </w:pPr>
      <w:r>
        <w:rPr>
          <w:rFonts w:ascii="Arial" w:cs="Arial" w:eastAsia="Arial" w:hAnsi="Arial"/>
          <w:sz w:val="22"/>
          <w:szCs w:val="22"/>
          <w:color w:val="auto"/>
        </w:rPr>
        <w:t>[****] ([****]) [****] ([****]) and [****] ([****]) [****] ([****]) as set forth in Attachment A to this Letter Agreement ([****]). In [****] ([****]) [****] of the Purchase Agreement ([****]), the following [****]:</w:t>
      </w:r>
    </w:p>
    <w:p>
      <w:pPr>
        <w:spacing w:after="0" w:line="21" w:lineRule="exact"/>
        <w:rPr>
          <w:sz w:val="20"/>
          <w:szCs w:val="20"/>
          <w:color w:val="auto"/>
        </w:rPr>
      </w:pPr>
    </w:p>
    <w:p>
      <w:pPr>
        <w:ind w:left="2600" w:hanging="648"/>
        <w:spacing w:after="0"/>
        <w:tabs>
          <w:tab w:leader="none" w:pos="2600"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w:t>
      </w:r>
    </w:p>
    <w:p>
      <w:pPr>
        <w:spacing w:after="0" w:line="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21"/>
          <w:szCs w:val="21"/>
          <w:color w:val="auto"/>
        </w:rPr>
        <w:t>[****].</w:t>
      </w:r>
    </w:p>
    <w:p>
      <w:pPr>
        <w:spacing w:after="0" w:line="7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2.1.1  Boeing [****] ([****]) [****] ([****]) in the [****] ([****]) for [****] ([****]). The [****].</w:t>
      </w:r>
    </w:p>
    <w:p>
      <w:pPr>
        <w:spacing w:after="0" w:line="71" w:lineRule="exact"/>
        <w:rPr>
          <w:sz w:val="20"/>
          <w:szCs w:val="20"/>
          <w:color w:val="auto"/>
        </w:rPr>
      </w:pPr>
    </w:p>
    <w:p>
      <w:pPr>
        <w:ind w:left="1300" w:right="20" w:hanging="647"/>
        <w:spacing w:after="0" w:line="236" w:lineRule="auto"/>
        <w:rPr>
          <w:sz w:val="20"/>
          <w:szCs w:val="20"/>
          <w:color w:val="auto"/>
        </w:rPr>
      </w:pPr>
      <w:r>
        <w:rPr>
          <w:rFonts w:ascii="Arial" w:cs="Arial" w:eastAsia="Arial" w:hAnsi="Arial"/>
          <w:sz w:val="22"/>
          <w:szCs w:val="22"/>
          <w:color w:val="auto"/>
        </w:rPr>
        <w:t>2.1.2 If [****] (i) [****], (ii) [****], or (iii) [****] (each a [****]), then [****] either by (i) [****] or (ii) [****] under the Purchase Agreement.</w:t>
      </w:r>
    </w:p>
    <w:p>
      <w:pPr>
        <w:spacing w:after="0" w:line="4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21"/>
          <w:szCs w:val="21"/>
          <w:color w:val="auto"/>
        </w:rPr>
        <w:t>[****].</w:t>
      </w:r>
    </w:p>
    <w:p>
      <w:pPr>
        <w:spacing w:after="0" w:line="7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2.2.1  Boeing [****] ([****] and collectively ,with the [****], the [****]) in [****] ([****]) for [****] ([****]).</w:t>
      </w:r>
    </w:p>
    <w:p>
      <w:pPr>
        <w:spacing w:after="0" w:line="7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2.2.2  A [****] pursuant to Article 2.2.1 above and [****].</w:t>
      </w:r>
    </w:p>
    <w:p>
      <w:pPr>
        <w:spacing w:after="0" w:line="7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2.2.3  If Customer [****] set forth in Attachment A of this Letter Agreement ([****]), then Boeing [****].</w:t>
      </w:r>
    </w:p>
    <w:p>
      <w:pPr>
        <w:spacing w:after="0" w:line="7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2.2.4  If Boeing and Customer [****] ([****]), a [****].</w:t>
      </w:r>
    </w:p>
    <w:p>
      <w:pPr>
        <w:spacing w:after="0" w:line="71" w:lineRule="exact"/>
        <w:rPr>
          <w:sz w:val="20"/>
          <w:szCs w:val="20"/>
          <w:color w:val="auto"/>
        </w:rPr>
      </w:pPr>
    </w:p>
    <w:p>
      <w:pPr>
        <w:ind w:left="1300" w:hanging="647"/>
        <w:spacing w:after="0" w:line="236" w:lineRule="auto"/>
        <w:rPr>
          <w:sz w:val="20"/>
          <w:szCs w:val="20"/>
          <w:color w:val="auto"/>
        </w:rPr>
      </w:pPr>
      <w:r>
        <w:rPr>
          <w:rFonts w:ascii="Arial" w:cs="Arial" w:eastAsia="Arial" w:hAnsi="Arial"/>
          <w:sz w:val="22"/>
          <w:szCs w:val="22"/>
          <w:color w:val="auto"/>
        </w:rPr>
        <w:t>2.2.5 If [****] in accordance with the Purchase Agreement [****] pursuant to (i) [****] ([****]), (ii) [****], or (iii) [****] ([****]), Boeing will [****]. For the avoidance of doubt, [****].</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180" w:type="dxa"/>
            <w:vAlign w:val="bottom"/>
          </w:tcPr>
          <w:p>
            <w:pPr>
              <w:spacing w:after="0"/>
              <w:rPr>
                <w:sz w:val="20"/>
                <w:szCs w:val="20"/>
                <w:color w:val="auto"/>
              </w:rPr>
            </w:pPr>
            <w:r>
              <w:rPr>
                <w:rFonts w:ascii="Arial" w:cs="Arial" w:eastAsia="Arial" w:hAnsi="Arial"/>
                <w:sz w:val="22"/>
                <w:szCs w:val="22"/>
                <w:color w:val="auto"/>
              </w:rPr>
              <w:t>AAL-PA-3735-LA-2306983R1</w:t>
            </w:r>
          </w:p>
        </w:tc>
        <w:tc>
          <w:tcPr>
            <w:tcW w:w="4540" w:type="dxa"/>
            <w:vAlign w:val="bottom"/>
          </w:tcPr>
          <w:p>
            <w:pPr>
              <w:ind w:left="1580"/>
              <w:spacing w:after="0"/>
              <w:rPr>
                <w:sz w:val="20"/>
                <w:szCs w:val="20"/>
                <w:color w:val="auto"/>
              </w:rPr>
            </w:pPr>
            <w:r>
              <w:rPr>
                <w:rFonts w:ascii="Arial" w:cs="Arial" w:eastAsia="Arial" w:hAnsi="Arial"/>
                <w:sz w:val="22"/>
                <w:szCs w:val="22"/>
                <w:color w:val="auto"/>
              </w:rPr>
              <w:t>SA-34</w:t>
            </w:r>
          </w:p>
        </w:tc>
        <w:tc>
          <w:tcPr>
            <w:tcW w:w="0" w:type="dxa"/>
            <w:vAlign w:val="bottom"/>
          </w:tcPr>
          <w:p>
            <w:pPr>
              <w:spacing w:after="0"/>
              <w:rPr>
                <w:sz w:val="1"/>
                <w:szCs w:val="1"/>
                <w:color w:val="auto"/>
              </w:rPr>
            </w:pPr>
          </w:p>
        </w:tc>
      </w:tr>
      <w:tr>
        <w:trPr>
          <w:trHeight w:val="283"/>
        </w:trPr>
        <w:tc>
          <w:tcPr>
            <w:tcW w:w="3180" w:type="dxa"/>
            <w:vAlign w:val="bottom"/>
          </w:tcPr>
          <w:p>
            <w:pPr>
              <w:ind w:left="240"/>
              <w:spacing w:after="0"/>
              <w:rPr>
                <w:sz w:val="20"/>
                <w:szCs w:val="20"/>
                <w:color w:val="auto"/>
              </w:rPr>
            </w:pPr>
            <w:r>
              <w:rPr>
                <w:rFonts w:ascii="Arial" w:cs="Arial" w:eastAsia="Arial" w:hAnsi="Arial"/>
                <w:sz w:val="22"/>
                <w:szCs w:val="22"/>
                <w:color w:val="auto"/>
              </w:rPr>
              <w:t>Page 7</w:t>
            </w:r>
          </w:p>
        </w:tc>
        <w:tc>
          <w:tcPr>
            <w:tcW w:w="4540" w:type="dxa"/>
            <w:vAlign w:val="bottom"/>
            <w:vMerge w:val="restart"/>
          </w:tcPr>
          <w:p>
            <w:pPr>
              <w:ind w:left="340"/>
              <w:spacing w:after="0"/>
              <w:rPr>
                <w:sz w:val="20"/>
                <w:szCs w:val="20"/>
                <w:color w:val="auto"/>
              </w:rPr>
            </w:pPr>
            <w:r>
              <w:rPr>
                <w:rFonts w:ascii="Arial" w:cs="Arial" w:eastAsia="Arial" w:hAnsi="Arial"/>
                <w:sz w:val="22"/>
                <w:szCs w:val="22"/>
                <w:b w:val="1"/>
                <w:bCs w:val="1"/>
                <w:color w:val="auto"/>
                <w:w w:val="97"/>
              </w:rPr>
              <w:t>BOEING AND AMERICAN PROPRIETARY</w:t>
            </w:r>
          </w:p>
        </w:tc>
        <w:tc>
          <w:tcPr>
            <w:tcW w:w="0" w:type="dxa"/>
            <w:vAlign w:val="bottom"/>
          </w:tcPr>
          <w:p>
            <w:pPr>
              <w:spacing w:after="0"/>
              <w:rPr>
                <w:sz w:val="1"/>
                <w:szCs w:val="1"/>
                <w:color w:val="auto"/>
              </w:rPr>
            </w:pPr>
          </w:p>
        </w:tc>
      </w:tr>
      <w:tr>
        <w:trPr>
          <w:trHeight w:val="269"/>
        </w:trPr>
        <w:tc>
          <w:tcPr>
            <w:tcW w:w="3180" w:type="dxa"/>
            <w:vAlign w:val="bottom"/>
          </w:tcPr>
          <w:p>
            <w:pPr>
              <w:spacing w:after="0"/>
              <w:rPr>
                <w:sz w:val="23"/>
                <w:szCs w:val="23"/>
                <w:color w:val="auto"/>
              </w:rPr>
            </w:pPr>
          </w:p>
        </w:tc>
        <w:tc>
          <w:tcPr>
            <w:tcW w:w="45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87" w:name="page88"/>
    <w:bookmarkEnd w:id="8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200025</wp:posOffset>
            </wp:positionV>
            <wp:extent cx="1560195" cy="3600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clrChange>
                        <a:clrFrom>
                          <a:srgbClr val="FFFFFF"/>
                        </a:clrFrom>
                        <a:clrTo>
                          <a:srgbClr val="FFFFFF">
                            <a:alpha val="0"/>
                          </a:srgbClr>
                        </a:clrTo>
                      </a:clrChange>
                      <a:extLst>
                        <a:ext uri="{28A0092B-C50C-407E-A947-70E740481C1C}"/>
                      </a:extLst>
                    </a:blip>
                    <a:srcRect/>
                    <a:stretch>
                      <a:fillRect/>
                    </a:stretch>
                  </pic:blipFill>
                  <pic:spPr bwMode="auto">
                    <a:xfrm>
                      <a:off x="0" y="0"/>
                      <a:ext cx="1560195" cy="36004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717"/>
        <w:spacing w:after="0"/>
        <w:tabs>
          <w:tab w:leader="none" w:pos="1336"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21"/>
          <w:szCs w:val="21"/>
          <w:color w:val="auto"/>
        </w:rPr>
        <w:t>For additional clarity, the [****] is [****] to (and [****]) [****] pursuant to [****] of Letter Agreement AAL-PA-</w:t>
      </w:r>
    </w:p>
    <w:p>
      <w:pPr>
        <w:ind w:left="57"/>
        <w:spacing w:after="0" w:line="204" w:lineRule="auto"/>
        <w:rPr>
          <w:sz w:val="20"/>
          <w:szCs w:val="20"/>
          <w:color w:val="auto"/>
        </w:rPr>
      </w:pPr>
      <w:r>
        <w:rPr>
          <w:rFonts w:ascii="Arial" w:cs="Arial" w:eastAsia="Arial" w:hAnsi="Arial"/>
          <w:sz w:val="22"/>
          <w:szCs w:val="22"/>
          <w:color w:val="auto"/>
        </w:rPr>
        <w:t>03735-LA-1106671R2  entitled  “</w:t>
      </w:r>
      <w:r>
        <w:rPr>
          <w:rFonts w:ascii="Arial" w:cs="Arial" w:eastAsia="Arial" w:hAnsi="Arial"/>
          <w:sz w:val="22"/>
          <w:szCs w:val="22"/>
          <w:u w:val="single" w:color="auto"/>
          <w:color w:val="auto"/>
        </w:rPr>
        <w:t>Miscellaneous  Commitments  for  Boeing  Model  737  MAX  Aircraft</w:t>
      </w:r>
      <w:r>
        <w:rPr>
          <w:rFonts w:ascii="Arial" w:cs="Arial" w:eastAsia="Arial" w:hAnsi="Arial"/>
          <w:sz w:val="22"/>
          <w:szCs w:val="22"/>
          <w:color w:val="auto"/>
        </w:rPr>
        <w:t xml:space="preserve">”  (the  </w:t>
      </w:r>
      <w:r>
        <w:rPr>
          <w:rFonts w:ascii="Arial" w:cs="Arial" w:eastAsia="Arial" w:hAnsi="Arial"/>
          <w:sz w:val="22"/>
          <w:szCs w:val="22"/>
          <w:b w:val="1"/>
          <w:bCs w:val="1"/>
          <w:i w:val="1"/>
          <w:iCs w:val="1"/>
          <w:color w:val="auto"/>
        </w:rPr>
        <w:t>Misc.</w:t>
      </w:r>
    </w:p>
    <w:p>
      <w:pPr>
        <w:spacing w:after="0" w:line="1" w:lineRule="exact"/>
        <w:rPr>
          <w:sz w:val="20"/>
          <w:szCs w:val="20"/>
          <w:color w:val="auto"/>
        </w:rPr>
      </w:pPr>
    </w:p>
    <w:p>
      <w:pPr>
        <w:ind w:left="57"/>
        <w:spacing w:after="0"/>
        <w:rPr>
          <w:sz w:val="20"/>
          <w:szCs w:val="20"/>
          <w:color w:val="auto"/>
        </w:rPr>
      </w:pPr>
      <w:r>
        <w:rPr>
          <w:rFonts w:ascii="Arial" w:cs="Arial" w:eastAsia="Arial" w:hAnsi="Arial"/>
          <w:sz w:val="22"/>
          <w:szCs w:val="22"/>
          <w:b w:val="1"/>
          <w:bCs w:val="1"/>
          <w:i w:val="1"/>
          <w:iCs w:val="1"/>
          <w:color w:val="auto"/>
        </w:rPr>
        <w:t>Commitments LA</w:t>
      </w:r>
      <w:r>
        <w:rPr>
          <w:rFonts w:ascii="Arial" w:cs="Arial" w:eastAsia="Arial" w:hAnsi="Arial"/>
          <w:sz w:val="22"/>
          <w:szCs w:val="22"/>
          <w:color w:val="auto"/>
        </w:rPr>
        <w:t>).</w:t>
      </w:r>
    </w:p>
    <w:p>
      <w:pPr>
        <w:spacing w:after="0" w:line="51" w:lineRule="exact"/>
        <w:rPr>
          <w:sz w:val="20"/>
          <w:szCs w:val="20"/>
          <w:color w:val="auto"/>
        </w:rPr>
      </w:pPr>
    </w:p>
    <w:p>
      <w:pPr>
        <w:ind w:left="717"/>
        <w:spacing w:after="0"/>
        <w:tabs>
          <w:tab w:leader="none" w:pos="1336"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21"/>
          <w:szCs w:val="21"/>
          <w:color w:val="auto"/>
        </w:rPr>
        <w:t>Reserved.</w:t>
      </w:r>
    </w:p>
    <w:p>
      <w:pPr>
        <w:spacing w:after="0" w:line="71" w:lineRule="exact"/>
        <w:rPr>
          <w:sz w:val="20"/>
          <w:szCs w:val="20"/>
          <w:color w:val="auto"/>
        </w:rPr>
      </w:pPr>
    </w:p>
    <w:p>
      <w:pPr>
        <w:ind w:left="717"/>
        <w:spacing w:after="0"/>
        <w:tabs>
          <w:tab w:leader="none" w:pos="1336"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21"/>
          <w:szCs w:val="21"/>
          <w:color w:val="auto"/>
        </w:rPr>
        <w:t>Reserved.</w:t>
      </w:r>
    </w:p>
    <w:p>
      <w:pPr>
        <w:spacing w:after="0" w:line="71" w:lineRule="exact"/>
        <w:rPr>
          <w:sz w:val="20"/>
          <w:szCs w:val="20"/>
          <w:color w:val="auto"/>
        </w:rPr>
      </w:pPr>
    </w:p>
    <w:p>
      <w:pPr>
        <w:jc w:val="both"/>
        <w:ind w:left="57" w:firstLine="648"/>
        <w:spacing w:after="0" w:line="220" w:lineRule="auto"/>
        <w:rPr>
          <w:sz w:val="20"/>
          <w:szCs w:val="20"/>
          <w:color w:val="auto"/>
        </w:rPr>
      </w:pPr>
      <w:r>
        <w:rPr>
          <w:rFonts w:ascii="Arial" w:cs="Arial" w:eastAsia="Arial" w:hAnsi="Arial"/>
          <w:sz w:val="22"/>
          <w:szCs w:val="22"/>
          <w:color w:val="auto"/>
        </w:rPr>
        <w:t>2.6 If [****] (as defined below), then for [****] (the [****]). Customer [****] (i) [****] or (ii) by [****] under the Purchase Agreement. For the purposes of this Section 2.6, a “[****]” is where there [****]t (i) pursuant to [****] (as amended from time to time, specifically by the [****]), (ii) pursuant to [****], or (iii) pursuant to [****] of Letter Agreement AAL-PA-03735-LA-2306984 entitled “[****]”.</w:t>
      </w:r>
    </w:p>
    <w:p>
      <w:pPr>
        <w:spacing w:after="0" w:line="44" w:lineRule="exact"/>
        <w:rPr>
          <w:sz w:val="20"/>
          <w:szCs w:val="20"/>
          <w:color w:val="auto"/>
        </w:rPr>
      </w:pPr>
    </w:p>
    <w:p>
      <w:pPr>
        <w:ind w:left="377" w:hanging="377"/>
        <w:spacing w:after="0"/>
        <w:tabs>
          <w:tab w:leader="none" w:pos="377"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Confidentiality.</w:t>
      </w:r>
    </w:p>
    <w:p>
      <w:pPr>
        <w:spacing w:after="0" w:line="206" w:lineRule="exact"/>
        <w:rPr>
          <w:sz w:val="20"/>
          <w:szCs w:val="20"/>
          <w:color w:val="auto"/>
        </w:rPr>
      </w:pPr>
    </w:p>
    <w:p>
      <w:pPr>
        <w:jc w:val="both"/>
        <w:ind w:left="57" w:firstLine="648"/>
        <w:spacing w:after="0" w:line="264" w:lineRule="auto"/>
        <w:rPr>
          <w:sz w:val="20"/>
          <w:szCs w:val="20"/>
          <w:color w:val="auto"/>
        </w:rPr>
      </w:pPr>
      <w:r>
        <w:rPr>
          <w:rFonts w:ascii="Arial" w:cs="Arial" w:eastAsia="Arial" w:hAnsi="Arial"/>
          <w:sz w:val="22"/>
          <w:szCs w:val="22"/>
          <w:color w:val="auto"/>
        </w:rPr>
        <w:t>The information contained herein represents confidential business information and has value precisely because it is not available generally or to other parties. This Letter Agreement shall be subject to the terms and conditions of Letter Agreement No. AAL-PA-03735-LA-1106670R1 entitled “</w:t>
      </w:r>
      <w:r>
        <w:rPr>
          <w:rFonts w:ascii="Arial" w:cs="Arial" w:eastAsia="Arial" w:hAnsi="Arial"/>
          <w:sz w:val="22"/>
          <w:szCs w:val="22"/>
          <w:u w:val="single" w:color="auto"/>
          <w:color w:val="auto"/>
        </w:rPr>
        <w:t>Confidentiality</w:t>
      </w:r>
      <w:r>
        <w:rPr>
          <w:rFonts w:ascii="Arial" w:cs="Arial" w:eastAsia="Arial" w:hAnsi="Arial"/>
          <w:sz w:val="22"/>
          <w:szCs w:val="22"/>
          <w:color w:val="auto"/>
        </w:rPr>
        <w:t>”.</w:t>
      </w:r>
    </w:p>
    <w:p>
      <w:pPr>
        <w:spacing w:after="0" w:line="272" w:lineRule="exact"/>
        <w:rPr>
          <w:sz w:val="20"/>
          <w:szCs w:val="20"/>
          <w:color w:val="auto"/>
        </w:rPr>
      </w:pPr>
    </w:p>
    <w:p>
      <w:pPr>
        <w:ind w:left="377" w:hanging="377"/>
        <w:spacing w:after="0"/>
        <w:tabs>
          <w:tab w:leader="none" w:pos="377"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Assignment.</w:t>
      </w:r>
    </w:p>
    <w:p>
      <w:pPr>
        <w:spacing w:after="0" w:line="206" w:lineRule="exact"/>
        <w:rPr>
          <w:sz w:val="20"/>
          <w:szCs w:val="20"/>
          <w:color w:val="auto"/>
        </w:rPr>
      </w:pPr>
    </w:p>
    <w:p>
      <w:pPr>
        <w:jc w:val="both"/>
        <w:ind w:left="57" w:firstLine="648"/>
        <w:spacing w:after="0" w:line="257" w:lineRule="auto"/>
        <w:rPr>
          <w:sz w:val="20"/>
          <w:szCs w:val="20"/>
          <w:color w:val="auto"/>
        </w:rPr>
      </w:pPr>
      <w:r>
        <w:rPr>
          <w:rFonts w:ascii="Arial" w:cs="Arial" w:eastAsia="Arial" w:hAnsi="Arial"/>
          <w:sz w:val="22"/>
          <w:szCs w:val="22"/>
          <w:color w:val="auto"/>
        </w:rPr>
        <w:t>Notwithstanding any other provisions of the Purchase Agreement, the rights and obligations described in this Letter Agreement are provided to Customer in consideration of Customer becoming the operator of the Aircraft and cannot be assigned, in whole or in part, without the prior written consent of Boeing.</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77" w:type="dxa"/>
        <w:tblCellMar>
          <w:top w:w="0" w:type="dxa"/>
          <w:left w:w="0" w:type="dxa"/>
          <w:bottom w:w="0" w:type="dxa"/>
          <w:right w:w="0" w:type="dxa"/>
        </w:tblCellMar>
      </w:tblPr>
      <w:tr>
        <w:trPr>
          <w:trHeight w:val="283"/>
        </w:trPr>
        <w:tc>
          <w:tcPr>
            <w:tcW w:w="5060" w:type="dxa"/>
            <w:vAlign w:val="bottom"/>
            <w:gridSpan w:val="2"/>
          </w:tcPr>
          <w:p>
            <w:pPr>
              <w:spacing w:after="0"/>
              <w:rPr>
                <w:sz w:val="20"/>
                <w:szCs w:val="20"/>
                <w:color w:val="auto"/>
              </w:rPr>
            </w:pPr>
            <w:r>
              <w:rPr>
                <w:rFonts w:ascii="Arial" w:cs="Arial" w:eastAsia="Arial" w:hAnsi="Arial"/>
                <w:sz w:val="22"/>
                <w:szCs w:val="22"/>
                <w:color w:val="auto"/>
              </w:rPr>
              <w:t>ACCEPTED AND AGREED TO this</w:t>
            </w:r>
          </w:p>
        </w:tc>
        <w:tc>
          <w:tcPr>
            <w:tcW w:w="14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940" w:type="dxa"/>
            <w:vAlign w:val="bottom"/>
          </w:tcPr>
          <w:p>
            <w:pPr>
              <w:spacing w:after="0"/>
              <w:rPr>
                <w:sz w:val="20"/>
                <w:szCs w:val="20"/>
                <w:color w:val="auto"/>
              </w:rPr>
            </w:pPr>
            <w:r>
              <w:rPr>
                <w:rFonts w:ascii="Arial" w:cs="Arial" w:eastAsia="Arial" w:hAnsi="Arial"/>
                <w:sz w:val="22"/>
                <w:szCs w:val="22"/>
                <w:color w:val="auto"/>
              </w:rPr>
              <w:t>Date:</w:t>
            </w:r>
          </w:p>
        </w:tc>
        <w:tc>
          <w:tcPr>
            <w:tcW w:w="4120" w:type="dxa"/>
            <w:vAlign w:val="bottom"/>
          </w:tcPr>
          <w:p>
            <w:pPr>
              <w:ind w:left="20"/>
              <w:spacing w:after="0"/>
              <w:rPr>
                <w:sz w:val="20"/>
                <w:szCs w:val="20"/>
                <w:color w:val="auto"/>
              </w:rPr>
            </w:pPr>
            <w:r>
              <w:rPr>
                <w:rFonts w:ascii="Arial" w:cs="Arial" w:eastAsia="Arial" w:hAnsi="Arial"/>
                <w:sz w:val="22"/>
                <w:szCs w:val="22"/>
                <w:color w:val="auto"/>
              </w:rPr>
              <w:t>March 19, 2025</w:t>
            </w:r>
          </w:p>
        </w:tc>
        <w:tc>
          <w:tcPr>
            <w:tcW w:w="14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60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5060" w:type="dxa"/>
            <w:vAlign w:val="bottom"/>
            <w:gridSpan w:val="2"/>
          </w:tcPr>
          <w:p>
            <w:pPr>
              <w:spacing w:after="0"/>
              <w:rPr>
                <w:sz w:val="20"/>
                <w:szCs w:val="20"/>
                <w:color w:val="auto"/>
              </w:rPr>
            </w:pPr>
            <w:r>
              <w:rPr>
                <w:rFonts w:ascii="Arial" w:cs="Arial" w:eastAsia="Arial" w:hAnsi="Arial"/>
                <w:sz w:val="22"/>
                <w:szCs w:val="22"/>
                <w:color w:val="auto"/>
              </w:rPr>
              <w:t>AMERICAN AIRLINES, INC.</w:t>
            </w:r>
          </w:p>
        </w:tc>
        <w:tc>
          <w:tcPr>
            <w:tcW w:w="6080" w:type="dxa"/>
            <w:vAlign w:val="bottom"/>
            <w:gridSpan w:val="2"/>
          </w:tcPr>
          <w:p>
            <w:pPr>
              <w:ind w:left="440"/>
              <w:spacing w:after="0"/>
              <w:rPr>
                <w:sz w:val="20"/>
                <w:szCs w:val="20"/>
                <w:color w:val="auto"/>
              </w:rPr>
            </w:pPr>
            <w:r>
              <w:rPr>
                <w:rFonts w:ascii="Arial" w:cs="Arial" w:eastAsia="Arial" w:hAnsi="Arial"/>
                <w:sz w:val="22"/>
                <w:szCs w:val="22"/>
                <w:color w:val="auto"/>
              </w:rPr>
              <w:t>THE BOEING COMPANY</w:t>
            </w:r>
          </w:p>
        </w:tc>
        <w:tc>
          <w:tcPr>
            <w:tcW w:w="0" w:type="dxa"/>
            <w:vAlign w:val="bottom"/>
          </w:tcPr>
          <w:p>
            <w:pPr>
              <w:spacing w:after="0"/>
              <w:rPr>
                <w:sz w:val="1"/>
                <w:szCs w:val="1"/>
                <w:color w:val="auto"/>
              </w:rPr>
            </w:pPr>
          </w:p>
        </w:tc>
      </w:tr>
      <w:tr>
        <w:trPr>
          <w:trHeight w:val="608"/>
        </w:trPr>
        <w:tc>
          <w:tcPr>
            <w:tcW w:w="940" w:type="dxa"/>
            <w:vAlign w:val="bottom"/>
          </w:tcPr>
          <w:p>
            <w:pPr>
              <w:spacing w:after="0"/>
              <w:rPr>
                <w:sz w:val="20"/>
                <w:szCs w:val="20"/>
                <w:color w:val="auto"/>
              </w:rPr>
            </w:pPr>
            <w:r>
              <w:rPr>
                <w:rFonts w:ascii="Arial" w:cs="Arial" w:eastAsia="Arial" w:hAnsi="Arial"/>
                <w:sz w:val="22"/>
                <w:szCs w:val="22"/>
                <w:color w:val="auto"/>
              </w:rPr>
              <w:t>By:</w:t>
            </w:r>
          </w:p>
        </w:tc>
        <w:tc>
          <w:tcPr>
            <w:tcW w:w="4120" w:type="dxa"/>
            <w:vAlign w:val="bottom"/>
          </w:tcPr>
          <w:p>
            <w:pPr>
              <w:ind w:left="20"/>
              <w:spacing w:after="0"/>
              <w:rPr>
                <w:sz w:val="20"/>
                <w:szCs w:val="20"/>
                <w:color w:val="auto"/>
              </w:rPr>
            </w:pPr>
            <w:r>
              <w:rPr>
                <w:rFonts w:ascii="Arial" w:cs="Arial" w:eastAsia="Arial" w:hAnsi="Arial"/>
                <w:sz w:val="22"/>
                <w:szCs w:val="22"/>
                <w:color w:val="auto"/>
              </w:rPr>
              <w:t>/s/ American Airlines, Inc.</w:t>
            </w:r>
          </w:p>
        </w:tc>
        <w:tc>
          <w:tcPr>
            <w:tcW w:w="1400" w:type="dxa"/>
            <w:vAlign w:val="bottom"/>
          </w:tcPr>
          <w:p>
            <w:pPr>
              <w:ind w:left="440"/>
              <w:spacing w:after="0"/>
              <w:rPr>
                <w:sz w:val="20"/>
                <w:szCs w:val="20"/>
                <w:color w:val="auto"/>
              </w:rPr>
            </w:pPr>
            <w:r>
              <w:rPr>
                <w:rFonts w:ascii="Arial" w:cs="Arial" w:eastAsia="Arial" w:hAnsi="Arial"/>
                <w:sz w:val="22"/>
                <w:szCs w:val="22"/>
                <w:color w:val="auto"/>
              </w:rPr>
              <w:t>By:</w:t>
            </w:r>
          </w:p>
        </w:tc>
        <w:tc>
          <w:tcPr>
            <w:tcW w:w="4680" w:type="dxa"/>
            <w:vAlign w:val="bottom"/>
          </w:tcPr>
          <w:p>
            <w:pPr>
              <w:ind w:left="20"/>
              <w:spacing w:after="0"/>
              <w:rPr>
                <w:sz w:val="20"/>
                <w:szCs w:val="20"/>
                <w:color w:val="auto"/>
              </w:rPr>
            </w:pPr>
            <w:r>
              <w:rPr>
                <w:rFonts w:ascii="Arial" w:cs="Arial" w:eastAsia="Arial" w:hAnsi="Arial"/>
                <w:sz w:val="22"/>
                <w:szCs w:val="22"/>
                <w:color w:val="auto"/>
              </w:rPr>
              <w:t>/s/ The Boeing Company</w:t>
            </w: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140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940" w:type="dxa"/>
            <w:vAlign w:val="bottom"/>
          </w:tcPr>
          <w:p>
            <w:pPr>
              <w:spacing w:after="0"/>
              <w:rPr>
                <w:sz w:val="20"/>
                <w:szCs w:val="20"/>
                <w:color w:val="auto"/>
              </w:rPr>
            </w:pPr>
            <w:r>
              <w:rPr>
                <w:rFonts w:ascii="Arial" w:cs="Arial" w:eastAsia="Arial" w:hAnsi="Arial"/>
                <w:sz w:val="22"/>
                <w:szCs w:val="22"/>
                <w:color w:val="auto"/>
              </w:rPr>
              <w:t>Name:</w:t>
            </w:r>
          </w:p>
        </w:tc>
        <w:tc>
          <w:tcPr>
            <w:tcW w:w="4120" w:type="dxa"/>
            <w:vAlign w:val="bottom"/>
          </w:tcPr>
          <w:p>
            <w:pPr>
              <w:ind w:left="20"/>
              <w:spacing w:after="0"/>
              <w:rPr>
                <w:sz w:val="20"/>
                <w:szCs w:val="20"/>
                <w:color w:val="auto"/>
              </w:rPr>
            </w:pPr>
            <w:r>
              <w:rPr>
                <w:rFonts w:ascii="Arial" w:cs="Arial" w:eastAsia="Arial" w:hAnsi="Arial"/>
                <w:sz w:val="22"/>
                <w:szCs w:val="22"/>
                <w:color w:val="auto"/>
              </w:rPr>
              <w:t>American Airlines Inc.</w:t>
            </w:r>
          </w:p>
        </w:tc>
        <w:tc>
          <w:tcPr>
            <w:tcW w:w="1400" w:type="dxa"/>
            <w:vAlign w:val="bottom"/>
          </w:tcPr>
          <w:p>
            <w:pPr>
              <w:ind w:left="440"/>
              <w:spacing w:after="0"/>
              <w:rPr>
                <w:sz w:val="20"/>
                <w:szCs w:val="20"/>
                <w:color w:val="auto"/>
              </w:rPr>
            </w:pPr>
            <w:r>
              <w:rPr>
                <w:rFonts w:ascii="Arial" w:cs="Arial" w:eastAsia="Arial" w:hAnsi="Arial"/>
                <w:sz w:val="22"/>
                <w:szCs w:val="22"/>
                <w:color w:val="auto"/>
              </w:rPr>
              <w:t>Name:</w:t>
            </w:r>
          </w:p>
        </w:tc>
        <w:tc>
          <w:tcPr>
            <w:tcW w:w="4680" w:type="dxa"/>
            <w:vAlign w:val="bottom"/>
          </w:tcPr>
          <w:p>
            <w:pPr>
              <w:ind w:left="20"/>
              <w:spacing w:after="0"/>
              <w:rPr>
                <w:sz w:val="20"/>
                <w:szCs w:val="20"/>
                <w:color w:val="auto"/>
              </w:rPr>
            </w:pPr>
            <w:r>
              <w:rPr>
                <w:rFonts w:ascii="Arial" w:cs="Arial" w:eastAsia="Arial" w:hAnsi="Arial"/>
                <w:sz w:val="22"/>
                <w:szCs w:val="22"/>
                <w:color w:val="auto"/>
              </w:rPr>
              <w:t>The Boeing Company</w:t>
            </w: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140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940" w:type="dxa"/>
            <w:vAlign w:val="bottom"/>
          </w:tcPr>
          <w:p>
            <w:pPr>
              <w:spacing w:after="0"/>
              <w:rPr>
                <w:sz w:val="20"/>
                <w:szCs w:val="20"/>
                <w:color w:val="auto"/>
              </w:rPr>
            </w:pPr>
            <w:r>
              <w:rPr>
                <w:rFonts w:ascii="Arial" w:cs="Arial" w:eastAsia="Arial" w:hAnsi="Arial"/>
                <w:sz w:val="22"/>
                <w:szCs w:val="22"/>
                <w:color w:val="auto"/>
              </w:rPr>
              <w:t>Title:</w:t>
            </w:r>
          </w:p>
        </w:tc>
        <w:tc>
          <w:tcPr>
            <w:tcW w:w="4120" w:type="dxa"/>
            <w:vAlign w:val="bottom"/>
          </w:tcPr>
          <w:p>
            <w:pPr>
              <w:ind w:left="20"/>
              <w:spacing w:after="0"/>
              <w:rPr>
                <w:sz w:val="20"/>
                <w:szCs w:val="20"/>
                <w:color w:val="auto"/>
              </w:rPr>
            </w:pPr>
            <w:r>
              <w:rPr>
                <w:rFonts w:ascii="Arial" w:cs="Arial" w:eastAsia="Arial" w:hAnsi="Arial"/>
                <w:sz w:val="22"/>
                <w:szCs w:val="22"/>
                <w:color w:val="auto"/>
              </w:rPr>
              <w:t>VP, Financial Planning &amp; Analysis</w:t>
            </w:r>
          </w:p>
        </w:tc>
        <w:tc>
          <w:tcPr>
            <w:tcW w:w="1400" w:type="dxa"/>
            <w:vAlign w:val="bottom"/>
          </w:tcPr>
          <w:p>
            <w:pPr>
              <w:ind w:left="440"/>
              <w:spacing w:after="0"/>
              <w:rPr>
                <w:sz w:val="20"/>
                <w:szCs w:val="20"/>
                <w:color w:val="auto"/>
              </w:rPr>
            </w:pPr>
            <w:r>
              <w:rPr>
                <w:rFonts w:ascii="Arial" w:cs="Arial" w:eastAsia="Arial" w:hAnsi="Arial"/>
                <w:sz w:val="22"/>
                <w:szCs w:val="22"/>
                <w:color w:val="auto"/>
              </w:rPr>
              <w:t>Title:</w:t>
            </w:r>
          </w:p>
        </w:tc>
        <w:tc>
          <w:tcPr>
            <w:tcW w:w="4680" w:type="dxa"/>
            <w:vAlign w:val="bottom"/>
            <w:vMerge w:val="restart"/>
          </w:tcPr>
          <w:p>
            <w:pPr>
              <w:ind w:left="20"/>
              <w:spacing w:after="0"/>
              <w:rPr>
                <w:sz w:val="20"/>
                <w:szCs w:val="20"/>
                <w:color w:val="auto"/>
              </w:rPr>
            </w:pPr>
            <w:r>
              <w:rPr>
                <w:rFonts w:ascii="Arial" w:cs="Arial" w:eastAsia="Arial" w:hAnsi="Arial"/>
                <w:sz w:val="22"/>
                <w:szCs w:val="22"/>
                <w:color w:val="auto"/>
              </w:rPr>
              <w:t>Attorney-In-Fact</w:t>
            </w:r>
          </w:p>
        </w:tc>
        <w:tc>
          <w:tcPr>
            <w:tcW w:w="0" w:type="dxa"/>
            <w:vAlign w:val="bottom"/>
          </w:tcPr>
          <w:p>
            <w:pPr>
              <w:spacing w:after="0"/>
              <w:rPr>
                <w:sz w:val="1"/>
                <w:szCs w:val="1"/>
                <w:color w:val="auto"/>
              </w:rPr>
            </w:pPr>
          </w:p>
        </w:tc>
      </w:tr>
      <w:tr>
        <w:trPr>
          <w:trHeight w:val="243"/>
        </w:trPr>
        <w:tc>
          <w:tcPr>
            <w:tcW w:w="94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140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7"/>
        <w:spacing w:after="0"/>
        <w:tabs>
          <w:tab w:leader="none" w:pos="4796" w:val="left"/>
        </w:tabs>
        <w:rPr>
          <w:sz w:val="20"/>
          <w:szCs w:val="20"/>
          <w:color w:val="auto"/>
        </w:rPr>
      </w:pPr>
      <w:r>
        <w:rPr>
          <w:rFonts w:ascii="Arial" w:cs="Arial" w:eastAsia="Arial" w:hAnsi="Arial"/>
          <w:sz w:val="22"/>
          <w:szCs w:val="22"/>
          <w:color w:val="auto"/>
        </w:rPr>
        <w:t>AAL-PA-3735-LA-2306983R1</w:t>
      </w:r>
      <w:r>
        <w:rPr>
          <w:sz w:val="20"/>
          <w:szCs w:val="20"/>
          <w:color w:val="auto"/>
        </w:rPr>
        <w:tab/>
      </w:r>
      <w:r>
        <w:rPr>
          <w:rFonts w:ascii="Arial" w:cs="Arial" w:eastAsia="Arial" w:hAnsi="Arial"/>
          <w:sz w:val="21"/>
          <w:szCs w:val="21"/>
          <w:color w:val="auto"/>
        </w:rPr>
        <w:t>SA-34</w:t>
      </w:r>
    </w:p>
    <w:p>
      <w:pPr>
        <w:spacing w:after="0" w:line="24" w:lineRule="exact"/>
        <w:rPr>
          <w:sz w:val="20"/>
          <w:szCs w:val="20"/>
          <w:color w:val="auto"/>
        </w:rPr>
      </w:pPr>
    </w:p>
    <w:p>
      <w:pPr>
        <w:ind w:left="297"/>
        <w:spacing w:after="0"/>
        <w:rPr>
          <w:sz w:val="20"/>
          <w:szCs w:val="20"/>
          <w:color w:val="auto"/>
        </w:rPr>
      </w:pPr>
      <w:r>
        <w:rPr>
          <w:rFonts w:ascii="Arial" w:cs="Arial" w:eastAsia="Arial" w:hAnsi="Arial"/>
          <w:sz w:val="22"/>
          <w:szCs w:val="22"/>
          <w:color w:val="auto"/>
        </w:rPr>
        <w:t>Page 8</w:t>
      </w:r>
    </w:p>
    <w:p>
      <w:pPr>
        <w:spacing w:after="0" w:line="4" w:lineRule="exact"/>
        <w:rPr>
          <w:sz w:val="20"/>
          <w:szCs w:val="20"/>
          <w:color w:val="auto"/>
        </w:rPr>
      </w:pPr>
    </w:p>
    <w:p>
      <w:pPr>
        <w:jc w:val="center"/>
        <w:ind w:right="-56"/>
        <w:spacing w:after="0"/>
        <w:rPr>
          <w:sz w:val="20"/>
          <w:szCs w:val="20"/>
          <w:color w:val="auto"/>
        </w:rPr>
      </w:pPr>
      <w:r>
        <w:rPr>
          <w:rFonts w:ascii="Arial" w:cs="Arial" w:eastAsia="Arial" w:hAnsi="Arial"/>
          <w:sz w:val="22"/>
          <w:szCs w:val="22"/>
          <w:b w:val="1"/>
          <w:bCs w:val="1"/>
          <w:color w:val="auto"/>
        </w:rPr>
        <w:t>BOEING AND AMERICAN PROPRIETARY</w:t>
      </w:r>
    </w:p>
    <w:p>
      <w:pPr>
        <w:sectPr>
          <w:pgSz w:w="11900" w:h="16838" w:orient="portrait"/>
          <w:cols w:equalWidth="0" w:num="1">
            <w:col w:w="11297"/>
          </w:cols>
          <w:pgMar w:left="263" w:top="1440" w:right="339" w:bottom="1440" w:gutter="0" w:footer="0" w:header="0"/>
        </w:sectPr>
      </w:pPr>
    </w:p>
    <w:bookmarkStart w:id="88" w:name="page89"/>
    <w:bookmarkEnd w:id="8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200025</wp:posOffset>
            </wp:positionV>
            <wp:extent cx="1560195" cy="3600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clrChange>
                        <a:clrFrom>
                          <a:srgbClr val="FFFFFF"/>
                        </a:clrFrom>
                        <a:clrTo>
                          <a:srgbClr val="FFFFFF">
                            <a:alpha val="0"/>
                          </a:srgbClr>
                        </a:clrTo>
                      </a:clrChange>
                      <a:extLst>
                        <a:ext uri="{28A0092B-C50C-407E-A947-70E740481C1C}"/>
                      </a:extLst>
                    </a:blip>
                    <a:srcRect/>
                    <a:stretch>
                      <a:fillRect/>
                    </a:stretch>
                  </pic:blipFill>
                  <pic:spPr bwMode="auto">
                    <a:xfrm>
                      <a:off x="0" y="0"/>
                      <a:ext cx="1560195" cy="360045"/>
                    </a:xfrm>
                    <a:prstGeom prst="rect">
                      <a:avLst/>
                    </a:prstGeom>
                    <a:noFill/>
                  </pic:spPr>
                </pic:pic>
              </a:graphicData>
            </a:graphic>
          </wp:anchor>
        </w:drawing>
      </w:r>
    </w:p>
    <w:p>
      <w:pPr>
        <w:spacing w:after="0" w:line="242"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Attachment A to LA-2306983R1</w:t>
      </w:r>
    </w:p>
    <w:p>
      <w:pPr>
        <w:spacing w:after="0" w:line="280" w:lineRule="exact"/>
        <w:rPr>
          <w:sz w:val="20"/>
          <w:szCs w:val="20"/>
          <w:color w:val="auto"/>
        </w:rPr>
      </w:pPr>
    </w:p>
    <w:tbl>
      <w:tblPr>
        <w:tblLayout w:type="fixed"/>
        <w:tblInd w:w="1110" w:type="dxa"/>
        <w:tblCellMar>
          <w:top w:w="0" w:type="dxa"/>
          <w:left w:w="0" w:type="dxa"/>
          <w:bottom w:w="0" w:type="dxa"/>
          <w:right w:w="0" w:type="dxa"/>
        </w:tblCellMar>
      </w:tblPr>
      <w:tr>
        <w:trPr>
          <w:trHeight w:val="290"/>
        </w:trPr>
        <w:tc>
          <w:tcPr>
            <w:tcW w:w="1800" w:type="dxa"/>
            <w:vAlign w:val="bottom"/>
            <w:tcBorders>
              <w:top w:val="single" w:sz="8" w:color="auto"/>
              <w:left w:val="single" w:sz="8" w:color="auto"/>
              <w:bottom w:val="single" w:sz="8" w:color="auto"/>
              <w:right w:val="single" w:sz="8" w:color="auto"/>
            </w:tcBorders>
            <w:shd w:val="clear" w:color="auto" w:fill="D9D9D9"/>
          </w:tcPr>
          <w:p>
            <w:pPr>
              <w:spacing w:after="0"/>
              <w:rPr>
                <w:sz w:val="24"/>
                <w:szCs w:val="24"/>
                <w:color w:val="auto"/>
              </w:rPr>
            </w:pPr>
          </w:p>
        </w:tc>
        <w:tc>
          <w:tcPr>
            <w:tcW w:w="222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2"/>
                <w:szCs w:val="22"/>
                <w:color w:val="auto"/>
              </w:rPr>
              <w:t>Model</w:t>
            </w:r>
          </w:p>
        </w:tc>
        <w:tc>
          <w:tcPr>
            <w:tcW w:w="254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2"/>
                <w:szCs w:val="22"/>
                <w:color w:val="auto"/>
                <w:w w:val="97"/>
              </w:rPr>
              <w:t>Target Delivery Month</w:t>
            </w:r>
          </w:p>
        </w:tc>
        <w:tc>
          <w:tcPr>
            <w:tcW w:w="2300" w:type="dxa"/>
            <w:vAlign w:val="bottom"/>
            <w:tcBorders>
              <w:top w:val="single" w:sz="8" w:color="auto"/>
              <w:bottom w:val="single" w:sz="8" w:color="auto"/>
              <w:right w:val="single" w:sz="8" w:color="auto"/>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800" w:type="dxa"/>
            <w:vAlign w:val="bottom"/>
            <w:tcBorders>
              <w:left w:val="single" w:sz="8" w:color="auto"/>
              <w:bottom w:val="single" w:sz="8" w:color="auto"/>
              <w:right w:val="single" w:sz="8" w:color="auto"/>
            </w:tcBorders>
            <w:shd w:val="clear" w:color="auto" w:fill="FFFFE1"/>
          </w:tcPr>
          <w:p>
            <w:pPr>
              <w:jc w:val="center"/>
              <w:spacing w:after="0"/>
              <w:rPr>
                <w:sz w:val="20"/>
                <w:szCs w:val="20"/>
                <w:color w:val="auto"/>
              </w:rPr>
            </w:pPr>
            <w:r>
              <w:rPr>
                <w:rFonts w:ascii="Arial" w:cs="Arial" w:eastAsia="Arial" w:hAnsi="Arial"/>
                <w:sz w:val="22"/>
                <w:szCs w:val="22"/>
                <w:color w:val="auto"/>
                <w:w w:val="97"/>
              </w:rPr>
              <w:t>1</w:t>
            </w:r>
          </w:p>
        </w:tc>
        <w:tc>
          <w:tcPr>
            <w:tcW w:w="2220" w:type="dxa"/>
            <w:vAlign w:val="bottom"/>
            <w:tcBorders>
              <w:bottom w:val="single" w:sz="8" w:color="auto"/>
              <w:right w:val="single" w:sz="8" w:color="auto"/>
            </w:tcBorders>
            <w:shd w:val="clear" w:color="auto" w:fill="FFFFE1"/>
          </w:tcPr>
          <w:p>
            <w:pPr>
              <w:jc w:val="center"/>
              <w:spacing w:after="0"/>
              <w:rPr>
                <w:sz w:val="20"/>
                <w:szCs w:val="20"/>
                <w:color w:val="auto"/>
              </w:rPr>
            </w:pPr>
            <w:r>
              <w:rPr>
                <w:rFonts w:ascii="Arial" w:cs="Arial" w:eastAsia="Arial" w:hAnsi="Arial"/>
                <w:sz w:val="22"/>
                <w:szCs w:val="22"/>
                <w:color w:val="auto"/>
                <w:w w:val="94"/>
              </w:rPr>
              <w:t>[****]</w:t>
            </w:r>
          </w:p>
        </w:tc>
        <w:tc>
          <w:tcPr>
            <w:tcW w:w="2540" w:type="dxa"/>
            <w:vAlign w:val="bottom"/>
            <w:tcBorders>
              <w:bottom w:val="single" w:sz="8" w:color="auto"/>
              <w:right w:val="single" w:sz="8" w:color="auto"/>
            </w:tcBorders>
            <w:shd w:val="clear" w:color="auto" w:fill="FFFFE1"/>
          </w:tcPr>
          <w:p>
            <w:pPr>
              <w:jc w:val="center"/>
              <w:spacing w:after="0"/>
              <w:rPr>
                <w:sz w:val="20"/>
                <w:szCs w:val="20"/>
                <w:color w:val="auto"/>
              </w:rPr>
            </w:pPr>
            <w:r>
              <w:rPr>
                <w:rFonts w:ascii="Arial" w:cs="Arial" w:eastAsia="Arial" w:hAnsi="Arial"/>
                <w:sz w:val="22"/>
                <w:szCs w:val="22"/>
                <w:color w:val="auto"/>
                <w:w w:val="98"/>
              </w:rPr>
              <w:t>[****]</w:t>
            </w:r>
          </w:p>
        </w:tc>
        <w:tc>
          <w:tcPr>
            <w:tcW w:w="2300" w:type="dxa"/>
            <w:vAlign w:val="bottom"/>
            <w:tcBorders>
              <w:bottom w:val="single" w:sz="8" w:color="FFFFE1"/>
              <w:right w:val="single" w:sz="8" w:color="auto"/>
            </w:tcBorders>
            <w:shd w:val="clear" w:color="auto" w:fill="FFFFE1"/>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1800" w:type="dxa"/>
            <w:vAlign w:val="bottom"/>
            <w:tcBorders>
              <w:left w:val="single" w:sz="8" w:color="auto"/>
              <w:bottom w:val="single" w:sz="8" w:color="auto"/>
              <w:right w:val="single" w:sz="8" w:color="auto"/>
            </w:tcBorders>
            <w:shd w:val="clear" w:color="auto" w:fill="FFFFE1"/>
          </w:tcPr>
          <w:p>
            <w:pPr>
              <w:jc w:val="center"/>
              <w:spacing w:after="0"/>
              <w:rPr>
                <w:sz w:val="20"/>
                <w:szCs w:val="20"/>
                <w:color w:val="auto"/>
              </w:rPr>
            </w:pPr>
            <w:r>
              <w:rPr>
                <w:rFonts w:ascii="Arial" w:cs="Arial" w:eastAsia="Arial" w:hAnsi="Arial"/>
                <w:sz w:val="22"/>
                <w:szCs w:val="22"/>
                <w:color w:val="auto"/>
                <w:w w:val="97"/>
              </w:rPr>
              <w:t>2</w:t>
            </w:r>
          </w:p>
        </w:tc>
        <w:tc>
          <w:tcPr>
            <w:tcW w:w="2220" w:type="dxa"/>
            <w:vAlign w:val="bottom"/>
            <w:tcBorders>
              <w:bottom w:val="single" w:sz="8" w:color="auto"/>
              <w:right w:val="single" w:sz="8" w:color="auto"/>
            </w:tcBorders>
            <w:shd w:val="clear" w:color="auto" w:fill="FFFFE1"/>
          </w:tcPr>
          <w:p>
            <w:pPr>
              <w:jc w:val="center"/>
              <w:spacing w:after="0"/>
              <w:rPr>
                <w:sz w:val="20"/>
                <w:szCs w:val="20"/>
                <w:color w:val="auto"/>
              </w:rPr>
            </w:pPr>
            <w:r>
              <w:rPr>
                <w:rFonts w:ascii="Arial" w:cs="Arial" w:eastAsia="Arial" w:hAnsi="Arial"/>
                <w:sz w:val="22"/>
                <w:szCs w:val="22"/>
                <w:color w:val="auto"/>
                <w:w w:val="94"/>
              </w:rPr>
              <w:t>[****]</w:t>
            </w:r>
          </w:p>
        </w:tc>
        <w:tc>
          <w:tcPr>
            <w:tcW w:w="2540" w:type="dxa"/>
            <w:vAlign w:val="bottom"/>
            <w:tcBorders>
              <w:bottom w:val="single" w:sz="8" w:color="auto"/>
              <w:right w:val="single" w:sz="8" w:color="auto"/>
            </w:tcBorders>
            <w:shd w:val="clear" w:color="auto" w:fill="FFFFE1"/>
          </w:tcPr>
          <w:p>
            <w:pPr>
              <w:jc w:val="center"/>
              <w:spacing w:after="0"/>
              <w:rPr>
                <w:sz w:val="20"/>
                <w:szCs w:val="20"/>
                <w:color w:val="auto"/>
              </w:rPr>
            </w:pPr>
            <w:r>
              <w:rPr>
                <w:rFonts w:ascii="Arial" w:cs="Arial" w:eastAsia="Arial" w:hAnsi="Arial"/>
                <w:sz w:val="22"/>
                <w:szCs w:val="22"/>
                <w:color w:val="auto"/>
                <w:w w:val="98"/>
              </w:rPr>
              <w:t>[****]</w:t>
            </w:r>
          </w:p>
        </w:tc>
        <w:tc>
          <w:tcPr>
            <w:tcW w:w="2300" w:type="dxa"/>
            <w:vAlign w:val="bottom"/>
            <w:tcBorders>
              <w:bottom w:val="single" w:sz="8" w:color="FFFFE1"/>
              <w:right w:val="single" w:sz="8" w:color="auto"/>
            </w:tcBorders>
            <w:shd w:val="clear" w:color="auto" w:fill="FFFFE1"/>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800" w:type="dxa"/>
            <w:vAlign w:val="bottom"/>
            <w:tcBorders>
              <w:left w:val="single" w:sz="8" w:color="auto"/>
              <w:bottom w:val="single" w:sz="8" w:color="auto"/>
              <w:right w:val="single" w:sz="8" w:color="auto"/>
            </w:tcBorders>
            <w:shd w:val="clear" w:color="auto" w:fill="FFFFE1"/>
          </w:tcPr>
          <w:p>
            <w:pPr>
              <w:jc w:val="center"/>
              <w:spacing w:after="0"/>
              <w:rPr>
                <w:sz w:val="20"/>
                <w:szCs w:val="20"/>
                <w:color w:val="auto"/>
              </w:rPr>
            </w:pPr>
            <w:r>
              <w:rPr>
                <w:rFonts w:ascii="Arial" w:cs="Arial" w:eastAsia="Arial" w:hAnsi="Arial"/>
                <w:sz w:val="22"/>
                <w:szCs w:val="22"/>
                <w:color w:val="auto"/>
                <w:w w:val="97"/>
              </w:rPr>
              <w:t>3</w:t>
            </w:r>
          </w:p>
        </w:tc>
        <w:tc>
          <w:tcPr>
            <w:tcW w:w="2220" w:type="dxa"/>
            <w:vAlign w:val="bottom"/>
            <w:tcBorders>
              <w:bottom w:val="single" w:sz="8" w:color="auto"/>
              <w:right w:val="single" w:sz="8" w:color="auto"/>
            </w:tcBorders>
            <w:shd w:val="clear" w:color="auto" w:fill="FFFFE1"/>
          </w:tcPr>
          <w:p>
            <w:pPr>
              <w:jc w:val="center"/>
              <w:spacing w:after="0"/>
              <w:rPr>
                <w:sz w:val="20"/>
                <w:szCs w:val="20"/>
                <w:color w:val="auto"/>
              </w:rPr>
            </w:pPr>
            <w:r>
              <w:rPr>
                <w:rFonts w:ascii="Arial" w:cs="Arial" w:eastAsia="Arial" w:hAnsi="Arial"/>
                <w:sz w:val="22"/>
                <w:szCs w:val="22"/>
                <w:color w:val="auto"/>
                <w:w w:val="94"/>
              </w:rPr>
              <w:t>[****]</w:t>
            </w:r>
          </w:p>
        </w:tc>
        <w:tc>
          <w:tcPr>
            <w:tcW w:w="2540" w:type="dxa"/>
            <w:vAlign w:val="bottom"/>
            <w:tcBorders>
              <w:bottom w:val="single" w:sz="8" w:color="auto"/>
              <w:right w:val="single" w:sz="8" w:color="auto"/>
            </w:tcBorders>
            <w:shd w:val="clear" w:color="auto" w:fill="FFFFE1"/>
          </w:tcPr>
          <w:p>
            <w:pPr>
              <w:jc w:val="center"/>
              <w:spacing w:after="0"/>
              <w:rPr>
                <w:sz w:val="20"/>
                <w:szCs w:val="20"/>
                <w:color w:val="auto"/>
              </w:rPr>
            </w:pPr>
            <w:r>
              <w:rPr>
                <w:rFonts w:ascii="Arial" w:cs="Arial" w:eastAsia="Arial" w:hAnsi="Arial"/>
                <w:sz w:val="22"/>
                <w:szCs w:val="22"/>
                <w:color w:val="auto"/>
                <w:w w:val="98"/>
              </w:rPr>
              <w:t>[****]</w:t>
            </w:r>
          </w:p>
        </w:tc>
        <w:tc>
          <w:tcPr>
            <w:tcW w:w="2300" w:type="dxa"/>
            <w:vAlign w:val="bottom"/>
            <w:tcBorders>
              <w:bottom w:val="single" w:sz="8" w:color="FFFFE1"/>
              <w:right w:val="single" w:sz="8" w:color="auto"/>
            </w:tcBorders>
            <w:shd w:val="clear" w:color="auto" w:fill="FFFFE1"/>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800" w:type="dxa"/>
            <w:vAlign w:val="bottom"/>
            <w:tcBorders>
              <w:left w:val="single" w:sz="8" w:color="auto"/>
              <w:bottom w:val="single" w:sz="8" w:color="auto"/>
              <w:right w:val="single" w:sz="8" w:color="auto"/>
            </w:tcBorders>
            <w:shd w:val="clear" w:color="auto" w:fill="FFFFE1"/>
          </w:tcPr>
          <w:p>
            <w:pPr>
              <w:jc w:val="center"/>
              <w:spacing w:after="0"/>
              <w:rPr>
                <w:sz w:val="20"/>
                <w:szCs w:val="20"/>
                <w:color w:val="auto"/>
              </w:rPr>
            </w:pPr>
            <w:r>
              <w:rPr>
                <w:rFonts w:ascii="Arial" w:cs="Arial" w:eastAsia="Arial" w:hAnsi="Arial"/>
                <w:sz w:val="22"/>
                <w:szCs w:val="22"/>
                <w:color w:val="auto"/>
                <w:w w:val="97"/>
              </w:rPr>
              <w:t>4</w:t>
            </w:r>
          </w:p>
        </w:tc>
        <w:tc>
          <w:tcPr>
            <w:tcW w:w="2220" w:type="dxa"/>
            <w:vAlign w:val="bottom"/>
            <w:tcBorders>
              <w:bottom w:val="single" w:sz="8" w:color="auto"/>
              <w:right w:val="single" w:sz="8" w:color="auto"/>
            </w:tcBorders>
            <w:shd w:val="clear" w:color="auto" w:fill="FFFFE1"/>
          </w:tcPr>
          <w:p>
            <w:pPr>
              <w:jc w:val="center"/>
              <w:spacing w:after="0"/>
              <w:rPr>
                <w:sz w:val="20"/>
                <w:szCs w:val="20"/>
                <w:color w:val="auto"/>
              </w:rPr>
            </w:pPr>
            <w:r>
              <w:rPr>
                <w:rFonts w:ascii="Arial" w:cs="Arial" w:eastAsia="Arial" w:hAnsi="Arial"/>
                <w:sz w:val="22"/>
                <w:szCs w:val="22"/>
                <w:color w:val="auto"/>
                <w:w w:val="94"/>
              </w:rPr>
              <w:t>[****]</w:t>
            </w:r>
          </w:p>
        </w:tc>
        <w:tc>
          <w:tcPr>
            <w:tcW w:w="2540" w:type="dxa"/>
            <w:vAlign w:val="bottom"/>
            <w:tcBorders>
              <w:bottom w:val="single" w:sz="8" w:color="auto"/>
              <w:right w:val="single" w:sz="8" w:color="auto"/>
            </w:tcBorders>
            <w:shd w:val="clear" w:color="auto" w:fill="FFFFE1"/>
          </w:tcPr>
          <w:p>
            <w:pPr>
              <w:jc w:val="center"/>
              <w:spacing w:after="0"/>
              <w:rPr>
                <w:sz w:val="20"/>
                <w:szCs w:val="20"/>
                <w:color w:val="auto"/>
              </w:rPr>
            </w:pPr>
            <w:r>
              <w:rPr>
                <w:rFonts w:ascii="Arial" w:cs="Arial" w:eastAsia="Arial" w:hAnsi="Arial"/>
                <w:sz w:val="22"/>
                <w:szCs w:val="22"/>
                <w:color w:val="auto"/>
                <w:w w:val="98"/>
              </w:rPr>
              <w:t>[****]</w:t>
            </w:r>
          </w:p>
        </w:tc>
        <w:tc>
          <w:tcPr>
            <w:tcW w:w="2300" w:type="dxa"/>
            <w:vAlign w:val="bottom"/>
            <w:tcBorders>
              <w:bottom w:val="single" w:sz="8" w:color="FFFFE1"/>
              <w:right w:val="single" w:sz="8" w:color="auto"/>
            </w:tcBorders>
            <w:shd w:val="clear" w:color="auto" w:fill="FFFFE1"/>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800" w:type="dxa"/>
            <w:vAlign w:val="bottom"/>
            <w:tcBorders>
              <w:left w:val="single" w:sz="8" w:color="auto"/>
              <w:bottom w:val="single" w:sz="8" w:color="auto"/>
              <w:right w:val="single" w:sz="8" w:color="auto"/>
            </w:tcBorders>
            <w:shd w:val="clear" w:color="auto" w:fill="FFFFE1"/>
          </w:tcPr>
          <w:p>
            <w:pPr>
              <w:jc w:val="center"/>
              <w:spacing w:after="0"/>
              <w:rPr>
                <w:sz w:val="20"/>
                <w:szCs w:val="20"/>
                <w:color w:val="auto"/>
              </w:rPr>
            </w:pPr>
            <w:r>
              <w:rPr>
                <w:rFonts w:ascii="Arial" w:cs="Arial" w:eastAsia="Arial" w:hAnsi="Arial"/>
                <w:sz w:val="22"/>
                <w:szCs w:val="22"/>
                <w:color w:val="auto"/>
                <w:w w:val="97"/>
              </w:rPr>
              <w:t>5</w:t>
            </w:r>
          </w:p>
        </w:tc>
        <w:tc>
          <w:tcPr>
            <w:tcW w:w="2220" w:type="dxa"/>
            <w:vAlign w:val="bottom"/>
            <w:tcBorders>
              <w:bottom w:val="single" w:sz="8" w:color="auto"/>
              <w:right w:val="single" w:sz="8" w:color="auto"/>
            </w:tcBorders>
            <w:shd w:val="clear" w:color="auto" w:fill="FFFFE1"/>
          </w:tcPr>
          <w:p>
            <w:pPr>
              <w:jc w:val="center"/>
              <w:spacing w:after="0"/>
              <w:rPr>
                <w:sz w:val="20"/>
                <w:szCs w:val="20"/>
                <w:color w:val="auto"/>
              </w:rPr>
            </w:pPr>
            <w:r>
              <w:rPr>
                <w:rFonts w:ascii="Arial" w:cs="Arial" w:eastAsia="Arial" w:hAnsi="Arial"/>
                <w:sz w:val="22"/>
                <w:szCs w:val="22"/>
                <w:color w:val="auto"/>
                <w:w w:val="94"/>
              </w:rPr>
              <w:t>[****]</w:t>
            </w:r>
          </w:p>
        </w:tc>
        <w:tc>
          <w:tcPr>
            <w:tcW w:w="2540" w:type="dxa"/>
            <w:vAlign w:val="bottom"/>
            <w:tcBorders>
              <w:bottom w:val="single" w:sz="8" w:color="auto"/>
              <w:right w:val="single" w:sz="8" w:color="auto"/>
            </w:tcBorders>
            <w:shd w:val="clear" w:color="auto" w:fill="FFFFE1"/>
          </w:tcPr>
          <w:p>
            <w:pPr>
              <w:jc w:val="center"/>
              <w:spacing w:after="0"/>
              <w:rPr>
                <w:sz w:val="20"/>
                <w:szCs w:val="20"/>
                <w:color w:val="auto"/>
              </w:rPr>
            </w:pPr>
            <w:r>
              <w:rPr>
                <w:rFonts w:ascii="Arial" w:cs="Arial" w:eastAsia="Arial" w:hAnsi="Arial"/>
                <w:sz w:val="22"/>
                <w:szCs w:val="22"/>
                <w:color w:val="auto"/>
                <w:w w:val="98"/>
              </w:rPr>
              <w:t>[****]</w:t>
            </w:r>
          </w:p>
        </w:tc>
        <w:tc>
          <w:tcPr>
            <w:tcW w:w="2300" w:type="dxa"/>
            <w:vAlign w:val="bottom"/>
            <w:tcBorders>
              <w:bottom w:val="single" w:sz="8" w:color="FFFFE1"/>
              <w:right w:val="single" w:sz="8" w:color="auto"/>
            </w:tcBorders>
            <w:shd w:val="clear" w:color="auto" w:fill="FFFFE1"/>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800" w:type="dxa"/>
            <w:vAlign w:val="bottom"/>
            <w:tcBorders>
              <w:left w:val="single" w:sz="8" w:color="auto"/>
              <w:bottom w:val="single" w:sz="8" w:color="auto"/>
              <w:right w:val="single" w:sz="8" w:color="auto"/>
            </w:tcBorders>
            <w:shd w:val="clear" w:color="auto" w:fill="FFFFE1"/>
          </w:tcPr>
          <w:p>
            <w:pPr>
              <w:jc w:val="center"/>
              <w:spacing w:after="0"/>
              <w:rPr>
                <w:sz w:val="20"/>
                <w:szCs w:val="20"/>
                <w:color w:val="auto"/>
              </w:rPr>
            </w:pPr>
            <w:r>
              <w:rPr>
                <w:rFonts w:ascii="Arial" w:cs="Arial" w:eastAsia="Arial" w:hAnsi="Arial"/>
                <w:sz w:val="22"/>
                <w:szCs w:val="22"/>
                <w:color w:val="auto"/>
                <w:w w:val="97"/>
              </w:rPr>
              <w:t>6</w:t>
            </w:r>
          </w:p>
        </w:tc>
        <w:tc>
          <w:tcPr>
            <w:tcW w:w="2220" w:type="dxa"/>
            <w:vAlign w:val="bottom"/>
            <w:tcBorders>
              <w:bottom w:val="single" w:sz="8" w:color="auto"/>
              <w:right w:val="single" w:sz="8" w:color="auto"/>
            </w:tcBorders>
            <w:shd w:val="clear" w:color="auto" w:fill="FFFFE1"/>
          </w:tcPr>
          <w:p>
            <w:pPr>
              <w:jc w:val="center"/>
              <w:spacing w:after="0"/>
              <w:rPr>
                <w:sz w:val="20"/>
                <w:szCs w:val="20"/>
                <w:color w:val="auto"/>
              </w:rPr>
            </w:pPr>
            <w:r>
              <w:rPr>
                <w:rFonts w:ascii="Arial" w:cs="Arial" w:eastAsia="Arial" w:hAnsi="Arial"/>
                <w:sz w:val="22"/>
                <w:szCs w:val="22"/>
                <w:color w:val="auto"/>
                <w:w w:val="94"/>
              </w:rPr>
              <w:t>[****]</w:t>
            </w:r>
          </w:p>
        </w:tc>
        <w:tc>
          <w:tcPr>
            <w:tcW w:w="2540" w:type="dxa"/>
            <w:vAlign w:val="bottom"/>
            <w:tcBorders>
              <w:bottom w:val="single" w:sz="8" w:color="auto"/>
              <w:right w:val="single" w:sz="8" w:color="auto"/>
            </w:tcBorders>
            <w:shd w:val="clear" w:color="auto" w:fill="FFFFE1"/>
          </w:tcPr>
          <w:p>
            <w:pPr>
              <w:jc w:val="center"/>
              <w:spacing w:after="0"/>
              <w:rPr>
                <w:sz w:val="20"/>
                <w:szCs w:val="20"/>
                <w:color w:val="auto"/>
              </w:rPr>
            </w:pPr>
            <w:r>
              <w:rPr>
                <w:rFonts w:ascii="Arial" w:cs="Arial" w:eastAsia="Arial" w:hAnsi="Arial"/>
                <w:sz w:val="22"/>
                <w:szCs w:val="22"/>
                <w:color w:val="auto"/>
                <w:w w:val="98"/>
              </w:rPr>
              <w:t>[****]</w:t>
            </w:r>
          </w:p>
        </w:tc>
        <w:tc>
          <w:tcPr>
            <w:tcW w:w="2300" w:type="dxa"/>
            <w:vAlign w:val="bottom"/>
            <w:tcBorders>
              <w:bottom w:val="single" w:sz="8" w:color="FFFFE1"/>
              <w:right w:val="single" w:sz="8" w:color="auto"/>
            </w:tcBorders>
            <w:shd w:val="clear" w:color="auto" w:fill="FFFFE1"/>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800" w:type="dxa"/>
            <w:vAlign w:val="bottom"/>
            <w:tcBorders>
              <w:left w:val="single" w:sz="8" w:color="auto"/>
              <w:bottom w:val="single" w:sz="8" w:color="auto"/>
              <w:right w:val="single" w:sz="8" w:color="auto"/>
            </w:tcBorders>
            <w:shd w:val="clear" w:color="auto" w:fill="FFFFE1"/>
          </w:tcPr>
          <w:p>
            <w:pPr>
              <w:jc w:val="center"/>
              <w:spacing w:after="0"/>
              <w:rPr>
                <w:sz w:val="20"/>
                <w:szCs w:val="20"/>
                <w:color w:val="auto"/>
              </w:rPr>
            </w:pPr>
            <w:r>
              <w:rPr>
                <w:rFonts w:ascii="Arial" w:cs="Arial" w:eastAsia="Arial" w:hAnsi="Arial"/>
                <w:sz w:val="22"/>
                <w:szCs w:val="22"/>
                <w:color w:val="auto"/>
                <w:w w:val="97"/>
              </w:rPr>
              <w:t>7</w:t>
            </w:r>
          </w:p>
        </w:tc>
        <w:tc>
          <w:tcPr>
            <w:tcW w:w="2220" w:type="dxa"/>
            <w:vAlign w:val="bottom"/>
            <w:tcBorders>
              <w:bottom w:val="single" w:sz="8" w:color="auto"/>
              <w:right w:val="single" w:sz="8" w:color="auto"/>
            </w:tcBorders>
            <w:shd w:val="clear" w:color="auto" w:fill="FFFFE1"/>
          </w:tcPr>
          <w:p>
            <w:pPr>
              <w:jc w:val="center"/>
              <w:spacing w:after="0"/>
              <w:rPr>
                <w:sz w:val="20"/>
                <w:szCs w:val="20"/>
                <w:color w:val="auto"/>
              </w:rPr>
            </w:pPr>
            <w:r>
              <w:rPr>
                <w:rFonts w:ascii="Arial" w:cs="Arial" w:eastAsia="Arial" w:hAnsi="Arial"/>
                <w:sz w:val="22"/>
                <w:szCs w:val="22"/>
                <w:color w:val="auto"/>
                <w:w w:val="94"/>
              </w:rPr>
              <w:t>[****]</w:t>
            </w:r>
          </w:p>
        </w:tc>
        <w:tc>
          <w:tcPr>
            <w:tcW w:w="2540" w:type="dxa"/>
            <w:vAlign w:val="bottom"/>
            <w:tcBorders>
              <w:bottom w:val="single" w:sz="8" w:color="auto"/>
              <w:right w:val="single" w:sz="8" w:color="auto"/>
            </w:tcBorders>
            <w:shd w:val="clear" w:color="auto" w:fill="FFFFE1"/>
          </w:tcPr>
          <w:p>
            <w:pPr>
              <w:jc w:val="center"/>
              <w:spacing w:after="0"/>
              <w:rPr>
                <w:sz w:val="20"/>
                <w:szCs w:val="20"/>
                <w:color w:val="auto"/>
              </w:rPr>
            </w:pPr>
            <w:r>
              <w:rPr>
                <w:rFonts w:ascii="Arial" w:cs="Arial" w:eastAsia="Arial" w:hAnsi="Arial"/>
                <w:sz w:val="22"/>
                <w:szCs w:val="22"/>
                <w:color w:val="auto"/>
                <w:w w:val="98"/>
              </w:rPr>
              <w:t>[****]</w:t>
            </w:r>
          </w:p>
        </w:tc>
        <w:tc>
          <w:tcPr>
            <w:tcW w:w="2300" w:type="dxa"/>
            <w:vAlign w:val="bottom"/>
            <w:tcBorders>
              <w:bottom w:val="single" w:sz="8" w:color="FFFFE1"/>
              <w:right w:val="single" w:sz="8" w:color="auto"/>
            </w:tcBorders>
            <w:vMerge w:val="restart"/>
            <w:shd w:val="clear" w:color="auto" w:fill="FFFFE1"/>
          </w:tcPr>
          <w:p>
            <w:pPr>
              <w:ind w:left="48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b w:val="1"/>
                <w:bCs w:val="1"/>
                <w:color w:val="auto"/>
              </w:rPr>
              <w:t>Aircraft</w:t>
            </w:r>
          </w:p>
        </w:tc>
        <w:tc>
          <w:tcPr>
            <w:tcW w:w="0" w:type="dxa"/>
            <w:vAlign w:val="bottom"/>
          </w:tcPr>
          <w:p>
            <w:pPr>
              <w:spacing w:after="0"/>
              <w:rPr>
                <w:sz w:val="1"/>
                <w:szCs w:val="1"/>
                <w:color w:val="auto"/>
              </w:rPr>
            </w:pPr>
          </w:p>
        </w:tc>
      </w:tr>
      <w:tr>
        <w:trPr>
          <w:trHeight w:val="141"/>
        </w:trPr>
        <w:tc>
          <w:tcPr>
            <w:tcW w:w="1800" w:type="dxa"/>
            <w:vAlign w:val="bottom"/>
            <w:tcBorders>
              <w:left w:val="single" w:sz="8" w:color="auto"/>
              <w:right w:val="single" w:sz="8" w:color="auto"/>
            </w:tcBorders>
            <w:vMerge w:val="restart"/>
            <w:shd w:val="clear" w:color="auto" w:fill="FFFFE1"/>
          </w:tcPr>
          <w:p>
            <w:pPr>
              <w:jc w:val="center"/>
              <w:spacing w:after="0"/>
              <w:rPr>
                <w:sz w:val="20"/>
                <w:szCs w:val="20"/>
                <w:color w:val="auto"/>
              </w:rPr>
            </w:pPr>
            <w:r>
              <w:rPr>
                <w:rFonts w:ascii="Arial" w:cs="Arial" w:eastAsia="Arial" w:hAnsi="Arial"/>
                <w:sz w:val="22"/>
                <w:szCs w:val="22"/>
                <w:color w:val="auto"/>
                <w:w w:val="97"/>
              </w:rPr>
              <w:t>8</w:t>
            </w:r>
          </w:p>
        </w:tc>
        <w:tc>
          <w:tcPr>
            <w:tcW w:w="2220" w:type="dxa"/>
            <w:vAlign w:val="bottom"/>
            <w:tcBorders>
              <w:right w:val="single" w:sz="8" w:color="auto"/>
            </w:tcBorders>
            <w:vMerge w:val="restart"/>
            <w:shd w:val="clear" w:color="auto" w:fill="FFFFE1"/>
          </w:tcPr>
          <w:p>
            <w:pPr>
              <w:jc w:val="center"/>
              <w:spacing w:after="0"/>
              <w:rPr>
                <w:sz w:val="20"/>
                <w:szCs w:val="20"/>
                <w:color w:val="auto"/>
              </w:rPr>
            </w:pPr>
            <w:r>
              <w:rPr>
                <w:rFonts w:ascii="Arial" w:cs="Arial" w:eastAsia="Arial" w:hAnsi="Arial"/>
                <w:sz w:val="22"/>
                <w:szCs w:val="22"/>
                <w:color w:val="auto"/>
                <w:w w:val="94"/>
              </w:rPr>
              <w:t>[****]</w:t>
            </w:r>
          </w:p>
        </w:tc>
        <w:tc>
          <w:tcPr>
            <w:tcW w:w="2540" w:type="dxa"/>
            <w:vAlign w:val="bottom"/>
            <w:tcBorders>
              <w:right w:val="single" w:sz="8" w:color="auto"/>
            </w:tcBorders>
            <w:vMerge w:val="restart"/>
            <w:shd w:val="clear" w:color="auto" w:fill="FFFFE1"/>
          </w:tcPr>
          <w:p>
            <w:pPr>
              <w:jc w:val="center"/>
              <w:spacing w:after="0"/>
              <w:rPr>
                <w:sz w:val="20"/>
                <w:szCs w:val="20"/>
                <w:color w:val="auto"/>
              </w:rPr>
            </w:pPr>
            <w:r>
              <w:rPr>
                <w:rFonts w:ascii="Arial" w:cs="Arial" w:eastAsia="Arial" w:hAnsi="Arial"/>
                <w:sz w:val="22"/>
                <w:szCs w:val="22"/>
                <w:color w:val="auto"/>
                <w:w w:val="98"/>
              </w:rPr>
              <w:t>[****]</w:t>
            </w:r>
          </w:p>
        </w:tc>
        <w:tc>
          <w:tcPr>
            <w:tcW w:w="2300" w:type="dxa"/>
            <w:vAlign w:val="bottom"/>
            <w:tcBorders>
              <w:right w:val="single" w:sz="8" w:color="auto"/>
            </w:tcBorders>
            <w:vMerge w:val="continue"/>
            <w:shd w:val="clear" w:color="auto" w:fill="FFFFE1"/>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800" w:type="dxa"/>
            <w:vAlign w:val="bottom"/>
            <w:tcBorders>
              <w:left w:val="single" w:sz="8" w:color="auto"/>
              <w:bottom w:val="single" w:sz="8" w:color="auto"/>
              <w:right w:val="single" w:sz="8" w:color="auto"/>
            </w:tcBorders>
            <w:vMerge w:val="continue"/>
            <w:shd w:val="clear" w:color="auto" w:fill="FFFFE1"/>
          </w:tcPr>
          <w:p>
            <w:pPr>
              <w:spacing w:after="0"/>
              <w:rPr>
                <w:sz w:val="10"/>
                <w:szCs w:val="10"/>
                <w:color w:val="auto"/>
              </w:rPr>
            </w:pPr>
          </w:p>
        </w:tc>
        <w:tc>
          <w:tcPr>
            <w:tcW w:w="2220" w:type="dxa"/>
            <w:vAlign w:val="bottom"/>
            <w:tcBorders>
              <w:bottom w:val="single" w:sz="8" w:color="auto"/>
              <w:right w:val="single" w:sz="8" w:color="auto"/>
            </w:tcBorders>
            <w:vMerge w:val="continue"/>
            <w:shd w:val="clear" w:color="auto" w:fill="FFFFE1"/>
          </w:tcPr>
          <w:p>
            <w:pPr>
              <w:spacing w:after="0"/>
              <w:rPr>
                <w:sz w:val="10"/>
                <w:szCs w:val="10"/>
                <w:color w:val="auto"/>
              </w:rPr>
            </w:pPr>
          </w:p>
        </w:tc>
        <w:tc>
          <w:tcPr>
            <w:tcW w:w="2540" w:type="dxa"/>
            <w:vAlign w:val="bottom"/>
            <w:tcBorders>
              <w:bottom w:val="single" w:sz="8" w:color="auto"/>
              <w:right w:val="single" w:sz="8" w:color="auto"/>
            </w:tcBorders>
            <w:vMerge w:val="continue"/>
            <w:shd w:val="clear" w:color="auto" w:fill="FFFFE1"/>
          </w:tcPr>
          <w:p>
            <w:pPr>
              <w:spacing w:after="0"/>
              <w:rPr>
                <w:sz w:val="10"/>
                <w:szCs w:val="10"/>
                <w:color w:val="auto"/>
              </w:rPr>
            </w:pPr>
          </w:p>
        </w:tc>
        <w:tc>
          <w:tcPr>
            <w:tcW w:w="2300" w:type="dxa"/>
            <w:vAlign w:val="bottom"/>
            <w:tcBorders>
              <w:bottom w:val="single" w:sz="8" w:color="FFFFE1"/>
              <w:right w:val="single" w:sz="8" w:color="auto"/>
            </w:tcBorders>
            <w:shd w:val="clear" w:color="auto" w:fill="FFFFE1"/>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1800" w:type="dxa"/>
            <w:vAlign w:val="bottom"/>
            <w:tcBorders>
              <w:left w:val="single" w:sz="8" w:color="auto"/>
              <w:bottom w:val="single" w:sz="8" w:color="auto"/>
              <w:right w:val="single" w:sz="8" w:color="auto"/>
            </w:tcBorders>
            <w:shd w:val="clear" w:color="auto" w:fill="FFFFE1"/>
          </w:tcPr>
          <w:p>
            <w:pPr>
              <w:jc w:val="center"/>
              <w:spacing w:after="0"/>
              <w:rPr>
                <w:sz w:val="20"/>
                <w:szCs w:val="20"/>
                <w:color w:val="auto"/>
              </w:rPr>
            </w:pPr>
            <w:r>
              <w:rPr>
                <w:rFonts w:ascii="Arial" w:cs="Arial" w:eastAsia="Arial" w:hAnsi="Arial"/>
                <w:sz w:val="22"/>
                <w:szCs w:val="22"/>
                <w:color w:val="auto"/>
                <w:w w:val="97"/>
              </w:rPr>
              <w:t>9</w:t>
            </w:r>
          </w:p>
        </w:tc>
        <w:tc>
          <w:tcPr>
            <w:tcW w:w="2220" w:type="dxa"/>
            <w:vAlign w:val="bottom"/>
            <w:tcBorders>
              <w:bottom w:val="single" w:sz="8" w:color="auto"/>
              <w:right w:val="single" w:sz="8" w:color="auto"/>
            </w:tcBorders>
            <w:shd w:val="clear" w:color="auto" w:fill="FFFFE1"/>
          </w:tcPr>
          <w:p>
            <w:pPr>
              <w:jc w:val="center"/>
              <w:spacing w:after="0"/>
              <w:rPr>
                <w:sz w:val="20"/>
                <w:szCs w:val="20"/>
                <w:color w:val="auto"/>
              </w:rPr>
            </w:pPr>
            <w:r>
              <w:rPr>
                <w:rFonts w:ascii="Arial" w:cs="Arial" w:eastAsia="Arial" w:hAnsi="Arial"/>
                <w:sz w:val="22"/>
                <w:szCs w:val="22"/>
                <w:color w:val="auto"/>
                <w:w w:val="94"/>
              </w:rPr>
              <w:t>[****]</w:t>
            </w:r>
          </w:p>
        </w:tc>
        <w:tc>
          <w:tcPr>
            <w:tcW w:w="2540" w:type="dxa"/>
            <w:vAlign w:val="bottom"/>
            <w:tcBorders>
              <w:bottom w:val="single" w:sz="8" w:color="auto"/>
              <w:right w:val="single" w:sz="8" w:color="auto"/>
            </w:tcBorders>
            <w:shd w:val="clear" w:color="auto" w:fill="FFFFE1"/>
          </w:tcPr>
          <w:p>
            <w:pPr>
              <w:jc w:val="center"/>
              <w:spacing w:after="0"/>
              <w:rPr>
                <w:sz w:val="20"/>
                <w:szCs w:val="20"/>
                <w:color w:val="auto"/>
              </w:rPr>
            </w:pPr>
            <w:r>
              <w:rPr>
                <w:rFonts w:ascii="Arial" w:cs="Arial" w:eastAsia="Arial" w:hAnsi="Arial"/>
                <w:sz w:val="22"/>
                <w:szCs w:val="22"/>
                <w:color w:val="auto"/>
                <w:w w:val="98"/>
              </w:rPr>
              <w:t>[****]</w:t>
            </w:r>
          </w:p>
        </w:tc>
        <w:tc>
          <w:tcPr>
            <w:tcW w:w="2300" w:type="dxa"/>
            <w:vAlign w:val="bottom"/>
            <w:tcBorders>
              <w:bottom w:val="single" w:sz="8" w:color="FFFFE1"/>
              <w:right w:val="single" w:sz="8" w:color="auto"/>
            </w:tcBorders>
            <w:shd w:val="clear" w:color="auto" w:fill="FFFFE1"/>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800" w:type="dxa"/>
            <w:vAlign w:val="bottom"/>
            <w:tcBorders>
              <w:left w:val="single" w:sz="8" w:color="auto"/>
              <w:bottom w:val="single" w:sz="8" w:color="auto"/>
              <w:right w:val="single" w:sz="8" w:color="auto"/>
            </w:tcBorders>
            <w:shd w:val="clear" w:color="auto" w:fill="FFFFE1"/>
          </w:tcPr>
          <w:p>
            <w:pPr>
              <w:jc w:val="center"/>
              <w:spacing w:after="0"/>
              <w:rPr>
                <w:sz w:val="20"/>
                <w:szCs w:val="20"/>
                <w:color w:val="auto"/>
              </w:rPr>
            </w:pPr>
            <w:r>
              <w:rPr>
                <w:rFonts w:ascii="Arial" w:cs="Arial" w:eastAsia="Arial" w:hAnsi="Arial"/>
                <w:sz w:val="22"/>
                <w:szCs w:val="22"/>
                <w:color w:val="auto"/>
                <w:w w:val="97"/>
              </w:rPr>
              <w:t>10</w:t>
            </w:r>
          </w:p>
        </w:tc>
        <w:tc>
          <w:tcPr>
            <w:tcW w:w="2220" w:type="dxa"/>
            <w:vAlign w:val="bottom"/>
            <w:tcBorders>
              <w:bottom w:val="single" w:sz="8" w:color="auto"/>
              <w:right w:val="single" w:sz="8" w:color="auto"/>
            </w:tcBorders>
            <w:shd w:val="clear" w:color="auto" w:fill="FFFFE1"/>
          </w:tcPr>
          <w:p>
            <w:pPr>
              <w:jc w:val="center"/>
              <w:spacing w:after="0"/>
              <w:rPr>
                <w:sz w:val="20"/>
                <w:szCs w:val="20"/>
                <w:color w:val="auto"/>
              </w:rPr>
            </w:pPr>
            <w:r>
              <w:rPr>
                <w:rFonts w:ascii="Arial" w:cs="Arial" w:eastAsia="Arial" w:hAnsi="Arial"/>
                <w:sz w:val="22"/>
                <w:szCs w:val="22"/>
                <w:color w:val="auto"/>
                <w:w w:val="94"/>
              </w:rPr>
              <w:t>[****]</w:t>
            </w:r>
          </w:p>
        </w:tc>
        <w:tc>
          <w:tcPr>
            <w:tcW w:w="2540" w:type="dxa"/>
            <w:vAlign w:val="bottom"/>
            <w:tcBorders>
              <w:bottom w:val="single" w:sz="8" w:color="auto"/>
              <w:right w:val="single" w:sz="8" w:color="auto"/>
            </w:tcBorders>
            <w:shd w:val="clear" w:color="auto" w:fill="FFFFE1"/>
          </w:tcPr>
          <w:p>
            <w:pPr>
              <w:jc w:val="center"/>
              <w:spacing w:after="0"/>
              <w:rPr>
                <w:sz w:val="20"/>
                <w:szCs w:val="20"/>
                <w:color w:val="auto"/>
              </w:rPr>
            </w:pPr>
            <w:r>
              <w:rPr>
                <w:rFonts w:ascii="Arial" w:cs="Arial" w:eastAsia="Arial" w:hAnsi="Arial"/>
                <w:sz w:val="22"/>
                <w:szCs w:val="22"/>
                <w:color w:val="auto"/>
                <w:w w:val="98"/>
              </w:rPr>
              <w:t>[****]</w:t>
            </w:r>
          </w:p>
        </w:tc>
        <w:tc>
          <w:tcPr>
            <w:tcW w:w="2300" w:type="dxa"/>
            <w:vAlign w:val="bottom"/>
            <w:tcBorders>
              <w:bottom w:val="single" w:sz="8" w:color="FFFFE1"/>
              <w:right w:val="single" w:sz="8" w:color="auto"/>
            </w:tcBorders>
            <w:shd w:val="clear" w:color="auto" w:fill="FFFFE1"/>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800" w:type="dxa"/>
            <w:vAlign w:val="bottom"/>
            <w:tcBorders>
              <w:left w:val="single" w:sz="8" w:color="auto"/>
              <w:bottom w:val="single" w:sz="8" w:color="auto"/>
              <w:right w:val="single" w:sz="8" w:color="auto"/>
            </w:tcBorders>
            <w:shd w:val="clear" w:color="auto" w:fill="FFFFE1"/>
          </w:tcPr>
          <w:p>
            <w:pPr>
              <w:jc w:val="center"/>
              <w:spacing w:after="0"/>
              <w:rPr>
                <w:sz w:val="20"/>
                <w:szCs w:val="20"/>
                <w:color w:val="auto"/>
              </w:rPr>
            </w:pPr>
            <w:r>
              <w:rPr>
                <w:rFonts w:ascii="Arial" w:cs="Arial" w:eastAsia="Arial" w:hAnsi="Arial"/>
                <w:sz w:val="22"/>
                <w:szCs w:val="22"/>
                <w:color w:val="auto"/>
                <w:w w:val="97"/>
              </w:rPr>
              <w:t>11</w:t>
            </w:r>
          </w:p>
        </w:tc>
        <w:tc>
          <w:tcPr>
            <w:tcW w:w="2220" w:type="dxa"/>
            <w:vAlign w:val="bottom"/>
            <w:tcBorders>
              <w:bottom w:val="single" w:sz="8" w:color="auto"/>
              <w:right w:val="single" w:sz="8" w:color="auto"/>
            </w:tcBorders>
            <w:shd w:val="clear" w:color="auto" w:fill="FFFFE1"/>
          </w:tcPr>
          <w:p>
            <w:pPr>
              <w:jc w:val="center"/>
              <w:spacing w:after="0"/>
              <w:rPr>
                <w:sz w:val="20"/>
                <w:szCs w:val="20"/>
                <w:color w:val="auto"/>
              </w:rPr>
            </w:pPr>
            <w:r>
              <w:rPr>
                <w:rFonts w:ascii="Arial" w:cs="Arial" w:eastAsia="Arial" w:hAnsi="Arial"/>
                <w:sz w:val="22"/>
                <w:szCs w:val="22"/>
                <w:color w:val="auto"/>
                <w:w w:val="94"/>
              </w:rPr>
              <w:t>[****]</w:t>
            </w:r>
          </w:p>
        </w:tc>
        <w:tc>
          <w:tcPr>
            <w:tcW w:w="2540" w:type="dxa"/>
            <w:vAlign w:val="bottom"/>
            <w:tcBorders>
              <w:bottom w:val="single" w:sz="8" w:color="auto"/>
              <w:right w:val="single" w:sz="8" w:color="auto"/>
            </w:tcBorders>
            <w:shd w:val="clear" w:color="auto" w:fill="FFFFE1"/>
          </w:tcPr>
          <w:p>
            <w:pPr>
              <w:jc w:val="center"/>
              <w:spacing w:after="0"/>
              <w:rPr>
                <w:sz w:val="20"/>
                <w:szCs w:val="20"/>
                <w:color w:val="auto"/>
              </w:rPr>
            </w:pPr>
            <w:r>
              <w:rPr>
                <w:rFonts w:ascii="Arial" w:cs="Arial" w:eastAsia="Arial" w:hAnsi="Arial"/>
                <w:sz w:val="22"/>
                <w:szCs w:val="22"/>
                <w:color w:val="auto"/>
                <w:w w:val="98"/>
              </w:rPr>
              <w:t>[****]</w:t>
            </w:r>
          </w:p>
        </w:tc>
        <w:tc>
          <w:tcPr>
            <w:tcW w:w="2300" w:type="dxa"/>
            <w:vAlign w:val="bottom"/>
            <w:tcBorders>
              <w:bottom w:val="single" w:sz="8" w:color="FFFFE1"/>
              <w:right w:val="single" w:sz="8" w:color="auto"/>
            </w:tcBorders>
            <w:shd w:val="clear" w:color="auto" w:fill="FFFFE1"/>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800" w:type="dxa"/>
            <w:vAlign w:val="bottom"/>
            <w:tcBorders>
              <w:left w:val="single" w:sz="8" w:color="auto"/>
              <w:bottom w:val="single" w:sz="8" w:color="auto"/>
              <w:right w:val="single" w:sz="8" w:color="auto"/>
            </w:tcBorders>
            <w:shd w:val="clear" w:color="auto" w:fill="FFFFE1"/>
          </w:tcPr>
          <w:p>
            <w:pPr>
              <w:jc w:val="center"/>
              <w:spacing w:after="0"/>
              <w:rPr>
                <w:sz w:val="20"/>
                <w:szCs w:val="20"/>
                <w:color w:val="auto"/>
              </w:rPr>
            </w:pPr>
            <w:r>
              <w:rPr>
                <w:rFonts w:ascii="Arial" w:cs="Arial" w:eastAsia="Arial" w:hAnsi="Arial"/>
                <w:sz w:val="22"/>
                <w:szCs w:val="22"/>
                <w:color w:val="auto"/>
                <w:w w:val="97"/>
              </w:rPr>
              <w:t>12</w:t>
            </w:r>
          </w:p>
        </w:tc>
        <w:tc>
          <w:tcPr>
            <w:tcW w:w="2220" w:type="dxa"/>
            <w:vAlign w:val="bottom"/>
            <w:tcBorders>
              <w:bottom w:val="single" w:sz="8" w:color="auto"/>
              <w:right w:val="single" w:sz="8" w:color="auto"/>
            </w:tcBorders>
            <w:shd w:val="clear" w:color="auto" w:fill="FFFFE1"/>
          </w:tcPr>
          <w:p>
            <w:pPr>
              <w:jc w:val="center"/>
              <w:spacing w:after="0"/>
              <w:rPr>
                <w:sz w:val="20"/>
                <w:szCs w:val="20"/>
                <w:color w:val="auto"/>
              </w:rPr>
            </w:pPr>
            <w:r>
              <w:rPr>
                <w:rFonts w:ascii="Arial" w:cs="Arial" w:eastAsia="Arial" w:hAnsi="Arial"/>
                <w:sz w:val="22"/>
                <w:szCs w:val="22"/>
                <w:color w:val="auto"/>
                <w:w w:val="94"/>
              </w:rPr>
              <w:t>[****]</w:t>
            </w:r>
          </w:p>
        </w:tc>
        <w:tc>
          <w:tcPr>
            <w:tcW w:w="2540" w:type="dxa"/>
            <w:vAlign w:val="bottom"/>
            <w:tcBorders>
              <w:bottom w:val="single" w:sz="8" w:color="auto"/>
              <w:right w:val="single" w:sz="8" w:color="auto"/>
            </w:tcBorders>
            <w:shd w:val="clear" w:color="auto" w:fill="FFFFE1"/>
          </w:tcPr>
          <w:p>
            <w:pPr>
              <w:jc w:val="center"/>
              <w:spacing w:after="0"/>
              <w:rPr>
                <w:sz w:val="20"/>
                <w:szCs w:val="20"/>
                <w:color w:val="auto"/>
              </w:rPr>
            </w:pPr>
            <w:r>
              <w:rPr>
                <w:rFonts w:ascii="Arial" w:cs="Arial" w:eastAsia="Arial" w:hAnsi="Arial"/>
                <w:sz w:val="22"/>
                <w:szCs w:val="22"/>
                <w:color w:val="auto"/>
                <w:w w:val="98"/>
              </w:rPr>
              <w:t>[****]</w:t>
            </w:r>
          </w:p>
        </w:tc>
        <w:tc>
          <w:tcPr>
            <w:tcW w:w="2300" w:type="dxa"/>
            <w:vAlign w:val="bottom"/>
            <w:tcBorders>
              <w:bottom w:val="single" w:sz="8" w:color="FFFFE1"/>
              <w:right w:val="single" w:sz="8" w:color="auto"/>
            </w:tcBorders>
            <w:shd w:val="clear" w:color="auto" w:fill="FFFFE1"/>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800" w:type="dxa"/>
            <w:vAlign w:val="bottom"/>
            <w:tcBorders>
              <w:left w:val="single" w:sz="8" w:color="auto"/>
              <w:bottom w:val="single" w:sz="8" w:color="auto"/>
              <w:right w:val="single" w:sz="8" w:color="auto"/>
            </w:tcBorders>
            <w:shd w:val="clear" w:color="auto" w:fill="FFFFE1"/>
          </w:tcPr>
          <w:p>
            <w:pPr>
              <w:jc w:val="center"/>
              <w:spacing w:after="0"/>
              <w:rPr>
                <w:sz w:val="20"/>
                <w:szCs w:val="20"/>
                <w:color w:val="auto"/>
              </w:rPr>
            </w:pPr>
            <w:r>
              <w:rPr>
                <w:rFonts w:ascii="Arial" w:cs="Arial" w:eastAsia="Arial" w:hAnsi="Arial"/>
                <w:sz w:val="22"/>
                <w:szCs w:val="22"/>
                <w:color w:val="auto"/>
                <w:w w:val="97"/>
              </w:rPr>
              <w:t>13</w:t>
            </w:r>
          </w:p>
        </w:tc>
        <w:tc>
          <w:tcPr>
            <w:tcW w:w="2220" w:type="dxa"/>
            <w:vAlign w:val="bottom"/>
            <w:tcBorders>
              <w:bottom w:val="single" w:sz="8" w:color="auto"/>
              <w:right w:val="single" w:sz="8" w:color="auto"/>
            </w:tcBorders>
            <w:shd w:val="clear" w:color="auto" w:fill="FFFFE1"/>
          </w:tcPr>
          <w:p>
            <w:pPr>
              <w:jc w:val="center"/>
              <w:spacing w:after="0"/>
              <w:rPr>
                <w:sz w:val="20"/>
                <w:szCs w:val="20"/>
                <w:color w:val="auto"/>
              </w:rPr>
            </w:pPr>
            <w:r>
              <w:rPr>
                <w:rFonts w:ascii="Arial" w:cs="Arial" w:eastAsia="Arial" w:hAnsi="Arial"/>
                <w:sz w:val="22"/>
                <w:szCs w:val="22"/>
                <w:color w:val="auto"/>
                <w:w w:val="94"/>
              </w:rPr>
              <w:t>[****]</w:t>
            </w:r>
          </w:p>
        </w:tc>
        <w:tc>
          <w:tcPr>
            <w:tcW w:w="2540" w:type="dxa"/>
            <w:vAlign w:val="bottom"/>
            <w:tcBorders>
              <w:bottom w:val="single" w:sz="8" w:color="auto"/>
              <w:right w:val="single" w:sz="8" w:color="auto"/>
            </w:tcBorders>
            <w:shd w:val="clear" w:color="auto" w:fill="FFFFE1"/>
          </w:tcPr>
          <w:p>
            <w:pPr>
              <w:jc w:val="center"/>
              <w:spacing w:after="0"/>
              <w:rPr>
                <w:sz w:val="20"/>
                <w:szCs w:val="20"/>
                <w:color w:val="auto"/>
              </w:rPr>
            </w:pPr>
            <w:r>
              <w:rPr>
                <w:rFonts w:ascii="Arial" w:cs="Arial" w:eastAsia="Arial" w:hAnsi="Arial"/>
                <w:sz w:val="22"/>
                <w:szCs w:val="22"/>
                <w:color w:val="auto"/>
                <w:w w:val="98"/>
              </w:rPr>
              <w:t>[****]</w:t>
            </w:r>
          </w:p>
        </w:tc>
        <w:tc>
          <w:tcPr>
            <w:tcW w:w="2300" w:type="dxa"/>
            <w:vAlign w:val="bottom"/>
            <w:tcBorders>
              <w:bottom w:val="single" w:sz="8" w:color="FFFFE1"/>
              <w:right w:val="single" w:sz="8" w:color="auto"/>
            </w:tcBorders>
            <w:shd w:val="clear" w:color="auto" w:fill="FFFFE1"/>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800" w:type="dxa"/>
            <w:vAlign w:val="bottom"/>
            <w:tcBorders>
              <w:left w:val="single" w:sz="8" w:color="auto"/>
              <w:bottom w:val="single" w:sz="8" w:color="auto"/>
              <w:right w:val="single" w:sz="8" w:color="auto"/>
            </w:tcBorders>
            <w:shd w:val="clear" w:color="auto" w:fill="FFFFE1"/>
          </w:tcPr>
          <w:p>
            <w:pPr>
              <w:jc w:val="center"/>
              <w:spacing w:after="0"/>
              <w:rPr>
                <w:sz w:val="20"/>
                <w:szCs w:val="20"/>
                <w:color w:val="auto"/>
              </w:rPr>
            </w:pPr>
            <w:r>
              <w:rPr>
                <w:rFonts w:ascii="Arial" w:cs="Arial" w:eastAsia="Arial" w:hAnsi="Arial"/>
                <w:sz w:val="22"/>
                <w:szCs w:val="22"/>
                <w:color w:val="auto"/>
                <w:w w:val="97"/>
              </w:rPr>
              <w:t>14</w:t>
            </w:r>
          </w:p>
        </w:tc>
        <w:tc>
          <w:tcPr>
            <w:tcW w:w="2220" w:type="dxa"/>
            <w:vAlign w:val="bottom"/>
            <w:tcBorders>
              <w:bottom w:val="single" w:sz="8" w:color="auto"/>
              <w:right w:val="single" w:sz="8" w:color="auto"/>
            </w:tcBorders>
            <w:shd w:val="clear" w:color="auto" w:fill="FFFFE1"/>
          </w:tcPr>
          <w:p>
            <w:pPr>
              <w:jc w:val="center"/>
              <w:spacing w:after="0"/>
              <w:rPr>
                <w:sz w:val="20"/>
                <w:szCs w:val="20"/>
                <w:color w:val="auto"/>
              </w:rPr>
            </w:pPr>
            <w:r>
              <w:rPr>
                <w:rFonts w:ascii="Arial" w:cs="Arial" w:eastAsia="Arial" w:hAnsi="Arial"/>
                <w:sz w:val="22"/>
                <w:szCs w:val="22"/>
                <w:color w:val="auto"/>
                <w:w w:val="94"/>
              </w:rPr>
              <w:t>[****]</w:t>
            </w:r>
          </w:p>
        </w:tc>
        <w:tc>
          <w:tcPr>
            <w:tcW w:w="2540" w:type="dxa"/>
            <w:vAlign w:val="bottom"/>
            <w:tcBorders>
              <w:bottom w:val="single" w:sz="8" w:color="auto"/>
              <w:right w:val="single" w:sz="8" w:color="auto"/>
            </w:tcBorders>
            <w:shd w:val="clear" w:color="auto" w:fill="FFFFE1"/>
          </w:tcPr>
          <w:p>
            <w:pPr>
              <w:jc w:val="center"/>
              <w:spacing w:after="0"/>
              <w:rPr>
                <w:sz w:val="20"/>
                <w:szCs w:val="20"/>
                <w:color w:val="auto"/>
              </w:rPr>
            </w:pPr>
            <w:r>
              <w:rPr>
                <w:rFonts w:ascii="Arial" w:cs="Arial" w:eastAsia="Arial" w:hAnsi="Arial"/>
                <w:sz w:val="22"/>
                <w:szCs w:val="22"/>
                <w:color w:val="auto"/>
                <w:w w:val="98"/>
              </w:rPr>
              <w:t>[****]</w:t>
            </w:r>
          </w:p>
        </w:tc>
        <w:tc>
          <w:tcPr>
            <w:tcW w:w="2300" w:type="dxa"/>
            <w:vAlign w:val="bottom"/>
            <w:tcBorders>
              <w:bottom w:val="single" w:sz="8" w:color="auto"/>
              <w:right w:val="single" w:sz="8" w:color="auto"/>
            </w:tcBorders>
            <w:shd w:val="clear" w:color="auto" w:fill="FFFFE1"/>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8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7"/>
              </w:rPr>
              <w:t>1</w:t>
            </w:r>
          </w:p>
        </w:tc>
        <w:tc>
          <w:tcPr>
            <w:tcW w:w="2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4"/>
              </w:rPr>
              <w:t>[****]</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8"/>
              </w:rPr>
              <w:t>[****]</w:t>
            </w:r>
          </w:p>
        </w:tc>
        <w:tc>
          <w:tcPr>
            <w:tcW w:w="2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8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7"/>
              </w:rPr>
              <w:t>2</w:t>
            </w:r>
          </w:p>
        </w:tc>
        <w:tc>
          <w:tcPr>
            <w:tcW w:w="2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4"/>
              </w:rPr>
              <w:t>[****]</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8"/>
              </w:rPr>
              <w:t>[****]</w:t>
            </w:r>
          </w:p>
        </w:tc>
        <w:tc>
          <w:tcPr>
            <w:tcW w:w="2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8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7"/>
              </w:rPr>
              <w:t>3</w:t>
            </w:r>
          </w:p>
        </w:tc>
        <w:tc>
          <w:tcPr>
            <w:tcW w:w="2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4"/>
              </w:rPr>
              <w:t>[****]</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8"/>
              </w:rPr>
              <w:t>[****]</w:t>
            </w:r>
          </w:p>
        </w:tc>
        <w:tc>
          <w:tcPr>
            <w:tcW w:w="2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8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7"/>
              </w:rPr>
              <w:t>4</w:t>
            </w:r>
          </w:p>
        </w:tc>
        <w:tc>
          <w:tcPr>
            <w:tcW w:w="2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4"/>
              </w:rPr>
              <w:t>[****]</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8"/>
              </w:rPr>
              <w:t>[****]</w:t>
            </w:r>
          </w:p>
        </w:tc>
        <w:tc>
          <w:tcPr>
            <w:tcW w:w="2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8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7"/>
              </w:rPr>
              <w:t>5</w:t>
            </w:r>
          </w:p>
        </w:tc>
        <w:tc>
          <w:tcPr>
            <w:tcW w:w="2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4"/>
              </w:rPr>
              <w:t>[****]</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8"/>
              </w:rPr>
              <w:t>[****]</w:t>
            </w:r>
          </w:p>
        </w:tc>
        <w:tc>
          <w:tcPr>
            <w:tcW w:w="2300" w:type="dxa"/>
            <w:vAlign w:val="bottom"/>
            <w:tcBorders>
              <w:right w:val="single" w:sz="8" w:color="auto"/>
            </w:tcBorders>
            <w:vMerge w:val="restart"/>
          </w:tcPr>
          <w:p>
            <w:pPr>
              <w:ind w:left="48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b w:val="1"/>
                <w:bCs w:val="1"/>
                <w:color w:val="auto"/>
              </w:rPr>
              <w:t>Aircraft</w:t>
            </w:r>
          </w:p>
        </w:tc>
        <w:tc>
          <w:tcPr>
            <w:tcW w:w="0" w:type="dxa"/>
            <w:vAlign w:val="bottom"/>
          </w:tcPr>
          <w:p>
            <w:pPr>
              <w:spacing w:after="0"/>
              <w:rPr>
                <w:sz w:val="1"/>
                <w:szCs w:val="1"/>
                <w:color w:val="auto"/>
              </w:rPr>
            </w:pPr>
          </w:p>
        </w:tc>
      </w:tr>
      <w:tr>
        <w:trPr>
          <w:trHeight w:val="141"/>
        </w:trPr>
        <w:tc>
          <w:tcPr>
            <w:tcW w:w="18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97"/>
              </w:rPr>
              <w:t>6</w:t>
            </w:r>
          </w:p>
        </w:tc>
        <w:tc>
          <w:tcPr>
            <w:tcW w:w="2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4"/>
              </w:rPr>
              <w:t>[****]</w:t>
            </w:r>
          </w:p>
        </w:tc>
        <w:tc>
          <w:tcPr>
            <w:tcW w:w="2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8"/>
              </w:rPr>
              <w:t>[****]</w:t>
            </w:r>
          </w:p>
        </w:tc>
        <w:tc>
          <w:tcPr>
            <w:tcW w:w="23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8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220" w:type="dxa"/>
            <w:vAlign w:val="bottom"/>
            <w:tcBorders>
              <w:bottom w:val="single" w:sz="8" w:color="auto"/>
              <w:right w:val="single" w:sz="8" w:color="auto"/>
            </w:tcBorders>
            <w:vMerge w:val="continue"/>
          </w:tcPr>
          <w:p>
            <w:pPr>
              <w:spacing w:after="0"/>
              <w:rPr>
                <w:sz w:val="10"/>
                <w:szCs w:val="10"/>
                <w:color w:val="auto"/>
              </w:rPr>
            </w:pPr>
          </w:p>
        </w:tc>
        <w:tc>
          <w:tcPr>
            <w:tcW w:w="2540" w:type="dxa"/>
            <w:vAlign w:val="bottom"/>
            <w:tcBorders>
              <w:bottom w:val="single" w:sz="8" w:color="auto"/>
              <w:right w:val="single" w:sz="8" w:color="auto"/>
            </w:tcBorders>
            <w:vMerge w:val="continue"/>
          </w:tcPr>
          <w:p>
            <w:pPr>
              <w:spacing w:after="0"/>
              <w:rPr>
                <w:sz w:val="10"/>
                <w:szCs w:val="10"/>
                <w:color w:val="auto"/>
              </w:rPr>
            </w:pPr>
          </w:p>
        </w:tc>
        <w:tc>
          <w:tcPr>
            <w:tcW w:w="23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3"/>
        </w:trPr>
        <w:tc>
          <w:tcPr>
            <w:tcW w:w="18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7"/>
              </w:rPr>
              <w:t>7</w:t>
            </w:r>
          </w:p>
        </w:tc>
        <w:tc>
          <w:tcPr>
            <w:tcW w:w="2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4"/>
              </w:rPr>
              <w:t>[****]</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8"/>
              </w:rPr>
              <w:t>[****]</w:t>
            </w:r>
          </w:p>
        </w:tc>
        <w:tc>
          <w:tcPr>
            <w:tcW w:w="2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8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7"/>
              </w:rPr>
              <w:t>8</w:t>
            </w:r>
          </w:p>
        </w:tc>
        <w:tc>
          <w:tcPr>
            <w:tcW w:w="2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4"/>
              </w:rPr>
              <w:t>[****]</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8"/>
              </w:rPr>
              <w:t>[****]</w:t>
            </w:r>
          </w:p>
        </w:tc>
        <w:tc>
          <w:tcPr>
            <w:tcW w:w="2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8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7"/>
              </w:rPr>
              <w:t>9</w:t>
            </w:r>
          </w:p>
        </w:tc>
        <w:tc>
          <w:tcPr>
            <w:tcW w:w="2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4"/>
              </w:rPr>
              <w:t>[****]</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8"/>
              </w:rPr>
              <w:t>[****]</w:t>
            </w:r>
          </w:p>
        </w:tc>
        <w:tc>
          <w:tcPr>
            <w:tcW w:w="2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8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7"/>
              </w:rPr>
              <w:t>10</w:t>
            </w:r>
          </w:p>
        </w:tc>
        <w:tc>
          <w:tcPr>
            <w:tcW w:w="2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4"/>
              </w:rPr>
              <w:t>[****]</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8"/>
              </w:rPr>
              <w:t>[****]</w:t>
            </w:r>
          </w:p>
        </w:tc>
        <w:tc>
          <w:tcPr>
            <w:tcW w:w="23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180" w:type="dxa"/>
            <w:vAlign w:val="bottom"/>
          </w:tcPr>
          <w:p>
            <w:pPr>
              <w:spacing w:after="0"/>
              <w:rPr>
                <w:sz w:val="20"/>
                <w:szCs w:val="20"/>
                <w:color w:val="auto"/>
              </w:rPr>
            </w:pPr>
            <w:r>
              <w:rPr>
                <w:rFonts w:ascii="Arial" w:cs="Arial" w:eastAsia="Arial" w:hAnsi="Arial"/>
                <w:sz w:val="22"/>
                <w:szCs w:val="22"/>
                <w:color w:val="auto"/>
              </w:rPr>
              <w:t>AAL-PA-3735-LA-2306983R1</w:t>
            </w:r>
          </w:p>
        </w:tc>
        <w:tc>
          <w:tcPr>
            <w:tcW w:w="4540" w:type="dxa"/>
            <w:vAlign w:val="bottom"/>
          </w:tcPr>
          <w:p>
            <w:pPr>
              <w:ind w:left="1580"/>
              <w:spacing w:after="0"/>
              <w:rPr>
                <w:sz w:val="20"/>
                <w:szCs w:val="20"/>
                <w:color w:val="auto"/>
              </w:rPr>
            </w:pPr>
            <w:r>
              <w:rPr>
                <w:rFonts w:ascii="Arial" w:cs="Arial" w:eastAsia="Arial" w:hAnsi="Arial"/>
                <w:sz w:val="22"/>
                <w:szCs w:val="22"/>
                <w:color w:val="auto"/>
              </w:rPr>
              <w:t>SA-34</w:t>
            </w:r>
          </w:p>
        </w:tc>
        <w:tc>
          <w:tcPr>
            <w:tcW w:w="0" w:type="dxa"/>
            <w:vAlign w:val="bottom"/>
          </w:tcPr>
          <w:p>
            <w:pPr>
              <w:spacing w:after="0"/>
              <w:rPr>
                <w:sz w:val="1"/>
                <w:szCs w:val="1"/>
                <w:color w:val="auto"/>
              </w:rPr>
            </w:pPr>
          </w:p>
        </w:tc>
      </w:tr>
      <w:tr>
        <w:trPr>
          <w:trHeight w:val="283"/>
        </w:trPr>
        <w:tc>
          <w:tcPr>
            <w:tcW w:w="3180" w:type="dxa"/>
            <w:vAlign w:val="bottom"/>
          </w:tcPr>
          <w:p>
            <w:pPr>
              <w:ind w:left="240"/>
              <w:spacing w:after="0"/>
              <w:rPr>
                <w:sz w:val="20"/>
                <w:szCs w:val="20"/>
                <w:color w:val="auto"/>
              </w:rPr>
            </w:pPr>
            <w:r>
              <w:rPr>
                <w:rFonts w:ascii="Arial" w:cs="Arial" w:eastAsia="Arial" w:hAnsi="Arial"/>
                <w:sz w:val="22"/>
                <w:szCs w:val="22"/>
                <w:color w:val="auto"/>
              </w:rPr>
              <w:t>Page 9</w:t>
            </w:r>
          </w:p>
        </w:tc>
        <w:tc>
          <w:tcPr>
            <w:tcW w:w="4540" w:type="dxa"/>
            <w:vAlign w:val="bottom"/>
            <w:vMerge w:val="restart"/>
          </w:tcPr>
          <w:p>
            <w:pPr>
              <w:ind w:left="340"/>
              <w:spacing w:after="0"/>
              <w:rPr>
                <w:sz w:val="20"/>
                <w:szCs w:val="20"/>
                <w:color w:val="auto"/>
              </w:rPr>
            </w:pPr>
            <w:r>
              <w:rPr>
                <w:rFonts w:ascii="Arial" w:cs="Arial" w:eastAsia="Arial" w:hAnsi="Arial"/>
                <w:sz w:val="22"/>
                <w:szCs w:val="22"/>
                <w:b w:val="1"/>
                <w:bCs w:val="1"/>
                <w:color w:val="auto"/>
                <w:w w:val="97"/>
              </w:rPr>
              <w:t>BOEING AND AMERICAN PROPRIETARY</w:t>
            </w:r>
          </w:p>
        </w:tc>
        <w:tc>
          <w:tcPr>
            <w:tcW w:w="0" w:type="dxa"/>
            <w:vAlign w:val="bottom"/>
          </w:tcPr>
          <w:p>
            <w:pPr>
              <w:spacing w:after="0"/>
              <w:rPr>
                <w:sz w:val="1"/>
                <w:szCs w:val="1"/>
                <w:color w:val="auto"/>
              </w:rPr>
            </w:pPr>
          </w:p>
        </w:tc>
      </w:tr>
      <w:tr>
        <w:trPr>
          <w:trHeight w:val="268"/>
        </w:trPr>
        <w:tc>
          <w:tcPr>
            <w:tcW w:w="3180" w:type="dxa"/>
            <w:vAlign w:val="bottom"/>
          </w:tcPr>
          <w:p>
            <w:pPr>
              <w:spacing w:after="0"/>
              <w:rPr>
                <w:sz w:val="23"/>
                <w:szCs w:val="23"/>
                <w:color w:val="auto"/>
              </w:rPr>
            </w:pPr>
          </w:p>
        </w:tc>
        <w:tc>
          <w:tcPr>
            <w:tcW w:w="45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1440" w:right="1440"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Robert D. Isom, certify that:</w:t>
      </w:r>
    </w:p>
    <w:p>
      <w:pPr>
        <w:spacing w:after="0" w:line="252" w:lineRule="exact"/>
        <w:rPr>
          <w:sz w:val="20"/>
          <w:szCs w:val="20"/>
          <w:color w:val="auto"/>
        </w:rPr>
      </w:pPr>
    </w:p>
    <w:p>
      <w:pPr>
        <w:ind w:left="640" w:hanging="308"/>
        <w:spacing w:after="0"/>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Group Inc.;</w:t>
      </w:r>
    </w:p>
    <w:p>
      <w:pPr>
        <w:spacing w:after="0" w:line="117"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4" w:val="left"/>
        </w:tabs>
        <w:numPr>
          <w:ilvl w:val="1"/>
          <w:numId w:val="7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hanging="320"/>
        <w:spacing w:after="0" w:line="287" w:lineRule="auto"/>
        <w:tabs>
          <w:tab w:leader="none" w:pos="129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Date: April 24, 2025</w:t>
      </w:r>
    </w:p>
    <w:p>
      <w:pPr>
        <w:spacing w:after="0" w:line="171"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 Robert D. Isom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17780</wp:posOffset>
            </wp:positionV>
            <wp:extent cx="238315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30"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Name: Robert D. Isom</w:t>
      </w:r>
    </w:p>
    <w:p>
      <w:pPr>
        <w:spacing w:after="0" w:line="50" w:lineRule="exact"/>
        <w:rPr>
          <w:sz w:val="20"/>
          <w:szCs w:val="20"/>
          <w:color w:val="auto"/>
        </w:rPr>
      </w:pPr>
    </w:p>
    <w:p>
      <w:pPr>
        <w:ind w:left="6500"/>
        <w:spacing w:after="0"/>
        <w:tabs>
          <w:tab w:leader="none" w:pos="7060" w:val="left"/>
        </w:tabs>
        <w:rPr>
          <w:sz w:val="20"/>
          <w:szCs w:val="20"/>
          <w:color w:val="auto"/>
        </w:rPr>
      </w:pPr>
      <w:r>
        <w:rPr>
          <w:rFonts w:ascii="Arial" w:cs="Arial" w:eastAsia="Arial" w:hAnsi="Arial"/>
          <w:sz w:val="18"/>
          <w:szCs w:val="18"/>
          <w:color w:val="auto"/>
        </w:rPr>
        <w:t>Title:</w:t>
        <w:tab/>
        <w:t>Chief Executive Officer and President</w:t>
      </w:r>
    </w:p>
    <w:p>
      <w:pPr>
        <w:sectPr>
          <w:pgSz w:w="11900" w:h="16838" w:orient="portrait"/>
          <w:cols w:equalWidth="0" w:num="1">
            <w:col w:w="11240"/>
          </w:cols>
          <w:pgMar w:left="320" w:top="890"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Devon E. May, certify that:</w:t>
      </w:r>
    </w:p>
    <w:p>
      <w:pPr>
        <w:spacing w:after="0" w:line="252" w:lineRule="exact"/>
        <w:rPr>
          <w:sz w:val="20"/>
          <w:szCs w:val="20"/>
          <w:color w:val="auto"/>
        </w:rPr>
      </w:pPr>
    </w:p>
    <w:p>
      <w:pPr>
        <w:ind w:left="640" w:hanging="308"/>
        <w:spacing w:after="0"/>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Group Inc.;</w:t>
      </w:r>
    </w:p>
    <w:p>
      <w:pPr>
        <w:spacing w:after="0" w:line="117"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4" w:val="left"/>
        </w:tabs>
        <w:numPr>
          <w:ilvl w:val="1"/>
          <w:numId w:val="7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hanging="320"/>
        <w:spacing w:after="0" w:line="287" w:lineRule="auto"/>
        <w:tabs>
          <w:tab w:leader="none" w:pos="129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Date: April 24, 2025</w:t>
      </w:r>
    </w:p>
    <w:p>
      <w:pPr>
        <w:spacing w:after="0" w:line="171"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/s/ Devon 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17780</wp:posOffset>
            </wp:positionV>
            <wp:extent cx="245999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p>
      <w:pPr>
        <w:spacing w:after="0" w:line="50"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Devon E. May</w:t>
      </w:r>
    </w:p>
    <w:p>
      <w:pPr>
        <w:spacing w:after="0" w:line="32" w:lineRule="exact"/>
        <w:rPr>
          <w:sz w:val="20"/>
          <w:szCs w:val="20"/>
          <w:color w:val="auto"/>
        </w:rPr>
      </w:pPr>
    </w:p>
    <w:p>
      <w:pPr>
        <w:sectPr>
          <w:pgSz w:w="11900" w:h="16838" w:orient="portrait"/>
          <w:cols w:equalWidth="0" w:num="2">
            <w:col w:w="6920" w:space="160"/>
            <w:col w:w="4160"/>
          </w:cols>
          <w:pgMar w:left="320" w:top="890" w:right="339" w:bottom="1440" w:gutter="0" w:footer="0" w:header="0"/>
          <w:type w:val="continuous"/>
        </w:sectPr>
      </w:pPr>
    </w:p>
    <w:p>
      <w:pPr>
        <w:ind w:left="638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ind w:right="1820"/>
        <w:spacing w:after="0" w:line="287" w:lineRule="auto"/>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2">
            <w:col w:w="6760" w:space="320"/>
            <w:col w:w="4160"/>
          </w:cols>
          <w:pgMar w:left="320" w:top="890" w:right="339" w:bottom="1440" w:gutter="0" w:footer="0" w:header="0"/>
          <w:type w:val="continuous"/>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Robert D. Isom, certify that:</w:t>
      </w:r>
    </w:p>
    <w:p>
      <w:pPr>
        <w:spacing w:after="0" w:line="252" w:lineRule="exact"/>
        <w:rPr>
          <w:sz w:val="20"/>
          <w:szCs w:val="20"/>
          <w:color w:val="auto"/>
        </w:rPr>
      </w:pPr>
    </w:p>
    <w:p>
      <w:pPr>
        <w:ind w:left="640" w:hanging="308"/>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Inc.;</w:t>
      </w:r>
    </w:p>
    <w:p>
      <w:pPr>
        <w:spacing w:after="0" w:line="117"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7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7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4" w:val="left"/>
        </w:tabs>
        <w:numPr>
          <w:ilvl w:val="1"/>
          <w:numId w:val="7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hanging="320"/>
        <w:spacing w:after="0" w:line="287" w:lineRule="auto"/>
        <w:tabs>
          <w:tab w:leader="none" w:pos="129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Date: April 24, 2025</w:t>
      </w:r>
    </w:p>
    <w:p>
      <w:pPr>
        <w:spacing w:after="0" w:line="171"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 Robert D. Isom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17780</wp:posOffset>
            </wp:positionV>
            <wp:extent cx="237426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30"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Name: Robert D. Isom</w:t>
      </w:r>
    </w:p>
    <w:p>
      <w:pPr>
        <w:spacing w:after="0" w:line="50"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Title: Chief Executive Officer and President</w:t>
      </w:r>
    </w:p>
    <w:p>
      <w:pPr>
        <w:sectPr>
          <w:pgSz w:w="11900" w:h="16838" w:orient="portrait"/>
          <w:cols w:equalWidth="0" w:num="1">
            <w:col w:w="11240"/>
          </w:cols>
          <w:pgMar w:left="320" w:top="890"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Devon E. May, certify that:</w:t>
      </w:r>
    </w:p>
    <w:p>
      <w:pPr>
        <w:spacing w:after="0" w:line="252" w:lineRule="exact"/>
        <w:rPr>
          <w:sz w:val="20"/>
          <w:szCs w:val="20"/>
          <w:color w:val="auto"/>
        </w:rPr>
      </w:pPr>
    </w:p>
    <w:p>
      <w:pPr>
        <w:ind w:left="640" w:hanging="308"/>
        <w:spacing w:after="0"/>
        <w:tabs>
          <w:tab w:leader="none" w:pos="6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Inc.;</w:t>
      </w:r>
    </w:p>
    <w:p>
      <w:pPr>
        <w:spacing w:after="0" w:line="117"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7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7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4" w:val="left"/>
        </w:tabs>
        <w:numPr>
          <w:ilvl w:val="1"/>
          <w:numId w:val="7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hanging="320"/>
        <w:spacing w:after="0" w:line="287" w:lineRule="auto"/>
        <w:tabs>
          <w:tab w:leader="none" w:pos="129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Date: April 24, 2025</w:t>
      </w:r>
    </w:p>
    <w:p>
      <w:pPr>
        <w:spacing w:after="0" w:line="200" w:lineRule="exact"/>
        <w:rPr>
          <w:sz w:val="20"/>
          <w:szCs w:val="20"/>
          <w:color w:val="auto"/>
        </w:rPr>
      </w:pPr>
    </w:p>
    <w:p>
      <w:pPr>
        <w:spacing w:after="0" w:line="295"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/s/ Devon 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17780</wp:posOffset>
            </wp:positionV>
            <wp:extent cx="24599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p>
      <w:pPr>
        <w:spacing w:after="0" w:line="50"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Devon E. May</w:t>
      </w:r>
    </w:p>
    <w:p>
      <w:pPr>
        <w:spacing w:after="0" w:line="32" w:lineRule="exact"/>
        <w:rPr>
          <w:sz w:val="20"/>
          <w:szCs w:val="20"/>
          <w:color w:val="auto"/>
        </w:rPr>
      </w:pPr>
    </w:p>
    <w:p>
      <w:pPr>
        <w:sectPr>
          <w:pgSz w:w="11900" w:h="16838" w:orient="portrait"/>
          <w:cols w:equalWidth="0" w:num="2">
            <w:col w:w="6920" w:space="160"/>
            <w:col w:w="4160"/>
          </w:cols>
          <w:pgMar w:left="320" w:top="890" w:right="339" w:bottom="1440" w:gutter="0" w:footer="0" w:header="0"/>
          <w:type w:val="continuous"/>
        </w:sectPr>
      </w:pPr>
    </w:p>
    <w:p>
      <w:pPr>
        <w:ind w:left="638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ind w:right="1820"/>
        <w:spacing w:after="0" w:line="287" w:lineRule="auto"/>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2">
            <w:col w:w="6760" w:space="320"/>
            <w:col w:w="4160"/>
          </w:cols>
          <w:pgMar w:left="320" w:top="890" w:right="339" w:bottom="1440" w:gutter="0" w:footer="0" w:header="0"/>
          <w:type w:val="continuous"/>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Quarterly Report on Form 10-Q of American Airlines Group Inc. (the “Company”) for the quarterly period ended March 31, 2025 (the “Report”), Robert D. Isom, as Chief Executive Officer and President of the Company, and Devon E. May, as Executive Vice President and Chief Financial Officer of the Company, each hereby certifies, pursuant to 18 U.S.C. Section 1350, as adopted pursuant to Section 906 of the Sarbanes-Oxley Act of 2002, that, to the best of his knowledge:</w:t>
      </w:r>
    </w:p>
    <w:p>
      <w:pPr>
        <w:spacing w:after="0" w:line="203" w:lineRule="exact"/>
        <w:rPr>
          <w:sz w:val="20"/>
          <w:szCs w:val="20"/>
          <w:color w:val="auto"/>
        </w:rPr>
      </w:pPr>
    </w:p>
    <w:p>
      <w:pPr>
        <w:ind w:left="640" w:hanging="308"/>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60" w:hanging="328"/>
        <w:spacing w:after="0" w:line="287" w:lineRule="auto"/>
        <w:tabs>
          <w:tab w:leader="none" w:pos="65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Robert D. Isom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06006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Robert D. Isom</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Chief Executive Officer and President</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April 24, 2025</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Devon 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06006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Devon E. May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Executive Vice President and</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April 24, 2025</w:t>
      </w:r>
    </w:p>
    <w:p>
      <w:pPr>
        <w:spacing w:after="0" w:line="33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240"/>
          </w:cols>
          <w:pgMar w:left="320" w:top="890"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Quarterly Report on Form 10-Q of American Airlines, Inc. (the “Company”) for the quarterly period ended March 31, 2025 (the “Report”), Robert D. Isom, as Chief Executive Officer and President of the Company, and Devon E. May, as Executive Vice President and Chief Financial Officer of the Company, each hereby certifies, pursuant to 18 U.S.C. Section 1350, as adopted pursuant to Section 906 of the Sarbanes-Oxley Act of 2002, that, to the best of his knowledge:</w:t>
      </w:r>
    </w:p>
    <w:p>
      <w:pPr>
        <w:spacing w:after="0" w:line="203" w:lineRule="exact"/>
        <w:rPr>
          <w:sz w:val="20"/>
          <w:szCs w:val="20"/>
          <w:color w:val="auto"/>
        </w:rPr>
      </w:pPr>
    </w:p>
    <w:p>
      <w:pPr>
        <w:ind w:left="640" w:hanging="308"/>
        <w:spacing w:after="0"/>
        <w:tabs>
          <w:tab w:leader="none" w:pos="6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60" w:hanging="328"/>
        <w:spacing w:after="0" w:line="287" w:lineRule="auto"/>
        <w:tabs>
          <w:tab w:leader="none" w:pos="65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Robert D. Isom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06006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Robert D. Isom</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Chief Executive Officer and President</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April 24, 2025</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Devon 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06006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Devon E. May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Executive Vice President and</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April 24, 2025</w:t>
      </w:r>
    </w:p>
    <w:p>
      <w:pPr>
        <w:spacing w:after="0" w:line="33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nsolas">
    <w:panose1 w:val="020B0609020204030204"/>
    <w:charset w:val="00"/>
    <w:family w:val="auto"/>
    <w:pitch w:val="fixed"/>
    <w:sig w:usb0="E10002FF" w:usb1="4000FCFF" w:usb2="00000009" w:usb3="00000000" w:csb0="600001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
      <w:numFmt w:val="bullet"/>
      <w:start w:val="1"/>
    </w:lvl>
  </w:abstractNum>
  <w:abstractNum w:abstractNumId="2">
    <w:nsid w:val="3855585C"/>
    <w:multiLevelType w:val="hybridMultilevel"/>
    <w:lvl w:ilvl="0">
      <w:lvlJc w:val="left"/>
      <w:lvlText w:val="(%1)"/>
      <w:numFmt w:val="decimal"/>
      <w:start w:val="1"/>
    </w:lvl>
  </w:abstractNum>
  <w:abstractNum w:abstractNumId="3">
    <w:nsid w:val="70A64E2A"/>
    <w:multiLevelType w:val="hybridMultilevel"/>
    <w:lvl w:ilvl="0">
      <w:lvlJc w:val="left"/>
      <w:lvlText w:val="•"/>
      <w:numFmt w:val="bullet"/>
      <w:start w:val="1"/>
    </w:lvl>
  </w:abstractNum>
  <w:abstractNum w:abstractNumId="4">
    <w:nsid w:val="6A2342EC"/>
    <w:multiLevelType w:val="hybridMultilevel"/>
    <w:lvl w:ilvl="0">
      <w:lvlJc w:val="left"/>
      <w:lvlText w:val="•"/>
      <w:numFmt w:val="bullet"/>
      <w:start w:val="1"/>
    </w:lvl>
  </w:abstractNum>
  <w:abstractNum w:abstractNumId="5">
    <w:nsid w:val="2A487CB0"/>
    <w:multiLevelType w:val="hybridMultilevel"/>
    <w:lvl w:ilvl="0">
      <w:lvlJc w:val="left"/>
      <w:lvlText w:val="(%1)"/>
      <w:numFmt w:val="decimal"/>
      <w:start w:val="1"/>
    </w:lvl>
  </w:abstractNum>
  <w:abstractNum w:abstractNumId="6">
    <w:nsid w:val="1D4ED43B"/>
    <w:multiLevelType w:val="hybridMultilevel"/>
    <w:lvl w:ilvl="0">
      <w:lvlJc w:val="left"/>
      <w:lvlText w:val="(%1)"/>
      <w:numFmt w:val="decimal"/>
      <w:start w:val="1"/>
    </w:lvl>
  </w:abstractNum>
  <w:abstractNum w:abstractNumId="7">
    <w:nsid w:val="725A06FB"/>
    <w:multiLevelType w:val="hybridMultilevel"/>
    <w:lvl w:ilvl="0">
      <w:lvlJc w:val="left"/>
      <w:lvlText w:val="(%1)"/>
      <w:numFmt w:val="decimal"/>
      <w:start w:val="2"/>
    </w:lvl>
  </w:abstractNum>
  <w:abstractNum w:abstractNumId="8">
    <w:nsid w:val="2CD89A32"/>
    <w:multiLevelType w:val="hybridMultilevel"/>
    <w:lvl w:ilvl="0">
      <w:lvlJc w:val="left"/>
      <w:lvlText w:val="(%1)"/>
      <w:numFmt w:val="decimal"/>
      <w:start w:val="1"/>
    </w:lvl>
  </w:abstractNum>
  <w:abstractNum w:abstractNumId="9">
    <w:nsid w:val="57E4CCAF"/>
    <w:multiLevelType w:val="hybridMultilevel"/>
    <w:lvl w:ilvl="0">
      <w:lvlJc w:val="left"/>
      <w:lvlText w:val="%1."/>
      <w:numFmt w:val="decimal"/>
      <w:start w:val="4"/>
    </w:lvl>
  </w:abstractNum>
  <w:abstractNum w:abstractNumId="10">
    <w:nsid w:val="7A6D8D3C"/>
    <w:multiLevelType w:val="hybridMultilevel"/>
    <w:lvl w:ilvl="0">
      <w:lvlJc w:val="left"/>
      <w:lvlText w:val="(%1)"/>
      <w:numFmt w:val="decimal"/>
      <w:start w:val="1"/>
    </w:lvl>
  </w:abstractNum>
  <w:abstractNum w:abstractNumId="11">
    <w:nsid w:val="4B588F54"/>
    <w:multiLevelType w:val="hybridMultilevel"/>
    <w:lvl w:ilvl="0">
      <w:lvlJc w:val="left"/>
      <w:lvlText w:val="(%1)"/>
      <w:numFmt w:val="decimal"/>
      <w:start w:val="1"/>
    </w:lvl>
  </w:abstractNum>
  <w:abstractNum w:abstractNumId="12">
    <w:nsid w:val="542289EC"/>
    <w:multiLevelType w:val="hybridMultilevel"/>
    <w:lvl w:ilvl="0">
      <w:lvlJc w:val="left"/>
      <w:lvlText w:val="(%1)"/>
      <w:numFmt w:val="decimal"/>
      <w:start w:val="1"/>
    </w:lvl>
  </w:abstractNum>
  <w:abstractNum w:abstractNumId="13">
    <w:nsid w:val="6DE91B18"/>
    <w:multiLevelType w:val="hybridMultilevel"/>
    <w:lvl w:ilvl="0">
      <w:lvlJc w:val="left"/>
      <w:lvlText w:val="(%1)"/>
      <w:numFmt w:val="decimal"/>
      <w:start w:val="1"/>
    </w:lvl>
  </w:abstractNum>
  <w:abstractNum w:abstractNumId="14">
    <w:nsid w:val="38437FDB"/>
    <w:multiLevelType w:val="hybridMultilevel"/>
    <w:lvl w:ilvl="0">
      <w:lvlJc w:val="left"/>
      <w:lvlText w:val="(%1)"/>
      <w:numFmt w:val="decimal"/>
      <w:start w:val="2"/>
    </w:lvl>
  </w:abstractNum>
  <w:abstractNum w:abstractNumId="15">
    <w:nsid w:val="7644A45C"/>
    <w:multiLevelType w:val="hybridMultilevel"/>
    <w:lvl w:ilvl="0">
      <w:lvlJc w:val="left"/>
      <w:lvlText w:val="(%1)"/>
      <w:numFmt w:val="decimal"/>
      <w:start w:val="1"/>
    </w:lvl>
  </w:abstractNum>
  <w:abstractNum w:abstractNumId="16">
    <w:nsid w:val="32FFF902"/>
    <w:multiLevelType w:val="hybridMultilevel"/>
    <w:lvl w:ilvl="0">
      <w:lvlJc w:val="left"/>
      <w:lvlText w:val="(%1)"/>
      <w:numFmt w:val="decimal"/>
      <w:start w:val="1"/>
    </w:lvl>
  </w:abstractNum>
  <w:abstractNum w:abstractNumId="17">
    <w:nsid w:val="684A481A"/>
    <w:multiLevelType w:val="hybridMultilevel"/>
    <w:lvl w:ilvl="0">
      <w:lvlJc w:val="left"/>
      <w:lvlText w:val="(%1)"/>
      <w:numFmt w:val="decimal"/>
      <w:start w:val="1"/>
    </w:lvl>
  </w:abstractNum>
  <w:abstractNum w:abstractNumId="18">
    <w:nsid w:val="579478FE"/>
    <w:multiLevelType w:val="hybridMultilevel"/>
    <w:lvl w:ilvl="0">
      <w:lvlJc w:val="left"/>
      <w:lvlText w:val="(%1)"/>
      <w:numFmt w:val="decimal"/>
      <w:start w:val="1"/>
    </w:lvl>
  </w:abstractNum>
  <w:abstractNum w:abstractNumId="19">
    <w:nsid w:val="749ABB43"/>
    <w:multiLevelType w:val="hybridMultilevel"/>
    <w:lvl w:ilvl="0">
      <w:lvlJc w:val="left"/>
      <w:lvlText w:val="%1."/>
      <w:numFmt w:val="decimal"/>
      <w:start w:val="1"/>
    </w:lvl>
    <w:lvl w:ilvl="1">
      <w:lvlJc w:val="left"/>
      <w:lvlText w:val="(%2)"/>
      <w:numFmt w:val="lowerLetter"/>
      <w:start w:val="1"/>
    </w:lvl>
  </w:abstractNum>
  <w:abstractNum w:abstractNumId="20">
    <w:nsid w:val="3DC240FB"/>
    <w:multiLevelType w:val="hybridMultilevel"/>
    <w:lvl w:ilvl="0">
      <w:lvlJc w:val="left"/>
      <w:lvlText w:val="(%1)"/>
      <w:numFmt w:val="decimal"/>
      <w:start w:val="1"/>
    </w:lvl>
  </w:abstractNum>
  <w:abstractNum w:abstractNumId="21">
    <w:nsid w:val="1BA026FA"/>
    <w:multiLevelType w:val="hybridMultilevel"/>
    <w:lvl w:ilvl="0">
      <w:lvlJc w:val="left"/>
      <w:lvlText w:val="(%1)"/>
      <w:numFmt w:val="decimal"/>
      <w:start w:val="2"/>
    </w:lvl>
  </w:abstractNum>
  <w:abstractNum w:abstractNumId="22">
    <w:nsid w:val="79A1DEAA"/>
    <w:multiLevelType w:val="hybridMultilevel"/>
    <w:lvl w:ilvl="0">
      <w:lvlJc w:val="left"/>
      <w:lvlText w:val="%1."/>
      <w:numFmt w:val="decimal"/>
      <w:start w:val="3"/>
    </w:lvl>
  </w:abstractNum>
  <w:abstractNum w:abstractNumId="23">
    <w:nsid w:val="75C6C33A"/>
    <w:multiLevelType w:val="hybridMultilevel"/>
    <w:lvl w:ilvl="0">
      <w:lvlJc w:val="left"/>
      <w:lvlText w:val="(%1)"/>
      <w:numFmt w:val="decimal"/>
      <w:start w:val="1"/>
    </w:lvl>
  </w:abstractNum>
  <w:abstractNum w:abstractNumId="24">
    <w:nsid w:val="12E685FB"/>
    <w:multiLevelType w:val="hybridMultilevel"/>
    <w:lvl w:ilvl="0">
      <w:lvlJc w:val="left"/>
      <w:lvlText w:val="(%1)"/>
      <w:numFmt w:val="decimal"/>
      <w:start w:val="1"/>
    </w:lvl>
  </w:abstractNum>
  <w:abstractNum w:abstractNumId="25">
    <w:nsid w:val="70C6A529"/>
    <w:multiLevelType w:val="hybridMultilevel"/>
    <w:lvl w:ilvl="0">
      <w:lvlJc w:val="left"/>
      <w:lvlText w:val="(%1)"/>
      <w:numFmt w:val="decimal"/>
      <w:start w:val="1"/>
    </w:lvl>
  </w:abstractNum>
  <w:abstractNum w:abstractNumId="26">
    <w:nsid w:val="520EEDD1"/>
    <w:multiLevelType w:val="hybridMultilevel"/>
    <w:lvl w:ilvl="0">
      <w:lvlJc w:val="left"/>
      <w:lvlText w:val="(%1)"/>
      <w:numFmt w:val="decimal"/>
      <w:start w:val="1"/>
    </w:lvl>
  </w:abstractNum>
  <w:abstractNum w:abstractNumId="27">
    <w:nsid w:val="374A3FE6"/>
    <w:multiLevelType w:val="hybridMultilevel"/>
    <w:lvl w:ilvl="0">
      <w:lvlJc w:val="left"/>
      <w:lvlText w:val="(%1)"/>
      <w:numFmt w:val="decimal"/>
      <w:start w:val="1"/>
    </w:lvl>
  </w:abstractNum>
  <w:abstractNum w:abstractNumId="28">
    <w:nsid w:val="4F4EF005"/>
    <w:multiLevelType w:val="hybridMultilevel"/>
    <w:lvl w:ilvl="0">
      <w:lvlJc w:val="left"/>
      <w:lvlText w:val="(%1)"/>
      <w:numFmt w:val="decimal"/>
      <w:start w:val="1"/>
    </w:lvl>
  </w:abstractNum>
  <w:abstractNum w:abstractNumId="29">
    <w:nsid w:val="23F9C13C"/>
    <w:multiLevelType w:val="hybridMultilevel"/>
    <w:lvl w:ilvl="0">
      <w:lvlJc w:val="left"/>
      <w:lvlText w:val="(%1)"/>
      <w:numFmt w:val="decimal"/>
      <w:start w:val="1"/>
    </w:lvl>
  </w:abstractNum>
  <w:abstractNum w:abstractNumId="30">
    <w:nsid w:val="649BB77C"/>
    <w:multiLevelType w:val="hybridMultilevel"/>
    <w:lvl w:ilvl="0">
      <w:lvlJc w:val="left"/>
      <w:lvlText w:val="(%1)"/>
      <w:numFmt w:val="decimal"/>
      <w:start w:val="1"/>
    </w:lvl>
  </w:abstractNum>
  <w:abstractNum w:abstractNumId="31">
    <w:nsid w:val="275AC794"/>
    <w:multiLevelType w:val="hybridMultilevel"/>
    <w:lvl w:ilvl="0">
      <w:lvlJc w:val="left"/>
      <w:lvlText w:val="(%1)"/>
      <w:numFmt w:val="decimal"/>
      <w:start w:val="1"/>
    </w:lvl>
  </w:abstractNum>
  <w:abstractNum w:abstractNumId="32">
    <w:nsid w:val="39386575"/>
    <w:multiLevelType w:val="hybridMultilevel"/>
    <w:lvl w:ilvl="0">
      <w:lvlJc w:val="left"/>
      <w:lvlText w:val="•"/>
      <w:numFmt w:val="bullet"/>
      <w:start w:val="1"/>
    </w:lvl>
  </w:abstractNum>
  <w:abstractNum w:abstractNumId="33">
    <w:nsid w:val="1CF10FD8"/>
    <w:multiLevelType w:val="hybridMultilevel"/>
    <w:lvl w:ilvl="0">
      <w:lvlJc w:val="left"/>
      <w:lvlText w:val="(%1)"/>
      <w:numFmt w:val="decimal"/>
      <w:start w:val="1"/>
    </w:lvl>
  </w:abstractNum>
  <w:abstractNum w:abstractNumId="34">
    <w:nsid w:val="180115BE"/>
    <w:multiLevelType w:val="hybridMultilevel"/>
    <w:lvl w:ilvl="0">
      <w:lvlJc w:val="left"/>
      <w:lvlText w:val="(%1)"/>
      <w:numFmt w:val="decimal"/>
      <w:start w:val="1"/>
    </w:lvl>
  </w:abstractNum>
  <w:abstractNum w:abstractNumId="35">
    <w:nsid w:val="235BA861"/>
    <w:multiLevelType w:val="hybridMultilevel"/>
    <w:lvl w:ilvl="0">
      <w:lvlJc w:val="left"/>
      <w:lvlText w:val="(%1)"/>
      <w:numFmt w:val="lowerLetter"/>
      <w:start w:val="1"/>
    </w:lvl>
  </w:abstractNum>
  <w:abstractNum w:abstractNumId="36">
    <w:nsid w:val="47398C89"/>
    <w:multiLevelType w:val="hybridMultilevel"/>
    <w:lvl w:ilvl="0">
      <w:lvlJc w:val="left"/>
      <w:lvlText w:val="(%1)"/>
      <w:numFmt w:val="decimal"/>
      <w:start w:val="1"/>
    </w:lvl>
  </w:abstractNum>
  <w:abstractNum w:abstractNumId="37">
    <w:nsid w:val="354FE9F9"/>
    <w:multiLevelType w:val="hybridMultilevel"/>
    <w:lvl w:ilvl="0">
      <w:lvlJc w:val="left"/>
      <w:lvlText w:val="(%1)"/>
      <w:numFmt w:val="decimal"/>
      <w:start w:val="1"/>
    </w:lvl>
  </w:abstractNum>
  <w:abstractNum w:abstractNumId="38">
    <w:nsid w:val="15B5AF5C"/>
    <w:multiLevelType w:val="hybridMultilevel"/>
    <w:lvl w:ilvl="0">
      <w:lvlJc w:val="left"/>
      <w:lvlText w:val="(%1)"/>
      <w:numFmt w:val="decimal"/>
      <w:start w:val="1"/>
    </w:lvl>
  </w:abstractNum>
  <w:abstractNum w:abstractNumId="39">
    <w:nsid w:val="741226BB"/>
    <w:multiLevelType w:val="hybridMultilevel"/>
    <w:lvl w:ilvl="0">
      <w:lvlJc w:val="left"/>
      <w:lvlText w:val="(%1)"/>
      <w:numFmt w:val="lowerLetter"/>
      <w:start w:val="1"/>
    </w:lvl>
  </w:abstractNum>
  <w:abstractNum w:abstractNumId="40">
    <w:nsid w:val="D34B6A8"/>
    <w:multiLevelType w:val="hybridMultilevel"/>
    <w:lvl w:ilvl="0">
      <w:lvlJc w:val="left"/>
      <w:lvlText w:val="(%1)"/>
      <w:numFmt w:val="lowerLetter"/>
      <w:start w:val="5"/>
    </w:lvl>
  </w:abstractNum>
  <w:abstractNum w:abstractNumId="41">
    <w:nsid w:val="10233C99"/>
    <w:multiLevelType w:val="hybridMultilevel"/>
    <w:lvl w:ilvl="0">
      <w:lvlJc w:val="left"/>
      <w:lvlText w:val="*"/>
      <w:numFmt w:val="bullet"/>
      <w:start w:val="1"/>
    </w:lvl>
  </w:abstractNum>
  <w:abstractNum w:abstractNumId="42">
    <w:nsid w:val="3F6AB60F"/>
    <w:multiLevelType w:val="hybridMultilevel"/>
    <w:lvl w:ilvl="0">
      <w:lvlJc w:val="left"/>
      <w:lvlText w:val="%1."/>
      <w:numFmt w:val="decimal"/>
      <w:start w:val="1"/>
    </w:lvl>
  </w:abstractNum>
  <w:abstractNum w:abstractNumId="43">
    <w:nsid w:val="61574095"/>
    <w:multiLevelType w:val="hybridMultilevel"/>
    <w:lvl w:ilvl="0">
      <w:lvlJc w:val="left"/>
      <w:lvlText w:val="%1."/>
      <w:numFmt w:val="decimal"/>
      <w:start w:val="2"/>
    </w:lvl>
  </w:abstractNum>
  <w:abstractNum w:abstractNumId="44">
    <w:nsid w:val="7E0C57B1"/>
    <w:multiLevelType w:val="hybridMultilevel"/>
    <w:lvl w:ilvl="0">
      <w:lvlJc w:val="left"/>
      <w:lvlText w:val="%1."/>
      <w:numFmt w:val="decimal"/>
      <w:start w:val="3"/>
    </w:lvl>
  </w:abstractNum>
  <w:abstractNum w:abstractNumId="45">
    <w:nsid w:val="77AE35EB"/>
    <w:multiLevelType w:val="hybridMultilevel"/>
    <w:lvl w:ilvl="0">
      <w:lvlJc w:val="left"/>
      <w:lvlText w:val="%1."/>
      <w:numFmt w:val="decimal"/>
      <w:start w:val="1"/>
    </w:lvl>
  </w:abstractNum>
  <w:abstractNum w:abstractNumId="46">
    <w:nsid w:val="579BE4F1"/>
    <w:multiLevelType w:val="hybridMultilevel"/>
    <w:lvl w:ilvl="0">
      <w:lvlJc w:val="left"/>
      <w:lvlText w:val="(%1)"/>
      <w:numFmt w:val="lowerRoman"/>
      <w:start w:val="1"/>
    </w:lvl>
  </w:abstractNum>
  <w:abstractNum w:abstractNumId="47">
    <w:nsid w:val="310C50B3"/>
    <w:multiLevelType w:val="hybridMultilevel"/>
    <w:lvl w:ilvl="0">
      <w:lvlJc w:val="left"/>
      <w:lvlText w:val="(%1)"/>
      <w:numFmt w:val="lowerLetter"/>
      <w:start w:val="1"/>
    </w:lvl>
    <w:lvl w:ilvl="1">
      <w:lvlJc w:val="left"/>
      <w:lvlText w:val="(%2)"/>
      <w:numFmt w:val="lowerLetter"/>
      <w:start w:val="2"/>
    </w:lvl>
  </w:abstractNum>
  <w:abstractNum w:abstractNumId="48">
    <w:nsid w:val="5FF87E05"/>
    <w:multiLevelType w:val="hybridMultilevel"/>
    <w:lvl w:ilvl="0">
      <w:lvlJc w:val="left"/>
      <w:lvlText w:val="%1."/>
      <w:numFmt w:val="decimal"/>
      <w:start w:val="2"/>
    </w:lvl>
  </w:abstractNum>
  <w:abstractNum w:abstractNumId="49">
    <w:nsid w:val="2F305DEF"/>
    <w:multiLevelType w:val="hybridMultilevel"/>
    <w:lvl w:ilvl="0">
      <w:lvlJc w:val="left"/>
      <w:lvlText w:val="%1."/>
      <w:numFmt w:val="decimal"/>
      <w:start w:val="4"/>
    </w:lvl>
  </w:abstractNum>
  <w:abstractNum w:abstractNumId="50">
    <w:nsid w:val="25A70BF7"/>
    <w:multiLevelType w:val="hybridMultilevel"/>
    <w:lvl w:ilvl="0">
      <w:lvlJc w:val="left"/>
      <w:lvlText w:val="%1."/>
      <w:numFmt w:val="decimal"/>
      <w:start w:val="1"/>
    </w:lvl>
  </w:abstractNum>
  <w:abstractNum w:abstractNumId="51">
    <w:nsid w:val="1DBABF00"/>
    <w:multiLevelType w:val="hybridMultilevel"/>
    <w:lvl w:ilvl="0">
      <w:lvlJc w:val="left"/>
      <w:lvlText w:val="%1."/>
      <w:numFmt w:val="decimal"/>
      <w:start w:val="2"/>
    </w:lvl>
  </w:abstractNum>
  <w:abstractNum w:abstractNumId="52">
    <w:nsid w:val="4AD084E9"/>
    <w:multiLevelType w:val="hybridMultilevel"/>
    <w:lvl w:ilvl="0">
      <w:lvlJc w:val="left"/>
      <w:lvlText w:val="%1."/>
      <w:numFmt w:val="decimal"/>
      <w:start w:val="3"/>
    </w:lvl>
  </w:abstractNum>
  <w:abstractNum w:abstractNumId="53">
    <w:nsid w:val="1F48EAA1"/>
    <w:multiLevelType w:val="hybridMultilevel"/>
    <w:lvl w:ilvl="0">
      <w:lvlJc w:val="left"/>
      <w:lvlText w:val="%1."/>
      <w:numFmt w:val="decimal"/>
      <w:start w:val="4"/>
    </w:lvl>
  </w:abstractNum>
  <w:abstractNum w:abstractNumId="54">
    <w:nsid w:val="1381823A"/>
    <w:multiLevelType w:val="hybridMultilevel"/>
    <w:lvl w:ilvl="0">
      <w:lvlJc w:val="left"/>
      <w:lvlText w:val="%1."/>
      <w:numFmt w:val="decimal"/>
      <w:start w:val="5"/>
    </w:lvl>
  </w:abstractNum>
  <w:abstractNum w:abstractNumId="55">
    <w:nsid w:val="5DB70AE5"/>
    <w:multiLevelType w:val="hybridMultilevel"/>
    <w:lvl w:ilvl="0">
      <w:lvlJc w:val="left"/>
      <w:lvlText w:val="%1."/>
      <w:numFmt w:val="decimal"/>
      <w:start w:val="1"/>
    </w:lvl>
  </w:abstractNum>
  <w:abstractNum w:abstractNumId="56">
    <w:nsid w:val="100F8FCA"/>
    <w:multiLevelType w:val="hybridMultilevel"/>
    <w:lvl w:ilvl="0">
      <w:lvlJc w:val="left"/>
      <w:lvlText w:val="%1."/>
      <w:numFmt w:val="decimal"/>
      <w:start w:val="2"/>
    </w:lvl>
  </w:abstractNum>
  <w:abstractNum w:abstractNumId="57">
    <w:nsid w:val="6590700B"/>
    <w:multiLevelType w:val="hybridMultilevel"/>
    <w:lvl w:ilvl="0">
      <w:lvlJc w:val="left"/>
      <w:lvlText w:val="%1."/>
      <w:numFmt w:val="decimal"/>
      <w:start w:val="3"/>
    </w:lvl>
  </w:abstractNum>
  <w:abstractNum w:abstractNumId="58">
    <w:nsid w:val="15014ACB"/>
    <w:multiLevelType w:val="hybridMultilevel"/>
    <w:lvl w:ilvl="0">
      <w:lvlJc w:val="left"/>
      <w:lvlText w:val="%1."/>
      <w:numFmt w:val="decimal"/>
      <w:start w:val="4"/>
    </w:lvl>
  </w:abstractNum>
  <w:abstractNum w:abstractNumId="59">
    <w:nsid w:val="5F5E7FD0"/>
    <w:multiLevelType w:val="hybridMultilevel"/>
    <w:lvl w:ilvl="0">
      <w:lvlJc w:val="left"/>
      <w:lvlText w:val="*"/>
      <w:numFmt w:val="bullet"/>
      <w:start w:val="1"/>
    </w:lvl>
  </w:abstractNum>
  <w:abstractNum w:abstractNumId="60">
    <w:nsid w:val="98A3148"/>
    <w:multiLevelType w:val="hybridMultilevel"/>
    <w:lvl w:ilvl="0">
      <w:lvlJc w:val="left"/>
      <w:lvlText w:val="%1."/>
      <w:numFmt w:val="decimal"/>
      <w:start w:val="1"/>
    </w:lvl>
  </w:abstractNum>
  <w:abstractNum w:abstractNumId="61">
    <w:nsid w:val="799D0247"/>
    <w:multiLevelType w:val="hybridMultilevel"/>
    <w:lvl w:ilvl="0">
      <w:lvlJc w:val="left"/>
      <w:lvlText w:val="%1."/>
      <w:numFmt w:val="decimal"/>
      <w:start w:val="2"/>
    </w:lvl>
  </w:abstractNum>
  <w:abstractNum w:abstractNumId="62">
    <w:nsid w:val="6B94764"/>
    <w:multiLevelType w:val="hybridMultilevel"/>
    <w:lvl w:ilvl="0">
      <w:lvlJc w:val="left"/>
      <w:lvlText w:val="%1."/>
      <w:numFmt w:val="decimal"/>
      <w:start w:val="3"/>
    </w:lvl>
  </w:abstractNum>
  <w:abstractNum w:abstractNumId="63">
    <w:nsid w:val="42C296BD"/>
    <w:multiLevelType w:val="hybridMultilevel"/>
    <w:lvl w:ilvl="0">
      <w:lvlJc w:val="left"/>
      <w:lvlText w:val="(%1)"/>
      <w:numFmt w:val="lowerRoman"/>
      <w:start w:val="1"/>
    </w:lvl>
  </w:abstractNum>
  <w:abstractNum w:abstractNumId="64">
    <w:nsid w:val="168E121F"/>
    <w:multiLevelType w:val="hybridMultilevel"/>
    <w:lvl w:ilvl="0">
      <w:lvlJc w:val="left"/>
      <w:lvlText w:val="(%1)"/>
      <w:numFmt w:val="lowerRoman"/>
      <w:start w:val="3"/>
    </w:lvl>
  </w:abstractNum>
  <w:abstractNum w:abstractNumId="65">
    <w:nsid w:val="1EBA5D23"/>
    <w:multiLevelType w:val="hybridMultilevel"/>
    <w:lvl w:ilvl="0">
      <w:lvlJc w:val="left"/>
      <w:lvlText w:val="%1."/>
      <w:numFmt w:val="decimal"/>
      <w:start w:val="4"/>
    </w:lvl>
  </w:abstractNum>
  <w:abstractNum w:abstractNumId="66">
    <w:nsid w:val="661E3F1E"/>
    <w:multiLevelType w:val="hybridMultilevel"/>
    <w:lvl w:ilvl="0">
      <w:lvlJc w:val="left"/>
      <w:lvlText w:val="%1."/>
      <w:numFmt w:val="decimal"/>
      <w:start w:val="5"/>
    </w:lvl>
  </w:abstractNum>
  <w:abstractNum w:abstractNumId="67">
    <w:nsid w:val="5DC79EA8"/>
    <w:multiLevelType w:val="hybridMultilevel"/>
    <w:lvl w:ilvl="0">
      <w:lvlJc w:val="left"/>
      <w:lvlText w:val="%1."/>
      <w:numFmt w:val="decimal"/>
      <w:start w:val="6"/>
    </w:lvl>
  </w:abstractNum>
  <w:abstractNum w:abstractNumId="68">
    <w:nsid w:val="540A471C"/>
    <w:multiLevelType w:val="hybridMultilevel"/>
    <w:lvl w:ilvl="0">
      <w:lvlJc w:val="left"/>
      <w:lvlText w:val="%1."/>
      <w:numFmt w:val="decimal"/>
      <w:start w:val="9"/>
    </w:lvl>
  </w:abstractNum>
  <w:abstractNum w:abstractNumId="69">
    <w:nsid w:val="7BD3EE7B"/>
    <w:multiLevelType w:val="hybridMultilevel"/>
    <w:lvl w:ilvl="0">
      <w:lvlJc w:val="left"/>
      <w:lvlText w:val="%1."/>
      <w:numFmt w:val="decimal"/>
      <w:start w:val="10"/>
    </w:lvl>
  </w:abstractNum>
  <w:abstractNum w:abstractNumId="70">
    <w:nsid w:val="51D9C564"/>
    <w:multiLevelType w:val="hybridMultilevel"/>
    <w:lvl w:ilvl="0">
      <w:lvlJc w:val="left"/>
      <w:lvlText w:val="%1."/>
      <w:numFmt w:val="decimal"/>
      <w:start w:val="1"/>
    </w:lvl>
  </w:abstractNum>
  <w:abstractNum w:abstractNumId="71">
    <w:nsid w:val="613EFDC5"/>
    <w:multiLevelType w:val="hybridMultilevel"/>
    <w:lvl w:ilvl="0">
      <w:lvlJc w:val="left"/>
      <w:lvlText w:val="%1."/>
      <w:numFmt w:val="decimal"/>
      <w:start w:val="2"/>
    </w:lvl>
  </w:abstractNum>
  <w:abstractNum w:abstractNumId="72">
    <w:nsid w:val="BF72B14"/>
    <w:multiLevelType w:val="hybridMultilevel"/>
    <w:lvl w:ilvl="0">
      <w:lvlJc w:val="left"/>
      <w:lvlText w:val="%1."/>
      <w:numFmt w:val="decimal"/>
      <w:start w:val="3"/>
    </w:lvl>
  </w:abstractNum>
  <w:abstractNum w:abstractNumId="73">
    <w:nsid w:val="11447B73"/>
    <w:multiLevelType w:val="hybridMultilevel"/>
    <w:lvl w:ilvl="0">
      <w:lvlJc w:val="left"/>
      <w:lvlText w:val="%1."/>
      <w:numFmt w:val="decimal"/>
      <w:start w:val="4"/>
    </w:lvl>
  </w:abstractNum>
  <w:abstractNum w:abstractNumId="74">
    <w:nsid w:val="42963E5A"/>
    <w:multiLevelType w:val="hybridMultilevel"/>
    <w:lvl w:ilvl="0">
      <w:lvlJc w:val="left"/>
      <w:lvlText w:val="%1."/>
      <w:numFmt w:val="decimal"/>
      <w:start w:val="1"/>
    </w:lvl>
    <w:lvl w:ilvl="1">
      <w:lvlJc w:val="left"/>
      <w:lvlText w:val="(%2)"/>
      <w:numFmt w:val="lowerLetter"/>
      <w:start w:val="1"/>
    </w:lvl>
  </w:abstractNum>
  <w:abstractNum w:abstractNumId="75">
    <w:nsid w:val="A0382C5"/>
    <w:multiLevelType w:val="hybridMultilevel"/>
    <w:lvl w:ilvl="0">
      <w:lvlJc w:val="left"/>
      <w:lvlText w:val="%1."/>
      <w:numFmt w:val="decimal"/>
      <w:start w:val="1"/>
    </w:lvl>
    <w:lvl w:ilvl="1">
      <w:lvlJc w:val="left"/>
      <w:lvlText w:val="(%2)"/>
      <w:numFmt w:val="lowerLetter"/>
      <w:start w:val="1"/>
    </w:lvl>
  </w:abstractNum>
  <w:abstractNum w:abstractNumId="76">
    <w:nsid w:val="8F2B15E"/>
    <w:multiLevelType w:val="hybridMultilevel"/>
    <w:lvl w:ilvl="0">
      <w:lvlJc w:val="left"/>
      <w:lvlText w:val="%1."/>
      <w:numFmt w:val="decimal"/>
      <w:start w:val="1"/>
    </w:lvl>
    <w:lvl w:ilvl="1">
      <w:lvlJc w:val="left"/>
      <w:lvlText w:val="(%2)"/>
      <w:numFmt w:val="lowerLetter"/>
      <w:start w:val="1"/>
    </w:lvl>
  </w:abstractNum>
  <w:abstractNum w:abstractNumId="77">
    <w:nsid w:val="1A32234B"/>
    <w:multiLevelType w:val="hybridMultilevel"/>
    <w:lvl w:ilvl="0">
      <w:lvlJc w:val="left"/>
      <w:lvlText w:val="%1."/>
      <w:numFmt w:val="decimal"/>
      <w:start w:val="1"/>
    </w:lvl>
    <w:lvl w:ilvl="1">
      <w:lvlJc w:val="left"/>
      <w:lvlText w:val="(%2)"/>
      <w:numFmt w:val="lowerLetter"/>
      <w:start w:val="1"/>
    </w:lvl>
  </w:abstractNum>
  <w:abstractNum w:abstractNumId="78">
    <w:nsid w:val="3B0FD379"/>
    <w:multiLevelType w:val="hybridMultilevel"/>
    <w:lvl w:ilvl="0">
      <w:lvlJc w:val="left"/>
      <w:lvlText w:val="(%1)"/>
      <w:numFmt w:val="decimal"/>
      <w:start w:val="1"/>
    </w:lvl>
  </w:abstractNum>
  <w:abstractNum w:abstractNumId="79">
    <w:nsid w:val="68EB2F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jpeg"/><Relationship Id="rId124" Type="http://schemas.openxmlformats.org/officeDocument/2006/relationships/image" Target="media/image116.jpeg"/><Relationship Id="rId125" Type="http://schemas.openxmlformats.org/officeDocument/2006/relationships/image" Target="media/image117.png"/><Relationship Id="rId126" Type="http://schemas.openxmlformats.org/officeDocument/2006/relationships/image" Target="media/image118.jpe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jpeg"/><Relationship Id="rId131" Type="http://schemas.openxmlformats.org/officeDocument/2006/relationships/image" Target="media/image123.jpeg"/><Relationship Id="rId132" Type="http://schemas.openxmlformats.org/officeDocument/2006/relationships/image" Target="media/image124.jpeg"/><Relationship Id="rId133" Type="http://schemas.openxmlformats.org/officeDocument/2006/relationships/image" Target="media/image125.jpe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jpeg"/><Relationship Id="rId143" Type="http://schemas.openxmlformats.org/officeDocument/2006/relationships/image" Target="media/image135.jpeg"/><Relationship Id="rId144" Type="http://schemas.openxmlformats.org/officeDocument/2006/relationships/image" Target="media/image136.jpeg"/><Relationship Id="rId145" Type="http://schemas.openxmlformats.org/officeDocument/2006/relationships/image" Target="media/image137.jpeg"/><Relationship Id="rId146" Type="http://schemas.openxmlformats.org/officeDocument/2006/relationships/image" Target="media/image138.jpe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jpeg"/><Relationship Id="rId150" Type="http://schemas.openxmlformats.org/officeDocument/2006/relationships/image" Target="media/image142.jpeg"/><Relationship Id="rId151" Type="http://schemas.openxmlformats.org/officeDocument/2006/relationships/image" Target="media/image143.jpe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10" Type="http://schemas.openxmlformats.org/officeDocument/2006/relationships/hyperlink" Target="https://www.sec.gov/Archives/edgar/data/4515/000119312525067150/d941564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2025-04-24T06:14:00Z</dcterms:created>
  <dcterms:modified xsi:type="dcterms:W3CDTF">2025-04-24T06:14:00Z</dcterms:modified>
</cp:coreProperties>
</file>