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_a1eus0000092oqfmae-live.xml.htm"/>
      <w:bookmarkStart w:id="1" w:name="ksf4_a1eus0000092oqfmaelive"/>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Farmer Kathryn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AIRLINES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3"/>
        <w:gridCol w:w="773"/>
        <w:gridCol w:w="600"/>
        <w:gridCol w:w="346"/>
        <w:gridCol w:w="968"/>
        <w:gridCol w:w="448"/>
        <w:gridCol w:w="838"/>
        <w:gridCol w:w="1152"/>
        <w:gridCol w:w="989"/>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11,177</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24,739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will vest fully upon the earlier of June 10, 2027, or the next annual meeting of stockholders following the grant date, subject to the continued service of the reporting person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A.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1832"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3259</Characters>
  <CharactersWithSpaces>3804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