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757555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3, 2021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Delaware</w:t>
            </w:r>
          </w:p>
        </w:tc>
        <w:tc>
          <w:tcPr>
            <w:tcW w:w="1060" w:type="dxa"/>
            <w:vAlign w:val="bottom"/>
          </w:tcPr>
          <w:p>
            <w:pPr>
              <w:spacing w:after="0"/>
              <w:rPr>
                <w:sz w:val="19"/>
                <w:szCs w:val="19"/>
                <w:color w:val="auto"/>
              </w:rPr>
            </w:pPr>
          </w:p>
        </w:tc>
        <w:tc>
          <w:tcPr>
            <w:tcW w:w="168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1-8400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jc w:val="center"/>
              <w:ind w:left="136"/>
              <w:spacing w:after="0"/>
              <w:rPr>
                <w:sz w:val="20"/>
                <w:szCs w:val="20"/>
                <w:color w:val="auto"/>
              </w:rPr>
            </w:pPr>
            <w:r>
              <w:rPr>
                <w:rFonts w:ascii="Arial" w:cs="Arial" w:eastAsia="Arial" w:hAnsi="Arial"/>
                <w:sz w:val="18"/>
                <w:szCs w:val="18"/>
                <w:b w:val="1"/>
                <w:bCs w:val="1"/>
                <w:color w:val="auto"/>
                <w:w w:val="99"/>
              </w:rPr>
              <w:t>75-1825172</w:t>
            </w:r>
          </w:p>
        </w:tc>
        <w:tc>
          <w:tcPr>
            <w:tcW w:w="220" w:type="dxa"/>
            <w:vAlign w:val="bottom"/>
          </w:tcPr>
          <w:p>
            <w:pPr>
              <w:spacing w:after="0"/>
              <w:rPr>
                <w:sz w:val="19"/>
                <w:szCs w:val="19"/>
                <w:color w:val="auto"/>
              </w:rPr>
            </w:pPr>
          </w:p>
        </w:tc>
      </w:tr>
      <w:tr>
        <w:trPr>
          <w:trHeight w:val="239"/>
        </w:trPr>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1-2691</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ind w:left="136"/>
              <w:spacing w:after="0"/>
              <w:rPr>
                <w:sz w:val="20"/>
                <w:szCs w:val="20"/>
                <w:color w:val="auto"/>
              </w:rPr>
            </w:pPr>
            <w:r>
              <w:rPr>
                <w:rFonts w:ascii="Arial" w:cs="Arial" w:eastAsia="Arial" w:hAnsi="Arial"/>
                <w:sz w:val="18"/>
                <w:szCs w:val="18"/>
                <w:b w:val="1"/>
                <w:bCs w:val="1"/>
                <w:color w:val="auto"/>
                <w:w w:val="99"/>
              </w:rPr>
              <w:t>13-1502798</w:t>
            </w:r>
          </w:p>
        </w:tc>
        <w:tc>
          <w:tcPr>
            <w:tcW w:w="220" w:type="dxa"/>
            <w:vAlign w:val="bottom"/>
            <w:tcBorders>
              <w:bottom w:val="single" w:sz="8" w:color="auto"/>
            </w:tcBorders>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78"/>
        </w:trPr>
        <w:tc>
          <w:tcPr>
            <w:tcW w:w="240" w:type="dxa"/>
            <w:vAlign w:val="bottom"/>
          </w:tcPr>
          <w:p>
            <w:pPr>
              <w:spacing w:after="0"/>
              <w:rPr>
                <w:sz w:val="24"/>
                <w:szCs w:val="24"/>
                <w:color w:val="auto"/>
              </w:rPr>
            </w:pPr>
          </w:p>
        </w:tc>
        <w:tc>
          <w:tcPr>
            <w:tcW w:w="4860" w:type="dxa"/>
            <w:vAlign w:val="bottom"/>
            <w:gridSpan w:val="3"/>
          </w:tcPr>
          <w:p>
            <w:pPr>
              <w:ind w:left="2280"/>
              <w:spacing w:after="0"/>
              <w:rPr>
                <w:sz w:val="20"/>
                <w:szCs w:val="20"/>
                <w:color w:val="auto"/>
              </w:rPr>
            </w:pPr>
            <w:r>
              <w:rPr>
                <w:rFonts w:ascii="Arial" w:cs="Arial" w:eastAsia="Arial" w:hAnsi="Arial"/>
                <w:sz w:val="18"/>
                <w:szCs w:val="18"/>
                <w:b w:val="1"/>
                <w:bCs w:val="1"/>
                <w:color w:val="auto"/>
              </w:rPr>
              <w:t>1 Skyview Drive, Fort Worth,</w:t>
            </w:r>
          </w:p>
        </w:tc>
        <w:tc>
          <w:tcPr>
            <w:tcW w:w="2500" w:type="dxa"/>
            <w:vAlign w:val="bottom"/>
            <w:gridSpan w:val="4"/>
          </w:tcPr>
          <w:p>
            <w:pPr>
              <w:ind w:left="180"/>
              <w:spacing w:after="0"/>
              <w:rPr>
                <w:sz w:val="20"/>
                <w:szCs w:val="20"/>
                <w:color w:val="auto"/>
              </w:rPr>
            </w:pPr>
            <w:r>
              <w:rPr>
                <w:rFonts w:ascii="Arial" w:cs="Arial" w:eastAsia="Arial" w:hAnsi="Arial"/>
                <w:sz w:val="18"/>
                <w:szCs w:val="18"/>
                <w:b w:val="1"/>
                <w:bCs w:val="1"/>
                <w:color w:val="auto"/>
              </w:rPr>
              <w:t>Texas</w:t>
            </w:r>
          </w:p>
        </w:tc>
        <w:tc>
          <w:tcPr>
            <w:tcW w:w="3380" w:type="dxa"/>
            <w:vAlign w:val="bottom"/>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4"/>
                <w:szCs w:val="24"/>
                <w:color w:val="auto"/>
              </w:rPr>
            </w:pPr>
          </w:p>
        </w:tc>
      </w:tr>
      <w:tr>
        <w:trPr>
          <w:trHeight w:val="239"/>
        </w:trPr>
        <w:tc>
          <w:tcPr>
            <w:tcW w:w="240" w:type="dxa"/>
            <w:vAlign w:val="bottom"/>
          </w:tcPr>
          <w:p>
            <w:pPr>
              <w:spacing w:after="0"/>
              <w:rPr>
                <w:sz w:val="20"/>
                <w:szCs w:val="20"/>
                <w:color w:val="auto"/>
              </w:rPr>
            </w:pPr>
          </w:p>
        </w:tc>
        <w:tc>
          <w:tcPr>
            <w:tcW w:w="4860" w:type="dxa"/>
            <w:vAlign w:val="bottom"/>
            <w:tcBorders>
              <w:bottom w:val="single" w:sz="8" w:color="auto"/>
            </w:tcBorders>
            <w:gridSpan w:val="3"/>
          </w:tcPr>
          <w:p>
            <w:pPr>
              <w:ind w:left="2280"/>
              <w:spacing w:after="0"/>
              <w:rPr>
                <w:sz w:val="20"/>
                <w:szCs w:val="20"/>
                <w:color w:val="auto"/>
              </w:rPr>
            </w:pPr>
            <w:r>
              <w:rPr>
                <w:rFonts w:ascii="Arial" w:cs="Arial" w:eastAsia="Arial" w:hAnsi="Arial"/>
                <w:sz w:val="18"/>
                <w:szCs w:val="18"/>
                <w:b w:val="1"/>
                <w:bCs w:val="1"/>
                <w:color w:val="auto"/>
              </w:rPr>
              <w:t>1 Skyview Drive, Fort Worth,</w:t>
            </w:r>
          </w:p>
        </w:tc>
        <w:tc>
          <w:tcPr>
            <w:tcW w:w="1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Texas</w:t>
            </w:r>
          </w:p>
        </w:tc>
        <w:tc>
          <w:tcPr>
            <w:tcW w:w="400" w:type="dxa"/>
            <w:vAlign w:val="bottom"/>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3380" w:type="dxa"/>
            <w:vAlign w:val="bottom"/>
            <w:tcBorders>
              <w:bottom w:val="single" w:sz="8" w:color="auto"/>
            </w:tcBorders>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4860" w:type="dxa"/>
            <w:vAlign w:val="bottom"/>
            <w:gridSpan w:val="3"/>
          </w:tcPr>
          <w:p>
            <w:pPr>
              <w:ind w:left="1920"/>
              <w:spacing w:after="0"/>
              <w:rPr>
                <w:sz w:val="20"/>
                <w:szCs w:val="20"/>
                <w:color w:val="auto"/>
              </w:rPr>
            </w:pPr>
            <w:r>
              <w:rPr>
                <w:rFonts w:ascii="Arial" w:cs="Arial" w:eastAsia="Arial" w:hAnsi="Arial"/>
                <w:sz w:val="14"/>
                <w:szCs w:val="14"/>
                <w:b w:val="1"/>
                <w:bCs w:val="1"/>
                <w:color w:val="auto"/>
              </w:rPr>
              <w:t>(Address of principal executive offices)</w:t>
            </w: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(Zip Code)</w:t>
            </w:r>
          </w:p>
        </w:tc>
      </w:tr>
    </w:tbl>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963-1234</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963-1234</w:t>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5854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38" w:lineRule="exact"/>
        <w:rPr>
          <w:sz w:val="24"/>
          <w:szCs w:val="24"/>
          <w:color w:val="auto"/>
        </w:rPr>
      </w:pPr>
    </w:p>
    <w:p>
      <w:pPr>
        <w:ind w:right="380"/>
        <w:spacing w:after="0" w:line="25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37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84"/>
        </w:trPr>
        <w:tc>
          <w:tcPr>
            <w:tcW w:w="4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bl>
    <w:p>
      <w:pPr>
        <w:spacing w:after="0" w:line="106"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71"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85" w:lineRule="exact"/>
        <w:rPr>
          <w:sz w:val="24"/>
          <w:szCs w:val="24"/>
          <w:color w:val="auto"/>
        </w:rPr>
      </w:pPr>
    </w:p>
    <w:p>
      <w:pPr>
        <w:ind w:right="6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864235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351" w:right="359" w:bottom="1440" w:gutter="0" w:footer="0" w:header="0"/>
        </w:sectPr>
      </w:pPr>
    </w:p>
    <w:bookmarkStart w:id="1" w:name="page2"/>
    <w:bookmarkEnd w:id="1"/>
    <w:p>
      <w:pPr>
        <w:ind w:left="20"/>
        <w:spacing w:after="0"/>
        <w:tabs>
          <w:tab w:leader="none" w:pos="156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7"/>
          <w:szCs w:val="17"/>
          <w:b w:val="1"/>
          <w:bCs w:val="1"/>
          <w:color w:val="auto"/>
        </w:rPr>
        <w:t>COSTS ASSOCIATED WITH EXIT OR DISPOSAL ACTIVITIES.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February 3, 2021, </w:t>
      </w:r>
      <w:r>
        <w:rPr>
          <w:rFonts w:ascii="Arial" w:cs="Arial" w:eastAsia="Arial" w:hAnsi="Arial"/>
          <w:sz w:val="18"/>
          <w:szCs w:val="18"/>
          <w:color w:val="212529"/>
        </w:rPr>
        <w:t>American Airlines, Inc.</w:t>
      </w:r>
      <w:r>
        <w:rPr>
          <w:rFonts w:ascii="Arial" w:cs="Arial" w:eastAsia="Arial" w:hAnsi="Arial"/>
          <w:sz w:val="18"/>
          <w:szCs w:val="18"/>
          <w:color w:val="auto"/>
        </w:rPr>
        <w:t xml:space="preserve"> (“American”), a wholly owned subsidiary of American Airlines Group Inc. (the “Company”), informed its employees that on February 5, 2021, it will begin to send Worker Adjustment and Retraining Notification (“WARN”) notices to approximately 13,000 U.S.-based employees. These WARN notices, which may be required by law in advance of potential furloughs in certain locations, are part of American’s response to the impacts of the COVID-19 pandemic on its business. As of the date hereof and based on current facts, American expects that any job impact will take effect on or after April 1, 2021.</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this time, the Company is unable to make a good faith determination of an estimate or range of estimates required by paragraphs (b), (c) and (d) of Item 2.05 of Form 8-K with respect to workforce reduction actions in the remainder of 2021. The Company will file an amendment to this report or provide an update in a Quarterly Report on Form 10-Q after it makes a determination of such estimate or range of estimates, if any.</w:t>
      </w:r>
    </w:p>
    <w:p>
      <w:pPr>
        <w:spacing w:after="0" w:line="222"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discussed above, on February 3, 2021, American distributed a letter to employees regarding the possibility of a workforce reduction at certain locations. This internal communication is furnished herewith as Exhibit 99.1 and is incorporated by reference into this Item 7.01.</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in Item 7.01, including Exhibit 99.1,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(the “Securities Act”), except as shall be expressly set forth by specific reference in such filing.</w:t>
      </w:r>
    </w:p>
    <w:p>
      <w:pPr>
        <w:sectPr>
          <w:pgSz w:w="11900" w:h="16838" w:orient="portrait"/>
          <w:cols w:equalWidth="0" w:num="1">
            <w:col w:w="11240"/>
          </w:cols>
          <w:pgMar w:left="320" w:top="927" w:right="339" w:bottom="1440" w:gutter="0" w:footer="0" w:header="0"/>
        </w:sect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STATEMENTS AND EXHIBITS.</w:t>
      </w:r>
    </w:p>
    <w:p>
      <w:pPr>
        <w:spacing w:after="0" w:line="200" w:lineRule="exact"/>
        <w:rPr>
          <w:sz w:val="20"/>
          <w:szCs w:val="20"/>
          <w:color w:val="auto"/>
        </w:rPr>
      </w:pPr>
    </w:p>
    <w:p>
      <w:pPr>
        <w:sectPr>
          <w:pgSz w:w="11900" w:h="16838" w:orient="portrait"/>
          <w:cols w:equalWidth="0" w:num="2">
            <w:col w:w="900" w:space="680"/>
            <w:col w:w="9660"/>
          </w:cols>
          <w:pgMar w:left="320" w:top="927" w:right="339" w:bottom="1440" w:gutter="0" w:footer="0" w:header="0"/>
          <w:type w:val="continuous"/>
        </w:sectPr>
      </w:pPr>
    </w:p>
    <w:p>
      <w:pPr>
        <w:spacing w:after="0" w:line="6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(d) Exhibits.</w:t>
      </w:r>
    </w:p>
    <w:p>
      <w:pPr>
        <w:sectPr>
          <w:pgSz w:w="11900" w:h="16838" w:orient="portrait"/>
          <w:cols w:equalWidth="0" w:num="1">
            <w:col w:w="11240"/>
          </w:cols>
          <w:pgMar w:left="320" w:top="927" w:right="339" w:bottom="1440" w:gutter="0" w:footer="0" w:header="0"/>
          <w:type w:val="continuous"/>
        </w:sectPr>
      </w:pPr>
    </w:p>
    <w:p>
      <w:pPr>
        <w:spacing w:after="0" w:line="25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99" w:lineRule="exact"/>
        <w:rPr>
          <w:sz w:val="20"/>
          <w:szCs w:val="20"/>
          <w:color w:val="auto"/>
        </w:rPr>
      </w:pPr>
    </w:p>
    <w:p>
      <w:pPr>
        <w:sectPr>
          <w:pgSz w:w="11900" w:h="16838" w:orient="portrait"/>
          <w:cols w:equalWidth="0" w:num="2">
            <w:col w:w="1620" w:space="720"/>
            <w:col w:w="8900"/>
          </w:cols>
          <w:pgMar w:left="320" w:top="927"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99.1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Letter to Employees, dated February 3, 2021.</w:t>
        </w:r>
      </w:hyperlink>
    </w:p>
    <w:p>
      <w:pPr>
        <w:spacing w:after="0" w:line="88" w:lineRule="exact"/>
        <w:rPr>
          <w:sz w:val="20"/>
          <w:szCs w:val="20"/>
          <w:color w:val="auto"/>
        </w:rPr>
      </w:pPr>
    </w:p>
    <w:p>
      <w:pPr>
        <w:sectPr>
          <w:pgSz w:w="11900" w:h="16838" w:orient="portrait"/>
          <w:cols w:equalWidth="0" w:num="2">
            <w:col w:w="1620" w:space="720"/>
            <w:col w:w="8900"/>
          </w:cols>
          <w:pgMar w:left="320" w:top="927"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104.1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1620" w:space="720"/>
            <w:col w:w="8900"/>
          </w:cols>
          <w:pgMar w:left="320" w:top="927"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Quarterly Report on Form 10-Q for the quarter ended September 30, 2020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There may be other factors of which the Company is not currently aware that may affect matters discussed in the forward-looking statements and may also cause actual results to differ materially from those discussed. In particular, the consequences of the coronavirus outbreak to economic conditions and the travel industry in general and the financial position and operating results of the Company in particular have been material, are changing rapidly, and cannot be predicted.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7140" w:type="dxa"/>
            <w:vAlign w:val="bottom"/>
            <w:gridSpan w:val="2"/>
          </w:tcPr>
          <w:p>
            <w:pPr>
              <w:ind w:left="2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99"/>
        </w:trPr>
        <w:tc>
          <w:tcPr>
            <w:tcW w:w="4060" w:type="dxa"/>
            <w:vAlign w:val="bottom"/>
          </w:tcPr>
          <w:p>
            <w:pPr>
              <w:spacing w:after="0"/>
              <w:rPr>
                <w:sz w:val="20"/>
                <w:szCs w:val="20"/>
                <w:color w:val="auto"/>
              </w:rPr>
            </w:pPr>
            <w:r>
              <w:rPr>
                <w:rFonts w:ascii="Arial" w:cs="Arial" w:eastAsia="Arial" w:hAnsi="Arial"/>
                <w:sz w:val="18"/>
                <w:szCs w:val="18"/>
                <w:color w:val="auto"/>
              </w:rPr>
              <w:t>Date: February 3, 2021</w:t>
            </w:r>
          </w:p>
        </w:tc>
        <w:tc>
          <w:tcPr>
            <w:tcW w:w="2760" w:type="dxa"/>
            <w:vAlign w:val="bottom"/>
          </w:tcPr>
          <w:p>
            <w:pPr>
              <w:ind w:left="220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Derek J. Kerr</w:t>
            </w:r>
          </w:p>
        </w:tc>
      </w:tr>
      <w:tr>
        <w:trPr>
          <w:trHeight w:val="223"/>
        </w:trPr>
        <w:tc>
          <w:tcPr>
            <w:tcW w:w="40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Derek J. Kerr</w:t>
            </w:r>
          </w:p>
        </w:tc>
      </w:tr>
    </w:tbl>
    <w:p>
      <w:pPr>
        <w:ind w:left="6860"/>
        <w:spacing w:after="0" w:line="218" w:lineRule="auto"/>
        <w:rPr>
          <w:sz w:val="20"/>
          <w:szCs w:val="20"/>
          <w:color w:val="auto"/>
        </w:rPr>
      </w:pPr>
      <w:r>
        <w:rPr>
          <w:rFonts w:ascii="Arial" w:cs="Arial" w:eastAsia="Arial" w:hAnsi="Arial"/>
          <w:sz w:val="18"/>
          <w:szCs w:val="18"/>
          <w:color w:val="auto"/>
        </w:rPr>
        <w:t>Executive Vice President and</w:t>
      </w:r>
    </w:p>
    <w:p>
      <w:pPr>
        <w:ind w:left="686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7140" w:type="dxa"/>
            <w:vAlign w:val="bottom"/>
            <w:gridSpan w:val="2"/>
          </w:tcPr>
          <w:p>
            <w:pPr>
              <w:ind w:left="2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99"/>
        </w:trPr>
        <w:tc>
          <w:tcPr>
            <w:tcW w:w="4060" w:type="dxa"/>
            <w:vAlign w:val="bottom"/>
          </w:tcPr>
          <w:p>
            <w:pPr>
              <w:spacing w:after="0"/>
              <w:rPr>
                <w:sz w:val="20"/>
                <w:szCs w:val="20"/>
                <w:color w:val="auto"/>
              </w:rPr>
            </w:pPr>
            <w:r>
              <w:rPr>
                <w:rFonts w:ascii="Arial" w:cs="Arial" w:eastAsia="Arial" w:hAnsi="Arial"/>
                <w:sz w:val="18"/>
                <w:szCs w:val="18"/>
                <w:color w:val="auto"/>
              </w:rPr>
              <w:t>Date: February 3, 2021</w:t>
            </w:r>
          </w:p>
        </w:tc>
        <w:tc>
          <w:tcPr>
            <w:tcW w:w="2640" w:type="dxa"/>
            <w:vAlign w:val="bottom"/>
          </w:tcPr>
          <w:p>
            <w:pPr>
              <w:ind w:left="220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Derek J. Kerr</w:t>
            </w:r>
          </w:p>
        </w:tc>
      </w:tr>
      <w:tr>
        <w:trPr>
          <w:trHeight w:val="223"/>
        </w:trPr>
        <w:tc>
          <w:tcPr>
            <w:tcW w:w="40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Derek J. Kerr</w:t>
            </w:r>
          </w:p>
        </w:tc>
      </w:tr>
    </w:tbl>
    <w:p>
      <w:pPr>
        <w:ind w:left="6860"/>
        <w:spacing w:after="0" w:line="218" w:lineRule="auto"/>
        <w:rPr>
          <w:sz w:val="20"/>
          <w:szCs w:val="20"/>
          <w:color w:val="auto"/>
        </w:rPr>
      </w:pPr>
      <w:r>
        <w:rPr>
          <w:rFonts w:ascii="Arial" w:cs="Arial" w:eastAsia="Arial" w:hAnsi="Arial"/>
          <w:sz w:val="18"/>
          <w:szCs w:val="18"/>
          <w:color w:val="auto"/>
        </w:rPr>
        <w:t>Executive Vice President and</w:t>
      </w: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320" w:top="886"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Jetwire – Feb. 3, 2021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Fellow team members,</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nearly five weeks into 2021, and unfortunately, we find ourselves in a situation similar to much of 2020. As we closed out last year with the successful extension of the Payroll Support Program (PSP), we fully believed that we would be looking at a summer schedule where we’d fly all of our airplanes and need the full strength of our team. Regrettably, that is no longer the case. The vaccine is not being distributed as quickly as any of us believed, and new restrictions on international travel that require customers to have a negative COVID-19 test have dampened demand.</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will fly at least 45% less in the first quarter compared to what we flew for the same period in 2019, and based on current demand outlook, we will not fly all of our aircraft this summer as planned. Consequently, like last fall, we will have more team members than the schedule requires after federal payroll support expires April 1.</w:t>
      </w:r>
    </w:p>
    <w:p>
      <w:pPr>
        <w:spacing w:after="0" w:line="14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On Friday, we will begin issuing Worker Adjustment and Retraining Notification (WARN) notices covering approximately 13,000 team members. As a reminder, WARN notices may be required by law in advance of potential furloughs in certain locations, but it’s important to note that these notices do not necessarily equate to furloughs.</w:t>
      </w:r>
    </w:p>
    <w:p>
      <w:pPr>
        <w:spacing w:after="0" w:line="148"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Of course, this is not where we want to be, and we will work with union leadership to do everything we can to mitigate job impact as much as possible.</w:t>
      </w:r>
    </w:p>
    <w:p>
      <w:pPr>
        <w:spacing w:after="0" w:line="144"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First, you may have seen that our union partners are urging Congress for an extension of the PSP through Sept. 30 of this year. We are fully behind our union leaders’ efforts to fight for an extension and we will lend our time and energy to support this effort in every way we can. Our nation’s leaders understand the vital role airline workers play in keeping the country moving. They showed their support last year and we will encourage them to do the same again as the pandemic continues around the world.</w:t>
      </w:r>
    </w:p>
    <w:p>
      <w:pPr>
        <w:spacing w:after="0" w:line="150"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Secondly, on Friday we will open a voluntary early out program (VEOP) and a long-term voluntary leave of absence (VLOA) program for frontline, U.S.-based team members, excluding pilots. The benefits offered through these programs have not changed from last summer, but given where we are in our recovery, these programs may make more sense for some of our team members today than they did previously.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Here’s a high-level overview of the programs, and you can find full details on Jetnet. The application window will open on Friday morning.</w:t>
      </w:r>
    </w:p>
    <w:p>
      <w:pPr>
        <w:spacing w:after="0" w:line="190" w:lineRule="exact"/>
        <w:rPr>
          <w:sz w:val="20"/>
          <w:szCs w:val="20"/>
          <w:color w:val="auto"/>
        </w:rPr>
      </w:pPr>
    </w:p>
    <w:p>
      <w:pPr>
        <w:ind w:left="660" w:right="20" w:hanging="328"/>
        <w:spacing w:after="0" w:line="24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 xml:space="preserve">Early out program for team members with 10 or more years of workgroup seniority: </w:t>
      </w:r>
      <w:r>
        <w:rPr>
          <w:rFonts w:ascii="Arial" w:cs="Arial" w:eastAsia="Arial" w:hAnsi="Arial"/>
          <w:sz w:val="18"/>
          <w:szCs w:val="18"/>
          <w:color w:val="auto"/>
        </w:rPr>
        <w:t>An early out offering for team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with at least 10 years of workgroup seniority. This program includes up to $150,000 in a Retiree Health Reimbursement Arrangement for 65-point plan retirement-eligible team members, as well as some positive space travel.</w:t>
      </w:r>
    </w:p>
    <w:p>
      <w:pPr>
        <w:spacing w:after="0" w:line="16" w:lineRule="exact"/>
        <w:rPr>
          <w:rFonts w:ascii="Arial" w:cs="Arial" w:eastAsia="Arial" w:hAnsi="Arial"/>
          <w:sz w:val="22"/>
          <w:szCs w:val="22"/>
          <w:color w:val="auto"/>
        </w:rPr>
      </w:pPr>
    </w:p>
    <w:p>
      <w:pPr>
        <w:jc w:val="both"/>
        <w:ind w:left="660" w:right="200" w:hanging="328"/>
        <w:spacing w:after="0" w:line="24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 xml:space="preserve">Early out program for team members with less than 10 years of workgroup seniority: </w:t>
      </w:r>
      <w:r>
        <w:rPr>
          <w:rFonts w:ascii="Arial" w:cs="Arial" w:eastAsia="Arial" w:hAnsi="Arial"/>
          <w:sz w:val="18"/>
          <w:szCs w:val="18"/>
          <w:color w:val="auto"/>
        </w:rPr>
        <w:t>An early out offering for team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who have less than 10 years of workgroup seniority. This program will provide continuation of active medical coverage and non-rev travel privileges for a period of time.</w:t>
      </w:r>
    </w:p>
    <w:p>
      <w:pPr>
        <w:spacing w:after="0" w:line="16" w:lineRule="exact"/>
        <w:rPr>
          <w:rFonts w:ascii="Arial" w:cs="Arial" w:eastAsia="Arial" w:hAnsi="Arial"/>
          <w:sz w:val="22"/>
          <w:szCs w:val="22"/>
          <w:color w:val="auto"/>
        </w:rPr>
      </w:pPr>
    </w:p>
    <w:p>
      <w:pPr>
        <w:ind w:left="660" w:right="18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 xml:space="preserve">Extended leave program: </w:t>
      </w:r>
      <w:r>
        <w:rPr>
          <w:rFonts w:ascii="Arial" w:cs="Arial" w:eastAsia="Arial" w:hAnsi="Arial"/>
          <w:sz w:val="18"/>
          <w:szCs w:val="18"/>
          <w:color w:val="auto"/>
        </w:rPr>
        <w:t>Extended leaves of 12 or 18 months that provide continued medical coverage at active rates,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non-rev travel privileges and partial pay.</w:t>
      </w:r>
    </w:p>
    <w:p>
      <w:pPr>
        <w:spacing w:after="0" w:line="162"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Obviously, issuing these required WARN notices isn’t a step we want to take. Tens of thousands of our colleagues have faced extreme uncertainty about their job security over the past 12 months, and that’s on top of the emotional stress all of our team has faced during an incredibly difficult year.</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Please know that we will get through this period and to more stable ground — that is certain. And, we will continue to fight in every way possible to get there as soon as we can. Until demand returns and we can provide permanent job stability, we owe you transparency. That is what we can offer today and what we will continue to provide. Thank you for all you continue to do for each other, our customers and our airline.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Doug/Robert</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WARN notices by workgroup</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364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8"/>
                <w:szCs w:val="18"/>
                <w:b w:val="1"/>
                <w:bCs w:val="1"/>
                <w:color w:val="auto"/>
              </w:rPr>
              <w:t>Workgroup</w:t>
            </w:r>
          </w:p>
        </w:tc>
        <w:tc>
          <w:tcPr>
            <w:tcW w:w="172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WARN notices</w:t>
            </w:r>
          </w:p>
        </w:tc>
      </w:tr>
      <w:tr>
        <w:trPr>
          <w:trHeight w:val="250"/>
        </w:trPr>
        <w:tc>
          <w:tcPr>
            <w:tcW w:w="3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Pilots</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1,850</w:t>
            </w:r>
          </w:p>
        </w:tc>
      </w:tr>
      <w:tr>
        <w:trPr>
          <w:trHeight w:val="250"/>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Flight Attendants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4,245</w:t>
            </w:r>
          </w:p>
        </w:tc>
      </w:tr>
      <w:tr>
        <w:trPr>
          <w:trHeight w:val="250"/>
        </w:trPr>
        <w:tc>
          <w:tcPr>
            <w:tcW w:w="3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Maintenance &amp; Related</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1,420</w:t>
            </w:r>
          </w:p>
        </w:tc>
      </w:tr>
      <w:tr>
        <w:trPr>
          <w:trHeight w:val="250"/>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Fleet Service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3,145</w:t>
            </w:r>
          </w:p>
        </w:tc>
      </w:tr>
      <w:tr>
        <w:trPr>
          <w:trHeight w:val="250"/>
        </w:trPr>
        <w:tc>
          <w:tcPr>
            <w:tcW w:w="3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Passenger Service</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1,205</w:t>
            </w:r>
          </w:p>
        </w:tc>
      </w:tr>
      <w:tr>
        <w:trPr>
          <w:trHeight w:val="250"/>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Dispatch</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29"/>
        </w:trPr>
        <w:tc>
          <w:tcPr>
            <w:tcW w:w="3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Flight Crew Training Instructors and</w:t>
            </w:r>
          </w:p>
        </w:tc>
        <w:tc>
          <w:tcPr>
            <w:tcW w:w="1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40</w:t>
            </w:r>
          </w:p>
        </w:tc>
      </w:tr>
      <w:tr>
        <w:trPr>
          <w:trHeight w:val="224"/>
        </w:trPr>
        <w:tc>
          <w:tcPr>
            <w:tcW w:w="3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Simulator Pilot Instructors</w:t>
            </w:r>
          </w:p>
        </w:tc>
        <w:tc>
          <w:tcPr>
            <w:tcW w:w="172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0139"/>
      </w:cols>
      <w:pgMar w:left="320" w:top="12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17"/>
    </w:lvl>
  </w:abstractNum>
  <w:abstractNum w:abstractNumId="1">
    <w:nsid w:val="19495CFF"/>
    <w:multiLevelType w:val="hybridMultilevel"/>
    <w:lvl w:ilvl="0">
      <w:lvlJc w:val="left"/>
      <w:lvlText w:val="(%1)"/>
      <w:numFmt w:val="decimal"/>
      <w:start w:val="817"/>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2021-02-03T16:17:33Z</dcterms:created>
  <dcterms:modified xsi:type="dcterms:W3CDTF">2021-02-03T16:17:33Z</dcterms:modified>
</cp:coreProperties>
</file>